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36305d425.htm"/>
      <w:bookmarkStart w:id="1" w:name="ksd36305d425"/>
      <w:bookmarkEnd w:id="0"/>
      <w:bookmarkEnd w:id="1"/>
      <w:r>
        <w:rPr>
          <w:rFonts w:ascii="Times New Roman" w:hAnsi="Times New Roman"/>
          <w:sz w:val="20"/>
        </w:rPr>
        <w:t xml:space="preserve">Filed by BioNTech SE (Commission File No. 001-39081)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14d-2(b) under </w:t>
      </w:r>
    </w:p>
    <w:p>
      <w:pPr>
        <w:pStyle w:val="TextBody"/>
        <w:bidi w:val="0"/>
        <w:spacing w:before="0" w:after="0"/>
        <w:jc w:val="right"/>
        <w:rPr>
          <w:rFonts w:ascii="Times New Roman" w:hAnsi="Times New Roman"/>
          <w:sz w:val="20"/>
        </w:rPr>
      </w:pPr>
      <w:r>
        <w:rPr>
          <w:rFonts w:ascii="Times New Roman" w:hAnsi="Times New Roman"/>
          <w:sz w:val="20"/>
        </w:rPr>
        <w:t xml:space="preserve">the Securities Exchange Act of 1934, as amended.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CureVac N.V.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001-39446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communications are being filed in connection with the proposed acquisition of CureVac N.V. by BioNTech SE.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 of CureVac: </w:t>
      </w:r>
    </w:p>
    <w:p>
      <w:pPr>
        <w:pStyle w:val="TextBody"/>
        <w:bidi w:val="0"/>
        <w:spacing w:before="0" w:after="0"/>
        <w:jc w:val="left"/>
        <w:rPr>
          <w:rFonts w:ascii="Times New Roman" w:hAnsi="Times New Roman"/>
          <w:b/>
          <w:sz w:val="20"/>
        </w:rPr>
      </w:pPr>
      <w:r>
        <w:rPr>
          <w:rFonts w:ascii="Times New Roman" w:hAnsi="Times New Roman"/>
          <w:b/>
          <w:sz w:val="20"/>
        </w:rPr>
        <w:t xml:space="preserve">Our next key milestone in the execution of our oncology strategy </w:t>
      </w:r>
    </w:p>
    <w:p>
      <w:pPr>
        <w:pStyle w:val="TextBody"/>
        <w:bidi w:val="0"/>
        <w:spacing w:before="120" w:after="0"/>
        <w:jc w:val="left"/>
        <w:rPr>
          <w:rFonts w:ascii="Times New Roman" w:hAnsi="Times New Roman"/>
          <w:sz w:val="20"/>
        </w:rPr>
      </w:pPr>
      <w:r>
        <w:rPr>
          <w:rFonts w:ascii="Times New Roman" w:hAnsi="Times New Roman"/>
          <w:b/>
          <w:sz w:val="20"/>
        </w:rPr>
        <w:t>BioNTechs oncology strategy focuses on two pan-tumor programs, mRNA-based cancer immunotherapy candidates and BNT327. To further strengthen our mRNA-based cancer immunotherapy development, we have entered into a definitive Purchase Agreement pursuant to which we intend to acquire all of the shares of CureVac. CureVac is a German clinical-stage biotech company developing novel mRNA-based medicines in oncology and infectious diseases. We aim to bring together complementary capabilities and proprietary technologies to accelerate</w:t>
      </w:r>
      <w:r>
        <w:rPr>
          <w:rFonts w:ascii="Times New Roman" w:hAnsi="Times New Roman"/>
          <w:sz w:val="20"/>
        </w:rPr>
        <w:t xml:space="preserve"> </w:t>
      </w:r>
      <w:r>
        <w:rPr>
          <w:rFonts w:ascii="Times New Roman" w:hAnsi="Times New Roman"/>
          <w:b/>
          <w:sz w:val="20"/>
        </w:rPr>
        <w:t xml:space="preserve">and broaden the development of mRNA-based medicines for patients in need. </w:t>
      </w:r>
    </w:p>
    <w:p>
      <w:pPr>
        <w:pStyle w:val="TextBody"/>
        <w:bidi w:val="0"/>
        <w:spacing w:before="0" w:after="0"/>
        <w:jc w:val="left"/>
        <w:rPr/>
      </w:pPr>
      <w:r>
        <w:rPr/>
        <w:t> </w:t>
      </w:r>
    </w:p>
    <w:p>
      <w:pPr>
        <w:pStyle w:val="TextBody"/>
        <w:bidi w:val="0"/>
        <w:spacing w:before="0" w:after="0"/>
        <w:jc w:val="left"/>
        <w:rPr/>
      </w:pPr>
      <w:r>
        <w:rPr/>
        <w:drawing>
          <wp:inline distT="0" distB="0" distL="0" distR="0">
            <wp:extent cx="5753100" cy="3228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53100" cy="32289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 supports priority pan-tumor program </w:t>
      </w:r>
    </w:p>
    <w:p>
      <w:pPr>
        <w:pStyle w:val="TextBody"/>
        <w:bidi w:val="0"/>
        <w:spacing w:before="120" w:after="0"/>
        <w:jc w:val="left"/>
        <w:rPr>
          <w:rFonts w:ascii="Times New Roman" w:hAnsi="Times New Roman"/>
          <w:sz w:val="20"/>
        </w:rPr>
      </w:pPr>
      <w:r>
        <w:rPr>
          <w:rFonts w:ascii="Times New Roman" w:hAnsi="Times New Roman"/>
          <w:sz w:val="20"/>
        </w:rPr>
        <w:t xml:space="preserve">After announcing our partnership with Bristol Myers Squibb (BMS) last week to co-develop and co-commercialize BNT327, our latest news strengthens our position in mRNA-based cancer immunotherapies.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transaction is another building block in our oncology strategy and an investment in the future of cancer medicine, said our CEO Ugur. We intend to bring together complementary capabilities and leverage technological capabilities with the goal of advancing the development of innovative and transformative cancer treatments and establishing new standards of care for various types of cancer in the coming years. </w:t>
      </w:r>
    </w:p>
    <w:p>
      <w:pPr>
        <w:pStyle w:val="TextBody"/>
        <w:bidi w:val="0"/>
        <w:spacing w:before="360" w:after="0"/>
        <w:jc w:val="left"/>
        <w:rPr>
          <w:rFonts w:ascii="Times New Roman" w:hAnsi="Times New Roman"/>
          <w:b/>
          <w:sz w:val="20"/>
        </w:rPr>
      </w:pPr>
      <w:r>
        <w:rPr>
          <w:rFonts w:ascii="Times New Roman" w:hAnsi="Times New Roman"/>
          <w:b/>
          <w:sz w:val="20"/>
        </w:rPr>
        <w:t xml:space="preserve">Investing in the future of cancer medicine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is part of our overall strategy: We aim to strengthen the research, development, manufacturing and commercialization of investigational mRNA-based cancer immunotherapies. The strategic transaction will complement our capabilities and proprietary technologies in mRNA design, delivery formulations, and mRNA manufacturing. </w:t>
      </w:r>
    </w:p>
    <w:p>
      <w:pPr>
        <w:pStyle w:val="TextBody"/>
        <w:bidi w:val="0"/>
        <w:spacing w:before="240" w:after="0"/>
        <w:jc w:val="left"/>
        <w:rPr>
          <w:rFonts w:ascii="Times New Roman" w:hAnsi="Times New Roman"/>
          <w:sz w:val="20"/>
        </w:rPr>
      </w:pPr>
      <w:r>
        <w:rPr>
          <w:rFonts w:ascii="Times New Roman" w:hAnsi="Times New Roman"/>
          <w:sz w:val="20"/>
        </w:rPr>
        <w:t xml:space="preserve">We are very proud to add a complementary company to our Group that has operated with related ambitions, often tackling similar challenges from different angles over the past two decades. </w:t>
      </w:r>
    </w:p>
    <w:p>
      <w:pPr>
        <w:pStyle w:val="TextBody"/>
        <w:bidi w:val="0"/>
        <w:spacing w:before="360" w:after="0"/>
        <w:jc w:val="left"/>
        <w:rPr>
          <w:rFonts w:ascii="Times New Roman" w:hAnsi="Times New Roman"/>
          <w:b/>
          <w:sz w:val="20"/>
        </w:rPr>
      </w:pPr>
      <w:r>
        <w:rPr>
          <w:rFonts w:ascii="Times New Roman" w:hAnsi="Times New Roman"/>
          <w:b/>
          <w:sz w:val="20"/>
        </w:rPr>
        <w:t xml:space="preserve">What is next? </w:t>
      </w:r>
    </w:p>
    <w:p>
      <w:pPr>
        <w:pStyle w:val="TextBody"/>
        <w:bidi w:val="0"/>
        <w:spacing w:before="120" w:after="0"/>
        <w:jc w:val="left"/>
        <w:rPr>
          <w:rFonts w:ascii="Times New Roman" w:hAnsi="Times New Roman"/>
          <w:sz w:val="20"/>
        </w:rPr>
      </w:pPr>
      <w:r>
        <w:rPr>
          <w:rFonts w:ascii="Times New Roman" w:hAnsi="Times New Roman"/>
          <w:sz w:val="20"/>
        </w:rPr>
        <w:t xml:space="preserve">We will develop an integration plan in alignment with our ongoing group-wide transformation upon successful closing. As part of this plan, we will integrate CureVacs state-of-the-art research and manufacturing site in Tübingen. What this means in detail for us and our site network will be worked out in the integration planning phase. The implementation of any measures included in the integration plan can only begin after the closing of the transaction, which is expected in 2025.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more details in our townhall on Monday, June 16, 2025, at 3 pm CEST, where you will be also able to raise any questions, you might have.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transactions contemplated by the Purchase Agreement (including the parties ability to satisfy the conditions to the consummation of the exchange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exchange offer and the subsequent corporate reorganization of CureVac; uncertainties as to how many of CureVacs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p>
    <w:p>
      <w:pPr>
        <w:pStyle w:val="TextBody"/>
        <w:bidi w:val="0"/>
        <w:spacing w:before="240" w:after="0"/>
        <w:jc w:val="left"/>
        <w:rPr>
          <w:rFonts w:ascii="Times New Roman" w:hAnsi="Times New Roman"/>
          <w:sz w:val="20"/>
        </w:rPr>
      </w:pPr>
      <w:r>
        <w:rPr>
          <w:rFonts w:ascii="Times New Roman" w:hAnsi="Times New Roman"/>
          <w:sz w:val="20"/>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U.S. Securities and Exchange Commission (the SEC), available on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BioNTech intends to file a Registration Statement on Form F-4 (the Registration Statement) with the U.S. Securities and Exchange Commission (the SEC), including an offer to exchange/prospectus to register, under the Securities Act of 1933, as amended, the issuance of BioNTechs American Depositary Shares (ADSs) pursuant to the exchange offer. In addition, BioNTech intends to file a Tender Offer Statement on Schedule TO (the  Schedule TO), which will include, as exhibits, the offer to exchange/prospectus, a form of letter of transmittal and other customary ancillary documents, with the SEC and soon thereafter CureVac intends to file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Solicitation/Recommendation Statement on Schedule 14D-9 (the  Schedule 14D-9) with respect to the exchange offer. The exchange offer for the common shares of CureVac referred to in this document has not yet commenced. The solicitation and offer to purchase CureVacs common shares will only be made pursuant to the Schedule TO and related exchange offer/prospectus. This material is not a substitute for the offer to exchange/prospectus, the Schedule TO, the Schedule 14D-9, the Registration Statement or for any other document that BioNTech or CureVac may file with the SEC and send to CureVacs shareholders in connection with the proposed transactions. </w:t>
      </w:r>
    </w:p>
    <w:p>
      <w:pPr>
        <w:pStyle w:val="TextBody"/>
        <w:bidi w:val="0"/>
        <w:spacing w:before="240" w:after="0"/>
        <w:jc w:val="left"/>
        <w:rPr>
          <w:rFonts w:ascii="Times New Roman" w:hAnsi="Times New Roman"/>
          <w:sz w:val="20"/>
        </w:rPr>
      </w:pPr>
      <w:r>
        <w:rPr>
          <w:rFonts w:ascii="Times New Roman" w:hAnsi="Times New Roman"/>
          <w:sz w:val="20"/>
        </w:rPr>
        <w:t>With respect to the public offering of BioNTech ADSs to CureVac shareholders in Germany and in any other member state of the European Economic Area, this document is an advertisement for the purposes of the prospectus regulation EU 2017/1129, as amended. It does not constitute an offer to purchase any BioNTech ADSs or shares in BioNTech and does not replace the securities prospectus which will be available free of charge, together with the relevant translation(s) of the summary, from BioNTechs website (</w:t>
      </w:r>
      <w:r>
        <w:rPr>
          <w:rFonts w:ascii="Times New Roman" w:hAnsi="Times New Roman"/>
          <w:sz w:val="20"/>
          <w:u w:val="single"/>
        </w:rPr>
        <w:t>www.BioNTech.com</w:t>
      </w:r>
      <w:r>
        <w:rPr>
          <w:rFonts w:ascii="Times New Roman" w:hAnsi="Times New Roman"/>
          <w:sz w:val="20"/>
        </w:rPr>
        <w:t xml:space="preserve">). The approval of the securities prospectus by the German Federal Financial Supervisory Authority should not be understood as an endorsement of the investment in any BioNTech ADSs or shares in BioNTech. Investors in Germany and in any other member state of the European Economic Area should acquire BioNTech ADSs solely on the basis of the prospectus (including any supplements thereto, if any) relating to the BioNTech ADSs and should read the prospectus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sz w:val="20"/>
        </w:rPr>
      </w:pPr>
      <w:r>
        <w:rPr>
          <w:rFonts w:ascii="Times New Roman" w:hAnsi="Times New Roman"/>
          <w:sz w:val="20"/>
        </w:rPr>
        <w:t>With respect to the public offering of BioNTech ADSs to CureVac shareholders in the United Kingdom (the UK), BioNTech will publish a UK prospectus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prospectus exemption document which will be available free of charge from BioNTechs website (</w:t>
      </w:r>
      <w:r>
        <w:rPr>
          <w:rFonts w:ascii="Times New Roman" w:hAnsi="Times New Roman"/>
          <w:sz w:val="20"/>
          <w:u w:val="single"/>
        </w:rPr>
        <w:t>www.BioNTech.com</w:t>
      </w:r>
      <w:r>
        <w:rPr>
          <w:rFonts w:ascii="Times New Roman" w:hAnsi="Times New Roman"/>
          <w:sz w:val="20"/>
        </w:rPr>
        <w:t xml:space="preserve">). Investors in the UK should acquire BioNTech ADSs solely on the basis of the UK prospectus exemption document (including any supplements thereto, if any) relating to the BioNTech ADSs and should read the UK prospectus exemption document which is yet to be published (including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BEFORE MAKING ANY INVESTMENT DECISION OR DECISION WITH RESPECT TO THE EXCHANGE OFFER, WE URGE INVESTORS OF CUREVAC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BIONTECH, CUREVAC AND THE PROPOSED TRANSACTIONS THAT HOLDERS SHOULD CONSIDER.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Investors will be able to obtain free copies of the Registration Statement, exchange offer/prospectus, Schedule TO and Schedule 14D-9, as each may be amended from time to time, and other relevant documents filed by BioNTech and CureVac with the SEC (when they become available) at </w:t>
      </w:r>
      <w:r>
        <w:rPr>
          <w:rFonts w:ascii="Times New Roman" w:hAnsi="Times New Roman"/>
          <w:sz w:val="20"/>
          <w:u w:val="single"/>
        </w:rPr>
        <w:t>www.sec.gov</w:t>
      </w:r>
      <w:r>
        <w:rPr>
          <w:rFonts w:ascii="Times New Roman" w:hAnsi="Times New Roman"/>
          <w:sz w:val="20"/>
        </w:rPr>
        <w:t>, the SECs website, or free of charge from BioNTechs website (</w:t>
      </w:r>
      <w:r>
        <w:rPr>
          <w:rFonts w:ascii="Times New Roman" w:hAnsi="Times New Roman"/>
          <w:sz w:val="20"/>
          <w:u w:val="single"/>
        </w:rPr>
        <w:t>www.BioNTech.com</w:t>
      </w:r>
      <w:r>
        <w:rPr>
          <w:rFonts w:ascii="Times New Roman" w:hAnsi="Times New Roman"/>
          <w:sz w:val="20"/>
        </w:rPr>
        <w:t xml:space="preserve">) or by contacting BioNTechs Investor Relations Department at </w:t>
      </w:r>
      <w:r>
        <w:rPr>
          <w:rFonts w:ascii="Times New Roman" w:hAnsi="Times New Roman"/>
          <w:sz w:val="20"/>
          <w:u w:val="single"/>
        </w:rPr>
        <w:t>investors@biontech.de</w:t>
      </w:r>
      <w:r>
        <w:rPr>
          <w:rFonts w:ascii="Times New Roman" w:hAnsi="Times New Roman"/>
          <w:sz w:val="20"/>
        </w:rPr>
        <w:t>. These documents are also available free of charge from CureVacs website (</w:t>
      </w:r>
      <w:r>
        <w:rPr>
          <w:rFonts w:ascii="Times New Roman" w:hAnsi="Times New Roman"/>
          <w:sz w:val="20"/>
          <w:u w:val="single"/>
        </w:rPr>
        <w:t>www.curevac.com</w:t>
      </w:r>
      <w:r>
        <w:rPr>
          <w:rFonts w:ascii="Times New Roman" w:hAnsi="Times New Roman"/>
          <w:sz w:val="20"/>
        </w:rPr>
        <w:t xml:space="preserve">) or by contacting CureVacs Investor Relations Department at </w:t>
      </w:r>
      <w:r>
        <w:rPr>
          <w:rFonts w:ascii="Times New Roman" w:hAnsi="Times New Roman"/>
          <w:sz w:val="20"/>
          <w:u w:val="single"/>
        </w:rPr>
        <w:t>communications@curevac.com</w:t>
      </w:r>
      <w:r>
        <w:rPr>
          <w:rFonts w:ascii="Times New Roman" w:hAnsi="Times New Roman"/>
          <w:sz w:val="20"/>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2048</Words>
  <Characters>11299</Characters>
  <CharactersWithSpaces>13249</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