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OCTOBER 2026</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October 26, 2026, BioNTech SE (Nasdaq: BNTX, “BioNTech”) and DualityBiologics (Suzhou) Co., Ltd. (“DualityBio”,</w:t>
      </w:r>
    </w:p>
    <w:p>
      <w:pPr>
        <w:spacing w:after="0" w:line="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HKEX: 9606.HK) announced topline results of the DYNASTY-Breast02 global Phase 3 clinical trial evaluating trastuzumab pamirtecan in HR+/HER2-low metastatic breast cancer. The press release is attached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Ramon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Ramon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October 26, 2026</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30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u w:val="single" w:color="auto"/>
          <w:color w:val="auto"/>
        </w:rPr>
        <w:t>Exhibit</w:t>
      </w:r>
      <w:r>
        <w:rPr>
          <w:sz w:val="20"/>
          <w:szCs w:val="20"/>
          <w:color w:val="auto"/>
        </w:rPr>
        <w:tab/>
      </w:r>
      <w:r>
        <w:rPr>
          <w:rFonts w:ascii="Times New Roman" w:cs="Times New Roman" w:eastAsia="Times New Roman" w:hAnsi="Times New Roman"/>
          <w:sz w:val="22"/>
          <w:szCs w:val="22"/>
          <w:u w:val="single" w:color="auto"/>
          <w:color w:val="auto"/>
        </w:rPr>
        <w:t>Description of Exhibit</w:t>
      </w:r>
    </w:p>
    <w:p>
      <w:pPr>
        <w:spacing w:after="0" w:line="301" w:lineRule="exact"/>
        <w:rPr>
          <w:sz w:val="20"/>
          <w:szCs w:val="20"/>
          <w:color w:val="auto"/>
        </w:rPr>
      </w:pPr>
    </w:p>
    <w:p>
      <w:pPr>
        <w:ind w:left="1220" w:hanging="1221"/>
        <w:spacing w:after="0" w:line="284" w:lineRule="auto"/>
        <w:tabs>
          <w:tab w:leader="none" w:pos="12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u w:val="single" w:color="auto"/>
          <w:color w:val="0000FF"/>
        </w:rPr>
        <w:t>BioNTech and DualityBio Announce Topline Results of the DYNASTY-Breast02 Global Phase 3 Clinical Trial Evaluating Trastuzumab Pamirtecan in HR+/HER2-low Metastatic Breast Cancer</w:t>
      </w:r>
    </w:p>
    <w:p>
      <w:pPr>
        <w:sectPr>
          <w:pgSz w:w="11900" w:h="16838" w:orient="portrait"/>
          <w:cols w:equalWidth="0" w:num="1">
            <w:col w:w="11180"/>
          </w:cols>
          <w:pgMar w:left="360" w:top="1094"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437255" cy="402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725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91" w:lineRule="auto"/>
        <w:rPr>
          <w:sz w:val="20"/>
          <w:szCs w:val="20"/>
          <w:color w:val="auto"/>
        </w:rPr>
      </w:pPr>
      <w:r>
        <w:rPr>
          <w:rFonts w:ascii="Arial" w:cs="Arial" w:eastAsia="Arial" w:hAnsi="Arial"/>
          <w:sz w:val="25"/>
          <w:szCs w:val="25"/>
          <w:b w:val="1"/>
          <w:bCs w:val="1"/>
          <w:color w:val="auto"/>
        </w:rPr>
        <w:t>BioNTech and DualityBio Announce Topline Results of the DYNASTY-Breast02 Global Phase 3 Clinical Trial Evaluating Trastuzumab Pamirtecan in HR+/HER2-low Metastatic Breast Cancer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MAINZ, Germany and SHANGHAI, China, October 26, 2026 </w:t>
      </w:r>
      <w:r>
        <w:rPr>
          <w:rFonts w:ascii="Arial" w:cs="Arial" w:eastAsia="Arial" w:hAnsi="Arial"/>
          <w:sz w:val="18"/>
          <w:szCs w:val="18"/>
          <w:color w:val="auto"/>
        </w:rPr>
        <w:t>– BioNTech SE (Nasdaq: BNTX, “BioNTech”) and DualityBiologics (Suzhou)</w:t>
      </w:r>
    </w:p>
    <w:p>
      <w:pPr>
        <w:spacing w:after="0" w:line="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Co., Ltd. (“DualityBio”, HKEX: 9606.HK) announced today that the DYNASTY-Breast02 global Phase 3 clinical trial (NCT06018337) met its primary endpoint demonstrating a statistically significant, yet modest improvement in progression-free survival (“PFS”) with trastuzumab pamirtecan (BNT323/DB-1303) compared to investigator’s choice of chemotherapy in chemotherapy-naïve patients with HR+/HER2-low metastatic breast cancer who have progressed on endocrine therapy. At this interim analysis for the secondary endpoint of overall survival (“OS”), data were not mature.</w:t>
      </w:r>
    </w:p>
    <w:p>
      <w:pPr>
        <w:spacing w:after="0" w:line="21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 higher rate of interstitial lung disease (“ILD”) was reported in this trial compared to prior trials with trastuzumab pamirtecan, with most cases being Grade 1 and 2. Severe and fatal events were reported in a small proportion of patients (Grade 3-5). Otherwise, the overall safety profile was consistent with prior clinical trials and no new safety signals were observed.</w:t>
      </w:r>
    </w:p>
    <w:p>
      <w:pPr>
        <w:spacing w:after="0" w:line="20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available efficacy and safety data, as of this data cut-off date, suggest that the potential benefit to patients would be limited in the context of the HR+/HER2-low metastatic breast cancer treatment landscape. The companies will discuss the data and determine next steps.</w:t>
      </w:r>
    </w:p>
    <w:p>
      <w:pPr>
        <w:spacing w:after="0" w:line="19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BioNTech and DualityBio are developing trastuzumab pamirtecan in three ongoing clinical trials, including two global Phase 3 clinical trials, in HR+/HER2-low metastatic breast cancer (NCT06018337) and in HER2-expressing recurrent endometrial cancer (NCT06340568), as well as in a global Phase 1/2 clinical trial (NCT05150691) in patients with advanced/metastatic solid tumors.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DYNASTY-Breast02</w:t>
      </w:r>
    </w:p>
    <w:p>
      <w:pPr>
        <w:spacing w:after="0" w:line="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DYNASTY-Breast02 is a global Phase 3 randomized, multi-center, open-label clinical trial in patients living with HR+/HER2-low metastatic breast cancer whose disease has progressed on at least two lines of prior hormone therapy or within six months of first line hormone therapy plus cyclin-dependent kinase (CDK) 4/6 inhibitor in the metastatic setting. The primary endpoint of the clinical trial is PFS with a key secondary endpoint of OS. In the trial, 541 patients with HER2-low expression (IHC 2+/ISH- and IHC 1+) were randomized 1:1 to receive either trastuzumab pamirtecan or investigator's choice single-agent chemotherapy (capecitabine, paclitaxel or nab-paclitaxel).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trastuzumab pamirtecan</w:t>
      </w:r>
    </w:p>
    <w:p>
      <w:pPr>
        <w:spacing w:after="0" w:line="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Trastuzumab pamirtecan (BNT323/DB-1303) is a third-generation topoisomerase-1 inhibitor-based ADC targeting HER2 being developed by BioNTech and Duality Biologics. Trastuzumab pamirtecan was built from DualityBio’s proprietary Duality Immune Toxin Antibody Conjugates (“DITAC”) platform. HER2 is a surface-expressed protein on solid tumors and has been linked to the aggressive growth and spread of cancer cells.</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Trastuzumab pamirtecan is being evaluated in an ongoing Phase 1/2 trial (NCT05150691) in patients with advanced/metastatic solid tumors, in Fern-EC-01, a randomized Phase 3 clinical trial (NCT06340568) evaluating trastuzumab pamirtecan compared with investigator's choice of single agent chemotherapy in previously treated patients with HER2-expressing advanced recurrent endometrial cancer, and in DYNASTY-Breast02, a randomized Phase 3 clinical trial (NCT06018337) in chemotherapy-naïve patients with HR+/HER2-low metastatic breast cancer who have progressed on endocrine therapy.</w:t>
      </w:r>
    </w:p>
    <w:p>
      <w:pPr>
        <w:sectPr>
          <w:pgSz w:w="11900" w:h="16838" w:orient="portrait"/>
          <w:cols w:equalWidth="0" w:num="1">
            <w:col w:w="11240"/>
          </w:cols>
          <w:pgMar w:left="320" w:top="108"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3437255" cy="402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725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www.BioNTech.com</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limited to, statements concerning: the collaboration between BioNTech and DualityBio to jointly clinically develop antibody-drug conjugates (ADCs) including trastuzumab pamirtecan (BNT323/DB-1303); the initiation, timing, progress, and results of BioNTech’s research and development programs, including data from the DYNASTY-Breast02 Phase 3 clinical trial (NCT06018337) evaluating trastuzumab pamirtecan in HR+/HER2-low metastatic breast cancer; the expected timing of initiation, enrollment, and completion of trials and related preparatory work and the availability of results; and discussions with regulatory agencies.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the impact of tariffs and escalations in trade policy; competition related to BioNTech’s product candidates; the timing of and BioNTech’s ability to obtain and maintain regulatory approval for its product candidates;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in the United States and other countries; BioNTech’s ability to effectively scale its production capabilities and manufacture its products and product candidates; and other factors not known to BioNTech at this time.</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3437255" cy="402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3725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June 30, 2026, and in subsequent filings made by BioNTech with the SEC, which are available on the SEC’s website at www.sec.gov.These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DualityBio</w:t>
      </w:r>
    </w:p>
    <w:p>
      <w:pPr>
        <w:spacing w:after="0" w:line="4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DualityBio is a clinical-stage innovative biopharmaceutical company dedicated to developing next-generation antibody-drug conjugates (ADCs) for patients with cancer and autoimmune diseases. The Company has successfully built multiple next-generation ADC technology platforms with global intellectual property rights. Grounded in a deep understanding of disease biology, DualityBio has established a robust clinical-stage ADC pipeline and is conducting multiple global, multicenter clinical trials across nearly 20 countries, with over 3,500 patients enrolled to date. Furthermore, DualityBio has entered into several out-licensing collaborations with global pharmaceutical companies and leading innovative biotech firms. Serving as a global engine for ADC innovation, DualityBio continues to develop next-generation novel ADCs, including bispecific ADCs, ADCs with novel payloads, and autoimmune ADCs.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www.dualitybiologics.com.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CONTACTS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BioNTech</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81010"/>
        </w:rPr>
        <w:t>Jasmina Alatovic</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181010"/>
        </w:rPr>
        <w:t>Douglas Maffei, PhD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DualityBio</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PR@dualitybiologics.com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IR@dualitybiologics.com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2026-10-26T05:24:18Z</dcterms:created>
  <dcterms:modified xsi:type="dcterms:W3CDTF">2026-10-26T05:24:18Z</dcterms:modified>
</cp:coreProperties>
</file>