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2"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0" w:lineRule="exact"/>
        <w:rPr>
          <w:sz w:val="24"/>
          <w:szCs w:val="24"/>
          <w:color w:val="auto"/>
        </w:rPr>
      </w:pPr>
    </w:p>
    <w:p>
      <w:pPr>
        <w:spacing w:after="0" w:line="224"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24"/>
          <w:szCs w:val="24"/>
          <w:b w:val="1"/>
          <w:bCs w:val="1"/>
          <w:color w:val="auto"/>
        </w:rPr>
        <w:t>FORM 6-K</w:t>
      </w:r>
    </w:p>
    <w:p>
      <w:pPr>
        <w:spacing w:after="0" w:line="293" w:lineRule="exact"/>
        <w:rPr>
          <w:sz w:val="24"/>
          <w:szCs w:val="24"/>
          <w:color w:val="auto"/>
        </w:rPr>
      </w:pPr>
    </w:p>
    <w:p>
      <w:pPr>
        <w:jc w:val="center"/>
        <w:ind w:right="-1120"/>
        <w:spacing w:after="0" w:line="150" w:lineRule="exact"/>
        <w:rPr>
          <w:sz w:val="20"/>
          <w:szCs w:val="20"/>
          <w:color w:val="auto"/>
        </w:rPr>
      </w:pPr>
      <w:r>
        <w:rPr>
          <w:rFonts w:ascii="Times New Roman" w:cs="Times New Roman" w:eastAsia="Times New Roman" w:hAnsi="Times New Roman"/>
          <w:sz w:val="13"/>
          <w:szCs w:val="13"/>
          <w:b w:val="1"/>
          <w:bCs w:val="1"/>
          <w:color w:val="auto"/>
        </w:rPr>
        <w:t>REPORT OF FOREIGN PRIVATE ISSUER PURSUANT TO RULE 13a</w:t>
      </w:r>
      <w:r>
        <w:rPr>
          <w:rFonts w:ascii="MS PGothic" w:cs="MS PGothic" w:eastAsia="MS PGothic" w:hAnsi="MS PGothic"/>
          <w:sz w:val="13"/>
          <w:szCs w:val="13"/>
          <w:color w:val="auto"/>
          <w:strike w:val="1"/>
        </w:rPr>
        <w:t>‑</w:t>
      </w:r>
      <w:r>
        <w:rPr>
          <w:rFonts w:ascii="Times New Roman" w:cs="Times New Roman" w:eastAsia="Times New Roman" w:hAnsi="Times New Roman"/>
          <w:sz w:val="13"/>
          <w:szCs w:val="13"/>
          <w:b w:val="1"/>
          <w:bCs w:val="1"/>
          <w:color w:val="auto"/>
        </w:rPr>
        <w:t>16 OR 15d</w:t>
      </w:r>
      <w:r>
        <w:rPr>
          <w:rFonts w:ascii="MS PGothic" w:cs="MS PGothic" w:eastAsia="MS PGothic" w:hAnsi="MS PGothic"/>
          <w:sz w:val="13"/>
          <w:szCs w:val="13"/>
          <w:color w:val="auto"/>
          <w:strike w:val="1"/>
        </w:rPr>
        <w:t>‑</w:t>
      </w:r>
      <w:r>
        <w:rPr>
          <w:rFonts w:ascii="Times New Roman" w:cs="Times New Roman" w:eastAsia="Times New Roman" w:hAnsi="Times New Roman"/>
          <w:sz w:val="13"/>
          <w:szCs w:val="13"/>
          <w:b w:val="1"/>
          <w:bCs w:val="1"/>
          <w:color w:val="auto"/>
        </w:rPr>
        <w:t>16</w:t>
      </w:r>
    </w:p>
    <w:p>
      <w:pPr>
        <w:spacing w:after="0" w:line="4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UNDER THE SECURITIES EXCHANGE ACT OF 1934</w:t>
      </w:r>
    </w:p>
    <w:p>
      <w:pPr>
        <w:spacing w:after="0" w:line="141"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3"/>
          <w:szCs w:val="13"/>
          <w:b w:val="1"/>
          <w:bCs w:val="1"/>
          <w:color w:val="auto"/>
        </w:rPr>
        <w:t>FOR THE MONTH OF MARCH 2025</w:t>
      </w:r>
    </w:p>
    <w:p>
      <w:pPr>
        <w:spacing w:after="0" w:line="3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COMMISSION FILE NUMBER 001-39081</w:t>
      </w:r>
    </w:p>
    <w:p>
      <w:pPr>
        <w:spacing w:after="0" w:line="1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BioNTech SE</w:t>
      </w:r>
    </w:p>
    <w:p>
      <w:pPr>
        <w:spacing w:after="0" w:line="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333333"/>
        </w:rPr>
        <w:t>(Translation of registrant’s name into English)</w:t>
      </w:r>
    </w:p>
    <w:p>
      <w:pPr>
        <w:spacing w:after="0" w:line="132"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3"/>
          <w:szCs w:val="13"/>
          <w:b w:val="1"/>
          <w:bCs w:val="1"/>
          <w:color w:val="auto"/>
        </w:rPr>
        <w:t>An der Goldgrube 12</w:t>
      </w:r>
    </w:p>
    <w:p>
      <w:pPr>
        <w:spacing w:after="0" w:line="24"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3"/>
          <w:szCs w:val="13"/>
          <w:b w:val="1"/>
          <w:bCs w:val="1"/>
          <w:color w:val="auto"/>
        </w:rPr>
        <w:t>D-55131 Mainz</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Germany</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+49 6131-9084-0</w:t>
      </w:r>
    </w:p>
    <w:p>
      <w:pPr>
        <w:spacing w:after="0" w:line="1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2"/>
          <w:szCs w:val="12"/>
          <w:color w:val="333333"/>
        </w:rPr>
        <w:t>(Address of principal executive offices)</w:t>
      </w:r>
    </w:p>
    <w:p>
      <w:pPr>
        <w:spacing w:after="0" w:line="27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whether the registrant files or will file annual reports under cover Form 20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 or Form 40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 Form 20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F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Form 40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F </w:t>
      </w:r>
      <w:r>
        <w:rPr>
          <w:rFonts w:ascii="MS PGothic" w:cs="MS PGothic" w:eastAsia="MS PGothic" w:hAnsi="MS PGothic"/>
          <w:sz w:val="14"/>
          <w:szCs w:val="14"/>
          <w:color w:val="auto"/>
        </w:rPr>
        <w:t>☐</w:t>
      </w:r>
    </w:p>
    <w:p>
      <w:pPr>
        <w:spacing w:after="0" w:line="16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if the registrant is submitting the Form 6</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in paper as permitted by Regulation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T Rule 101(b)(1): </w:t>
      </w:r>
      <w:r>
        <w:rPr>
          <w:rFonts w:ascii="MS PGothic" w:cs="MS PGothic" w:eastAsia="MS PGothic" w:hAnsi="MS PGothic"/>
          <w:sz w:val="14"/>
          <w:szCs w:val="14"/>
          <w:color w:val="auto"/>
        </w:rPr>
        <w:t>☐</w:t>
      </w:r>
    </w:p>
    <w:p>
      <w:pPr>
        <w:spacing w:after="0" w:line="15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if the registrant is submitting the Form 6</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in paper as permitted by Regulation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T Rule 101(b)(7): </w:t>
      </w:r>
      <w:r>
        <w:rPr>
          <w:rFonts w:ascii="MS PGothic" w:cs="MS PGothic" w:eastAsia="MS PGothic" w:hAnsi="MS PGothic"/>
          <w:sz w:val="14"/>
          <w:szCs w:val="14"/>
          <w:color w:val="auto"/>
        </w:rPr>
        <w:t>☐</w:t>
      </w:r>
    </w:p>
    <w:p>
      <w:pPr>
        <w:sectPr>
          <w:pgSz w:w="11900" w:h="16838" w:orient="portrait"/>
          <w:cols w:equalWidth="0" w:num="1">
            <w:col w:w="10159"/>
          </w:cols>
          <w:pgMar w:left="300" w:top="1001" w:right="1440" w:bottom="1440" w:gutter="0" w:footer="0" w:header="0"/>
        </w:sectPr>
      </w:pPr>
    </w:p>
    <w:bookmarkStart w:id="1" w:name="page2"/>
    <w:bookmarkEnd w:id="1"/>
    <w:p>
      <w:pPr>
        <w:jc w:val="center"/>
        <w:ind w:left="420"/>
        <w:spacing w:after="0"/>
        <w:rPr>
          <w:sz w:val="20"/>
          <w:szCs w:val="20"/>
          <w:color w:val="auto"/>
        </w:rPr>
      </w:pPr>
      <w:r>
        <w:rPr>
          <w:rFonts w:ascii="Times New Roman" w:cs="Times New Roman" w:eastAsia="Times New Roman" w:hAnsi="Times New Roman"/>
          <w:sz w:val="14"/>
          <w:szCs w:val="14"/>
          <w:b w:val="1"/>
          <w:bCs w:val="1"/>
          <w:color w:val="auto"/>
        </w:rPr>
        <w:t>DOCUMENTS INCLUDED AS PART OF THIS FORM 6-K</w:t>
      </w:r>
    </w:p>
    <w:p>
      <w:pPr>
        <w:spacing w:after="0" w:line="1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On March 10, 2025, BioNTech SE (the “Company”) issued a press release announcing its full year 2024 financial results and corporate update and details of a conference call to be held at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8:00 am EDT on March 10, 2025 to discuss the results. The press release and the conference call presentation are attached as Exhibits 99.1 and 99.2, respectively, and incorporated by reference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herein.</w:t>
      </w:r>
    </w:p>
    <w:p>
      <w:pPr>
        <w:spacing w:after="0" w:line="138" w:lineRule="exact"/>
        <w:rPr>
          <w:sz w:val="20"/>
          <w:szCs w:val="20"/>
          <w:color w:val="auto"/>
        </w:rPr>
      </w:pPr>
    </w:p>
    <w:p>
      <w:pPr>
        <w:ind w:right="60" w:firstLine="432"/>
        <w:spacing w:after="0" w:line="295" w:lineRule="auto"/>
        <w:rPr>
          <w:sz w:val="20"/>
          <w:szCs w:val="20"/>
          <w:color w:val="auto"/>
        </w:rPr>
      </w:pPr>
      <w:r>
        <w:rPr>
          <w:rFonts w:ascii="Times New Roman" w:cs="Times New Roman" w:eastAsia="Times New Roman" w:hAnsi="Times New Roman"/>
          <w:sz w:val="14"/>
          <w:szCs w:val="14"/>
          <w:color w:val="auto"/>
        </w:rPr>
        <w:t>The information contained in Exhibits 99.1 and 99.2 shall not be deemed “filed” for purposes of Section 18 of the Securities Exchange Act of 1934, as amended (the “Exchange Act”), or incorporated by reference in any filing under the Securities Act of 1933, as amended, or the Exchange Act, unless expressly set forth by specific reference in such a filing.</w:t>
      </w:r>
    </w:p>
    <w:p>
      <w:pPr>
        <w:sectPr>
          <w:pgSz w:w="11900" w:h="16838" w:orient="portrait"/>
          <w:cols w:equalWidth="0" w:num="1">
            <w:col w:w="11200"/>
          </w:cols>
          <w:pgMar w:left="300" w:top="776" w:right="399" w:bottom="1440" w:gutter="0" w:footer="0" w:header="0"/>
        </w:sectPr>
      </w:pPr>
    </w:p>
    <w:bookmarkStart w:id="2" w:name="page3"/>
    <w:bookmarkEnd w:id="2"/>
    <w:p>
      <w:pPr>
        <w:ind w:left="52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Pursuant to the requirements of the Exchange Act, the registrant has duly caused this report to be signed on its behalf by the undersigned, thereunto duly authorized.</w:t>
      </w:r>
    </w:p>
    <w:p>
      <w:pPr>
        <w:spacing w:after="0" w:line="200" w:lineRule="exact"/>
        <w:rPr>
          <w:sz w:val="20"/>
          <w:szCs w:val="20"/>
          <w:color w:val="auto"/>
        </w:rPr>
      </w:pPr>
    </w:p>
    <w:p>
      <w:pPr>
        <w:spacing w:after="0" w:line="222"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5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BioNTech SE</w:t>
            </w:r>
          </w:p>
        </w:tc>
        <w:tc>
          <w:tcPr>
            <w:tcW w:w="1080" w:type="dxa"/>
            <w:vAlign w:val="bottom"/>
          </w:tcPr>
          <w:p>
            <w:pPr>
              <w:spacing w:after="0"/>
              <w:rPr>
                <w:sz w:val="16"/>
                <w:szCs w:val="16"/>
                <w:color w:val="auto"/>
              </w:rPr>
            </w:pPr>
          </w:p>
        </w:tc>
        <w:tc>
          <w:tcPr>
            <w:tcW w:w="4640" w:type="dxa"/>
            <w:vAlign w:val="bottom"/>
          </w:tcPr>
          <w:p>
            <w:pPr>
              <w:spacing w:after="0"/>
              <w:rPr>
                <w:sz w:val="16"/>
                <w:szCs w:val="16"/>
                <w:color w:val="auto"/>
              </w:rPr>
            </w:pPr>
          </w:p>
        </w:tc>
      </w:tr>
      <w:tr>
        <w:trPr>
          <w:trHeight w:val="532"/>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Jens Holstein</w:t>
            </w:r>
          </w:p>
        </w:tc>
        <w:tc>
          <w:tcPr>
            <w:tcW w:w="10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By:</w:t>
            </w:r>
          </w:p>
        </w:tc>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Dr. Sierk Poetting</w:t>
            </w:r>
          </w:p>
        </w:tc>
      </w:tr>
      <w:tr>
        <w:trPr>
          <w:trHeight w:val="196"/>
        </w:trPr>
        <w:tc>
          <w:tcPr>
            <w:tcW w:w="500" w:type="dxa"/>
            <w:vAlign w:val="bottom"/>
          </w:tcPr>
          <w:p>
            <w:pPr>
              <w:spacing w:after="0"/>
              <w:rPr>
                <w:sz w:val="17"/>
                <w:szCs w:val="17"/>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 Jens Holstein</w:t>
            </w:r>
          </w:p>
        </w:tc>
        <w:tc>
          <w:tcPr>
            <w:tcW w:w="108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Name: Dr. Sierk Poetting</w:t>
            </w:r>
          </w:p>
        </w:tc>
      </w:tr>
      <w:tr>
        <w:trPr>
          <w:trHeight w:val="216"/>
        </w:trPr>
        <w:tc>
          <w:tcPr>
            <w:tcW w:w="500" w:type="dxa"/>
            <w:vAlign w:val="bottom"/>
          </w:tcPr>
          <w:p>
            <w:pPr>
              <w:spacing w:after="0"/>
              <w:rPr>
                <w:sz w:val="18"/>
                <w:szCs w:val="18"/>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Chief Financial Officer</w:t>
            </w:r>
          </w:p>
        </w:tc>
        <w:tc>
          <w:tcPr>
            <w:tcW w:w="108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Title: Chief Operating Officer</w:t>
            </w: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March 10, 2025</w:t>
      </w:r>
    </w:p>
    <w:p>
      <w:pPr>
        <w:sectPr>
          <w:pgSz w:w="11900" w:h="16838" w:orient="portrait"/>
          <w:cols w:equalWidth="0" w:num="1">
            <w:col w:w="11100"/>
          </w:cols>
          <w:pgMar w:left="300" w:top="776" w:right="4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0"/>
        </w:trPr>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660" w:type="dxa"/>
            <w:vAlign w:val="bottom"/>
            <w:gridSpan w:val="3"/>
          </w:tcPr>
          <w:p>
            <w:pPr>
              <w:ind w:left="254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469"/>
        </w:trPr>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Exhibit</w:t>
            </w:r>
          </w:p>
        </w:tc>
        <w:tc>
          <w:tcPr>
            <w:tcW w:w="820" w:type="dxa"/>
            <w:vAlign w:val="bottom"/>
          </w:tcPr>
          <w:p>
            <w:pPr>
              <w:spacing w:after="0"/>
              <w:rPr>
                <w:sz w:val="24"/>
                <w:szCs w:val="24"/>
                <w:color w:val="auto"/>
              </w:rPr>
            </w:pPr>
          </w:p>
        </w:tc>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Description of Exhibit</w:t>
            </w:r>
          </w:p>
        </w:tc>
        <w:tc>
          <w:tcPr>
            <w:tcW w:w="3660" w:type="dxa"/>
            <w:vAlign w:val="bottom"/>
            <w:gridSpan w:val="3"/>
          </w:tcPr>
          <w:p>
            <w:pPr>
              <w:spacing w:after="0"/>
              <w:rPr>
                <w:sz w:val="24"/>
                <w:szCs w:val="24"/>
                <w:color w:val="auto"/>
              </w:rPr>
            </w:pPr>
          </w:p>
        </w:tc>
      </w:tr>
      <w:tr>
        <w:trPr>
          <w:trHeight w:val="340"/>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99.1</w:t>
            </w:r>
          </w:p>
        </w:tc>
        <w:tc>
          <w:tcPr>
            <w:tcW w:w="820" w:type="dxa"/>
            <w:vAlign w:val="bottom"/>
          </w:tcPr>
          <w:p>
            <w:pPr>
              <w:spacing w:after="0"/>
              <w:rPr>
                <w:sz w:val="24"/>
                <w:szCs w:val="24"/>
                <w:color w:val="auto"/>
              </w:rPr>
            </w:pPr>
          </w:p>
        </w:tc>
        <w:tc>
          <w:tcPr>
            <w:tcW w:w="45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BioNTech Announces Full Year 2024 Financial Results and Corporate Update</w:t>
            </w:r>
          </w:p>
        </w:tc>
        <w:tc>
          <w:tcPr>
            <w:tcW w:w="440" w:type="dxa"/>
            <w:vAlign w:val="bottom"/>
          </w:tcPr>
          <w:p>
            <w:pPr>
              <w:spacing w:after="0"/>
              <w:rPr>
                <w:sz w:val="24"/>
                <w:szCs w:val="24"/>
                <w:color w:val="auto"/>
              </w:rPr>
            </w:pPr>
          </w:p>
        </w:tc>
      </w:tr>
      <w:tr>
        <w:trPr>
          <w:trHeight w:val="196"/>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99.2</w:t>
            </w:r>
          </w:p>
        </w:tc>
        <w:tc>
          <w:tcPr>
            <w:tcW w:w="820" w:type="dxa"/>
            <w:vAlign w:val="bottom"/>
          </w:tcPr>
          <w:p>
            <w:pPr>
              <w:spacing w:after="0"/>
              <w:rPr>
                <w:sz w:val="17"/>
                <w:szCs w:val="17"/>
                <w:color w:val="auto"/>
              </w:rPr>
            </w:pPr>
          </w:p>
        </w:tc>
        <w:tc>
          <w:tcPr>
            <w:tcW w:w="49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Fourth Quarter and Full Year 2024: Corporate Update and Financial Results</w:t>
            </w:r>
          </w:p>
        </w:tc>
      </w:tr>
      <w:tr>
        <w:trPr>
          <w:trHeight w:val="20"/>
        </w:trPr>
        <w:tc>
          <w:tcPr>
            <w:tcW w:w="44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ectPr>
          <w:pgSz w:w="11900" w:h="16838" w:orient="portrait"/>
          <w:cols w:equalWidth="0" w:num="1">
            <w:col w:w="10159"/>
          </w:cols>
          <w:pgMar w:left="300" w:top="776"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1423035" cy="160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16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BioNTech Announces Fourth Quarter and Full Year 2024 Financial Results and Corporate Update</w:t>
      </w:r>
    </w:p>
    <w:p>
      <w:pPr>
        <w:spacing w:after="0" w:line="179" w:lineRule="exact"/>
        <w:rPr>
          <w:sz w:val="20"/>
          <w:szCs w:val="20"/>
          <w:color w:val="auto"/>
        </w:rPr>
      </w:pPr>
    </w:p>
    <w:p>
      <w:pPr>
        <w:ind w:left="428" w:hanging="212"/>
        <w:spacing w:after="0" w:line="314" w:lineRule="auto"/>
        <w:tabs>
          <w:tab w:leader="none" w:pos="425" w:val="left"/>
        </w:tabs>
        <w:numPr>
          <w:ilvl w:val="0"/>
          <w:numId w:val="1"/>
        </w:numPr>
        <w:rPr>
          <w:rFonts w:ascii="Arial" w:cs="Arial" w:eastAsia="Arial" w:hAnsi="Arial"/>
          <w:sz w:val="12"/>
          <w:szCs w:val="12"/>
          <w:i w:val="1"/>
          <w:iCs w:val="1"/>
          <w:color w:val="auto"/>
          <w:strike w:val="1"/>
        </w:rPr>
      </w:pPr>
      <w:r>
        <w:rPr>
          <w:rFonts w:ascii="Arial" w:cs="Arial" w:eastAsia="Arial" w:hAnsi="Arial"/>
          <w:sz w:val="12"/>
          <w:szCs w:val="12"/>
          <w:i w:val="1"/>
          <w:iCs w:val="1"/>
          <w:color w:val="auto"/>
        </w:rPr>
        <w:t>Advanced oncology pipeline including more than 20 active Phase 2 and Phase 3 clinical trials with a strategic focus on two priority pan-tumor programs: next-generation immunomodulator candidate BNT327 and mRNA cancer immunotherapies</w:t>
      </w:r>
    </w:p>
    <w:p>
      <w:pPr>
        <w:spacing w:after="0" w:line="7" w:lineRule="exact"/>
        <w:rPr>
          <w:rFonts w:ascii="Arial" w:cs="Arial" w:eastAsia="Arial" w:hAnsi="Arial"/>
          <w:sz w:val="12"/>
          <w:szCs w:val="12"/>
          <w:i w:val="1"/>
          <w:iCs w:val="1"/>
          <w:color w:val="auto"/>
          <w:strike w:val="1"/>
        </w:rPr>
      </w:pPr>
    </w:p>
    <w:p>
      <w:pPr>
        <w:ind w:left="428" w:hanging="212"/>
        <w:spacing w:after="0" w:line="314" w:lineRule="auto"/>
        <w:tabs>
          <w:tab w:leader="none" w:pos="425" w:val="left"/>
        </w:tabs>
        <w:numPr>
          <w:ilvl w:val="0"/>
          <w:numId w:val="1"/>
        </w:numPr>
        <w:rPr>
          <w:rFonts w:ascii="Arial" w:cs="Arial" w:eastAsia="Arial" w:hAnsi="Arial"/>
          <w:sz w:val="12"/>
          <w:szCs w:val="12"/>
          <w:i w:val="1"/>
          <w:iCs w:val="1"/>
          <w:color w:val="auto"/>
        </w:rPr>
      </w:pPr>
      <w:r>
        <w:rPr>
          <w:rFonts w:ascii="Arial" w:cs="Arial" w:eastAsia="Arial" w:hAnsi="Arial"/>
          <w:sz w:val="12"/>
          <w:szCs w:val="12"/>
          <w:i w:val="1"/>
          <w:iCs w:val="1"/>
          <w:color w:val="auto"/>
        </w:rPr>
        <w:t>Multiple data readouts expected in 2025 and 2026 aimed at providing clinical proof of BioNTech’s pipeline strategy and advancing the Company towards becoming a diversified multi-product oncology portfolio company by 2030</w:t>
      </w:r>
    </w:p>
    <w:p>
      <w:pPr>
        <w:spacing w:after="0" w:line="31" w:lineRule="exact"/>
        <w:rPr>
          <w:rFonts w:ascii="Arial" w:cs="Arial" w:eastAsia="Arial" w:hAnsi="Arial"/>
          <w:sz w:val="12"/>
          <w:szCs w:val="12"/>
          <w:i w:val="1"/>
          <w:iCs w:val="1"/>
          <w:color w:val="auto"/>
        </w:rPr>
      </w:pPr>
    </w:p>
    <w:p>
      <w:pPr>
        <w:ind w:left="428" w:hanging="212"/>
        <w:spacing w:after="0"/>
        <w:tabs>
          <w:tab w:leader="none" w:pos="428" w:val="left"/>
        </w:tabs>
        <w:numPr>
          <w:ilvl w:val="0"/>
          <w:numId w:val="1"/>
        </w:numPr>
        <w:rPr>
          <w:rFonts w:ascii="Arial" w:cs="Arial" w:eastAsia="Arial" w:hAnsi="Arial"/>
          <w:sz w:val="12"/>
          <w:szCs w:val="12"/>
          <w:i w:val="1"/>
          <w:iCs w:val="1"/>
          <w:color w:val="auto"/>
        </w:rPr>
      </w:pPr>
      <w:r>
        <w:rPr>
          <w:rFonts w:ascii="Arial" w:cs="Arial" w:eastAsia="Arial" w:hAnsi="Arial"/>
          <w:sz w:val="12"/>
          <w:szCs w:val="12"/>
          <w:i w:val="1"/>
          <w:iCs w:val="1"/>
          <w:color w:val="auto"/>
        </w:rPr>
        <w:t>Completed acquisition of Biotheus securing full control of next-generation immunomodulator candidate BNT327, a bispecific antibody targeting PD-L1 and VEGF-A</w:t>
      </w:r>
      <w:r>
        <w:rPr>
          <w:rFonts w:ascii="Arial" w:cs="Arial" w:eastAsia="Arial" w:hAnsi="Arial"/>
          <w:sz w:val="15"/>
          <w:szCs w:val="15"/>
          <w:i w:val="1"/>
          <w:iCs w:val="1"/>
          <w:color w:val="auto"/>
          <w:vertAlign w:val="superscript"/>
        </w:rPr>
        <w:t>*</w:t>
      </w:r>
    </w:p>
    <w:p>
      <w:pPr>
        <w:spacing w:after="0" w:line="37" w:lineRule="exact"/>
        <w:rPr>
          <w:rFonts w:ascii="Arial" w:cs="Arial" w:eastAsia="Arial" w:hAnsi="Arial"/>
          <w:sz w:val="12"/>
          <w:szCs w:val="12"/>
          <w:i w:val="1"/>
          <w:iCs w:val="1"/>
          <w:color w:val="auto"/>
        </w:rPr>
      </w:pPr>
    </w:p>
    <w:p>
      <w:pPr>
        <w:ind w:left="428" w:hanging="212"/>
        <w:spacing w:after="0"/>
        <w:tabs>
          <w:tab w:leader="none" w:pos="428" w:val="left"/>
        </w:tabs>
        <w:numPr>
          <w:ilvl w:val="0"/>
          <w:numId w:val="1"/>
        </w:numPr>
        <w:rPr>
          <w:rFonts w:ascii="Arial" w:cs="Arial" w:eastAsia="Arial" w:hAnsi="Arial"/>
          <w:sz w:val="12"/>
          <w:szCs w:val="12"/>
          <w:i w:val="1"/>
          <w:iCs w:val="1"/>
          <w:color w:val="auto"/>
        </w:rPr>
      </w:pPr>
      <w:r>
        <w:rPr>
          <w:rFonts w:ascii="Arial" w:cs="Arial" w:eastAsia="Arial" w:hAnsi="Arial"/>
          <w:sz w:val="12"/>
          <w:szCs w:val="12"/>
          <w:i w:val="1"/>
          <w:iCs w:val="1"/>
          <w:color w:val="auto"/>
        </w:rPr>
        <w:t>Successfully launched JN.1- and KP.2-adapted COVID-19 vaccines across different countries and regions and maintained global market leadership</w:t>
      </w:r>
    </w:p>
    <w:p>
      <w:pPr>
        <w:spacing w:after="0" w:line="69" w:lineRule="exact"/>
        <w:rPr>
          <w:rFonts w:ascii="Arial" w:cs="Arial" w:eastAsia="Arial" w:hAnsi="Arial"/>
          <w:sz w:val="12"/>
          <w:szCs w:val="12"/>
          <w:i w:val="1"/>
          <w:iCs w:val="1"/>
          <w:color w:val="auto"/>
        </w:rPr>
      </w:pPr>
    </w:p>
    <w:p>
      <w:pPr>
        <w:ind w:left="428" w:hanging="212"/>
        <w:spacing w:after="0"/>
        <w:tabs>
          <w:tab w:leader="none" w:pos="428" w:val="left"/>
        </w:tabs>
        <w:numPr>
          <w:ilvl w:val="0"/>
          <w:numId w:val="1"/>
        </w:numPr>
        <w:rPr>
          <w:rFonts w:ascii="Arial" w:cs="Arial" w:eastAsia="Arial" w:hAnsi="Arial"/>
          <w:sz w:val="12"/>
          <w:szCs w:val="12"/>
          <w:i w:val="1"/>
          <w:iCs w:val="1"/>
          <w:color w:val="auto"/>
        </w:rPr>
      </w:pPr>
      <w:r>
        <w:rPr>
          <w:rFonts w:ascii="Arial" w:cs="Arial" w:eastAsia="Arial" w:hAnsi="Arial"/>
          <w:sz w:val="12"/>
          <w:szCs w:val="12"/>
          <w:i w:val="1"/>
          <w:iCs w:val="1"/>
          <w:color w:val="auto"/>
        </w:rPr>
        <w:t>Fourth quarter and full year 2024 revenues of €1.2 billion and €2.8 billion**, respectively</w:t>
      </w:r>
    </w:p>
    <w:p>
      <w:pPr>
        <w:spacing w:after="0" w:line="57" w:lineRule="exact"/>
        <w:rPr>
          <w:rFonts w:ascii="Arial" w:cs="Arial" w:eastAsia="Arial" w:hAnsi="Arial"/>
          <w:sz w:val="12"/>
          <w:szCs w:val="12"/>
          <w:i w:val="1"/>
          <w:iCs w:val="1"/>
          <w:color w:val="auto"/>
        </w:rPr>
      </w:pPr>
    </w:p>
    <w:p>
      <w:pPr>
        <w:ind w:left="428" w:hanging="212"/>
        <w:spacing w:after="0"/>
        <w:tabs>
          <w:tab w:leader="none" w:pos="428" w:val="left"/>
        </w:tabs>
        <w:numPr>
          <w:ilvl w:val="0"/>
          <w:numId w:val="1"/>
        </w:numPr>
        <w:rPr>
          <w:rFonts w:ascii="Arial" w:cs="Arial" w:eastAsia="Arial" w:hAnsi="Arial"/>
          <w:sz w:val="12"/>
          <w:szCs w:val="12"/>
          <w:i w:val="1"/>
          <w:iCs w:val="1"/>
          <w:color w:val="auto"/>
        </w:rPr>
      </w:pPr>
      <w:r>
        <w:rPr>
          <w:rFonts w:ascii="Arial" w:cs="Arial" w:eastAsia="Arial" w:hAnsi="Arial"/>
          <w:sz w:val="12"/>
          <w:szCs w:val="12"/>
          <w:i w:val="1"/>
          <w:iCs w:val="1"/>
          <w:color w:val="auto"/>
        </w:rPr>
        <w:t>Full year 2024 net loss of €0.7 billion and diluted loss per share of €2.77 ($3.00)</w:t>
      </w:r>
      <w:r>
        <w:rPr>
          <w:rFonts w:ascii="Arial" w:cs="Arial" w:eastAsia="Arial" w:hAnsi="Arial"/>
          <w:sz w:val="15"/>
          <w:szCs w:val="15"/>
          <w:i w:val="1"/>
          <w:iCs w:val="1"/>
          <w:color w:val="auto"/>
          <w:vertAlign w:val="superscript"/>
        </w:rPr>
        <w:t>1</w:t>
      </w:r>
    </w:p>
    <w:p>
      <w:pPr>
        <w:spacing w:after="0" w:line="37" w:lineRule="exact"/>
        <w:rPr>
          <w:rFonts w:ascii="Arial" w:cs="Arial" w:eastAsia="Arial" w:hAnsi="Arial"/>
          <w:sz w:val="12"/>
          <w:szCs w:val="12"/>
          <w:i w:val="1"/>
          <w:iCs w:val="1"/>
          <w:color w:val="auto"/>
        </w:rPr>
      </w:pPr>
    </w:p>
    <w:p>
      <w:pPr>
        <w:ind w:left="428" w:hanging="212"/>
        <w:spacing w:after="0"/>
        <w:tabs>
          <w:tab w:leader="none" w:pos="428" w:val="left"/>
        </w:tabs>
        <w:numPr>
          <w:ilvl w:val="0"/>
          <w:numId w:val="1"/>
        </w:numPr>
        <w:rPr>
          <w:rFonts w:ascii="Arial" w:cs="Arial" w:eastAsia="Arial" w:hAnsi="Arial"/>
          <w:sz w:val="12"/>
          <w:szCs w:val="12"/>
          <w:i w:val="1"/>
          <w:iCs w:val="1"/>
          <w:color w:val="auto"/>
        </w:rPr>
      </w:pPr>
      <w:r>
        <w:rPr>
          <w:rFonts w:ascii="Arial" w:cs="Arial" w:eastAsia="Arial" w:hAnsi="Arial"/>
          <w:sz w:val="12"/>
          <w:szCs w:val="12"/>
          <w:i w:val="1"/>
          <w:iCs w:val="1"/>
          <w:color w:val="auto"/>
        </w:rPr>
        <w:t>Cash and cash equivalents plus security investments of €17.4 billion as of December 31, 2024</w:t>
      </w:r>
      <w:r>
        <w:rPr>
          <w:rFonts w:ascii="Arial" w:cs="Arial" w:eastAsia="Arial" w:hAnsi="Arial"/>
          <w:sz w:val="14"/>
          <w:szCs w:val="14"/>
          <w:color w:val="auto"/>
          <w:vertAlign w:val="superscript"/>
        </w:rPr>
        <w:t>2</w:t>
      </w:r>
    </w:p>
    <w:p>
      <w:pPr>
        <w:spacing w:after="0" w:line="37" w:lineRule="exact"/>
        <w:rPr>
          <w:rFonts w:ascii="Arial" w:cs="Arial" w:eastAsia="Arial" w:hAnsi="Arial"/>
          <w:sz w:val="12"/>
          <w:szCs w:val="12"/>
          <w:i w:val="1"/>
          <w:iCs w:val="1"/>
          <w:color w:val="auto"/>
        </w:rPr>
      </w:pPr>
    </w:p>
    <w:p>
      <w:pPr>
        <w:ind w:left="428" w:hanging="212"/>
        <w:spacing w:after="0"/>
        <w:tabs>
          <w:tab w:leader="none" w:pos="428" w:val="left"/>
        </w:tabs>
        <w:numPr>
          <w:ilvl w:val="0"/>
          <w:numId w:val="1"/>
        </w:numPr>
        <w:rPr>
          <w:rFonts w:ascii="Arial" w:cs="Arial" w:eastAsia="Arial" w:hAnsi="Arial"/>
          <w:sz w:val="12"/>
          <w:szCs w:val="12"/>
          <w:i w:val="1"/>
          <w:iCs w:val="1"/>
          <w:color w:val="auto"/>
        </w:rPr>
      </w:pPr>
      <w:r>
        <w:rPr>
          <w:rFonts w:ascii="Arial" w:cs="Arial" w:eastAsia="Arial" w:hAnsi="Arial"/>
          <w:sz w:val="12"/>
          <w:szCs w:val="12"/>
          <w:i w:val="1"/>
          <w:iCs w:val="1"/>
          <w:color w:val="auto"/>
        </w:rPr>
        <w:t>Expects 2025 total revenues between €1.7 billion and €2.2 billion</w:t>
      </w:r>
    </w:p>
    <w:p>
      <w:pPr>
        <w:spacing w:after="0" w:line="26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Conference call and webcast scheduled for March 10, 2025, at 8:00 a.m. EDT (1:00 p.m. CET)</w:t>
      </w:r>
    </w:p>
    <w:p>
      <w:pPr>
        <w:spacing w:after="0" w:line="96" w:lineRule="exact"/>
        <w:rPr>
          <w:sz w:val="20"/>
          <w:szCs w:val="20"/>
          <w:color w:val="auto"/>
        </w:rPr>
      </w:pPr>
    </w:p>
    <w:p>
      <w:pPr>
        <w:jc w:val="both"/>
        <w:ind w:left="8"/>
        <w:spacing w:after="0" w:line="333" w:lineRule="auto"/>
        <w:rPr>
          <w:sz w:val="20"/>
          <w:szCs w:val="20"/>
          <w:color w:val="auto"/>
        </w:rPr>
      </w:pPr>
      <w:r>
        <w:rPr>
          <w:rFonts w:ascii="Arial" w:cs="Arial" w:eastAsia="Arial" w:hAnsi="Arial"/>
          <w:sz w:val="12"/>
          <w:szCs w:val="12"/>
          <w:b w:val="1"/>
          <w:bCs w:val="1"/>
          <w:color w:val="auto"/>
        </w:rPr>
        <w:t xml:space="preserve">MAINZ, Germany, March 10, 2025 (GLOBE NEWSWIRE) </w:t>
      </w:r>
      <w:r>
        <w:rPr>
          <w:rFonts w:ascii="Arial" w:cs="Arial" w:eastAsia="Arial" w:hAnsi="Arial"/>
          <w:sz w:val="12"/>
          <w:szCs w:val="12"/>
          <w:color w:val="auto"/>
        </w:rPr>
        <w:t>--</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BioNTech SE</w:t>
      </w:r>
      <w:r>
        <w:rPr>
          <w:rFonts w:ascii="Arial" w:cs="Arial" w:eastAsia="Arial" w:hAnsi="Arial"/>
          <w:sz w:val="12"/>
          <w:szCs w:val="12"/>
          <w:b w:val="1"/>
          <w:bCs w:val="1"/>
          <w:color w:val="auto"/>
        </w:rPr>
        <w:t xml:space="preserve"> </w:t>
      </w:r>
      <w:r>
        <w:rPr>
          <w:rFonts w:ascii="Arial" w:cs="Arial" w:eastAsia="Arial" w:hAnsi="Arial"/>
          <w:sz w:val="12"/>
          <w:szCs w:val="12"/>
          <w:color w:val="auto"/>
        </w:rPr>
        <w:t>(Nasdaq: BNTX, “BioNTech” or “the Company”) today reported financial results for the three months and full year ended December 31,</w:t>
      </w:r>
      <w:r>
        <w:rPr>
          <w:rFonts w:ascii="Arial" w:cs="Arial" w:eastAsia="Arial" w:hAnsi="Arial"/>
          <w:sz w:val="12"/>
          <w:szCs w:val="12"/>
          <w:b w:val="1"/>
          <w:bCs w:val="1"/>
          <w:color w:val="auto"/>
        </w:rPr>
        <w:t xml:space="preserve"> </w:t>
      </w:r>
      <w:r>
        <w:rPr>
          <w:rFonts w:ascii="Arial" w:cs="Arial" w:eastAsia="Arial" w:hAnsi="Arial"/>
          <w:sz w:val="12"/>
          <w:szCs w:val="12"/>
          <w:color w:val="auto"/>
        </w:rPr>
        <w:t>2024, and provided an update on its corporate progress.</w:t>
      </w:r>
    </w:p>
    <w:p>
      <w:pPr>
        <w:spacing w:after="0" w:line="22" w:lineRule="exact"/>
        <w:rPr>
          <w:sz w:val="20"/>
          <w:szCs w:val="20"/>
          <w:color w:val="auto"/>
        </w:rPr>
      </w:pPr>
    </w:p>
    <w:p>
      <w:pPr>
        <w:jc w:val="both"/>
        <w:ind w:left="8"/>
        <w:spacing w:after="0" w:line="304" w:lineRule="auto"/>
        <w:rPr>
          <w:sz w:val="20"/>
          <w:szCs w:val="20"/>
          <w:color w:val="auto"/>
        </w:rPr>
      </w:pPr>
      <w:r>
        <w:rPr>
          <w:rFonts w:ascii="Arial" w:cs="Arial" w:eastAsia="Arial" w:hAnsi="Arial"/>
          <w:sz w:val="12"/>
          <w:szCs w:val="12"/>
          <w:color w:val="auto"/>
        </w:rPr>
        <w:t xml:space="preserve">“From the very beginning, BioNTech’s vision has been to translate our science into survival and become an immunotherapy powerhouse. In 2024, we made significant progress towards our vision through important oncology pipeline advancements, including the initiation of global Phase 3 clinical trials for our anti-PD-L1/VEGF-A bispecific antibody candidate BNT327 and key data updates from our mRNA cancer immunotherapy programs,” </w:t>
      </w:r>
      <w:r>
        <w:rPr>
          <w:rFonts w:ascii="Arial" w:cs="Arial" w:eastAsia="Arial" w:hAnsi="Arial"/>
          <w:sz w:val="12"/>
          <w:szCs w:val="12"/>
          <w:b w:val="1"/>
          <w:bCs w:val="1"/>
          <w:color w:val="auto"/>
        </w:rPr>
        <w:t>said Prof. Ugur Sahin, M.D., CEO and Co-Founder of BioNTech</w:t>
      </w:r>
      <w:r>
        <w:rPr>
          <w:rFonts w:ascii="Arial" w:cs="Arial" w:eastAsia="Arial" w:hAnsi="Arial"/>
          <w:sz w:val="12"/>
          <w:szCs w:val="12"/>
          <w:color w:val="auto"/>
        </w:rPr>
        <w:t>. “We expect 2025 to be a data-rich year with multiple important updates from our priority programs, which we believe have disruptive potential and could improve the standard of care, if successfully developed and approved.”</w:t>
      </w:r>
    </w:p>
    <w:p>
      <w:pPr>
        <w:spacing w:after="0" w:line="3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Financial Review for Fourth Quarter and Full Year 2024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17804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4" w:lineRule="exact"/>
        <w:rPr>
          <w:sz w:val="20"/>
          <w:szCs w:val="20"/>
          <w:color w:val="auto"/>
        </w:rPr>
      </w:pPr>
    </w:p>
    <w:tbl>
      <w:tblPr>
        <w:tblLayout w:type="fixed"/>
        <w:tblInd w:w="8" w:type="dxa"/>
        <w:tblCellMar>
          <w:top w:w="0" w:type="dxa"/>
          <w:left w:w="0" w:type="dxa"/>
          <w:bottom w:w="0" w:type="dxa"/>
          <w:right w:w="0" w:type="dxa"/>
        </w:tblCellMar>
      </w:tblPr>
      <w:tr>
        <w:trPr>
          <w:trHeight w:val="193"/>
        </w:trPr>
        <w:tc>
          <w:tcPr>
            <w:tcW w:w="31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i w:val="1"/>
                <w:iCs w:val="1"/>
                <w:color w:val="005A64"/>
              </w:rPr>
              <w:t>in millions €,</w:t>
            </w:r>
          </w:p>
        </w:tc>
        <w:tc>
          <w:tcPr>
            <w:tcW w:w="80" w:type="dxa"/>
            <w:vAlign w:val="bottom"/>
            <w:tcBorders>
              <w:top w:val="single" w:sz="8" w:color="BECD32"/>
            </w:tcBorders>
          </w:tcPr>
          <w:p>
            <w:pPr>
              <w:spacing w:after="0"/>
              <w:rPr>
                <w:sz w:val="16"/>
                <w:szCs w:val="16"/>
                <w:color w:val="auto"/>
              </w:rPr>
            </w:pPr>
          </w:p>
        </w:tc>
        <w:tc>
          <w:tcPr>
            <w:tcW w:w="1980" w:type="dxa"/>
            <w:vAlign w:val="bottom"/>
            <w:tcBorders>
              <w:top w:val="single" w:sz="8" w:color="BECD32"/>
              <w:right w:val="single" w:sz="8" w:color="BECD32"/>
            </w:tcBorders>
            <w:gridSpan w:val="2"/>
            <w:vMerge w:val="restart"/>
          </w:tcPr>
          <w:p>
            <w:pPr>
              <w:ind w:left="800"/>
              <w:spacing w:after="0"/>
              <w:rPr>
                <w:sz w:val="20"/>
                <w:szCs w:val="20"/>
                <w:color w:val="auto"/>
              </w:rPr>
            </w:pPr>
            <w:r>
              <w:rPr>
                <w:rFonts w:ascii="Arial" w:cs="Arial" w:eastAsia="Arial" w:hAnsi="Arial"/>
                <w:sz w:val="11"/>
                <w:szCs w:val="11"/>
                <w:b w:val="1"/>
                <w:bCs w:val="1"/>
                <w:color w:val="005A64"/>
              </w:rPr>
              <w:t>Fourth Quarter 2024</w:t>
            </w:r>
          </w:p>
        </w:tc>
        <w:tc>
          <w:tcPr>
            <w:tcW w:w="80" w:type="dxa"/>
            <w:vAlign w:val="bottom"/>
          </w:tcPr>
          <w:p>
            <w:pPr>
              <w:spacing w:after="0"/>
              <w:rPr>
                <w:sz w:val="16"/>
                <w:szCs w:val="16"/>
                <w:color w:val="auto"/>
              </w:rPr>
            </w:pPr>
          </w:p>
        </w:tc>
        <w:tc>
          <w:tcPr>
            <w:tcW w:w="1980" w:type="dxa"/>
            <w:vAlign w:val="bottom"/>
            <w:tcBorders>
              <w:right w:val="single" w:sz="8" w:color="BECD32"/>
            </w:tcBorders>
            <w:gridSpan w:val="2"/>
            <w:vMerge w:val="restart"/>
          </w:tcPr>
          <w:p>
            <w:pPr>
              <w:ind w:left="800"/>
              <w:spacing w:after="0"/>
              <w:rPr>
                <w:sz w:val="20"/>
                <w:szCs w:val="20"/>
                <w:color w:val="auto"/>
              </w:rPr>
            </w:pPr>
            <w:r>
              <w:rPr>
                <w:rFonts w:ascii="Arial" w:cs="Arial" w:eastAsia="Arial" w:hAnsi="Arial"/>
                <w:sz w:val="11"/>
                <w:szCs w:val="11"/>
                <w:b w:val="1"/>
                <w:bCs w:val="1"/>
                <w:color w:val="005A64"/>
              </w:rPr>
              <w:t>Fourth Quarter 2023</w:t>
            </w:r>
          </w:p>
        </w:tc>
        <w:tc>
          <w:tcPr>
            <w:tcW w:w="80" w:type="dxa"/>
            <w:vAlign w:val="bottom"/>
            <w:tcBorders>
              <w:top w:val="single" w:sz="8" w:color="BECD32"/>
            </w:tcBorders>
          </w:tcPr>
          <w:p>
            <w:pPr>
              <w:spacing w:after="0"/>
              <w:rPr>
                <w:sz w:val="16"/>
                <w:szCs w:val="16"/>
                <w:color w:val="auto"/>
              </w:rPr>
            </w:pPr>
          </w:p>
        </w:tc>
        <w:tc>
          <w:tcPr>
            <w:tcW w:w="1980" w:type="dxa"/>
            <w:vAlign w:val="bottom"/>
            <w:tcBorders>
              <w:top w:val="single" w:sz="8" w:color="BECD32"/>
              <w:right w:val="single" w:sz="8" w:color="BECD32"/>
            </w:tcBorders>
            <w:gridSpan w:val="2"/>
          </w:tcPr>
          <w:p>
            <w:pPr>
              <w:ind w:left="1380"/>
              <w:spacing w:after="0"/>
              <w:rPr>
                <w:sz w:val="20"/>
                <w:szCs w:val="20"/>
                <w:color w:val="auto"/>
              </w:rPr>
            </w:pPr>
            <w:r>
              <w:rPr>
                <w:rFonts w:ascii="Arial" w:cs="Arial" w:eastAsia="Arial" w:hAnsi="Arial"/>
                <w:sz w:val="11"/>
                <w:szCs w:val="11"/>
                <w:b w:val="1"/>
                <w:bCs w:val="1"/>
                <w:color w:val="005A64"/>
              </w:rPr>
              <w:t>Full Year</w:t>
            </w:r>
          </w:p>
        </w:tc>
        <w:tc>
          <w:tcPr>
            <w:tcW w:w="10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Arial" w:cs="Arial" w:eastAsia="Arial" w:hAnsi="Arial"/>
                <w:sz w:val="11"/>
                <w:szCs w:val="11"/>
                <w:b w:val="1"/>
                <w:bCs w:val="1"/>
                <w:color w:val="005A64"/>
              </w:rPr>
              <w:t>Full Year</w:t>
            </w:r>
          </w:p>
        </w:tc>
        <w:tc>
          <w:tcPr>
            <w:tcW w:w="0" w:type="dxa"/>
            <w:vAlign w:val="bottom"/>
          </w:tcPr>
          <w:p>
            <w:pPr>
              <w:spacing w:after="0"/>
              <w:rPr>
                <w:sz w:val="1"/>
                <w:szCs w:val="1"/>
                <w:color w:val="auto"/>
              </w:rPr>
            </w:pPr>
          </w:p>
        </w:tc>
      </w:tr>
      <w:tr>
        <w:trPr>
          <w:trHeight w:val="72"/>
        </w:trPr>
        <w:tc>
          <w:tcPr>
            <w:tcW w:w="3180" w:type="dxa"/>
            <w:vAlign w:val="bottom"/>
            <w:tcBorders>
              <w:right w:val="single" w:sz="8" w:color="BECD32"/>
            </w:tcBorders>
            <w:gridSpan w:val="2"/>
            <w:vMerge w:val="restart"/>
          </w:tcPr>
          <w:p>
            <w:pPr>
              <w:spacing w:after="0"/>
              <w:rPr>
                <w:sz w:val="20"/>
                <w:szCs w:val="20"/>
                <w:color w:val="auto"/>
              </w:rPr>
            </w:pPr>
            <w:r>
              <w:rPr>
                <w:rFonts w:ascii="Arial" w:cs="Arial" w:eastAsia="Arial" w:hAnsi="Arial"/>
                <w:sz w:val="11"/>
                <w:szCs w:val="11"/>
                <w:i w:val="1"/>
                <w:iCs w:val="1"/>
                <w:color w:val="005A64"/>
              </w:rPr>
              <w:t>except per share data</w:t>
            </w:r>
          </w:p>
        </w:tc>
        <w:tc>
          <w:tcPr>
            <w:tcW w:w="80" w:type="dxa"/>
            <w:vAlign w:val="bottom"/>
          </w:tcPr>
          <w:p>
            <w:pPr>
              <w:spacing w:after="0"/>
              <w:rPr>
                <w:sz w:val="6"/>
                <w:szCs w:val="6"/>
                <w:color w:val="auto"/>
              </w:rPr>
            </w:pPr>
          </w:p>
        </w:tc>
        <w:tc>
          <w:tcPr>
            <w:tcW w:w="1980" w:type="dxa"/>
            <w:vAlign w:val="bottom"/>
            <w:tcBorders>
              <w:right w:val="single" w:sz="8" w:color="BECD32"/>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980" w:type="dxa"/>
            <w:vAlign w:val="bottom"/>
            <w:tcBorders>
              <w:right w:val="single" w:sz="8" w:color="BECD32"/>
            </w:tcBorders>
            <w:gridSpan w:val="2"/>
            <w:vMerge w:val="continue"/>
          </w:tcPr>
          <w:p>
            <w:pPr>
              <w:spacing w:after="0"/>
              <w:rPr>
                <w:sz w:val="6"/>
                <w:szCs w:val="6"/>
                <w:color w:val="auto"/>
              </w:rPr>
            </w:pPr>
          </w:p>
        </w:tc>
        <w:tc>
          <w:tcPr>
            <w:tcW w:w="192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005A64"/>
              </w:rPr>
              <w:t>2024</w:t>
            </w:r>
          </w:p>
        </w:tc>
        <w:tc>
          <w:tcPr>
            <w:tcW w:w="140" w:type="dxa"/>
            <w:vAlign w:val="bottom"/>
            <w:tcBorders>
              <w:right w:val="single" w:sz="8" w:color="BECD32"/>
            </w:tcBorders>
          </w:tcPr>
          <w:p>
            <w:pPr>
              <w:spacing w:after="0"/>
              <w:rPr>
                <w:sz w:val="6"/>
                <w:szCs w:val="6"/>
                <w:color w:val="auto"/>
              </w:rPr>
            </w:pPr>
          </w:p>
        </w:tc>
        <w:tc>
          <w:tcPr>
            <w:tcW w:w="100" w:type="dxa"/>
            <w:vAlign w:val="bottom"/>
          </w:tcPr>
          <w:p>
            <w:pPr>
              <w:spacing w:after="0"/>
              <w:rPr>
                <w:sz w:val="6"/>
                <w:szCs w:val="6"/>
                <w:color w:val="auto"/>
              </w:rPr>
            </w:pPr>
          </w:p>
        </w:tc>
        <w:tc>
          <w:tcPr>
            <w:tcW w:w="1840" w:type="dxa"/>
            <w:vAlign w:val="bottom"/>
            <w:vMerge w:val="restart"/>
          </w:tcPr>
          <w:p>
            <w:pPr>
              <w:jc w:val="right"/>
              <w:spacing w:after="0"/>
              <w:rPr>
                <w:sz w:val="20"/>
                <w:szCs w:val="20"/>
                <w:color w:val="auto"/>
              </w:rPr>
            </w:pPr>
            <w:r>
              <w:rPr>
                <w:rFonts w:ascii="Arial" w:cs="Arial" w:eastAsia="Arial" w:hAnsi="Arial"/>
                <w:sz w:val="11"/>
                <w:szCs w:val="11"/>
                <w:b w:val="1"/>
                <w:bCs w:val="1"/>
                <w:color w:val="005A64"/>
              </w:rPr>
              <w:t>2023</w:t>
            </w:r>
          </w:p>
        </w:tc>
        <w:tc>
          <w:tcPr>
            <w:tcW w:w="0" w:type="dxa"/>
            <w:vAlign w:val="bottom"/>
          </w:tcPr>
          <w:p>
            <w:pPr>
              <w:spacing w:after="0"/>
              <w:rPr>
                <w:sz w:val="1"/>
                <w:szCs w:val="1"/>
                <w:color w:val="auto"/>
              </w:rPr>
            </w:pPr>
          </w:p>
        </w:tc>
      </w:tr>
      <w:tr>
        <w:trPr>
          <w:trHeight w:val="81"/>
        </w:trPr>
        <w:tc>
          <w:tcPr>
            <w:tcW w:w="3180" w:type="dxa"/>
            <w:vAlign w:val="bottom"/>
            <w:tcBorders>
              <w:right w:val="single" w:sz="8" w:color="BECD32"/>
            </w:tcBorders>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0" w:type="dxa"/>
            <w:vAlign w:val="bottom"/>
            <w:tcBorders>
              <w:right w:val="single" w:sz="8" w:color="BECD32"/>
            </w:tcBorders>
          </w:tcPr>
          <w:p>
            <w:pPr>
              <w:spacing w:after="0"/>
              <w:rPr>
                <w:sz w:val="7"/>
                <w:szCs w:val="7"/>
                <w:color w:val="auto"/>
              </w:rPr>
            </w:pPr>
          </w:p>
        </w:tc>
        <w:tc>
          <w:tcPr>
            <w:tcW w:w="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0" w:type="dxa"/>
            <w:vAlign w:val="bottom"/>
            <w:tcBorders>
              <w:right w:val="single" w:sz="8" w:color="BECD32"/>
            </w:tcBorders>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140" w:type="dxa"/>
            <w:vAlign w:val="bottom"/>
            <w:tcBorders>
              <w:right w:val="single" w:sz="8" w:color="BECD32"/>
            </w:tcBorders>
          </w:tcPr>
          <w:p>
            <w:pPr>
              <w:spacing w:after="0"/>
              <w:rPr>
                <w:sz w:val="7"/>
                <w:szCs w:val="7"/>
                <w:color w:val="auto"/>
              </w:rPr>
            </w:pPr>
          </w:p>
        </w:tc>
        <w:tc>
          <w:tcPr>
            <w:tcW w:w="10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3040" w:type="dxa"/>
            <w:vAlign w:val="bottom"/>
            <w:tcBorders>
              <w:bottom w:val="single" w:sz="8" w:color="005A64"/>
            </w:tcBorders>
          </w:tcPr>
          <w:p>
            <w:pPr>
              <w:spacing w:after="0"/>
              <w:rPr>
                <w:sz w:val="3"/>
                <w:szCs w:val="3"/>
                <w:color w:val="auto"/>
              </w:rPr>
            </w:pPr>
          </w:p>
        </w:tc>
        <w:tc>
          <w:tcPr>
            <w:tcW w:w="140" w:type="dxa"/>
            <w:vAlign w:val="bottom"/>
            <w:tcBorders>
              <w:right w:val="single" w:sz="8" w:color="BECD32"/>
            </w:tcBorders>
          </w:tcPr>
          <w:p>
            <w:pPr>
              <w:spacing w:after="0"/>
              <w:rPr>
                <w:sz w:val="3"/>
                <w:szCs w:val="3"/>
                <w:color w:val="auto"/>
              </w:rPr>
            </w:pPr>
          </w:p>
        </w:tc>
        <w:tc>
          <w:tcPr>
            <w:tcW w:w="80" w:type="dxa"/>
            <w:vAlign w:val="bottom"/>
          </w:tcPr>
          <w:p>
            <w:pPr>
              <w:spacing w:after="0"/>
              <w:rPr>
                <w:sz w:val="3"/>
                <w:szCs w:val="3"/>
                <w:color w:val="auto"/>
              </w:rPr>
            </w:pPr>
          </w:p>
        </w:tc>
        <w:tc>
          <w:tcPr>
            <w:tcW w:w="1840" w:type="dxa"/>
            <w:vAlign w:val="bottom"/>
            <w:tcBorders>
              <w:bottom w:val="single" w:sz="8" w:color="005A64"/>
            </w:tcBorders>
          </w:tcPr>
          <w:p>
            <w:pPr>
              <w:spacing w:after="0"/>
              <w:rPr>
                <w:sz w:val="3"/>
                <w:szCs w:val="3"/>
                <w:color w:val="auto"/>
              </w:rPr>
            </w:pPr>
          </w:p>
        </w:tc>
        <w:tc>
          <w:tcPr>
            <w:tcW w:w="140" w:type="dxa"/>
            <w:vAlign w:val="bottom"/>
            <w:tcBorders>
              <w:right w:val="single" w:sz="8" w:color="BECD32"/>
            </w:tcBorders>
          </w:tcPr>
          <w:p>
            <w:pPr>
              <w:spacing w:after="0"/>
              <w:rPr>
                <w:sz w:val="3"/>
                <w:szCs w:val="3"/>
                <w:color w:val="auto"/>
              </w:rPr>
            </w:pPr>
          </w:p>
        </w:tc>
        <w:tc>
          <w:tcPr>
            <w:tcW w:w="80" w:type="dxa"/>
            <w:vAlign w:val="bottom"/>
          </w:tcPr>
          <w:p>
            <w:pPr>
              <w:spacing w:after="0"/>
              <w:rPr>
                <w:sz w:val="3"/>
                <w:szCs w:val="3"/>
                <w:color w:val="auto"/>
              </w:rPr>
            </w:pPr>
          </w:p>
        </w:tc>
        <w:tc>
          <w:tcPr>
            <w:tcW w:w="1840" w:type="dxa"/>
            <w:vAlign w:val="bottom"/>
            <w:tcBorders>
              <w:bottom w:val="single" w:sz="8" w:color="005A64"/>
            </w:tcBorders>
          </w:tcPr>
          <w:p>
            <w:pPr>
              <w:spacing w:after="0"/>
              <w:rPr>
                <w:sz w:val="3"/>
                <w:szCs w:val="3"/>
                <w:color w:val="auto"/>
              </w:rPr>
            </w:pPr>
          </w:p>
        </w:tc>
        <w:tc>
          <w:tcPr>
            <w:tcW w:w="140" w:type="dxa"/>
            <w:vAlign w:val="bottom"/>
            <w:tcBorders>
              <w:right w:val="single" w:sz="8" w:color="BECD32"/>
            </w:tcBorders>
          </w:tcPr>
          <w:p>
            <w:pPr>
              <w:spacing w:after="0"/>
              <w:rPr>
                <w:sz w:val="3"/>
                <w:szCs w:val="3"/>
                <w:color w:val="auto"/>
              </w:rPr>
            </w:pPr>
          </w:p>
        </w:tc>
        <w:tc>
          <w:tcPr>
            <w:tcW w:w="80" w:type="dxa"/>
            <w:vAlign w:val="bottom"/>
          </w:tcPr>
          <w:p>
            <w:pPr>
              <w:spacing w:after="0"/>
              <w:rPr>
                <w:sz w:val="3"/>
                <w:szCs w:val="3"/>
                <w:color w:val="auto"/>
              </w:rPr>
            </w:pPr>
          </w:p>
        </w:tc>
        <w:tc>
          <w:tcPr>
            <w:tcW w:w="1840" w:type="dxa"/>
            <w:vAlign w:val="bottom"/>
            <w:tcBorders>
              <w:bottom w:val="single" w:sz="8" w:color="005A64"/>
            </w:tcBorders>
          </w:tcPr>
          <w:p>
            <w:pPr>
              <w:spacing w:after="0"/>
              <w:rPr>
                <w:sz w:val="3"/>
                <w:szCs w:val="3"/>
                <w:color w:val="auto"/>
              </w:rPr>
            </w:pPr>
          </w:p>
        </w:tc>
        <w:tc>
          <w:tcPr>
            <w:tcW w:w="140" w:type="dxa"/>
            <w:vAlign w:val="bottom"/>
            <w:tcBorders>
              <w:right w:val="single" w:sz="8" w:color="BECD32"/>
            </w:tcBorders>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Borders>
              <w:bottom w:val="single" w:sz="8" w:color="005A64"/>
            </w:tcBorders>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31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Total revenues</w:t>
            </w:r>
          </w:p>
        </w:tc>
        <w:tc>
          <w:tcPr>
            <w:tcW w:w="1920" w:type="dxa"/>
            <w:vAlign w:val="bottom"/>
            <w:gridSpan w:val="2"/>
          </w:tcPr>
          <w:p>
            <w:pPr>
              <w:jc w:val="right"/>
              <w:spacing w:after="0"/>
              <w:rPr>
                <w:sz w:val="20"/>
                <w:szCs w:val="20"/>
                <w:color w:val="auto"/>
              </w:rPr>
            </w:pPr>
            <w:r>
              <w:rPr>
                <w:rFonts w:ascii="Arial" w:cs="Arial" w:eastAsia="Arial" w:hAnsi="Arial"/>
                <w:sz w:val="11"/>
                <w:szCs w:val="11"/>
                <w:color w:val="005A64"/>
              </w:rPr>
              <w:t>1,190.0</w:t>
            </w:r>
          </w:p>
        </w:tc>
        <w:tc>
          <w:tcPr>
            <w:tcW w:w="140" w:type="dxa"/>
            <w:vAlign w:val="bottom"/>
            <w:tcBorders>
              <w:right w:val="single" w:sz="8" w:color="BECD32"/>
            </w:tcBorders>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jc w:val="right"/>
              <w:spacing w:after="0"/>
              <w:rPr>
                <w:sz w:val="20"/>
                <w:szCs w:val="20"/>
                <w:color w:val="auto"/>
              </w:rPr>
            </w:pPr>
            <w:r>
              <w:rPr>
                <w:rFonts w:ascii="Arial" w:cs="Arial" w:eastAsia="Arial" w:hAnsi="Arial"/>
                <w:sz w:val="11"/>
                <w:szCs w:val="11"/>
                <w:color w:val="005A64"/>
              </w:rPr>
              <w:t>1,479.0</w:t>
            </w:r>
          </w:p>
        </w:tc>
        <w:tc>
          <w:tcPr>
            <w:tcW w:w="140" w:type="dxa"/>
            <w:vAlign w:val="bottom"/>
            <w:tcBorders>
              <w:right w:val="single" w:sz="8" w:color="BECD32"/>
            </w:tcBorders>
          </w:tcPr>
          <w:p>
            <w:pPr>
              <w:spacing w:after="0"/>
              <w:rPr>
                <w:sz w:val="12"/>
                <w:szCs w:val="12"/>
                <w:color w:val="auto"/>
              </w:rPr>
            </w:pPr>
          </w:p>
        </w:tc>
        <w:tc>
          <w:tcPr>
            <w:tcW w:w="1920" w:type="dxa"/>
            <w:vAlign w:val="bottom"/>
            <w:gridSpan w:val="2"/>
          </w:tcPr>
          <w:p>
            <w:pPr>
              <w:jc w:val="right"/>
              <w:spacing w:after="0"/>
              <w:rPr>
                <w:sz w:val="20"/>
                <w:szCs w:val="20"/>
                <w:color w:val="auto"/>
              </w:rPr>
            </w:pPr>
            <w:r>
              <w:rPr>
                <w:rFonts w:ascii="Arial" w:cs="Arial" w:eastAsia="Arial" w:hAnsi="Arial"/>
                <w:sz w:val="11"/>
                <w:szCs w:val="11"/>
                <w:color w:val="005A64"/>
              </w:rPr>
              <w:t>2,751.1</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jc w:val="right"/>
              <w:spacing w:after="0"/>
              <w:rPr>
                <w:sz w:val="20"/>
                <w:szCs w:val="20"/>
                <w:color w:val="auto"/>
              </w:rPr>
            </w:pPr>
            <w:r>
              <w:rPr>
                <w:rFonts w:ascii="Arial" w:cs="Arial" w:eastAsia="Arial" w:hAnsi="Arial"/>
                <w:sz w:val="11"/>
                <w:szCs w:val="11"/>
                <w:color w:val="005A64"/>
              </w:rPr>
              <w:t>3,819.0</w:t>
            </w:r>
          </w:p>
        </w:tc>
        <w:tc>
          <w:tcPr>
            <w:tcW w:w="0" w:type="dxa"/>
            <w:vAlign w:val="bottom"/>
          </w:tcPr>
          <w:p>
            <w:pPr>
              <w:spacing w:after="0"/>
              <w:rPr>
                <w:sz w:val="1"/>
                <w:szCs w:val="1"/>
                <w:color w:val="auto"/>
              </w:rPr>
            </w:pPr>
          </w:p>
        </w:tc>
      </w:tr>
      <w:tr>
        <w:trPr>
          <w:trHeight w:val="29"/>
        </w:trPr>
        <w:tc>
          <w:tcPr>
            <w:tcW w:w="304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31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Net profit / (loss)</w:t>
            </w:r>
          </w:p>
        </w:tc>
        <w:tc>
          <w:tcPr>
            <w:tcW w:w="1920" w:type="dxa"/>
            <w:vAlign w:val="bottom"/>
            <w:gridSpan w:val="2"/>
          </w:tcPr>
          <w:p>
            <w:pPr>
              <w:jc w:val="right"/>
              <w:spacing w:after="0"/>
              <w:rPr>
                <w:sz w:val="20"/>
                <w:szCs w:val="20"/>
                <w:color w:val="auto"/>
              </w:rPr>
            </w:pPr>
            <w:r>
              <w:rPr>
                <w:rFonts w:ascii="Arial" w:cs="Arial" w:eastAsia="Arial" w:hAnsi="Arial"/>
                <w:sz w:val="11"/>
                <w:szCs w:val="11"/>
                <w:color w:val="005A64"/>
              </w:rPr>
              <w:t>259.5</w:t>
            </w:r>
          </w:p>
        </w:tc>
        <w:tc>
          <w:tcPr>
            <w:tcW w:w="140" w:type="dxa"/>
            <w:vAlign w:val="bottom"/>
            <w:tcBorders>
              <w:right w:val="single" w:sz="8" w:color="BECD32"/>
            </w:tcBorders>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jc w:val="right"/>
              <w:spacing w:after="0"/>
              <w:rPr>
                <w:sz w:val="20"/>
                <w:szCs w:val="20"/>
                <w:color w:val="auto"/>
              </w:rPr>
            </w:pPr>
            <w:r>
              <w:rPr>
                <w:rFonts w:ascii="Arial" w:cs="Arial" w:eastAsia="Arial" w:hAnsi="Arial"/>
                <w:sz w:val="11"/>
                <w:szCs w:val="11"/>
                <w:color w:val="005A64"/>
              </w:rPr>
              <w:t>457.9</w:t>
            </w:r>
          </w:p>
        </w:tc>
        <w:tc>
          <w:tcPr>
            <w:tcW w:w="140" w:type="dxa"/>
            <w:vAlign w:val="bottom"/>
            <w:tcBorders>
              <w:right w:val="single" w:sz="8" w:color="BECD32"/>
            </w:tcBorders>
          </w:tcPr>
          <w:p>
            <w:pPr>
              <w:spacing w:after="0"/>
              <w:rPr>
                <w:sz w:val="12"/>
                <w:szCs w:val="12"/>
                <w:color w:val="auto"/>
              </w:rPr>
            </w:pPr>
          </w:p>
        </w:tc>
        <w:tc>
          <w:tcPr>
            <w:tcW w:w="1920" w:type="dxa"/>
            <w:vAlign w:val="bottom"/>
            <w:gridSpan w:val="2"/>
          </w:tcPr>
          <w:p>
            <w:pPr>
              <w:jc w:val="right"/>
              <w:spacing w:after="0"/>
              <w:rPr>
                <w:sz w:val="20"/>
                <w:szCs w:val="20"/>
                <w:color w:val="auto"/>
              </w:rPr>
            </w:pPr>
            <w:r>
              <w:rPr>
                <w:rFonts w:ascii="Arial" w:cs="Arial" w:eastAsia="Arial" w:hAnsi="Arial"/>
                <w:sz w:val="11"/>
                <w:szCs w:val="11"/>
                <w:color w:val="005A64"/>
              </w:rPr>
              <w:t>(665.3)</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jc w:val="right"/>
              <w:spacing w:after="0"/>
              <w:rPr>
                <w:sz w:val="20"/>
                <w:szCs w:val="20"/>
                <w:color w:val="auto"/>
              </w:rPr>
            </w:pPr>
            <w:r>
              <w:rPr>
                <w:rFonts w:ascii="Arial" w:cs="Arial" w:eastAsia="Arial" w:hAnsi="Arial"/>
                <w:sz w:val="11"/>
                <w:szCs w:val="11"/>
                <w:color w:val="005A64"/>
              </w:rPr>
              <w:t>930.3</w:t>
            </w:r>
          </w:p>
        </w:tc>
        <w:tc>
          <w:tcPr>
            <w:tcW w:w="0" w:type="dxa"/>
            <w:vAlign w:val="bottom"/>
          </w:tcPr>
          <w:p>
            <w:pPr>
              <w:spacing w:after="0"/>
              <w:rPr>
                <w:sz w:val="1"/>
                <w:szCs w:val="1"/>
                <w:color w:val="auto"/>
              </w:rPr>
            </w:pPr>
          </w:p>
        </w:tc>
      </w:tr>
      <w:tr>
        <w:trPr>
          <w:trHeight w:val="29"/>
        </w:trPr>
        <w:tc>
          <w:tcPr>
            <w:tcW w:w="304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31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Diluted earnings / (loss) per share</w:t>
            </w:r>
          </w:p>
        </w:tc>
        <w:tc>
          <w:tcPr>
            <w:tcW w:w="1920" w:type="dxa"/>
            <w:vAlign w:val="bottom"/>
            <w:gridSpan w:val="2"/>
          </w:tcPr>
          <w:p>
            <w:pPr>
              <w:jc w:val="right"/>
              <w:spacing w:after="0"/>
              <w:rPr>
                <w:sz w:val="20"/>
                <w:szCs w:val="20"/>
                <w:color w:val="auto"/>
              </w:rPr>
            </w:pPr>
            <w:r>
              <w:rPr>
                <w:rFonts w:ascii="Arial" w:cs="Arial" w:eastAsia="Arial" w:hAnsi="Arial"/>
                <w:sz w:val="11"/>
                <w:szCs w:val="11"/>
                <w:color w:val="005A64"/>
              </w:rPr>
              <w:t>1.08</w:t>
            </w:r>
          </w:p>
        </w:tc>
        <w:tc>
          <w:tcPr>
            <w:tcW w:w="140" w:type="dxa"/>
            <w:vAlign w:val="bottom"/>
            <w:tcBorders>
              <w:right w:val="single" w:sz="8" w:color="BECD32"/>
            </w:tcBorders>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jc w:val="right"/>
              <w:spacing w:after="0"/>
              <w:rPr>
                <w:sz w:val="20"/>
                <w:szCs w:val="20"/>
                <w:color w:val="auto"/>
              </w:rPr>
            </w:pPr>
            <w:r>
              <w:rPr>
                <w:rFonts w:ascii="Arial" w:cs="Arial" w:eastAsia="Arial" w:hAnsi="Arial"/>
                <w:sz w:val="11"/>
                <w:szCs w:val="11"/>
                <w:color w:val="005A64"/>
              </w:rPr>
              <w:t>1.88</w:t>
            </w:r>
          </w:p>
        </w:tc>
        <w:tc>
          <w:tcPr>
            <w:tcW w:w="140" w:type="dxa"/>
            <w:vAlign w:val="bottom"/>
            <w:tcBorders>
              <w:right w:val="single" w:sz="8" w:color="BECD32"/>
            </w:tcBorders>
          </w:tcPr>
          <w:p>
            <w:pPr>
              <w:spacing w:after="0"/>
              <w:rPr>
                <w:sz w:val="12"/>
                <w:szCs w:val="12"/>
                <w:color w:val="auto"/>
              </w:rPr>
            </w:pPr>
          </w:p>
        </w:tc>
        <w:tc>
          <w:tcPr>
            <w:tcW w:w="1920" w:type="dxa"/>
            <w:vAlign w:val="bottom"/>
            <w:gridSpan w:val="2"/>
          </w:tcPr>
          <w:p>
            <w:pPr>
              <w:jc w:val="right"/>
              <w:spacing w:after="0"/>
              <w:rPr>
                <w:sz w:val="20"/>
                <w:szCs w:val="20"/>
                <w:color w:val="auto"/>
              </w:rPr>
            </w:pPr>
            <w:r>
              <w:rPr>
                <w:rFonts w:ascii="Arial" w:cs="Arial" w:eastAsia="Arial" w:hAnsi="Arial"/>
                <w:sz w:val="11"/>
                <w:szCs w:val="11"/>
                <w:color w:val="005A64"/>
              </w:rPr>
              <w:t>(2.77)</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jc w:val="right"/>
              <w:spacing w:after="0"/>
              <w:rPr>
                <w:sz w:val="20"/>
                <w:szCs w:val="20"/>
                <w:color w:val="auto"/>
              </w:rPr>
            </w:pPr>
            <w:r>
              <w:rPr>
                <w:rFonts w:ascii="Arial" w:cs="Arial" w:eastAsia="Arial" w:hAnsi="Arial"/>
                <w:sz w:val="11"/>
                <w:szCs w:val="11"/>
                <w:color w:val="005A64"/>
              </w:rPr>
              <w:t>3.83</w:t>
            </w:r>
          </w:p>
        </w:tc>
        <w:tc>
          <w:tcPr>
            <w:tcW w:w="0" w:type="dxa"/>
            <w:vAlign w:val="bottom"/>
          </w:tcPr>
          <w:p>
            <w:pPr>
              <w:spacing w:after="0"/>
              <w:rPr>
                <w:sz w:val="1"/>
                <w:szCs w:val="1"/>
                <w:color w:val="auto"/>
              </w:rPr>
            </w:pPr>
          </w:p>
        </w:tc>
      </w:tr>
      <w:tr>
        <w:trPr>
          <w:trHeight w:val="29"/>
        </w:trPr>
        <w:tc>
          <w:tcPr>
            <w:tcW w:w="304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Borders>
              <w:bottom w:val="single" w:sz="8" w:color="BECD32"/>
            </w:tcBorders>
          </w:tcPr>
          <w:p>
            <w:pPr>
              <w:spacing w:after="0"/>
              <w:rPr>
                <w:sz w:val="2"/>
                <w:szCs w:val="2"/>
                <w:color w:val="auto"/>
              </w:rPr>
            </w:pPr>
          </w:p>
        </w:tc>
        <w:tc>
          <w:tcPr>
            <w:tcW w:w="1840" w:type="dxa"/>
            <w:vAlign w:val="bottom"/>
            <w:tcBorders>
              <w:bottom w:val="single" w:sz="8" w:color="BECD32"/>
            </w:tcBorders>
          </w:tcPr>
          <w:p>
            <w:pPr>
              <w:spacing w:after="0"/>
              <w:rPr>
                <w:sz w:val="2"/>
                <w:szCs w:val="2"/>
                <w:color w:val="auto"/>
              </w:rPr>
            </w:pPr>
          </w:p>
        </w:tc>
        <w:tc>
          <w:tcPr>
            <w:tcW w:w="140" w:type="dxa"/>
            <w:vAlign w:val="bottom"/>
            <w:tcBorders>
              <w:bottom w:val="single" w:sz="8" w:color="BECD32"/>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Borders>
              <w:bottom w:val="single" w:sz="8" w:color="BECD32"/>
            </w:tcBorders>
          </w:tcPr>
          <w:p>
            <w:pPr>
              <w:spacing w:after="0"/>
              <w:rPr>
                <w:sz w:val="2"/>
                <w:szCs w:val="2"/>
                <w:color w:val="auto"/>
              </w:rPr>
            </w:pPr>
          </w:p>
        </w:tc>
        <w:tc>
          <w:tcPr>
            <w:tcW w:w="1840" w:type="dxa"/>
            <w:vAlign w:val="bottom"/>
            <w:tcBorders>
              <w:bottom w:val="single" w:sz="8" w:color="BECD32"/>
            </w:tcBorders>
          </w:tcPr>
          <w:p>
            <w:pPr>
              <w:spacing w:after="0"/>
              <w:rPr>
                <w:sz w:val="2"/>
                <w:szCs w:val="2"/>
                <w:color w:val="auto"/>
              </w:rPr>
            </w:pPr>
          </w:p>
        </w:tc>
        <w:tc>
          <w:tcPr>
            <w:tcW w:w="140" w:type="dxa"/>
            <w:vAlign w:val="bottom"/>
            <w:tcBorders>
              <w:bottom w:val="single" w:sz="8" w:color="BECD32"/>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 xml:space="preserve">Total revenues </w:t>
      </w:r>
      <w:r>
        <w:rPr>
          <w:rFonts w:ascii="Arial" w:cs="Arial" w:eastAsia="Arial" w:hAnsi="Arial"/>
          <w:sz w:val="12"/>
          <w:szCs w:val="12"/>
          <w:color w:val="auto"/>
        </w:rPr>
        <w:t>reported were €1,190.0 million for the three months ended December 31, 2024, compared to €1,479.0 million for the comparative prior year period. 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10972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5715"/>
                    </a:xfrm>
                    <a:prstGeom prst="rect">
                      <a:avLst/>
                    </a:prstGeom>
                    <a:noFill/>
                  </pic:spPr>
                </pic:pic>
              </a:graphicData>
            </a:graphic>
          </wp:anchor>
        </w:drawing>
      </w:r>
    </w:p>
    <w:p>
      <w:pPr>
        <w:spacing w:after="0" w:line="188" w:lineRule="exact"/>
        <w:rPr>
          <w:sz w:val="20"/>
          <w:szCs w:val="20"/>
          <w:color w:val="auto"/>
        </w:rPr>
      </w:pPr>
    </w:p>
    <w:p>
      <w:pPr>
        <w:ind w:left="8" w:right="6640" w:hanging="8"/>
        <w:spacing w:after="0" w:line="256" w:lineRule="auto"/>
        <w:tabs>
          <w:tab w:leader="none" w:pos="73" w:val="left"/>
        </w:tabs>
        <w:numPr>
          <w:ilvl w:val="0"/>
          <w:numId w:val="2"/>
        </w:numPr>
        <w:rPr>
          <w:rFonts w:ascii="Times New Roman" w:cs="Times New Roman" w:eastAsia="Times New Roman" w:hAnsi="Times New Roman"/>
          <w:sz w:val="14"/>
          <w:szCs w:val="14"/>
          <w:color w:val="auto"/>
          <w:vertAlign w:val="superscript"/>
        </w:rPr>
      </w:pPr>
      <w:r>
        <w:rPr>
          <w:rFonts w:ascii="Arial" w:cs="Arial" w:eastAsia="Arial" w:hAnsi="Arial"/>
          <w:sz w:val="11"/>
          <w:szCs w:val="11"/>
          <w:color w:val="auto"/>
        </w:rPr>
        <w:t xml:space="preserve">All target abbreviations are compiled in an abbreviation directory at the end of this press release. </w:t>
      </w:r>
      <w:r>
        <w:rPr>
          <w:rFonts w:ascii="Arial" w:cs="Arial" w:eastAsia="Arial" w:hAnsi="Arial"/>
          <w:sz w:val="14"/>
          <w:szCs w:val="14"/>
          <w:color w:val="auto"/>
          <w:vertAlign w:val="superscript"/>
        </w:rPr>
        <w:t>**</w:t>
      </w:r>
      <w:r>
        <w:rPr>
          <w:rFonts w:ascii="Arial" w:cs="Arial" w:eastAsia="Arial" w:hAnsi="Arial"/>
          <w:sz w:val="11"/>
          <w:szCs w:val="11"/>
          <w:color w:val="auto"/>
        </w:rPr>
        <w:t xml:space="preserve"> All numbers in this press release have been rounded.</w:t>
      </w: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308"/>
          </w:cols>
          <w:pgMar w:left="292" w:top="168" w:right="299" w:bottom="1440" w:gutter="0" w:footer="0" w:header="0"/>
        </w:sectPr>
      </w:pPr>
    </w:p>
    <w:bookmarkStart w:id="5" w:name="page6"/>
    <w:bookmarkEnd w:id="5"/>
    <w:p>
      <w:pPr>
        <w:jc w:val="both"/>
        <w:spacing w:after="0" w:line="33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3035" cy="160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423035" cy="160020"/>
                    </a:xfrm>
                    <a:prstGeom prst="rect">
                      <a:avLst/>
                    </a:prstGeom>
                    <a:noFill/>
                  </pic:spPr>
                </pic:pic>
              </a:graphicData>
            </a:graphic>
          </wp:anchor>
        </w:drawing>
        <w:t>2024, revenues were €2,751.1 million, compared to €3,819.0 million for the comparative prior year period. The decrease in revenues was primarily driven by lower sales of the Company’s COVID-19 vaccines due to reduced market demand. In addition, write-downs by BioNTech’s collaboration partner Pfizer Inc. (“Pfizer”) significantly reduced the Company’s gross profit share which negatively influenced its revenues.</w:t>
      </w:r>
    </w:p>
    <w:p>
      <w:pPr>
        <w:spacing w:after="0" w:line="22" w:lineRule="exact"/>
        <w:rPr>
          <w:sz w:val="20"/>
          <w:szCs w:val="20"/>
          <w:color w:val="auto"/>
        </w:rPr>
      </w:pPr>
    </w:p>
    <w:p>
      <w:pPr>
        <w:jc w:val="both"/>
        <w:spacing w:after="0" w:line="333" w:lineRule="auto"/>
        <w:rPr>
          <w:sz w:val="20"/>
          <w:szCs w:val="20"/>
          <w:color w:val="auto"/>
        </w:rPr>
      </w:pPr>
      <w:r>
        <w:rPr>
          <w:rFonts w:ascii="Arial" w:cs="Arial" w:eastAsia="Arial" w:hAnsi="Arial"/>
          <w:sz w:val="12"/>
          <w:szCs w:val="12"/>
          <w:b w:val="1"/>
          <w:bCs w:val="1"/>
          <w:color w:val="auto"/>
        </w:rPr>
        <w:t xml:space="preserve">Cost of sales </w:t>
      </w:r>
      <w:r>
        <w:rPr>
          <w:rFonts w:ascii="Arial" w:cs="Arial" w:eastAsia="Arial" w:hAnsi="Arial"/>
          <w:sz w:val="12"/>
          <w:szCs w:val="12"/>
          <w:color w:val="auto"/>
        </w:rPr>
        <w:t>were €243.5 million for the three months ended December 31, 2024, compared to €179.1 million for the comparative prior year period. For the year ended December 31, 2024, cost of sales were</w:t>
      </w:r>
      <w:r>
        <w:rPr>
          <w:rFonts w:ascii="Arial" w:cs="Arial" w:eastAsia="Arial" w:hAnsi="Arial"/>
          <w:sz w:val="12"/>
          <w:szCs w:val="12"/>
          <w:b w:val="1"/>
          <w:bCs w:val="1"/>
          <w:color w:val="auto"/>
        </w:rPr>
        <w:t xml:space="preserve"> </w:t>
      </w:r>
      <w:r>
        <w:rPr>
          <w:rFonts w:ascii="Arial" w:cs="Arial" w:eastAsia="Arial" w:hAnsi="Arial"/>
          <w:sz w:val="12"/>
          <w:szCs w:val="12"/>
          <w:color w:val="auto"/>
        </w:rPr>
        <w:t>€541.3 million, compared to €599.8 million for the comparative prior year period. Cost of sales were influenced by COVID-19 vaccine sales and inventory write-downs and scrapping.</w:t>
      </w:r>
    </w:p>
    <w:p>
      <w:pPr>
        <w:spacing w:after="0" w:line="22" w:lineRule="exact"/>
        <w:rPr>
          <w:sz w:val="20"/>
          <w:szCs w:val="20"/>
          <w:color w:val="auto"/>
        </w:rPr>
      </w:pPr>
    </w:p>
    <w:p>
      <w:pPr>
        <w:jc w:val="both"/>
        <w:spacing w:after="0" w:line="307" w:lineRule="auto"/>
        <w:rPr>
          <w:sz w:val="20"/>
          <w:szCs w:val="20"/>
          <w:color w:val="auto"/>
        </w:rPr>
      </w:pPr>
      <w:r>
        <w:rPr>
          <w:rFonts w:ascii="Arial" w:cs="Arial" w:eastAsia="Arial" w:hAnsi="Arial"/>
          <w:sz w:val="12"/>
          <w:szCs w:val="12"/>
          <w:b w:val="1"/>
          <w:bCs w:val="1"/>
          <w:color w:val="auto"/>
        </w:rPr>
        <w:t xml:space="preserve">Research and development </w:t>
      </w:r>
      <w:r>
        <w:rPr>
          <w:rFonts w:ascii="Arial" w:cs="Arial" w:eastAsia="Arial" w:hAnsi="Arial"/>
          <w:sz w:val="12"/>
          <w:szCs w:val="12"/>
          <w:color w:val="auto"/>
        </w:rPr>
        <w:t>(“R&amp;D”) expenses were €611.8 million for the three months ended December 31, 2024, compared to €577.8 million for the comparative prior year period. For the year ended</w:t>
      </w:r>
      <w:r>
        <w:rPr>
          <w:rFonts w:ascii="Arial" w:cs="Arial" w:eastAsia="Arial" w:hAnsi="Arial"/>
          <w:sz w:val="12"/>
          <w:szCs w:val="12"/>
          <w:b w:val="1"/>
          <w:bCs w:val="1"/>
          <w:color w:val="auto"/>
        </w:rPr>
        <w:t xml:space="preserve"> </w:t>
      </w:r>
      <w:r>
        <w:rPr>
          <w:rFonts w:ascii="Arial" w:cs="Arial" w:eastAsia="Arial" w:hAnsi="Arial"/>
          <w:sz w:val="12"/>
          <w:szCs w:val="12"/>
          <w:color w:val="auto"/>
        </w:rPr>
        <w:t>December 31, 2024, R&amp;D expenses were €2,254.2 million, compared to €1,783.1 million for the comparative prior year period. R&amp;D expenses were mainly influenced by advancing clinical studies for the Company’s late-stage oncology product candidates. Further contributions to the increase came from higher personnel expenses resulting from an increase in headcount.</w:t>
      </w:r>
    </w:p>
    <w:p>
      <w:pPr>
        <w:spacing w:after="0" w:line="45" w:lineRule="exact"/>
        <w:rPr>
          <w:sz w:val="20"/>
          <w:szCs w:val="20"/>
          <w:color w:val="auto"/>
        </w:rPr>
      </w:pPr>
    </w:p>
    <w:p>
      <w:pPr>
        <w:jc w:val="both"/>
        <w:spacing w:after="0" w:line="274" w:lineRule="auto"/>
        <w:rPr>
          <w:sz w:val="20"/>
          <w:szCs w:val="20"/>
          <w:color w:val="auto"/>
        </w:rPr>
      </w:pPr>
      <w:r>
        <w:rPr>
          <w:rFonts w:ascii="Arial" w:cs="Arial" w:eastAsia="Arial" w:hAnsi="Arial"/>
          <w:sz w:val="12"/>
          <w:szCs w:val="12"/>
          <w:b w:val="1"/>
          <w:bCs w:val="1"/>
          <w:color w:val="auto"/>
        </w:rPr>
        <w:t xml:space="preserve">Sales, general and administrative </w:t>
      </w:r>
      <w:r>
        <w:rPr>
          <w:rFonts w:ascii="Arial" w:cs="Arial" w:eastAsia="Arial" w:hAnsi="Arial"/>
          <w:sz w:val="12"/>
          <w:szCs w:val="12"/>
          <w:color w:val="auto"/>
        </w:rPr>
        <w:t>(“SG&amp;A”)</w:t>
      </w:r>
      <w:r>
        <w:rPr>
          <w:rFonts w:ascii="Arial" w:cs="Arial" w:eastAsia="Arial" w:hAnsi="Arial"/>
          <w:sz w:val="15"/>
          <w:szCs w:val="15"/>
          <w:color w:val="auto"/>
          <w:vertAlign w:val="superscript"/>
        </w:rPr>
        <w:t>3</w:t>
      </w:r>
      <w:r>
        <w:rPr>
          <w:rFonts w:ascii="Arial" w:cs="Arial" w:eastAsia="Arial" w:hAnsi="Arial"/>
          <w:sz w:val="12"/>
          <w:szCs w:val="12"/>
          <w:b w:val="1"/>
          <w:bCs w:val="1"/>
          <w:color w:val="auto"/>
        </w:rPr>
        <w:t xml:space="preserve"> </w:t>
      </w:r>
      <w:r>
        <w:rPr>
          <w:rFonts w:ascii="Arial" w:cs="Arial" w:eastAsia="Arial" w:hAnsi="Arial"/>
          <w:sz w:val="12"/>
          <w:szCs w:val="12"/>
          <w:color w:val="auto"/>
        </w:rPr>
        <w:t>expenses, in total, amounted to €132.1 million for the three months ended December 31, 2024, compared to €142.3 million for the comparative prior year period. For</w:t>
      </w:r>
      <w:r>
        <w:rPr>
          <w:rFonts w:ascii="Arial" w:cs="Arial" w:eastAsia="Arial" w:hAnsi="Arial"/>
          <w:sz w:val="12"/>
          <w:szCs w:val="12"/>
          <w:b w:val="1"/>
          <w:bCs w:val="1"/>
          <w:color w:val="auto"/>
        </w:rPr>
        <w:t xml:space="preserve"> </w:t>
      </w:r>
      <w:r>
        <w:rPr>
          <w:rFonts w:ascii="Arial" w:cs="Arial" w:eastAsia="Arial" w:hAnsi="Arial"/>
          <w:sz w:val="12"/>
          <w:szCs w:val="12"/>
          <w:color w:val="auto"/>
        </w:rPr>
        <w:t>the year ended December 31, 2024, SG&amp;A expenses were €599.0 million, compared to €557.7 million for the comparative prior year period. SG&amp;A expenses were mainly influenced by the setup and enhancement of commercial IT platforms and personnel expenses resulting from an increase in headcount.</w:t>
      </w:r>
    </w:p>
    <w:p>
      <w:pPr>
        <w:spacing w:after="0" w:line="65" w:lineRule="exact"/>
        <w:rPr>
          <w:sz w:val="20"/>
          <w:szCs w:val="20"/>
          <w:color w:val="auto"/>
        </w:rPr>
      </w:pPr>
    </w:p>
    <w:p>
      <w:pPr>
        <w:jc w:val="both"/>
        <w:spacing w:after="0" w:line="307" w:lineRule="auto"/>
        <w:rPr>
          <w:sz w:val="20"/>
          <w:szCs w:val="20"/>
          <w:color w:val="auto"/>
        </w:rPr>
      </w:pPr>
      <w:r>
        <w:rPr>
          <w:rFonts w:ascii="Arial" w:cs="Arial" w:eastAsia="Arial" w:hAnsi="Arial"/>
          <w:sz w:val="12"/>
          <w:szCs w:val="12"/>
          <w:b w:val="1"/>
          <w:bCs w:val="1"/>
          <w:color w:val="auto"/>
        </w:rPr>
        <w:t xml:space="preserve">Other operating results </w:t>
      </w:r>
      <w:r>
        <w:rPr>
          <w:rFonts w:ascii="Arial" w:cs="Arial" w:eastAsia="Arial" w:hAnsi="Arial"/>
          <w:sz w:val="12"/>
          <w:szCs w:val="12"/>
          <w:color w:val="auto"/>
        </w:rPr>
        <w:t>amounted to negative €54.0 million during the three months ended December 31, 2024, compared to negative €53.6 million for the comparative prior year period. For the year ended</w:t>
      </w:r>
      <w:r>
        <w:rPr>
          <w:rFonts w:ascii="Arial" w:cs="Arial" w:eastAsia="Arial" w:hAnsi="Arial"/>
          <w:sz w:val="12"/>
          <w:szCs w:val="12"/>
          <w:b w:val="1"/>
          <w:bCs w:val="1"/>
          <w:color w:val="auto"/>
        </w:rPr>
        <w:t xml:space="preserve"> </w:t>
      </w:r>
      <w:r>
        <w:rPr>
          <w:rFonts w:ascii="Arial" w:cs="Arial" w:eastAsia="Arial" w:hAnsi="Arial"/>
          <w:sz w:val="12"/>
          <w:szCs w:val="12"/>
          <w:color w:val="auto"/>
        </w:rPr>
        <w:t>December 31, 2024, other operating result amounted to negative €670.9 million compared to negative €188.0 million for the prior year period. The decrease was mainly due to the settlement of contractual disputes and related expenses to such disputes and other litigations. The amounts for contractual disputes are net of the related reimbursements expected to be received.</w:t>
      </w:r>
    </w:p>
    <w:p>
      <w:pPr>
        <w:spacing w:after="0" w:line="37" w:lineRule="exact"/>
        <w:rPr>
          <w:sz w:val="20"/>
          <w:szCs w:val="20"/>
          <w:color w:val="auto"/>
        </w:rPr>
      </w:pPr>
    </w:p>
    <w:p>
      <w:pPr>
        <w:jc w:val="both"/>
        <w:spacing w:after="0" w:line="307" w:lineRule="auto"/>
        <w:rPr>
          <w:sz w:val="20"/>
          <w:szCs w:val="20"/>
          <w:color w:val="auto"/>
        </w:rPr>
      </w:pPr>
      <w:r>
        <w:rPr>
          <w:rFonts w:ascii="Arial" w:cs="Arial" w:eastAsia="Arial" w:hAnsi="Arial"/>
          <w:sz w:val="12"/>
          <w:szCs w:val="12"/>
          <w:b w:val="1"/>
          <w:bCs w:val="1"/>
          <w:color w:val="auto"/>
        </w:rPr>
        <w:t xml:space="preserve">Income taxes </w:t>
      </w:r>
      <w:r>
        <w:rPr>
          <w:rFonts w:ascii="Arial" w:cs="Arial" w:eastAsia="Arial" w:hAnsi="Arial"/>
          <w:sz w:val="12"/>
          <w:szCs w:val="12"/>
          <w:color w:val="auto"/>
        </w:rPr>
        <w:t>were accrued with an amount of €41.7 million in tax expenses for the three months ended December 31, 2024, compared to €205.3 million in accrued tax expenses for the comparative prior year</w:t>
      </w:r>
      <w:r>
        <w:rPr>
          <w:rFonts w:ascii="Arial" w:cs="Arial" w:eastAsia="Arial" w:hAnsi="Arial"/>
          <w:sz w:val="12"/>
          <w:szCs w:val="12"/>
          <w:b w:val="1"/>
          <w:bCs w:val="1"/>
          <w:color w:val="auto"/>
        </w:rPr>
        <w:t xml:space="preserve"> </w:t>
      </w:r>
      <w:r>
        <w:rPr>
          <w:rFonts w:ascii="Arial" w:cs="Arial" w:eastAsia="Arial" w:hAnsi="Arial"/>
          <w:sz w:val="12"/>
          <w:szCs w:val="12"/>
          <w:color w:val="auto"/>
        </w:rPr>
        <w:t>period. For the year ended December 31, 2024, income taxes were realized with an amount of €12.4 million in tax income for the year ended December 31, 2024, compared to €255.8 million of accrued tax expenses for the comparative prior year period.</w:t>
      </w:r>
    </w:p>
    <w:p>
      <w:pPr>
        <w:spacing w:after="0" w:line="46" w:lineRule="exact"/>
        <w:rPr>
          <w:sz w:val="20"/>
          <w:szCs w:val="20"/>
          <w:color w:val="auto"/>
        </w:rPr>
      </w:pPr>
    </w:p>
    <w:p>
      <w:pPr>
        <w:jc w:val="both"/>
        <w:spacing w:after="0" w:line="317" w:lineRule="auto"/>
        <w:rPr>
          <w:sz w:val="20"/>
          <w:szCs w:val="20"/>
          <w:color w:val="auto"/>
        </w:rPr>
      </w:pPr>
      <w:r>
        <w:rPr>
          <w:rFonts w:ascii="Arial" w:cs="Arial" w:eastAsia="Arial" w:hAnsi="Arial"/>
          <w:sz w:val="12"/>
          <w:szCs w:val="12"/>
          <w:b w:val="1"/>
          <w:bCs w:val="1"/>
          <w:color w:val="auto"/>
        </w:rPr>
        <w:t xml:space="preserve">Net profit </w:t>
      </w:r>
      <w:r>
        <w:rPr>
          <w:rFonts w:ascii="Arial" w:cs="Arial" w:eastAsia="Arial" w:hAnsi="Arial"/>
          <w:sz w:val="12"/>
          <w:szCs w:val="12"/>
          <w:color w:val="auto"/>
        </w:rPr>
        <w:t>was €259.5 million for the three months ended December 31, 2024, compared to €457.9 million net profit for the comparative prior year period. For the year ended December 31, 2024,</w:t>
      </w:r>
      <w:r>
        <w:rPr>
          <w:rFonts w:ascii="Arial" w:cs="Arial" w:eastAsia="Arial" w:hAnsi="Arial"/>
          <w:sz w:val="12"/>
          <w:szCs w:val="12"/>
          <w:b w:val="1"/>
          <w:bCs w:val="1"/>
          <w:color w:val="auto"/>
        </w:rPr>
        <w:t xml:space="preserve"> net loss </w:t>
      </w:r>
      <w:r>
        <w:rPr>
          <w:rFonts w:ascii="Arial" w:cs="Arial" w:eastAsia="Arial" w:hAnsi="Arial"/>
          <w:sz w:val="12"/>
          <w:szCs w:val="12"/>
          <w:color w:val="auto"/>
        </w:rPr>
        <w:t>was</w:t>
      </w:r>
      <w:r>
        <w:rPr>
          <w:rFonts w:ascii="Arial" w:cs="Arial" w:eastAsia="Arial" w:hAnsi="Arial"/>
          <w:sz w:val="12"/>
          <w:szCs w:val="12"/>
          <w:b w:val="1"/>
          <w:bCs w:val="1"/>
          <w:color w:val="auto"/>
        </w:rPr>
        <w:t xml:space="preserve"> </w:t>
      </w:r>
      <w:r>
        <w:rPr>
          <w:rFonts w:ascii="Arial" w:cs="Arial" w:eastAsia="Arial" w:hAnsi="Arial"/>
          <w:sz w:val="12"/>
          <w:szCs w:val="12"/>
          <w:color w:val="auto"/>
        </w:rPr>
        <w:t>€665.3 million, compared to a net profit of €930.3 million for the comparative prior year period.</w:t>
      </w:r>
    </w:p>
    <w:p>
      <w:pPr>
        <w:spacing w:after="0" w:line="40" w:lineRule="exact"/>
        <w:rPr>
          <w:sz w:val="20"/>
          <w:szCs w:val="20"/>
          <w:color w:val="auto"/>
        </w:rPr>
      </w:pPr>
    </w:p>
    <w:p>
      <w:pPr>
        <w:jc w:val="both"/>
        <w:spacing w:after="0" w:line="317" w:lineRule="auto"/>
        <w:rPr>
          <w:sz w:val="20"/>
          <w:szCs w:val="20"/>
          <w:color w:val="auto"/>
        </w:rPr>
      </w:pPr>
      <w:r>
        <w:rPr>
          <w:rFonts w:ascii="Arial" w:cs="Arial" w:eastAsia="Arial" w:hAnsi="Arial"/>
          <w:sz w:val="12"/>
          <w:szCs w:val="12"/>
          <w:b w:val="1"/>
          <w:bCs w:val="1"/>
          <w:color w:val="auto"/>
        </w:rPr>
        <w:t>Cash and cash equivalents plus security investments</w:t>
      </w:r>
      <w:r>
        <w:rPr>
          <w:rFonts w:ascii="Arial" w:cs="Arial" w:eastAsia="Arial" w:hAnsi="Arial"/>
          <w:sz w:val="7"/>
          <w:szCs w:val="7"/>
          <w:b w:val="1"/>
          <w:bCs w:val="1"/>
          <w:color w:val="auto"/>
        </w:rPr>
        <w:t>2</w:t>
      </w:r>
      <w:r>
        <w:rPr>
          <w:rFonts w:ascii="Arial" w:cs="Arial" w:eastAsia="Arial" w:hAnsi="Arial"/>
          <w:sz w:val="12"/>
          <w:szCs w:val="12"/>
          <w:b w:val="1"/>
          <w:bCs w:val="1"/>
          <w:color w:val="auto"/>
        </w:rPr>
        <w:t xml:space="preserve"> </w:t>
      </w:r>
      <w:r>
        <w:rPr>
          <w:rFonts w:ascii="Arial" w:cs="Arial" w:eastAsia="Arial" w:hAnsi="Arial"/>
          <w:sz w:val="12"/>
          <w:szCs w:val="12"/>
          <w:color w:val="auto"/>
        </w:rPr>
        <w:t>as of December 31, 2024, reached €17,359.2 million, comprising of €9,761.9 million in cash and cash equivalents, €6,536.2 million in current security</w:t>
      </w:r>
      <w:r>
        <w:rPr>
          <w:rFonts w:ascii="Arial" w:cs="Arial" w:eastAsia="Arial" w:hAnsi="Arial"/>
          <w:sz w:val="12"/>
          <w:szCs w:val="12"/>
          <w:b w:val="1"/>
          <w:bCs w:val="1"/>
          <w:color w:val="auto"/>
        </w:rPr>
        <w:t xml:space="preserve"> </w:t>
      </w:r>
      <w:r>
        <w:rPr>
          <w:rFonts w:ascii="Arial" w:cs="Arial" w:eastAsia="Arial" w:hAnsi="Arial"/>
          <w:sz w:val="12"/>
          <w:szCs w:val="12"/>
          <w:color w:val="auto"/>
        </w:rPr>
        <w:t>investments and €1,061.1 million in non-current security investments.</w:t>
      </w:r>
    </w:p>
    <w:p>
      <w:pPr>
        <w:spacing w:after="0" w:line="40" w:lineRule="exact"/>
        <w:rPr>
          <w:sz w:val="20"/>
          <w:szCs w:val="20"/>
          <w:color w:val="auto"/>
        </w:rPr>
      </w:pPr>
    </w:p>
    <w:p>
      <w:pPr>
        <w:jc w:val="both"/>
        <w:ind w:right="20"/>
        <w:spacing w:after="0" w:line="317" w:lineRule="auto"/>
        <w:rPr>
          <w:sz w:val="20"/>
          <w:szCs w:val="20"/>
          <w:color w:val="auto"/>
        </w:rPr>
      </w:pPr>
      <w:r>
        <w:rPr>
          <w:rFonts w:ascii="Arial" w:cs="Arial" w:eastAsia="Arial" w:hAnsi="Arial"/>
          <w:sz w:val="12"/>
          <w:szCs w:val="12"/>
          <w:b w:val="1"/>
          <w:bCs w:val="1"/>
          <w:color w:val="auto"/>
        </w:rPr>
        <w:t xml:space="preserve">Diluted earnings per share </w:t>
      </w:r>
      <w:r>
        <w:rPr>
          <w:rFonts w:ascii="Arial" w:cs="Arial" w:eastAsia="Arial" w:hAnsi="Arial"/>
          <w:sz w:val="12"/>
          <w:szCs w:val="12"/>
          <w:color w:val="auto"/>
        </w:rPr>
        <w:t>was €1.08 for the three months ended December 31, 2024, compared to €1.88 for the comparative prior year period. For the year ended December 31, 2024, diluted loss per share</w:t>
      </w:r>
      <w:r>
        <w:rPr>
          <w:rFonts w:ascii="Arial" w:cs="Arial" w:eastAsia="Arial" w:hAnsi="Arial"/>
          <w:sz w:val="12"/>
          <w:szCs w:val="12"/>
          <w:b w:val="1"/>
          <w:bCs w:val="1"/>
          <w:color w:val="auto"/>
        </w:rPr>
        <w:t xml:space="preserve"> </w:t>
      </w:r>
      <w:r>
        <w:rPr>
          <w:rFonts w:ascii="Arial" w:cs="Arial" w:eastAsia="Arial" w:hAnsi="Arial"/>
          <w:sz w:val="12"/>
          <w:szCs w:val="12"/>
          <w:color w:val="auto"/>
        </w:rPr>
        <w:t>was €2.77, compared to diluted earnings per share of €3.83 for the comparative prior year period.</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300"/>
          </w:cols>
          <w:pgMar w:left="300" w:top="1315" w:right="299" w:bottom="1440" w:gutter="0" w:footer="0" w:header="0"/>
        </w:sectPr>
      </w:pPr>
    </w:p>
    <w:bookmarkStart w:id="6" w:name="page7"/>
    <w:bookmarkEnd w:id="6"/>
    <w:p>
      <w:pPr>
        <w:ind w:left="8"/>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3035" cy="160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23035" cy="160020"/>
                    </a:xfrm>
                    <a:prstGeom prst="rect">
                      <a:avLst/>
                    </a:prstGeom>
                    <a:noFill/>
                  </pic:spPr>
                </pic:pic>
              </a:graphicData>
            </a:graphic>
          </wp:anchor>
        </w:drawing>
        <w:t xml:space="preserve">Shares outstanding </w:t>
      </w:r>
      <w:r>
        <w:rPr>
          <w:rFonts w:ascii="Arial" w:cs="Arial" w:eastAsia="Arial" w:hAnsi="Arial"/>
          <w:sz w:val="12"/>
          <w:szCs w:val="12"/>
          <w:color w:val="auto"/>
        </w:rPr>
        <w:t>as of December 31, 2024, were 239,970,804, excluding 8,581,396 shares held in treasury.</w:t>
      </w:r>
    </w:p>
    <w:p>
      <w:pPr>
        <w:spacing w:after="0" w:line="105" w:lineRule="exact"/>
        <w:rPr>
          <w:sz w:val="20"/>
          <w:szCs w:val="20"/>
          <w:color w:val="auto"/>
        </w:rPr>
      </w:pPr>
    </w:p>
    <w:p>
      <w:pPr>
        <w:jc w:val="both"/>
        <w:ind w:left="8"/>
        <w:spacing w:after="0" w:line="307" w:lineRule="auto"/>
        <w:rPr>
          <w:sz w:val="20"/>
          <w:szCs w:val="20"/>
          <w:color w:val="auto"/>
        </w:rPr>
      </w:pPr>
      <w:r>
        <w:rPr>
          <w:rFonts w:ascii="Arial" w:cs="Arial" w:eastAsia="Arial" w:hAnsi="Arial"/>
          <w:sz w:val="12"/>
          <w:szCs w:val="12"/>
          <w:color w:val="auto"/>
        </w:rPr>
        <w:t xml:space="preserve">“Through strategic investments in our priority programs like our next-generation immunomodulator candidate BNT327, we strive to meaningfully improve treatments for patients,” </w:t>
      </w:r>
      <w:r>
        <w:rPr>
          <w:rFonts w:ascii="Arial" w:cs="Arial" w:eastAsia="Arial" w:hAnsi="Arial"/>
          <w:sz w:val="12"/>
          <w:szCs w:val="12"/>
          <w:b w:val="1"/>
          <w:bCs w:val="1"/>
          <w:color w:val="auto"/>
        </w:rPr>
        <w:t>said Jens Holstein, CFO of</w:t>
      </w:r>
      <w:r>
        <w:rPr>
          <w:rFonts w:ascii="Arial" w:cs="Arial" w:eastAsia="Arial" w:hAnsi="Arial"/>
          <w:sz w:val="12"/>
          <w:szCs w:val="12"/>
          <w:color w:val="auto"/>
        </w:rPr>
        <w:t xml:space="preserve"> </w:t>
      </w:r>
      <w:r>
        <w:rPr>
          <w:rFonts w:ascii="Arial" w:cs="Arial" w:eastAsia="Arial" w:hAnsi="Arial"/>
          <w:sz w:val="12"/>
          <w:szCs w:val="12"/>
          <w:b w:val="1"/>
          <w:bCs w:val="1"/>
          <w:color w:val="auto"/>
        </w:rPr>
        <w:t>BioNTech</w:t>
      </w:r>
      <w:r>
        <w:rPr>
          <w:rFonts w:ascii="Arial" w:cs="Arial" w:eastAsia="Arial" w:hAnsi="Arial"/>
          <w:sz w:val="12"/>
          <w:szCs w:val="12"/>
          <w:color w:val="auto"/>
        </w:rPr>
        <w:t>. “Our strong financial position enables us to fuel our R&amp;D activities and to prepare for multiple product launches in the coming years. With our targeted investments we aim to create long-term value for</w:t>
      </w:r>
      <w:r>
        <w:rPr>
          <w:rFonts w:ascii="Arial" w:cs="Arial" w:eastAsia="Arial" w:hAnsi="Arial"/>
          <w:sz w:val="12"/>
          <w:szCs w:val="12"/>
          <w:b w:val="1"/>
          <w:bCs w:val="1"/>
          <w:color w:val="auto"/>
        </w:rPr>
        <w:t xml:space="preserve"> </w:t>
      </w:r>
      <w:r>
        <w:rPr>
          <w:rFonts w:ascii="Arial" w:cs="Arial" w:eastAsia="Arial" w:hAnsi="Arial"/>
          <w:sz w:val="12"/>
          <w:szCs w:val="12"/>
          <w:color w:val="auto"/>
        </w:rPr>
        <w:t>the benefit of BioNTech’s stakeholders.”</w:t>
      </w:r>
    </w:p>
    <w:p>
      <w:pPr>
        <w:spacing w:after="0" w:line="19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2025 Financial Year Guidance</w:t>
      </w:r>
      <w:r>
        <w:rPr>
          <w:rFonts w:ascii="Arial" w:cs="Arial" w:eastAsia="Arial" w:hAnsi="Arial"/>
          <w:sz w:val="15"/>
          <w:szCs w:val="15"/>
          <w:b w:val="1"/>
          <w:bCs w:val="1"/>
          <w:color w:val="auto"/>
          <w:vertAlign w:val="superscript"/>
        </w:rPr>
        <w:t>4</w:t>
      </w:r>
    </w:p>
    <w:p>
      <w:pPr>
        <w:spacing w:after="0" w:line="144" w:lineRule="exact"/>
        <w:rPr>
          <w:sz w:val="20"/>
          <w:szCs w:val="20"/>
          <w:color w:val="auto"/>
        </w:rPr>
      </w:pPr>
    </w:p>
    <w:tbl>
      <w:tblPr>
        <w:tblLayout w:type="fixed"/>
        <w:tblInd w:w="8" w:type="dxa"/>
        <w:tblCellMar>
          <w:top w:w="0" w:type="dxa"/>
          <w:left w:w="0" w:type="dxa"/>
          <w:bottom w:w="0" w:type="dxa"/>
          <w:right w:w="0" w:type="dxa"/>
        </w:tblCellMar>
      </w:tblPr>
      <w:tr>
        <w:trPr>
          <w:trHeight w:val="175"/>
        </w:trPr>
        <w:tc>
          <w:tcPr>
            <w:tcW w:w="6880" w:type="dxa"/>
            <w:vAlign w:val="bottom"/>
            <w:tcBorders>
              <w:top w:val="single" w:sz="8" w:color="005A64"/>
            </w:tcBorders>
          </w:tcPr>
          <w:p>
            <w:pPr>
              <w:spacing w:after="0"/>
              <w:rPr>
                <w:sz w:val="20"/>
                <w:szCs w:val="20"/>
                <w:color w:val="auto"/>
              </w:rPr>
            </w:pPr>
            <w:r>
              <w:rPr>
                <w:rFonts w:ascii="Arial" w:cs="Arial" w:eastAsia="Arial" w:hAnsi="Arial"/>
                <w:sz w:val="11"/>
                <w:szCs w:val="11"/>
                <w:b w:val="1"/>
                <w:bCs w:val="1"/>
                <w:color w:val="005A64"/>
              </w:rPr>
              <w:t>Total revenues for the 2025 financial year</w:t>
            </w:r>
          </w:p>
        </w:tc>
        <w:tc>
          <w:tcPr>
            <w:tcW w:w="100" w:type="dxa"/>
            <w:vAlign w:val="bottom"/>
            <w:tcBorders>
              <w:right w:val="single" w:sz="8" w:color="BECE33"/>
            </w:tcBorders>
          </w:tcPr>
          <w:p>
            <w:pPr>
              <w:spacing w:after="0"/>
              <w:rPr>
                <w:sz w:val="15"/>
                <w:szCs w:val="15"/>
                <w:color w:val="auto"/>
              </w:rPr>
            </w:pPr>
          </w:p>
        </w:tc>
        <w:tc>
          <w:tcPr>
            <w:tcW w:w="4320" w:type="dxa"/>
            <w:vAlign w:val="bottom"/>
            <w:tcBorders>
              <w:top w:val="single" w:sz="8" w:color="BECE33"/>
              <w:right w:val="single" w:sz="8" w:color="BECE33"/>
            </w:tcBorders>
          </w:tcPr>
          <w:p>
            <w:pPr>
              <w:ind w:left="2780"/>
              <w:spacing w:after="0"/>
              <w:rPr>
                <w:sz w:val="20"/>
                <w:szCs w:val="20"/>
                <w:color w:val="auto"/>
              </w:rPr>
            </w:pPr>
            <w:r>
              <w:rPr>
                <w:rFonts w:ascii="Arial" w:cs="Arial" w:eastAsia="Arial" w:hAnsi="Arial"/>
                <w:sz w:val="11"/>
                <w:szCs w:val="11"/>
                <w:b w:val="1"/>
                <w:bCs w:val="1"/>
                <w:color w:val="005A64"/>
                <w:w w:val="97"/>
              </w:rPr>
              <w:t>€1,700 million - €2,200 million</w:t>
            </w:r>
          </w:p>
        </w:tc>
      </w:tr>
      <w:tr>
        <w:trPr>
          <w:trHeight w:val="23"/>
        </w:trPr>
        <w:tc>
          <w:tcPr>
            <w:tcW w:w="6880" w:type="dxa"/>
            <w:vAlign w:val="bottom"/>
            <w:tcBorders>
              <w:bottom w:val="single" w:sz="8" w:color="005A64"/>
            </w:tcBorders>
          </w:tcPr>
          <w:p>
            <w:pPr>
              <w:spacing w:after="0"/>
              <w:rPr>
                <w:sz w:val="2"/>
                <w:szCs w:val="2"/>
                <w:color w:val="auto"/>
              </w:rPr>
            </w:pPr>
          </w:p>
        </w:tc>
        <w:tc>
          <w:tcPr>
            <w:tcW w:w="100" w:type="dxa"/>
            <w:vAlign w:val="bottom"/>
            <w:tcBorders>
              <w:right w:val="single" w:sz="8" w:color="BECE33"/>
            </w:tcBorders>
          </w:tcPr>
          <w:p>
            <w:pPr>
              <w:spacing w:after="0"/>
              <w:rPr>
                <w:sz w:val="2"/>
                <w:szCs w:val="2"/>
                <w:color w:val="auto"/>
              </w:rPr>
            </w:pPr>
          </w:p>
        </w:tc>
        <w:tc>
          <w:tcPr>
            <w:tcW w:w="4320" w:type="dxa"/>
            <w:vAlign w:val="bottom"/>
            <w:tcBorders>
              <w:bottom w:val="single" w:sz="8" w:color="BECE33"/>
              <w:right w:val="single" w:sz="8" w:color="BECE33"/>
            </w:tcBorders>
          </w:tcPr>
          <w:p>
            <w:pPr>
              <w:spacing w:after="0"/>
              <w:rPr>
                <w:sz w:val="2"/>
                <w:szCs w:val="2"/>
                <w:color w:val="auto"/>
              </w:rPr>
            </w:pPr>
          </w:p>
        </w:tc>
      </w:tr>
    </w:tbl>
    <w:p>
      <w:pPr>
        <w:spacing w:after="0" w:line="203" w:lineRule="exact"/>
        <w:rPr>
          <w:sz w:val="20"/>
          <w:szCs w:val="20"/>
          <w:color w:val="auto"/>
        </w:rPr>
      </w:pPr>
    </w:p>
    <w:p>
      <w:pPr>
        <w:jc w:val="both"/>
        <w:ind w:left="8"/>
        <w:spacing w:after="0" w:line="298" w:lineRule="auto"/>
        <w:rPr>
          <w:sz w:val="20"/>
          <w:szCs w:val="20"/>
          <w:color w:val="auto"/>
        </w:rPr>
      </w:pPr>
      <w:r>
        <w:rPr>
          <w:rFonts w:ascii="Arial" w:cs="Arial" w:eastAsia="Arial" w:hAnsi="Arial"/>
          <w:sz w:val="12"/>
          <w:szCs w:val="12"/>
          <w:color w:val="auto"/>
        </w:rPr>
        <w:t>BioNTech expects its revenues for the full 2025 financial year to be in the range of €1,700 - €2,200 million and revenue phasing similar to 2024, primarily concentrated in the last three to four months, driving the full year revenue figure. The revenue guidance assumes: relatively stable vaccination rates, pricing levels and market share compared to 2024; estimated inventory write-downs and other charges by BioNTech’s collaboration partner Pfizer that negatively influence BioNTech’s revenues; anticipated revenues from a pandemic preparedness contract with the German government; and anticipated revenues from the BioNTech Group service businesses.</w:t>
      </w:r>
    </w:p>
    <w:p>
      <w:pPr>
        <w:spacing w:after="0" w:line="5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Planned 2025 Financial Year Expenses and Capex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120650</wp:posOffset>
            </wp:positionV>
            <wp:extent cx="5669280" cy="382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69280" cy="382905"/>
                    </a:xfrm>
                    <a:prstGeom prst="rect">
                      <a:avLst/>
                    </a:prstGeom>
                    <a:noFill/>
                  </pic:spPr>
                </pic:pic>
              </a:graphicData>
            </a:graphic>
          </wp:anchor>
        </w:drawing>
      </w:r>
    </w:p>
    <w:p>
      <w:pPr>
        <w:sectPr>
          <w:pgSz w:w="11900" w:h="16838" w:orient="portrait"/>
          <w:cols w:equalWidth="0" w:num="1">
            <w:col w:w="11308"/>
          </w:cols>
          <w:pgMar w:left="292" w:top="1171" w:right="299" w:bottom="1440" w:gutter="0" w:footer="0" w:header="0"/>
        </w:sectPr>
      </w:pPr>
    </w:p>
    <w:p>
      <w:pPr>
        <w:spacing w:after="0" w:line="217"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005A64"/>
        </w:rPr>
        <w:t>R&amp;D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311467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4675" cy="5715"/>
                    </a:xfrm>
                    <a:prstGeom prst="rect">
                      <a:avLst/>
                    </a:prstGeom>
                    <a:noFill/>
                  </pic:spPr>
                </pic:pic>
              </a:graphicData>
            </a:graphic>
          </wp:anchor>
        </w:drawing>
      </w:r>
    </w:p>
    <w:p>
      <w:pPr>
        <w:spacing w:after="0" w:line="52"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005A64"/>
        </w:rPr>
        <w:t>SG&amp;A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311467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4675" cy="5715"/>
                    </a:xfrm>
                    <a:prstGeom prst="rect">
                      <a:avLst/>
                    </a:prstGeom>
                    <a:noFill/>
                  </pic:spPr>
                </pic:pic>
              </a:graphicData>
            </a:graphic>
          </wp:anchor>
        </w:drawing>
      </w:r>
    </w:p>
    <w:p>
      <w:pPr>
        <w:spacing w:after="0" w:line="52"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005A64"/>
        </w:rPr>
        <w:t>Capital expenditures for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311467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467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right"/>
        <w:ind w:right="2500"/>
        <w:spacing w:after="0"/>
        <w:rPr>
          <w:sz w:val="20"/>
          <w:szCs w:val="20"/>
          <w:color w:val="auto"/>
        </w:rPr>
      </w:pPr>
      <w:r>
        <w:rPr>
          <w:rFonts w:ascii="Arial" w:cs="Arial" w:eastAsia="Arial" w:hAnsi="Arial"/>
          <w:sz w:val="10"/>
          <w:szCs w:val="10"/>
          <w:b w:val="1"/>
          <w:bCs w:val="1"/>
          <w:color w:val="005A64"/>
        </w:rPr>
        <w:t>€2,600 million - €2,800 million</w:t>
      </w:r>
    </w:p>
    <w:p>
      <w:pPr>
        <w:spacing w:after="0" w:line="83" w:lineRule="exact"/>
        <w:rPr>
          <w:sz w:val="20"/>
          <w:szCs w:val="20"/>
          <w:color w:val="auto"/>
        </w:rPr>
      </w:pPr>
    </w:p>
    <w:p>
      <w:pPr>
        <w:jc w:val="right"/>
        <w:ind w:right="2500"/>
        <w:spacing w:after="0"/>
        <w:rPr>
          <w:sz w:val="20"/>
          <w:szCs w:val="20"/>
          <w:color w:val="auto"/>
        </w:rPr>
      </w:pPr>
      <w:r>
        <w:rPr>
          <w:rFonts w:ascii="Arial" w:cs="Arial" w:eastAsia="Arial" w:hAnsi="Arial"/>
          <w:sz w:val="11"/>
          <w:szCs w:val="11"/>
          <w:b w:val="1"/>
          <w:bCs w:val="1"/>
          <w:color w:val="005A64"/>
        </w:rPr>
        <w:t>€650 million - €750 million</w:t>
      </w:r>
    </w:p>
    <w:p>
      <w:pPr>
        <w:spacing w:after="0" w:line="72" w:lineRule="exact"/>
        <w:rPr>
          <w:sz w:val="20"/>
          <w:szCs w:val="20"/>
          <w:color w:val="auto"/>
        </w:rPr>
      </w:pPr>
    </w:p>
    <w:p>
      <w:pPr>
        <w:jc w:val="right"/>
        <w:ind w:right="2500"/>
        <w:spacing w:after="0"/>
        <w:rPr>
          <w:sz w:val="20"/>
          <w:szCs w:val="20"/>
          <w:color w:val="auto"/>
        </w:rPr>
      </w:pPr>
      <w:r>
        <w:rPr>
          <w:rFonts w:ascii="Arial" w:cs="Arial" w:eastAsia="Arial" w:hAnsi="Arial"/>
          <w:sz w:val="11"/>
          <w:szCs w:val="11"/>
          <w:b w:val="1"/>
          <w:bCs w:val="1"/>
          <w:color w:val="005A64"/>
        </w:rPr>
        <w:t>€250 million - €350 million</w:t>
      </w:r>
    </w:p>
    <w:p>
      <w:pPr>
        <w:spacing w:after="0" w:line="200" w:lineRule="exact"/>
        <w:rPr>
          <w:sz w:val="20"/>
          <w:szCs w:val="20"/>
          <w:color w:val="auto"/>
        </w:rPr>
      </w:pPr>
    </w:p>
    <w:p>
      <w:pPr>
        <w:sectPr>
          <w:pgSz w:w="11900" w:h="16838" w:orient="portrait"/>
          <w:cols w:equalWidth="0" w:num="2">
            <w:col w:w="6568" w:space="720"/>
            <w:col w:w="4020"/>
          </w:cols>
          <w:pgMar w:left="292" w:top="1171" w:right="299" w:bottom="1440" w:gutter="0" w:footer="0" w:header="0"/>
          <w:type w:val="continuous"/>
        </w:sectPr>
      </w:pPr>
    </w:p>
    <w:p>
      <w:pPr>
        <w:spacing w:after="0" w:line="57" w:lineRule="exact"/>
        <w:rPr>
          <w:sz w:val="20"/>
          <w:szCs w:val="20"/>
          <w:color w:val="auto"/>
        </w:rPr>
      </w:pPr>
    </w:p>
    <w:p>
      <w:pPr>
        <w:jc w:val="both"/>
        <w:ind w:left="8"/>
        <w:spacing w:after="0" w:line="291" w:lineRule="auto"/>
        <w:rPr>
          <w:sz w:val="20"/>
          <w:szCs w:val="20"/>
          <w:color w:val="auto"/>
        </w:rPr>
      </w:pPr>
      <w:r>
        <w:rPr>
          <w:rFonts w:ascii="Arial" w:cs="Arial" w:eastAsia="Arial" w:hAnsi="Arial"/>
          <w:sz w:val="12"/>
          <w:szCs w:val="12"/>
          <w:color w:val="auto"/>
        </w:rPr>
        <w:t>BioNTech expects to continue to focus investments on R&amp;D and scaling the business for late-stage development and commercial readiness in oncology, while continuing to be cost disciplined. Strategic capital allocation will remain a key driver of the Company’s trajectory. As part of BioNTech’s strategy, the Company may continue to evaluate appropriate corporate development opportunities with the aim of driving sustainable long-term growth and create future value.</w:t>
      </w:r>
    </w:p>
    <w:p>
      <w:pPr>
        <w:spacing w:after="0" w:line="110" w:lineRule="exact"/>
        <w:rPr>
          <w:sz w:val="20"/>
          <w:szCs w:val="20"/>
          <w:color w:val="auto"/>
        </w:rPr>
      </w:pPr>
    </w:p>
    <w:p>
      <w:pPr>
        <w:jc w:val="both"/>
        <w:ind w:left="8"/>
        <w:spacing w:after="0" w:line="286" w:lineRule="auto"/>
        <w:rPr>
          <w:sz w:val="20"/>
          <w:szCs w:val="20"/>
          <w:color w:val="auto"/>
        </w:rPr>
      </w:pPr>
      <w:r>
        <w:rPr>
          <w:rFonts w:ascii="Arial" w:cs="Arial" w:eastAsia="Arial" w:hAnsi="Arial"/>
          <w:sz w:val="12"/>
          <w:szCs w:val="12"/>
          <w:color w:val="auto"/>
        </w:rPr>
        <w:t xml:space="preserve">The full audited consolidated financial statements as of and for the year ended December 31, 2024, can be found in BioNTech’s Annual Report on Form 20-F filed today with the United States Securities and Exchange Commission (“SEC”) and available at </w:t>
      </w:r>
      <w:r>
        <w:rPr>
          <w:rFonts w:ascii="Arial" w:cs="Arial" w:eastAsia="Arial" w:hAnsi="Arial"/>
          <w:sz w:val="12"/>
          <w:szCs w:val="12"/>
          <w:u w:val="single" w:color="auto"/>
          <w:color w:val="auto"/>
        </w:rPr>
        <w:t>www.sec.gov</w:t>
      </w:r>
      <w:r>
        <w:rPr>
          <w:rFonts w:ascii="Arial" w:cs="Arial" w:eastAsia="Arial" w:hAnsi="Arial"/>
          <w:sz w:val="12"/>
          <w:szCs w:val="12"/>
          <w:color w:val="auto"/>
        </w:rPr>
        <w:t>.</w:t>
      </w:r>
    </w:p>
    <w:p>
      <w:pPr>
        <w:spacing w:after="0" w:line="206"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Endnotes</w:t>
      </w:r>
    </w:p>
    <w:p>
      <w:pPr>
        <w:spacing w:after="0" w:line="79" w:lineRule="exact"/>
        <w:rPr>
          <w:sz w:val="20"/>
          <w:szCs w:val="20"/>
          <w:color w:val="auto"/>
        </w:rPr>
      </w:pPr>
    </w:p>
    <w:p>
      <w:pPr>
        <w:ind w:left="68" w:hanging="68"/>
        <w:spacing w:after="0"/>
        <w:tabs>
          <w:tab w:leader="none" w:pos="68" w:val="left"/>
        </w:tabs>
        <w:numPr>
          <w:ilvl w:val="0"/>
          <w:numId w:val="3"/>
        </w:numPr>
        <w:rPr>
          <w:rFonts w:ascii="Arial" w:cs="Arial" w:eastAsia="Arial" w:hAnsi="Arial"/>
          <w:sz w:val="14"/>
          <w:szCs w:val="14"/>
          <w:color w:val="auto"/>
          <w:vertAlign w:val="superscript"/>
        </w:rPr>
      </w:pPr>
      <w:r>
        <w:rPr>
          <w:rFonts w:ascii="Arial" w:cs="Arial" w:eastAsia="Arial" w:hAnsi="Arial"/>
          <w:sz w:val="11"/>
          <w:szCs w:val="11"/>
          <w:color w:val="auto"/>
        </w:rPr>
        <w:t>Calculated applying the average foreign exchange rate for the year ended December 31, 2024, as published by the German Central Bank (Deutsche Bundesbank).</w:t>
      </w:r>
    </w:p>
    <w:p>
      <w:pPr>
        <w:spacing w:after="0" w:line="38" w:lineRule="exact"/>
        <w:rPr>
          <w:sz w:val="20"/>
          <w:szCs w:val="20"/>
          <w:color w:val="auto"/>
        </w:rPr>
      </w:pPr>
    </w:p>
    <w:p>
      <w:pPr>
        <w:jc w:val="both"/>
        <w:ind w:left="8" w:hanging="8"/>
        <w:spacing w:after="0" w:line="260" w:lineRule="auto"/>
        <w:tabs>
          <w:tab w:leader="none" w:pos="66" w:val="left"/>
        </w:tabs>
        <w:numPr>
          <w:ilvl w:val="0"/>
          <w:numId w:val="4"/>
        </w:numPr>
        <w:rPr>
          <w:rFonts w:ascii="Arial" w:cs="Arial" w:eastAsia="Arial" w:hAnsi="Arial"/>
          <w:sz w:val="14"/>
          <w:szCs w:val="14"/>
          <w:color w:val="auto"/>
          <w:vertAlign w:val="superscript"/>
        </w:rPr>
      </w:pPr>
      <w:r>
        <w:rPr>
          <w:rFonts w:ascii="Arial" w:cs="Arial" w:eastAsia="Arial" w:hAnsi="Arial"/>
          <w:sz w:val="11"/>
          <w:szCs w:val="11"/>
          <w:color w:val="auto"/>
        </w:rPr>
        <w:t>Payments associated with the closing of the Biotheus acquisition and with the resolved settlement of a contractual dispute with the National Institutes of Health (“NIH”) are expected to result in a cash outflow of approximately $1.6 billion to be reflected in cash &amp; cash equivalents in the Company’s first quarter 2025 financial results. The settlement payment of $467 million related to a contractual dispute with the University of Pennsylvania is expected to be reflected in the Company’s second quarter 2025 financial results. In connection with these settlements, BioNTech expects to be reimbursed approximately $535 million by its partner during 2025 and 2026.</w:t>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8"/>
          </w:cols>
          <w:pgMar w:left="292" w:top="1171" w:right="299" w:bottom="1440" w:gutter="0" w:footer="0" w:header="0"/>
          <w:type w:val="continuous"/>
        </w:sectPr>
      </w:pPr>
    </w:p>
    <w:bookmarkStart w:id="7" w:name="page8"/>
    <w:bookmarkEnd w:id="7"/>
    <w:p>
      <w:pPr>
        <w:ind w:left="68" w:hanging="68"/>
        <w:spacing w:after="0"/>
        <w:tabs>
          <w:tab w:leader="none" w:pos="68" w:val="left"/>
        </w:tabs>
        <w:numPr>
          <w:ilvl w:val="0"/>
          <w:numId w:val="5"/>
        </w:numPr>
        <w:rPr>
          <w:rFonts w:ascii="Arial" w:cs="Arial" w:eastAsia="Arial" w:hAnsi="Arial"/>
          <w:sz w:val="14"/>
          <w:szCs w:val="14"/>
          <w:color w:val="auto"/>
          <w:vertAlign w:val="superscript"/>
        </w:rPr>
      </w:pPr>
      <w:r>
        <w:rPr>
          <w:rFonts w:ascii="Arial" w:cs="Arial" w:eastAsia="Arial" w:hAnsi="Arial"/>
          <w:sz w:val="11"/>
          <w:szCs w:val="1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3035" cy="160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23035" cy="160020"/>
                    </a:xfrm>
                    <a:prstGeom prst="rect">
                      <a:avLst/>
                    </a:prstGeom>
                    <a:noFill/>
                  </pic:spPr>
                </pic:pic>
              </a:graphicData>
            </a:graphic>
          </wp:anchor>
        </w:drawing>
        <w:t>Sales, general and administrative expenses (“SG&amp;A”) include sales and marketing expenses as well as general and administrative expenses.</w:t>
      </w:r>
    </w:p>
    <w:p>
      <w:pPr>
        <w:spacing w:after="0" w:line="11" w:lineRule="exact"/>
        <w:rPr>
          <w:sz w:val="20"/>
          <w:szCs w:val="20"/>
          <w:color w:val="auto"/>
        </w:rPr>
      </w:pPr>
    </w:p>
    <w:p>
      <w:pPr>
        <w:jc w:val="both"/>
        <w:ind w:left="8" w:hanging="8"/>
        <w:spacing w:after="0" w:line="255" w:lineRule="auto"/>
        <w:tabs>
          <w:tab w:leader="none" w:pos="73" w:val="left"/>
        </w:tabs>
        <w:numPr>
          <w:ilvl w:val="0"/>
          <w:numId w:val="6"/>
        </w:numPr>
        <w:rPr>
          <w:rFonts w:ascii="Arial" w:cs="Arial" w:eastAsia="Arial" w:hAnsi="Arial"/>
          <w:sz w:val="16"/>
          <w:szCs w:val="16"/>
          <w:color w:val="auto"/>
          <w:vertAlign w:val="superscript"/>
        </w:rPr>
      </w:pPr>
      <w:r>
        <w:rPr>
          <w:rFonts w:ascii="Arial" w:cs="Arial" w:eastAsia="Arial" w:hAnsi="Arial"/>
          <w:sz w:val="11"/>
          <w:szCs w:val="11"/>
          <w:color w:val="auto"/>
        </w:rPr>
        <w:t>Excludes external risks that are not yet known and/or quantifiable, including, but not limited to the effects of ongoing and/or future legal disputes and related activities, certain potential one-time effects and charges related to portfolio prioritization, as well as potential changes to the law or governmental policy, including public health policy, at the state or national level, and evolving public sentiment around vaccines and mRNA technology, in the United States and/or elsewhere. It includes effects identified from licensing arrangements, collaborations or potential M&amp;A transactions to the extent disclosed and may be subject to update. The Company does not expect to report a positive net income figure for the 2025 financial year.</w:t>
      </w:r>
    </w:p>
    <w:p>
      <w:pPr>
        <w:spacing w:after="0" w:line="13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Operational Review for the Fourth Quarter 2024, Key Post Period-End Events and 2025 Outlook</w:t>
      </w:r>
    </w:p>
    <w:p>
      <w:pPr>
        <w:spacing w:after="0" w:line="179"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Selected Oncology Pipeline Updates</w:t>
      </w:r>
    </w:p>
    <w:p>
      <w:pPr>
        <w:spacing w:after="0" w:line="175" w:lineRule="exact"/>
        <w:rPr>
          <w:sz w:val="20"/>
          <w:szCs w:val="20"/>
          <w:color w:val="auto"/>
        </w:rPr>
      </w:pPr>
    </w:p>
    <w:p>
      <w:pPr>
        <w:jc w:val="both"/>
        <w:ind w:left="8"/>
        <w:spacing w:after="0" w:line="284" w:lineRule="auto"/>
        <w:rPr>
          <w:sz w:val="20"/>
          <w:szCs w:val="20"/>
          <w:color w:val="auto"/>
        </w:rPr>
      </w:pPr>
      <w:r>
        <w:rPr>
          <w:rFonts w:ascii="Arial" w:cs="Arial" w:eastAsia="Arial" w:hAnsi="Arial"/>
          <w:sz w:val="12"/>
          <w:szCs w:val="12"/>
          <w:color w:val="auto"/>
        </w:rPr>
        <w:t>In 2024, the Company’s pipeline continued to mature towards later stages of clinical development with a focus on two priority programs: our investigational next-generation immunomodulator candidate BNT327 and mRNA cancer immunotherapies. BioNTech’s oncology pipeline currently contains over 20 ongoing Phase 2 and 3 clinical trials. In 2025, the Company plans to continue progressing its pipeline towards commercialization, with its first oncology launch expected in 2026.</w:t>
      </w:r>
    </w:p>
    <w:p>
      <w:pPr>
        <w:spacing w:after="0" w:line="124"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Next-Generation Immunomodulators</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 xml:space="preserve">BNT327 </w:t>
      </w:r>
      <w:r>
        <w:rPr>
          <w:rFonts w:ascii="Arial" w:cs="Arial" w:eastAsia="Arial" w:hAnsi="Arial"/>
          <w:sz w:val="12"/>
          <w:szCs w:val="12"/>
          <w:color w:val="auto"/>
        </w:rPr>
        <w:t>is a bispecific antibody candidate combining PD-L1 checkpoint inhibition with VEGF-A neutralization.</w:t>
      </w:r>
    </w:p>
    <w:p>
      <w:pPr>
        <w:spacing w:after="0" w:line="105" w:lineRule="exact"/>
        <w:rPr>
          <w:sz w:val="20"/>
          <w:szCs w:val="20"/>
          <w:color w:val="auto"/>
        </w:rPr>
      </w:pPr>
    </w:p>
    <w:p>
      <w:pPr>
        <w:ind w:left="428" w:hanging="212"/>
        <w:spacing w:after="0" w:line="317" w:lineRule="auto"/>
        <w:tabs>
          <w:tab w:leader="none" w:pos="425" w:val="left"/>
        </w:tabs>
        <w:numPr>
          <w:ilvl w:val="0"/>
          <w:numId w:val="7"/>
        </w:numPr>
        <w:rPr>
          <w:rFonts w:ascii="Arial" w:cs="Arial" w:eastAsia="Arial" w:hAnsi="Arial"/>
          <w:sz w:val="12"/>
          <w:szCs w:val="12"/>
          <w:color w:val="auto"/>
        </w:rPr>
      </w:pPr>
      <w:r>
        <w:rPr>
          <w:rFonts w:ascii="Arial" w:cs="Arial" w:eastAsia="Arial" w:hAnsi="Arial"/>
          <w:sz w:val="12"/>
          <w:szCs w:val="12"/>
          <w:color w:val="auto"/>
        </w:rPr>
        <w:t>In December 2024, BioNTech initiated a global randomized Phase 3 clinical trial (</w:t>
      </w:r>
      <w:r>
        <w:rPr>
          <w:rFonts w:ascii="Arial" w:cs="Arial" w:eastAsia="Arial" w:hAnsi="Arial"/>
          <w:sz w:val="12"/>
          <w:szCs w:val="12"/>
          <w:u w:val="single" w:color="auto"/>
          <w:color w:val="auto"/>
        </w:rPr>
        <w:t>NCT06712355</w:t>
      </w:r>
      <w:r>
        <w:rPr>
          <w:rFonts w:ascii="Arial" w:cs="Arial" w:eastAsia="Arial" w:hAnsi="Arial"/>
          <w:sz w:val="12"/>
          <w:szCs w:val="12"/>
          <w:color w:val="auto"/>
        </w:rPr>
        <w:t>) evaluating BNT327 plus chemotherapy compared to atezolizumab plus chemotherapy in first-line extensive-stage small cell lung cancer (“ES-SCLC”).</w:t>
      </w:r>
    </w:p>
    <w:p>
      <w:pPr>
        <w:spacing w:after="0" w:line="40" w:lineRule="exact"/>
        <w:rPr>
          <w:rFonts w:ascii="Arial" w:cs="Arial" w:eastAsia="Arial" w:hAnsi="Arial"/>
          <w:sz w:val="12"/>
          <w:szCs w:val="12"/>
          <w:color w:val="auto"/>
        </w:rPr>
      </w:pPr>
    </w:p>
    <w:p>
      <w:pPr>
        <w:ind w:left="428" w:right="20" w:hanging="212"/>
        <w:spacing w:after="0" w:line="317" w:lineRule="auto"/>
        <w:tabs>
          <w:tab w:leader="none" w:pos="425" w:val="left"/>
        </w:tabs>
        <w:numPr>
          <w:ilvl w:val="0"/>
          <w:numId w:val="7"/>
        </w:numPr>
        <w:rPr>
          <w:rFonts w:ascii="Arial" w:cs="Arial" w:eastAsia="Arial" w:hAnsi="Arial"/>
          <w:sz w:val="12"/>
          <w:szCs w:val="12"/>
          <w:color w:val="auto"/>
        </w:rPr>
      </w:pPr>
      <w:r>
        <w:rPr>
          <w:rFonts w:ascii="Arial" w:cs="Arial" w:eastAsia="Arial" w:hAnsi="Arial"/>
          <w:sz w:val="12"/>
          <w:szCs w:val="12"/>
          <w:color w:val="auto"/>
        </w:rPr>
        <w:t>In December 2024, BioNTech initiated a global randomized Phase 2/3 clinical trial (</w:t>
      </w:r>
      <w:r>
        <w:rPr>
          <w:rFonts w:ascii="Arial" w:cs="Arial" w:eastAsia="Arial" w:hAnsi="Arial"/>
          <w:sz w:val="12"/>
          <w:szCs w:val="12"/>
          <w:u w:val="single" w:color="auto"/>
          <w:color w:val="auto"/>
        </w:rPr>
        <w:t>NCT06712316</w:t>
      </w:r>
      <w:r>
        <w:rPr>
          <w:rFonts w:ascii="Arial" w:cs="Arial" w:eastAsia="Arial" w:hAnsi="Arial"/>
          <w:sz w:val="12"/>
          <w:szCs w:val="12"/>
          <w:color w:val="auto"/>
        </w:rPr>
        <w:t>) evaluating BNT327 plus chemotherapy compared to pembrolizumab plus chemotherapy in first-line non-small cell lung cancer (“NSCLC”).</w:t>
      </w:r>
    </w:p>
    <w:p>
      <w:pPr>
        <w:spacing w:after="0" w:line="40" w:lineRule="exact"/>
        <w:rPr>
          <w:rFonts w:ascii="Arial" w:cs="Arial" w:eastAsia="Arial" w:hAnsi="Arial"/>
          <w:sz w:val="12"/>
          <w:szCs w:val="12"/>
          <w:color w:val="auto"/>
        </w:rPr>
      </w:pPr>
    </w:p>
    <w:p>
      <w:pPr>
        <w:jc w:val="both"/>
        <w:ind w:left="428" w:hanging="212"/>
        <w:spacing w:after="0" w:line="291" w:lineRule="auto"/>
        <w:tabs>
          <w:tab w:leader="none" w:pos="425" w:val="left"/>
        </w:tabs>
        <w:numPr>
          <w:ilvl w:val="0"/>
          <w:numId w:val="7"/>
        </w:numPr>
        <w:rPr>
          <w:rFonts w:ascii="Arial" w:cs="Arial" w:eastAsia="Arial" w:hAnsi="Arial"/>
          <w:sz w:val="12"/>
          <w:szCs w:val="12"/>
          <w:color w:val="auto"/>
        </w:rPr>
      </w:pPr>
      <w:r>
        <w:rPr>
          <w:rFonts w:ascii="Arial" w:cs="Arial" w:eastAsia="Arial" w:hAnsi="Arial"/>
          <w:sz w:val="12"/>
          <w:szCs w:val="12"/>
          <w:color w:val="auto"/>
        </w:rPr>
        <w:t>In December 2024, at the San Antonio Breast Cancer Symposium (“SABCS”), interim data were presented from the Phase 1/2 clinical trial (</w:t>
      </w:r>
      <w:r>
        <w:rPr>
          <w:rFonts w:ascii="Arial" w:cs="Arial" w:eastAsia="Arial" w:hAnsi="Arial"/>
          <w:sz w:val="12"/>
          <w:szCs w:val="12"/>
          <w:u w:val="single" w:color="auto"/>
          <w:color w:val="auto"/>
        </w:rPr>
        <w:t>NCT05918133</w:t>
      </w:r>
      <w:r>
        <w:rPr>
          <w:rFonts w:ascii="Arial" w:cs="Arial" w:eastAsia="Arial" w:hAnsi="Arial"/>
          <w:sz w:val="12"/>
          <w:szCs w:val="12"/>
          <w:color w:val="auto"/>
        </w:rPr>
        <w:t>) evaluating BNT327 in combination with chemotherapy in a cohort of patients with locally advanced, previously untreated triple-negative breast cancer (“TNBC”). In 42 patients, first-line treatment with BNT327 combined with nab-paclitaxel chemotherapy showed encouraging antitumor activity and survival outcomes regardless of PD-L1 status, together with a manageable safety profile.</w:t>
      </w:r>
    </w:p>
    <w:p>
      <w:pPr>
        <w:spacing w:after="0" w:line="47" w:lineRule="exact"/>
        <w:rPr>
          <w:rFonts w:ascii="Arial" w:cs="Arial" w:eastAsia="Arial" w:hAnsi="Arial"/>
          <w:sz w:val="12"/>
          <w:szCs w:val="12"/>
          <w:color w:val="auto"/>
        </w:rPr>
      </w:pPr>
    </w:p>
    <w:p>
      <w:pPr>
        <w:ind w:left="428" w:hanging="212"/>
        <w:spacing w:after="0"/>
        <w:tabs>
          <w:tab w:leader="none" w:pos="428" w:val="left"/>
        </w:tabs>
        <w:numPr>
          <w:ilvl w:val="0"/>
          <w:numId w:val="7"/>
        </w:numPr>
        <w:rPr>
          <w:rFonts w:ascii="Arial" w:cs="Arial" w:eastAsia="Arial" w:hAnsi="Arial"/>
          <w:sz w:val="12"/>
          <w:szCs w:val="12"/>
          <w:color w:val="auto"/>
        </w:rPr>
      </w:pPr>
      <w:r>
        <w:rPr>
          <w:rFonts w:ascii="Arial" w:cs="Arial" w:eastAsia="Arial" w:hAnsi="Arial"/>
          <w:sz w:val="12"/>
          <w:szCs w:val="12"/>
          <w:color w:val="auto"/>
        </w:rPr>
        <w:t>A global randomized Phase 3 clinical trial evaluating BNT327 in first-line TNBC is on track to start in 2025.</w:t>
      </w:r>
    </w:p>
    <w:p>
      <w:pPr>
        <w:spacing w:after="0" w:line="96" w:lineRule="exact"/>
        <w:rPr>
          <w:rFonts w:ascii="Arial" w:cs="Arial" w:eastAsia="Arial" w:hAnsi="Arial"/>
          <w:sz w:val="12"/>
          <w:szCs w:val="12"/>
          <w:color w:val="auto"/>
        </w:rPr>
      </w:pPr>
    </w:p>
    <w:p>
      <w:pPr>
        <w:ind w:left="428" w:hanging="212"/>
        <w:spacing w:after="0" w:line="333" w:lineRule="auto"/>
        <w:tabs>
          <w:tab w:leader="none" w:pos="425" w:val="left"/>
        </w:tabs>
        <w:numPr>
          <w:ilvl w:val="0"/>
          <w:numId w:val="7"/>
        </w:numPr>
        <w:rPr>
          <w:rFonts w:ascii="Arial" w:cs="Arial" w:eastAsia="Arial" w:hAnsi="Arial"/>
          <w:sz w:val="12"/>
          <w:szCs w:val="12"/>
          <w:color w:val="auto"/>
        </w:rPr>
      </w:pPr>
      <w:r>
        <w:rPr>
          <w:rFonts w:ascii="Arial" w:cs="Arial" w:eastAsia="Arial" w:hAnsi="Arial"/>
          <w:sz w:val="12"/>
          <w:szCs w:val="12"/>
          <w:color w:val="auto"/>
        </w:rPr>
        <w:t xml:space="preserve">Data from the ongoing global Phase 2 dose optimization clinical trials evaluating BNT327 in combination with chemotherapy in first-line small cell lung cancer (“SCLC”) (BNT327-01, </w:t>
      </w:r>
      <w:r>
        <w:rPr>
          <w:rFonts w:ascii="Arial" w:cs="Arial" w:eastAsia="Arial" w:hAnsi="Arial"/>
          <w:sz w:val="12"/>
          <w:szCs w:val="12"/>
          <w:u w:val="single" w:color="auto"/>
          <w:color w:val="auto"/>
        </w:rPr>
        <w:t>NCT06449209</w:t>
      </w:r>
      <w:r>
        <w:rPr>
          <w:rFonts w:ascii="Arial" w:cs="Arial" w:eastAsia="Arial" w:hAnsi="Arial"/>
          <w:sz w:val="12"/>
          <w:szCs w:val="12"/>
          <w:color w:val="auto"/>
        </w:rPr>
        <w:t xml:space="preserve">) and TNBC (BNT327-02, </w:t>
      </w:r>
      <w:r>
        <w:rPr>
          <w:rFonts w:ascii="Arial" w:cs="Arial" w:eastAsia="Arial" w:hAnsi="Arial"/>
          <w:sz w:val="12"/>
          <w:szCs w:val="12"/>
          <w:u w:val="single" w:color="auto"/>
          <w:color w:val="auto"/>
        </w:rPr>
        <w:t>NCT06449222</w:t>
      </w:r>
      <w:r>
        <w:rPr>
          <w:rFonts w:ascii="Arial" w:cs="Arial" w:eastAsia="Arial" w:hAnsi="Arial"/>
          <w:sz w:val="12"/>
          <w:szCs w:val="12"/>
          <w:color w:val="auto"/>
        </w:rPr>
        <w:t>) are planned to be published in 2025.</w:t>
      </w:r>
    </w:p>
    <w:p>
      <w:pPr>
        <w:spacing w:after="0" w:line="22" w:lineRule="exact"/>
        <w:rPr>
          <w:rFonts w:ascii="Arial" w:cs="Arial" w:eastAsia="Arial" w:hAnsi="Arial"/>
          <w:sz w:val="12"/>
          <w:szCs w:val="12"/>
          <w:color w:val="auto"/>
        </w:rPr>
      </w:pPr>
    </w:p>
    <w:p>
      <w:pPr>
        <w:ind w:left="428" w:hanging="212"/>
        <w:spacing w:after="0" w:line="333" w:lineRule="auto"/>
        <w:tabs>
          <w:tab w:leader="none" w:pos="425" w:val="left"/>
        </w:tabs>
        <w:numPr>
          <w:ilvl w:val="0"/>
          <w:numId w:val="7"/>
        </w:numPr>
        <w:rPr>
          <w:rFonts w:ascii="Arial" w:cs="Arial" w:eastAsia="Arial" w:hAnsi="Arial"/>
          <w:sz w:val="12"/>
          <w:szCs w:val="12"/>
          <w:color w:val="auto"/>
        </w:rPr>
      </w:pPr>
      <w:r>
        <w:rPr>
          <w:rFonts w:ascii="Arial" w:cs="Arial" w:eastAsia="Arial" w:hAnsi="Arial"/>
          <w:sz w:val="12"/>
          <w:szCs w:val="12"/>
          <w:color w:val="auto"/>
        </w:rPr>
        <w:t>Data from two Phase 2 clinical trials conducted in China in first- and second-line SCLC (NCT05844150, NCT05879068, respectively) are expected to be presented at the European Lung Cancer Congress (“ELCC”) taking place March 26-29, 2025 in Paris, France.</w:t>
      </w:r>
    </w:p>
    <w:p>
      <w:pPr>
        <w:spacing w:after="0" w:line="31"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Title: Phase 2 study of the efficacy and safety of BNT327 plus systemic chemotherapy as first-line therapy for ES-SCLC</w:t>
      </w:r>
    </w:p>
    <w:p>
      <w:pPr>
        <w:spacing w:after="0" w:line="24"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Presentation Date: March 28, 2025</w:t>
      </w: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308"/>
          </w:cols>
          <w:pgMar w:left="292" w:top="1147" w:right="299" w:bottom="1440" w:gutter="0" w:footer="0" w:header="0"/>
        </w:sectPr>
      </w:pPr>
    </w:p>
    <w:bookmarkStart w:id="8" w:name="page9"/>
    <w:bookmarkEnd w:id="8"/>
    <w:p>
      <w:pPr>
        <w:ind w:left="4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3035" cy="160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23035" cy="160020"/>
                    </a:xfrm>
                    <a:prstGeom prst="rect">
                      <a:avLst/>
                    </a:prstGeom>
                    <a:noFill/>
                  </pic:spPr>
                </pic:pic>
              </a:graphicData>
            </a:graphic>
          </wp:anchor>
        </w:drawing>
        <w:t>Poster Number: 302P</w:t>
      </w:r>
    </w:p>
    <w:p>
      <w:pPr>
        <w:spacing w:after="0" w:line="3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Author: Y. Cheng</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Title: Updated Phase 2 efficacy and safety results of BNT327 combined with paclitaxel as second-line therapy in SCLC</w:t>
      </w:r>
    </w:p>
    <w:p>
      <w:pPr>
        <w:spacing w:after="0" w:line="3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Presentation Date: March 28, 2025</w:t>
      </w:r>
    </w:p>
    <w:p>
      <w:pPr>
        <w:spacing w:after="0" w:line="2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Poster Number: 332P</w:t>
      </w:r>
    </w:p>
    <w:p>
      <w:pPr>
        <w:spacing w:after="0" w:line="3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Author: Y. Cheng</w:t>
      </w:r>
    </w:p>
    <w:p>
      <w:pPr>
        <w:spacing w:after="0" w:line="186" w:lineRule="exact"/>
        <w:rPr>
          <w:sz w:val="20"/>
          <w:szCs w:val="20"/>
          <w:color w:val="auto"/>
        </w:rPr>
      </w:pPr>
    </w:p>
    <w:p>
      <w:pPr>
        <w:ind w:left="420" w:hanging="212"/>
        <w:spacing w:after="0" w:line="333" w:lineRule="auto"/>
        <w:tabs>
          <w:tab w:leader="none" w:pos="417" w:val="left"/>
        </w:tabs>
        <w:numPr>
          <w:ilvl w:val="0"/>
          <w:numId w:val="8"/>
        </w:numPr>
        <w:rPr>
          <w:rFonts w:ascii="Arial" w:cs="Arial" w:eastAsia="Arial" w:hAnsi="Arial"/>
          <w:sz w:val="12"/>
          <w:szCs w:val="12"/>
          <w:color w:val="auto"/>
        </w:rPr>
      </w:pPr>
      <w:r>
        <w:rPr>
          <w:rFonts w:ascii="Arial" w:cs="Arial" w:eastAsia="Arial" w:hAnsi="Arial"/>
          <w:sz w:val="12"/>
          <w:szCs w:val="12"/>
          <w:color w:val="auto"/>
        </w:rPr>
        <w:t>First clinical data from the ongoing global Phase 1/2 expansion cohorts (</w:t>
      </w:r>
      <w:r>
        <w:rPr>
          <w:rFonts w:ascii="Arial" w:cs="Arial" w:eastAsia="Arial" w:hAnsi="Arial"/>
          <w:sz w:val="12"/>
          <w:szCs w:val="12"/>
          <w:u w:val="single" w:color="auto"/>
          <w:color w:val="auto"/>
        </w:rPr>
        <w:t>NCT05438329</w:t>
      </w:r>
      <w:r>
        <w:rPr>
          <w:rFonts w:ascii="Arial" w:cs="Arial" w:eastAsia="Arial" w:hAnsi="Arial"/>
          <w:sz w:val="12"/>
          <w:szCs w:val="12"/>
          <w:color w:val="auto"/>
        </w:rPr>
        <w:t>) evaluating the combination of BNT327 and BNT325/DB-1305, a TROP2-targeted antibody-drug conjugate (“ADC”) candidate, are planned to be published in 2025.</w:t>
      </w:r>
    </w:p>
    <w:p>
      <w:pPr>
        <w:spacing w:after="0" w:line="22" w:lineRule="exact"/>
        <w:rPr>
          <w:rFonts w:ascii="Arial" w:cs="Arial" w:eastAsia="Arial" w:hAnsi="Arial"/>
          <w:sz w:val="12"/>
          <w:szCs w:val="12"/>
          <w:color w:val="auto"/>
        </w:rPr>
      </w:pPr>
    </w:p>
    <w:p>
      <w:pPr>
        <w:ind w:left="420" w:hanging="212"/>
        <w:spacing w:after="0" w:line="333" w:lineRule="auto"/>
        <w:tabs>
          <w:tab w:leader="none" w:pos="417" w:val="left"/>
        </w:tabs>
        <w:numPr>
          <w:ilvl w:val="0"/>
          <w:numId w:val="8"/>
        </w:numPr>
        <w:rPr>
          <w:rFonts w:ascii="Arial" w:cs="Arial" w:eastAsia="Arial" w:hAnsi="Arial"/>
          <w:sz w:val="12"/>
          <w:szCs w:val="12"/>
          <w:color w:val="auto"/>
        </w:rPr>
      </w:pPr>
      <w:r>
        <w:rPr>
          <w:rFonts w:ascii="Arial" w:cs="Arial" w:eastAsia="Arial" w:hAnsi="Arial"/>
          <w:sz w:val="12"/>
          <w:szCs w:val="12"/>
          <w:color w:val="auto"/>
        </w:rPr>
        <w:t>Additional clinical trials exploring novel combinations of BNT327 with the ADC candidates BNT323/DB-1303 (trastuzumab pamirtecan) targeting HER2, BNT324/DB-1311 targeting B7-H3 or BNT326/YL202 targeting HER3 are planned to start in 2025.</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BNT316/ONC-392 (gotistobart) </w:t>
      </w:r>
      <w:r>
        <w:rPr>
          <w:rFonts w:ascii="Arial" w:cs="Arial" w:eastAsia="Arial" w:hAnsi="Arial"/>
          <w:sz w:val="12"/>
          <w:szCs w:val="12"/>
          <w:color w:val="auto"/>
        </w:rPr>
        <w:t>is an anti-CTLA-4 monoclonal antibody candidate being developed in collaboration with OncoC4, Inc. (“OncoC4”).</w:t>
      </w:r>
    </w:p>
    <w:p>
      <w:pPr>
        <w:spacing w:after="0" w:line="96" w:lineRule="exact"/>
        <w:rPr>
          <w:sz w:val="20"/>
          <w:szCs w:val="20"/>
          <w:color w:val="auto"/>
        </w:rPr>
      </w:pPr>
    </w:p>
    <w:p>
      <w:pPr>
        <w:ind w:left="420" w:hanging="212"/>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 xml:space="preserve">In December 2024, the U.S. Food and Drug Administration (“FDA”) lifted the partial clinical hold on the OncoC4-sponsored Phase 3 clinical trial (PRESERVE-003; </w:t>
      </w:r>
      <w:r>
        <w:rPr>
          <w:rFonts w:ascii="Arial" w:cs="Arial" w:eastAsia="Arial" w:hAnsi="Arial"/>
          <w:sz w:val="12"/>
          <w:szCs w:val="12"/>
          <w:u w:val="single" w:color="auto"/>
          <w:color w:val="auto"/>
        </w:rPr>
        <w:t>NCT05671510</w:t>
      </w:r>
      <w:r>
        <w:rPr>
          <w:rFonts w:ascii="Arial" w:cs="Arial" w:eastAsia="Arial" w:hAnsi="Arial"/>
          <w:sz w:val="12"/>
          <w:szCs w:val="12"/>
          <w:color w:val="auto"/>
        </w:rPr>
        <w:t>) evaluating the efficacy</w:t>
      </w:r>
    </w:p>
    <w:p>
      <w:pPr>
        <w:spacing w:after="0" w:line="33" w:lineRule="exact"/>
        <w:rPr>
          <w:rFonts w:ascii="Arial" w:cs="Arial" w:eastAsia="Arial" w:hAnsi="Arial"/>
          <w:sz w:val="12"/>
          <w:szCs w:val="12"/>
          <w:color w:val="auto"/>
        </w:rPr>
      </w:pPr>
    </w:p>
    <w:p>
      <w:pPr>
        <w:ind w:left="420"/>
        <w:spacing w:after="0" w:line="317" w:lineRule="auto"/>
        <w:rPr>
          <w:rFonts w:ascii="Arial" w:cs="Arial" w:eastAsia="Arial" w:hAnsi="Arial"/>
          <w:sz w:val="12"/>
          <w:szCs w:val="12"/>
          <w:color w:val="auto"/>
        </w:rPr>
      </w:pPr>
      <w:r>
        <w:rPr>
          <w:rFonts w:ascii="Arial" w:cs="Arial" w:eastAsia="Arial" w:hAnsi="Arial"/>
          <w:sz w:val="12"/>
          <w:szCs w:val="12"/>
          <w:color w:val="auto"/>
        </w:rPr>
        <w:t>and safety of BNT316/ONC-392 as monotherapy in patients with metastatic NSCLC that progressed under previous PD-(L)1-inhibitor treatment. Based on the available clinical trial data and upon alignment with the FDA, the companies will solely continue enrollment of patients with squamous NSCLC.</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mRNA Cancer Immunotherapies</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color w:val="auto"/>
        </w:rPr>
        <w:t>Autogene cevumeran (BNT122/RO7198457</w:t>
      </w:r>
      <w:r>
        <w:rPr>
          <w:rFonts w:ascii="Arial" w:cs="Arial" w:eastAsia="Arial" w:hAnsi="Arial"/>
          <w:sz w:val="12"/>
          <w:szCs w:val="12"/>
          <w:i w:val="1"/>
          <w:iCs w:val="1"/>
          <w:color w:val="auto"/>
        </w:rPr>
        <w:t>)</w:t>
      </w:r>
      <w:r>
        <w:rPr>
          <w:rFonts w:ascii="Arial" w:cs="Arial" w:eastAsia="Arial" w:hAnsi="Arial"/>
          <w:sz w:val="12"/>
          <w:szCs w:val="12"/>
          <w:color w:val="auto"/>
        </w:rPr>
        <w:t xml:space="preserve"> and BNT111 are investigational immunotherapies for the treatment of cancer based on BioNTech’s systemically administered uridine mRNA-lipoplex technology.</w:t>
      </w:r>
    </w:p>
    <w:p>
      <w:pPr>
        <w:spacing w:after="0" w:line="195" w:lineRule="exact"/>
        <w:rPr>
          <w:sz w:val="20"/>
          <w:szCs w:val="20"/>
          <w:color w:val="auto"/>
        </w:rPr>
      </w:pPr>
    </w:p>
    <w:p>
      <w:pPr>
        <w:spacing w:after="0" w:line="317" w:lineRule="auto"/>
        <w:rPr>
          <w:sz w:val="20"/>
          <w:szCs w:val="20"/>
          <w:color w:val="auto"/>
        </w:rPr>
      </w:pPr>
      <w:r>
        <w:rPr>
          <w:rFonts w:ascii="Arial" w:cs="Arial" w:eastAsia="Arial" w:hAnsi="Arial"/>
          <w:sz w:val="12"/>
          <w:szCs w:val="12"/>
          <w:b w:val="1"/>
          <w:bCs w:val="1"/>
          <w:color w:val="auto"/>
        </w:rPr>
        <w:t xml:space="preserve">Autogene cevumeran </w:t>
      </w:r>
      <w:r>
        <w:rPr>
          <w:rFonts w:ascii="Arial" w:cs="Arial" w:eastAsia="Arial" w:hAnsi="Arial"/>
          <w:sz w:val="12"/>
          <w:szCs w:val="12"/>
          <w:color w:val="auto"/>
        </w:rPr>
        <w:t>is an individualized neoantigen-specific mRNA cancer immunotherapy candidate being developed in collaboration with Genentech, Inc. (“Genentech”), a member of the Roche Group</w:t>
      </w:r>
      <w:r>
        <w:rPr>
          <w:rFonts w:ascii="Arial" w:cs="Arial" w:eastAsia="Arial" w:hAnsi="Arial"/>
          <w:sz w:val="12"/>
          <w:szCs w:val="12"/>
          <w:b w:val="1"/>
          <w:bCs w:val="1"/>
          <w:color w:val="auto"/>
        </w:rPr>
        <w:t xml:space="preserve"> </w:t>
      </w:r>
      <w:r>
        <w:rPr>
          <w:rFonts w:ascii="Arial" w:cs="Arial" w:eastAsia="Arial" w:hAnsi="Arial"/>
          <w:sz w:val="12"/>
          <w:szCs w:val="12"/>
          <w:color w:val="auto"/>
        </w:rPr>
        <w:t>(“Roche”).</w:t>
      </w:r>
    </w:p>
    <w:p>
      <w:pPr>
        <w:spacing w:after="0" w:line="40" w:lineRule="exact"/>
        <w:rPr>
          <w:sz w:val="20"/>
          <w:szCs w:val="20"/>
          <w:color w:val="auto"/>
        </w:rPr>
      </w:pPr>
    </w:p>
    <w:p>
      <w:pPr>
        <w:ind w:left="420" w:hanging="212"/>
        <w:spacing w:after="0" w:line="317" w:lineRule="auto"/>
        <w:tabs>
          <w:tab w:leader="none" w:pos="417" w:val="left"/>
        </w:tabs>
        <w:numPr>
          <w:ilvl w:val="0"/>
          <w:numId w:val="10"/>
        </w:numPr>
        <w:rPr>
          <w:rFonts w:ascii="Arial" w:cs="Arial" w:eastAsia="Arial" w:hAnsi="Arial"/>
          <w:sz w:val="12"/>
          <w:szCs w:val="12"/>
          <w:color w:val="auto"/>
        </w:rPr>
      </w:pPr>
      <w:r>
        <w:rPr>
          <w:rFonts w:ascii="Arial" w:cs="Arial" w:eastAsia="Arial" w:hAnsi="Arial"/>
          <w:sz w:val="12"/>
          <w:szCs w:val="12"/>
          <w:color w:val="auto"/>
        </w:rPr>
        <w:t xml:space="preserve">In December 2024, the first patient was treated in a global randomized Phase 2 clinical trial (IMCODE004; </w:t>
      </w:r>
      <w:r>
        <w:rPr>
          <w:rFonts w:ascii="Arial" w:cs="Arial" w:eastAsia="Arial" w:hAnsi="Arial"/>
          <w:sz w:val="12"/>
          <w:szCs w:val="12"/>
          <w:u w:val="single" w:color="auto"/>
          <w:color w:val="auto"/>
        </w:rPr>
        <w:t>NCT06534983</w:t>
      </w:r>
      <w:r>
        <w:rPr>
          <w:rFonts w:ascii="Arial" w:cs="Arial" w:eastAsia="Arial" w:hAnsi="Arial"/>
          <w:sz w:val="12"/>
          <w:szCs w:val="12"/>
          <w:color w:val="auto"/>
        </w:rPr>
        <w:t>) evaluating autogene cevumeran in combination with nivolumab compared to nivolumab alone as an adjuvant treatment in high-risk muscle-invasive urothelial carcinoma (“MIUC”).</w:t>
      </w:r>
    </w:p>
    <w:p>
      <w:pPr>
        <w:spacing w:after="0" w:line="40" w:lineRule="exact"/>
        <w:rPr>
          <w:rFonts w:ascii="Arial" w:cs="Arial" w:eastAsia="Arial" w:hAnsi="Arial"/>
          <w:sz w:val="12"/>
          <w:szCs w:val="12"/>
          <w:color w:val="auto"/>
        </w:rPr>
      </w:pPr>
    </w:p>
    <w:p>
      <w:pPr>
        <w:jc w:val="both"/>
        <w:ind w:left="420" w:hanging="212"/>
        <w:spacing w:after="0" w:line="289" w:lineRule="auto"/>
        <w:tabs>
          <w:tab w:leader="none" w:pos="417"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 January 2025, a manuscript summarizing the results of a Phase 1 clinical trial (</w:t>
      </w:r>
      <w:r>
        <w:rPr>
          <w:rFonts w:ascii="Arial" w:cs="Arial" w:eastAsia="Arial" w:hAnsi="Arial"/>
          <w:sz w:val="12"/>
          <w:szCs w:val="12"/>
          <w:u w:val="single" w:color="auto"/>
          <w:color w:val="auto"/>
        </w:rPr>
        <w:t>NCT03289962</w:t>
      </w:r>
      <w:r>
        <w:rPr>
          <w:rFonts w:ascii="Arial" w:cs="Arial" w:eastAsia="Arial" w:hAnsi="Arial"/>
          <w:sz w:val="12"/>
          <w:szCs w:val="12"/>
          <w:color w:val="auto"/>
        </w:rPr>
        <w:t>) evaluating autogene cevumeran in combination with atezolizumab in patients with advanced solid tumors was published in Nature Medicine (Lopez et al., 2025). In February 2025, a manuscript denoting follow up data from an investigator-initiated Phase 1 clinical trial (</w:t>
      </w:r>
      <w:r>
        <w:rPr>
          <w:rFonts w:ascii="Arial" w:cs="Arial" w:eastAsia="Arial" w:hAnsi="Arial"/>
          <w:sz w:val="12"/>
          <w:szCs w:val="12"/>
          <w:u w:val="single" w:color="auto"/>
          <w:color w:val="auto"/>
        </w:rPr>
        <w:t>NCT04161755</w:t>
      </w:r>
      <w:r>
        <w:rPr>
          <w:rFonts w:ascii="Arial" w:cs="Arial" w:eastAsia="Arial" w:hAnsi="Arial"/>
          <w:sz w:val="12"/>
          <w:szCs w:val="12"/>
          <w:color w:val="auto"/>
        </w:rPr>
        <w:t>, Rojas et al., 2023)</w:t>
      </w:r>
    </w:p>
    <w:p>
      <w:pPr>
        <w:ind w:left="420"/>
        <w:spacing w:after="0" w:line="317" w:lineRule="auto"/>
        <w:rPr>
          <w:rFonts w:ascii="Arial" w:cs="Arial" w:eastAsia="Arial" w:hAnsi="Arial"/>
          <w:sz w:val="12"/>
          <w:szCs w:val="12"/>
          <w:color w:val="auto"/>
        </w:rPr>
      </w:pPr>
      <w:r>
        <w:rPr>
          <w:rFonts w:ascii="Arial" w:cs="Arial" w:eastAsia="Arial" w:hAnsi="Arial"/>
          <w:sz w:val="12"/>
          <w:szCs w:val="12"/>
          <w:color w:val="auto"/>
        </w:rPr>
        <w:t>evaluating autogene cevumeran in combination with atezolizumab in patients with pancreatic ductal adenocarcinoma (“PDAC”) in an adjuvant treatment setting was published in Nature (Sethna et al., 2025).</w:t>
      </w:r>
    </w:p>
    <w:p>
      <w:pPr>
        <w:spacing w:after="0" w:line="40" w:lineRule="exact"/>
        <w:rPr>
          <w:rFonts w:ascii="Arial" w:cs="Arial" w:eastAsia="Arial" w:hAnsi="Arial"/>
          <w:sz w:val="12"/>
          <w:szCs w:val="12"/>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First data from the ongoing global randomized Phase 2 clinical trial (</w:t>
      </w:r>
      <w:r>
        <w:rPr>
          <w:rFonts w:ascii="Arial" w:cs="Arial" w:eastAsia="Arial" w:hAnsi="Arial"/>
          <w:sz w:val="12"/>
          <w:szCs w:val="12"/>
          <w:u w:val="single" w:color="auto"/>
          <w:color w:val="auto"/>
        </w:rPr>
        <w:t>NCT04486378</w:t>
      </w:r>
      <w:r>
        <w:rPr>
          <w:rFonts w:ascii="Arial" w:cs="Arial" w:eastAsia="Arial" w:hAnsi="Arial"/>
          <w:sz w:val="12"/>
          <w:szCs w:val="12"/>
          <w:color w:val="auto"/>
        </w:rPr>
        <w:t>) evaluating autogene cevumeran as an adjuvant treatment compared to watchful waiting after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300"/>
          </w:cols>
          <w:pgMar w:left="300" w:top="1171" w:right="299" w:bottom="1440" w:gutter="0" w:footer="0" w:header="0"/>
        </w:sectPr>
      </w:pPr>
    </w:p>
    <w:bookmarkStart w:id="9" w:name="page10"/>
    <w:bookmarkEnd w:id="9"/>
    <w:p>
      <w:pPr>
        <w:ind w:left="4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3035" cy="160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23035" cy="160020"/>
                    </a:xfrm>
                    <a:prstGeom prst="rect">
                      <a:avLst/>
                    </a:prstGeom>
                    <a:noFill/>
                  </pic:spPr>
                </pic:pic>
              </a:graphicData>
            </a:graphic>
          </wp:anchor>
        </w:drawing>
        <w:t>standard of care chemotherapy in resected circulating tumor DNA+ (“ctDNA”) stage II (high-risk) and III colorectal cancer (“CRC”) are anticipated in late 2025 or early 2026.</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BNT111 </w:t>
      </w:r>
      <w:r>
        <w:rPr>
          <w:rFonts w:ascii="Arial" w:cs="Arial" w:eastAsia="Arial" w:hAnsi="Arial"/>
          <w:sz w:val="12"/>
          <w:szCs w:val="12"/>
          <w:color w:val="auto"/>
        </w:rPr>
        <w:t>is based on BioNTech’s fully owned, off-the-shelf FixVac platform, and encodes four melanoma-associated antigens.</w:t>
      </w:r>
    </w:p>
    <w:p>
      <w:pPr>
        <w:spacing w:after="0" w:line="96" w:lineRule="exact"/>
        <w:rPr>
          <w:sz w:val="20"/>
          <w:szCs w:val="20"/>
          <w:color w:val="auto"/>
        </w:rPr>
      </w:pPr>
    </w:p>
    <w:p>
      <w:pPr>
        <w:ind w:left="420" w:hanging="212"/>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 xml:space="preserve">BioNTech plans to present data from the ongoing Phase 2 clinical trial (BNT111-01; </w:t>
      </w:r>
      <w:r>
        <w:rPr>
          <w:rFonts w:ascii="Arial" w:cs="Arial" w:eastAsia="Arial" w:hAnsi="Arial"/>
          <w:sz w:val="12"/>
          <w:szCs w:val="12"/>
          <w:u w:val="single" w:color="auto"/>
          <w:color w:val="auto"/>
        </w:rPr>
        <w:t>NCT04526899</w:t>
      </w:r>
      <w:r>
        <w:rPr>
          <w:rFonts w:ascii="Arial" w:cs="Arial" w:eastAsia="Arial" w:hAnsi="Arial"/>
          <w:sz w:val="12"/>
          <w:szCs w:val="12"/>
          <w:color w:val="auto"/>
        </w:rPr>
        <w:t>) at a medical conference in 2025. In 2024, an initial topline readout was provided noting that the clinical</w:t>
      </w:r>
    </w:p>
    <w:p>
      <w:pPr>
        <w:spacing w:after="0" w:line="33" w:lineRule="exact"/>
        <w:rPr>
          <w:rFonts w:ascii="Arial" w:cs="Arial" w:eastAsia="Arial" w:hAnsi="Arial"/>
          <w:sz w:val="12"/>
          <w:szCs w:val="12"/>
          <w:color w:val="auto"/>
        </w:rPr>
      </w:pPr>
    </w:p>
    <w:p>
      <w:pPr>
        <w:ind w:left="420"/>
        <w:spacing w:after="0" w:line="317" w:lineRule="auto"/>
        <w:rPr>
          <w:rFonts w:ascii="Arial" w:cs="Arial" w:eastAsia="Arial" w:hAnsi="Arial"/>
          <w:sz w:val="12"/>
          <w:szCs w:val="12"/>
          <w:color w:val="auto"/>
        </w:rPr>
      </w:pPr>
      <w:r>
        <w:rPr>
          <w:rFonts w:ascii="Arial" w:cs="Arial" w:eastAsia="Arial" w:hAnsi="Arial"/>
          <w:sz w:val="12"/>
          <w:szCs w:val="12"/>
          <w:color w:val="auto"/>
        </w:rPr>
        <w:t>trial had met its primary efficacy outcome measure, demonstrating a statistically significant improvement in overall response rate (“ORR”) in patients with anti-PD-(L)1 refractory/relapsed, unresectable stage III or IV melanoma treated with BNT111 in combination with cemiplimab as compared to historical control in this treatment setting.</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Antibody-Drug Conjugates</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BNT323/DB-1303 (trastuzumab pamirtecan) </w:t>
      </w:r>
      <w:r>
        <w:rPr>
          <w:rFonts w:ascii="Arial" w:cs="Arial" w:eastAsia="Arial" w:hAnsi="Arial"/>
          <w:sz w:val="12"/>
          <w:szCs w:val="12"/>
          <w:color w:val="auto"/>
        </w:rPr>
        <w:t>is an ADC candidate targeting HER2 that is being developed in collaboration with Duality Biologics (Suzhou) Co. Ltd. (“DualityBio”).</w:t>
      </w:r>
    </w:p>
    <w:p>
      <w:pPr>
        <w:spacing w:after="0" w:line="105" w:lineRule="exact"/>
        <w:rPr>
          <w:sz w:val="20"/>
          <w:szCs w:val="20"/>
          <w:color w:val="auto"/>
        </w:rPr>
      </w:pPr>
    </w:p>
    <w:p>
      <w:pPr>
        <w:ind w:left="420" w:hanging="212"/>
        <w:spacing w:after="0" w:line="317" w:lineRule="auto"/>
        <w:tabs>
          <w:tab w:leader="none" w:pos="417" w:val="left"/>
        </w:tabs>
        <w:numPr>
          <w:ilvl w:val="0"/>
          <w:numId w:val="12"/>
        </w:numPr>
        <w:rPr>
          <w:rFonts w:ascii="Arial" w:cs="Arial" w:eastAsia="Arial" w:hAnsi="Arial"/>
          <w:sz w:val="12"/>
          <w:szCs w:val="12"/>
          <w:b w:val="1"/>
          <w:bCs w:val="1"/>
          <w:i w:val="1"/>
          <w:iCs w:val="1"/>
          <w:color w:val="auto"/>
        </w:rPr>
      </w:pPr>
      <w:r>
        <w:rPr>
          <w:rFonts w:ascii="Arial" w:cs="Arial" w:eastAsia="Arial" w:hAnsi="Arial"/>
          <w:sz w:val="12"/>
          <w:szCs w:val="12"/>
          <w:color w:val="auto"/>
        </w:rPr>
        <w:t>BNT323/DB-1303 is being evaluated in a Phase 1/2 clinical trial (</w:t>
      </w:r>
      <w:r>
        <w:rPr>
          <w:rFonts w:ascii="Arial" w:cs="Arial" w:eastAsia="Arial" w:hAnsi="Arial"/>
          <w:sz w:val="12"/>
          <w:szCs w:val="12"/>
          <w:u w:val="single" w:color="auto"/>
          <w:color w:val="auto"/>
        </w:rPr>
        <w:t>NCT05150691</w:t>
      </w:r>
      <w:r>
        <w:rPr>
          <w:rFonts w:ascii="Arial" w:cs="Arial" w:eastAsia="Arial" w:hAnsi="Arial"/>
          <w:sz w:val="12"/>
          <w:szCs w:val="12"/>
          <w:color w:val="auto"/>
        </w:rPr>
        <w:t>) in patients with advanced/unresectable, recurrent or metastatic HER2-expressing solid tumors. Data from patients with HER2-expressing (IHC3+, 2+, 1+ or ISH-positive) advanced endometrial carcinoma are expected in 2025. A confirmatory Phase 3 clinical trial (</w:t>
      </w:r>
      <w:r>
        <w:rPr>
          <w:rFonts w:ascii="Arial" w:cs="Arial" w:eastAsia="Arial" w:hAnsi="Arial"/>
          <w:sz w:val="12"/>
          <w:szCs w:val="12"/>
          <w:u w:val="single" w:color="auto"/>
          <w:color w:val="auto"/>
        </w:rPr>
        <w:t>NCT06340568</w:t>
      </w:r>
      <w:r>
        <w:rPr>
          <w:rFonts w:ascii="Arial" w:cs="Arial" w:eastAsia="Arial" w:hAnsi="Arial"/>
          <w:sz w:val="12"/>
          <w:szCs w:val="12"/>
          <w:color w:val="auto"/>
        </w:rPr>
        <w:t>) is planned to start in 2025.</w:t>
      </w:r>
    </w:p>
    <w:p>
      <w:pPr>
        <w:spacing w:after="0" w:line="40" w:lineRule="exact"/>
        <w:rPr>
          <w:rFonts w:ascii="Arial" w:cs="Arial" w:eastAsia="Arial" w:hAnsi="Arial"/>
          <w:sz w:val="12"/>
          <w:szCs w:val="12"/>
          <w:b w:val="1"/>
          <w:bCs w:val="1"/>
          <w:i w:val="1"/>
          <w:iCs w:val="1"/>
          <w:color w:val="auto"/>
        </w:rPr>
      </w:pPr>
    </w:p>
    <w:p>
      <w:pPr>
        <w:ind w:left="420" w:hanging="212"/>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Preparation of a potential Biologics License Application (“BLA”) submission for BNT323/DB-1303 as a second line or subsequent therapy in HER2-expressing advanced endometrial cancer in 2025.</w:t>
      </w:r>
    </w:p>
    <w:p>
      <w:pPr>
        <w:spacing w:after="0" w:line="105" w:lineRule="exact"/>
        <w:rPr>
          <w:sz w:val="20"/>
          <w:szCs w:val="20"/>
          <w:color w:val="auto"/>
        </w:rPr>
      </w:pPr>
    </w:p>
    <w:p>
      <w:pPr>
        <w:jc w:val="both"/>
        <w:spacing w:after="0" w:line="307" w:lineRule="auto"/>
        <w:rPr>
          <w:sz w:val="20"/>
          <w:szCs w:val="20"/>
          <w:color w:val="auto"/>
        </w:rPr>
      </w:pPr>
      <w:r>
        <w:rPr>
          <w:rFonts w:ascii="Arial" w:cs="Arial" w:eastAsia="Arial" w:hAnsi="Arial"/>
          <w:sz w:val="12"/>
          <w:szCs w:val="12"/>
          <w:b w:val="1"/>
          <w:bCs w:val="1"/>
          <w:color w:val="auto"/>
        </w:rPr>
        <w:t xml:space="preserve">BNT324/DB-1311 </w:t>
      </w:r>
      <w:r>
        <w:rPr>
          <w:rFonts w:ascii="Arial" w:cs="Arial" w:eastAsia="Arial" w:hAnsi="Arial"/>
          <w:sz w:val="12"/>
          <w:szCs w:val="12"/>
          <w:color w:val="auto"/>
        </w:rPr>
        <w:t>is an ADC candidate targeting B7-H3 that is being developed in collaboration with DualityBio. The program has received Fast Track designation from the FDA for the treatment of patients with</w:t>
      </w:r>
      <w:r>
        <w:rPr>
          <w:rFonts w:ascii="Arial" w:cs="Arial" w:eastAsia="Arial" w:hAnsi="Arial"/>
          <w:sz w:val="12"/>
          <w:szCs w:val="12"/>
          <w:b w:val="1"/>
          <w:bCs w:val="1"/>
          <w:color w:val="auto"/>
        </w:rPr>
        <w:t xml:space="preserve"> </w:t>
      </w:r>
      <w:r>
        <w:rPr>
          <w:rFonts w:ascii="Arial" w:cs="Arial" w:eastAsia="Arial" w:hAnsi="Arial"/>
          <w:sz w:val="12"/>
          <w:szCs w:val="12"/>
          <w:color w:val="auto"/>
        </w:rPr>
        <w:t>advanced castration-resistant prostate cancer (“CRPC”) who have progressed on or after standard systemic regimens and Orphan Drug designation for the treatment of patients with advanced esophageal squamous cell carcinoma.</w:t>
      </w:r>
    </w:p>
    <w:p>
      <w:pPr>
        <w:spacing w:after="0" w:line="37" w:lineRule="exact"/>
        <w:rPr>
          <w:sz w:val="20"/>
          <w:szCs w:val="20"/>
          <w:color w:val="auto"/>
        </w:rPr>
      </w:pPr>
    </w:p>
    <w:p>
      <w:pPr>
        <w:ind w:left="420" w:hanging="212"/>
        <w:spacing w:after="0" w:line="333" w:lineRule="auto"/>
        <w:tabs>
          <w:tab w:leader="none" w:pos="417"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 December 2024, preliminary data from the first-in-human, open-label Phase 1/2 clinical trial (</w:t>
      </w:r>
      <w:r>
        <w:rPr>
          <w:rFonts w:ascii="Arial" w:cs="Arial" w:eastAsia="Arial" w:hAnsi="Arial"/>
          <w:sz w:val="12"/>
          <w:szCs w:val="12"/>
          <w:u w:val="single" w:color="auto"/>
          <w:color w:val="auto"/>
        </w:rPr>
        <w:t>NCT05914116</w:t>
      </w:r>
      <w:r>
        <w:rPr>
          <w:rFonts w:ascii="Arial" w:cs="Arial" w:eastAsia="Arial" w:hAnsi="Arial"/>
          <w:sz w:val="12"/>
          <w:szCs w:val="12"/>
          <w:color w:val="auto"/>
        </w:rPr>
        <w:t>) were presented at the 2024 European Society for Medical Oncology (“ESMO”) Asia Congress, demonstrating encouraging efficacy and a manageable safety profile across a range of advanced solid tumors.</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Cell Therapies</w:t>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BNT211 </w:t>
      </w:r>
      <w:r>
        <w:rPr>
          <w:rFonts w:ascii="Arial" w:cs="Arial" w:eastAsia="Arial" w:hAnsi="Arial"/>
          <w:sz w:val="12"/>
          <w:szCs w:val="12"/>
          <w:color w:val="auto"/>
        </w:rPr>
        <w:t>consists of a CAR-T cell product candidate targeting CLDN6-positive solid tumors in combination with a CAR-T cell-amplifying RNA cancer immunotherapy encoding CLDN6.</w:t>
      </w:r>
    </w:p>
    <w:p>
      <w:pPr>
        <w:spacing w:after="0" w:line="96" w:lineRule="exact"/>
        <w:rPr>
          <w:sz w:val="20"/>
          <w:szCs w:val="20"/>
          <w:color w:val="auto"/>
        </w:rPr>
      </w:pPr>
    </w:p>
    <w:p>
      <w:pPr>
        <w:ind w:left="420" w:hanging="212"/>
        <w:spacing w:after="0" w:line="333" w:lineRule="auto"/>
        <w:tabs>
          <w:tab w:leader="none" w:pos="417" w:val="left"/>
        </w:tabs>
        <w:numPr>
          <w:ilvl w:val="0"/>
          <w:numId w:val="14"/>
        </w:numPr>
        <w:rPr>
          <w:rFonts w:ascii="Arial" w:cs="Arial" w:eastAsia="Arial" w:hAnsi="Arial"/>
          <w:sz w:val="12"/>
          <w:szCs w:val="12"/>
          <w:color w:val="auto"/>
        </w:rPr>
      </w:pPr>
      <w:r>
        <w:rPr>
          <w:rFonts w:ascii="Arial" w:cs="Arial" w:eastAsia="Arial" w:hAnsi="Arial"/>
          <w:sz w:val="12"/>
          <w:szCs w:val="12"/>
          <w:color w:val="auto"/>
        </w:rPr>
        <w:t>In January 2025, the FDA granted Regenerative Medicine Advanced Therapy (“RMAT”) designation for BNT211. The RMAT designation is designed to expedite the development and review process for promising pipeline products, including cell therapies.</w:t>
      </w:r>
    </w:p>
    <w:p>
      <w:pPr>
        <w:spacing w:after="0" w:line="22" w:lineRule="exact"/>
        <w:rPr>
          <w:rFonts w:ascii="Arial" w:cs="Arial" w:eastAsia="Arial" w:hAnsi="Arial"/>
          <w:sz w:val="12"/>
          <w:szCs w:val="12"/>
          <w:color w:val="auto"/>
        </w:rPr>
      </w:pPr>
    </w:p>
    <w:p>
      <w:pPr>
        <w:ind w:left="420" w:hanging="212"/>
        <w:spacing w:after="0" w:line="317" w:lineRule="auto"/>
        <w:tabs>
          <w:tab w:leader="none" w:pos="417" w:val="left"/>
        </w:tabs>
        <w:numPr>
          <w:ilvl w:val="0"/>
          <w:numId w:val="14"/>
        </w:numPr>
        <w:rPr>
          <w:rFonts w:ascii="Arial" w:cs="Arial" w:eastAsia="Arial" w:hAnsi="Arial"/>
          <w:sz w:val="12"/>
          <w:szCs w:val="12"/>
          <w:color w:val="auto"/>
        </w:rPr>
      </w:pPr>
      <w:r>
        <w:rPr>
          <w:rFonts w:ascii="Arial" w:cs="Arial" w:eastAsia="Arial" w:hAnsi="Arial"/>
          <w:sz w:val="12"/>
          <w:szCs w:val="12"/>
          <w:color w:val="auto"/>
        </w:rPr>
        <w:t>A pivotal Phase 2 clinical trial in patients with testicular germ cell tumors is expected to start in 2025 based on encouraging clinical activity observed in this patient population in the ongoing Phase 1 clinical trial (</w:t>
      </w:r>
      <w:r>
        <w:rPr>
          <w:rFonts w:ascii="Arial" w:cs="Arial" w:eastAsia="Arial" w:hAnsi="Arial"/>
          <w:sz w:val="12"/>
          <w:szCs w:val="12"/>
          <w:u w:val="single" w:color="auto"/>
          <w:color w:val="auto"/>
        </w:rPr>
        <w:t>NCT04503278</w:t>
      </w:r>
      <w:r>
        <w:rPr>
          <w:rFonts w:ascii="Arial" w:cs="Arial" w:eastAsia="Arial" w:hAnsi="Arial"/>
          <w:sz w:val="12"/>
          <w:szCs w:val="12"/>
          <w:color w:val="auto"/>
        </w:rPr>
        <w:t>). The Phase 1 clinical trial is ongoing to evaluate BNT211 in other CLDN6+ cancer types, including NSCLC and gynecologic cancers.</w:t>
      </w: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300"/>
          </w:cols>
          <w:pgMar w:left="300" w:top="1171" w:right="299" w:bottom="1440" w:gutter="0" w:footer="0" w:header="0"/>
        </w:sectPr>
      </w:pPr>
    </w:p>
    <w:bookmarkStart w:id="10" w:name="page11"/>
    <w:bookmarkEnd w:id="10"/>
    <w:p>
      <w:pPr>
        <w:spacing w:after="0"/>
        <w:rPr>
          <w:sz w:val="20"/>
          <w:szCs w:val="20"/>
          <w:color w:val="auto"/>
        </w:rPr>
      </w:pPr>
      <w:r>
        <w:rPr>
          <w:rFonts w:ascii="Arial" w:cs="Arial" w:eastAsia="Arial" w:hAnsi="Arial"/>
          <w:sz w:val="12"/>
          <w:szCs w:val="12"/>
          <w:b w:val="1"/>
          <w:bCs w:val="1"/>
          <w:i w:val="1"/>
          <w:i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3035" cy="160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23035" cy="160020"/>
                    </a:xfrm>
                    <a:prstGeom prst="rect">
                      <a:avLst/>
                    </a:prstGeom>
                    <a:noFill/>
                  </pic:spPr>
                </pic:pic>
              </a:graphicData>
            </a:graphic>
          </wp:anchor>
        </w:drawing>
        <w:t>Selected Infectious Diseases Pipeline Updates</w:t>
      </w:r>
    </w:p>
    <w:p>
      <w:pPr>
        <w:spacing w:after="0" w:line="193" w:lineRule="exact"/>
        <w:rPr>
          <w:sz w:val="20"/>
          <w:szCs w:val="20"/>
          <w:color w:val="auto"/>
        </w:rPr>
      </w:pPr>
    </w:p>
    <w:p>
      <w:pPr>
        <w:ind w:right="20"/>
        <w:spacing w:after="0" w:line="301" w:lineRule="auto"/>
        <w:rPr>
          <w:sz w:val="20"/>
          <w:szCs w:val="20"/>
          <w:color w:val="auto"/>
        </w:rPr>
      </w:pPr>
      <w:r>
        <w:rPr>
          <w:rFonts w:ascii="Arial" w:cs="Arial" w:eastAsia="Arial" w:hAnsi="Arial"/>
          <w:sz w:val="12"/>
          <w:szCs w:val="12"/>
          <w:color w:val="auto"/>
        </w:rPr>
        <w:t>BioNTech and Pfizer developed, manufactured and delivered JN.1- and KP.2-adapted COVID-19 vaccines which received multiple regulatory approvals and marketing authorizations in more than 40 countries and regions. In 2024, BioNTech and Pfizer delivered approximately 180 million variant-adapted COVID-19 vaccine doses worldwide.</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color w:val="auto"/>
        </w:rPr>
        <w:t>BioNTech and Pfizer continue to invest in the research and development of next-generation and combination COVID-19 vaccine candidates.</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Corporate Update for the Fourth Quarter 2024 and Key Post Period-End Events</w:t>
      </w:r>
    </w:p>
    <w:p>
      <w:pPr>
        <w:spacing w:after="0" w:line="96" w:lineRule="exact"/>
        <w:rPr>
          <w:sz w:val="20"/>
          <w:szCs w:val="20"/>
          <w:color w:val="auto"/>
        </w:rPr>
      </w:pPr>
    </w:p>
    <w:p>
      <w:pPr>
        <w:jc w:val="both"/>
        <w:ind w:left="420" w:hanging="212"/>
        <w:spacing w:after="0" w:line="315" w:lineRule="auto"/>
        <w:tabs>
          <w:tab w:leader="none" w:pos="417"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 November 2024, BioNTech signed an agreement to acquire Biotheus and obtain full global rights to BNT327 and to all other candidates from Biotheus’ pipeline, as well as to its in-house antibody generation platform and bispecific ADC capability. The transaction amounted to an upfront consideration of $800 million, plus additional performance-based payments of up to $150 million. The acquisition was completed in February 2025.</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Upcoming Investor and Analyst Events</w:t>
      </w:r>
    </w:p>
    <w:p>
      <w:pPr>
        <w:spacing w:after="0" w:line="105" w:lineRule="exact"/>
        <w:rPr>
          <w:sz w:val="20"/>
          <w:szCs w:val="20"/>
          <w:color w:val="auto"/>
        </w:rPr>
      </w:pPr>
    </w:p>
    <w:p>
      <w:pPr>
        <w:ind w:left="200" w:hanging="154"/>
        <w:spacing w:after="0"/>
        <w:tabs>
          <w:tab w:leader="none" w:pos="2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Sustainability Report 2024 Publication: March 24, 2025</w:t>
      </w:r>
    </w:p>
    <w:p>
      <w:pPr>
        <w:spacing w:after="0" w:line="96" w:lineRule="exact"/>
        <w:rPr>
          <w:rFonts w:ascii="Arial" w:cs="Arial" w:eastAsia="Arial" w:hAnsi="Arial"/>
          <w:sz w:val="12"/>
          <w:szCs w:val="12"/>
          <w:color w:val="auto"/>
        </w:rPr>
      </w:pPr>
    </w:p>
    <w:p>
      <w:pPr>
        <w:ind w:left="200" w:hanging="154"/>
        <w:spacing w:after="0"/>
        <w:tabs>
          <w:tab w:leader="none" w:pos="2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Annual General Meeting: May 16, 2025</w:t>
      </w:r>
    </w:p>
    <w:p>
      <w:pPr>
        <w:spacing w:after="0" w:line="105" w:lineRule="exact"/>
        <w:rPr>
          <w:rFonts w:ascii="Arial" w:cs="Arial" w:eastAsia="Arial" w:hAnsi="Arial"/>
          <w:sz w:val="12"/>
          <w:szCs w:val="12"/>
          <w:color w:val="auto"/>
        </w:rPr>
      </w:pPr>
    </w:p>
    <w:p>
      <w:pPr>
        <w:ind w:left="200" w:hanging="154"/>
        <w:spacing w:after="0"/>
        <w:tabs>
          <w:tab w:leader="none" w:pos="2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Innovation Series AI Day: October 1, 2025</w:t>
      </w:r>
    </w:p>
    <w:p>
      <w:pPr>
        <w:spacing w:after="0" w:line="96" w:lineRule="exact"/>
        <w:rPr>
          <w:rFonts w:ascii="Arial" w:cs="Arial" w:eastAsia="Arial" w:hAnsi="Arial"/>
          <w:sz w:val="12"/>
          <w:szCs w:val="12"/>
          <w:color w:val="auto"/>
        </w:rPr>
      </w:pPr>
    </w:p>
    <w:p>
      <w:pPr>
        <w:ind w:left="200" w:hanging="154"/>
        <w:spacing w:after="0"/>
        <w:tabs>
          <w:tab w:leader="none" w:pos="2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Innovation Series R&amp;D Day: November 18, 2025</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Conference Call and Webcast Information</w:t>
      </w:r>
    </w:p>
    <w:p>
      <w:pPr>
        <w:spacing w:after="0" w:line="168" w:lineRule="exact"/>
        <w:rPr>
          <w:sz w:val="20"/>
          <w:szCs w:val="20"/>
          <w:color w:val="auto"/>
        </w:rPr>
      </w:pPr>
    </w:p>
    <w:p>
      <w:pPr>
        <w:jc w:val="both"/>
        <w:ind w:right="20"/>
        <w:spacing w:after="0" w:line="333" w:lineRule="auto"/>
        <w:rPr>
          <w:sz w:val="20"/>
          <w:szCs w:val="20"/>
          <w:color w:val="auto"/>
        </w:rPr>
      </w:pPr>
      <w:r>
        <w:rPr>
          <w:rFonts w:ascii="Arial" w:cs="Arial" w:eastAsia="Arial" w:hAnsi="Arial"/>
          <w:sz w:val="12"/>
          <w:szCs w:val="12"/>
          <w:color w:val="auto"/>
        </w:rPr>
        <w:t>BioNTech invites investors and the general public to join a conference call and webcast with investment analysts today, March 10, 2025, at 8:00 a.m. EDT (1:00 p.m. CET) to report its financial results and provide a corporate update for the fourth quarter and full year 2024.</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To access the live conference call via telephone, please register </w:t>
      </w:r>
      <w:r>
        <w:rPr>
          <w:rFonts w:ascii="Arial" w:cs="Arial" w:eastAsia="Arial" w:hAnsi="Arial"/>
          <w:sz w:val="12"/>
          <w:szCs w:val="12"/>
          <w:u w:val="single" w:color="auto"/>
          <w:color w:val="auto"/>
        </w:rPr>
        <w:t>via this link</w:t>
      </w:r>
      <w:r>
        <w:rPr>
          <w:rFonts w:ascii="Arial" w:cs="Arial" w:eastAsia="Arial" w:hAnsi="Arial"/>
          <w:sz w:val="12"/>
          <w:szCs w:val="12"/>
          <w:color w:val="auto"/>
        </w:rPr>
        <w:t>. Once registered, dial-in numbers and a PIN number will be provided.</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The slide presentation and audio of the webcast will be available </w:t>
      </w:r>
      <w:r>
        <w:rPr>
          <w:rFonts w:ascii="Arial" w:cs="Arial" w:eastAsia="Arial" w:hAnsi="Arial"/>
          <w:sz w:val="12"/>
          <w:szCs w:val="12"/>
          <w:u w:val="single" w:color="auto"/>
          <w:color w:val="auto"/>
        </w:rPr>
        <w:t>via this link</w:t>
      </w:r>
      <w:r>
        <w:rPr>
          <w:rFonts w:ascii="Arial" w:cs="Arial" w:eastAsia="Arial" w:hAnsi="Arial"/>
          <w:sz w:val="12"/>
          <w:szCs w:val="12"/>
          <w:color w:val="auto"/>
        </w:rPr>
        <w:t>.</w:t>
      </w:r>
    </w:p>
    <w:p>
      <w:pPr>
        <w:spacing w:after="0" w:line="186" w:lineRule="exact"/>
        <w:rPr>
          <w:sz w:val="20"/>
          <w:szCs w:val="20"/>
          <w:color w:val="auto"/>
        </w:rPr>
      </w:pPr>
    </w:p>
    <w:p>
      <w:pPr>
        <w:jc w:val="both"/>
        <w:ind w:right="20"/>
        <w:spacing w:after="0" w:line="333" w:lineRule="auto"/>
        <w:rPr>
          <w:sz w:val="20"/>
          <w:szCs w:val="20"/>
          <w:color w:val="auto"/>
        </w:rPr>
      </w:pPr>
      <w:r>
        <w:rPr>
          <w:rFonts w:ascii="Arial" w:cs="Arial" w:eastAsia="Arial" w:hAnsi="Arial"/>
          <w:sz w:val="12"/>
          <w:szCs w:val="12"/>
          <w:color w:val="auto"/>
        </w:rPr>
        <w:t xml:space="preserve">Participants may also access the slides and the webcast of the conference call via the “Events &amp; Presentations” page of the Investor section of the Company’s website at </w:t>
      </w:r>
      <w:r>
        <w:rPr>
          <w:rFonts w:ascii="Arial" w:cs="Arial" w:eastAsia="Arial" w:hAnsi="Arial"/>
          <w:sz w:val="12"/>
          <w:szCs w:val="12"/>
          <w:u w:val="single" w:color="auto"/>
          <w:color w:val="auto"/>
        </w:rPr>
        <w:t>www.BioNTech.com</w:t>
      </w:r>
      <w:r>
        <w:rPr>
          <w:rFonts w:ascii="Arial" w:cs="Arial" w:eastAsia="Arial" w:hAnsi="Arial"/>
          <w:sz w:val="12"/>
          <w:szCs w:val="12"/>
          <w:color w:val="auto"/>
        </w:rPr>
        <w:t>. A replay of the webcast will be available shortly after the conclusion of the call and archived on the Company’s website for 30 days following the call.</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BioNTech</w:t>
      </w:r>
    </w:p>
    <w:p>
      <w:pPr>
        <w:spacing w:after="0" w:line="105" w:lineRule="exact"/>
        <w:rPr>
          <w:sz w:val="20"/>
          <w:szCs w:val="20"/>
          <w:color w:val="auto"/>
        </w:rPr>
      </w:pPr>
    </w:p>
    <w:p>
      <w:pPr>
        <w:jc w:val="both"/>
        <w:spacing w:after="0" w:line="307" w:lineRule="auto"/>
        <w:rPr>
          <w:sz w:val="20"/>
          <w:szCs w:val="20"/>
          <w:color w:val="auto"/>
        </w:rPr>
      </w:pPr>
      <w:r>
        <w:rPr>
          <w:rFonts w:ascii="Arial" w:cs="Arial" w:eastAsia="Arial" w:hAnsi="Arial"/>
          <w:sz w:val="12"/>
          <w:szCs w:val="12"/>
          <w:color w:val="auto"/>
        </w:rPr>
        <w:t>Biopharmaceutical New Technologies (BioNTech) is a global next generation immunotherapy company pioneering novel investigative therapies for cancer and other serious diseases. BioNTech exploits a wide array of computational discovery and therapeutic modalities with the intent of rapid development of novel biopharmaceuticals. Its broad portfolio of oncology product candidates aiming to address the full continuum of cancer includes mRNA cancer immunotherapies, next-generation</w:t>
      </w: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300"/>
          </w:cols>
          <w:pgMar w:left="300" w:top="1335" w:right="299" w:bottom="1440" w:gutter="0" w:footer="0" w:header="0"/>
        </w:sectPr>
      </w:pPr>
    </w:p>
    <w:bookmarkStart w:id="11" w:name="page12"/>
    <w:bookmarkEnd w:id="11"/>
    <w:p>
      <w:pPr>
        <w:jc w:val="both"/>
        <w:spacing w:after="0" w:line="30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3035" cy="160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23035" cy="160020"/>
                    </a:xfrm>
                    <a:prstGeom prst="rect">
                      <a:avLst/>
                    </a:prstGeom>
                    <a:noFill/>
                  </pic:spPr>
                </pic:pic>
              </a:graphicData>
            </a:graphic>
          </wp:anchor>
        </w:drawing>
        <w:t>immunomodulators and targeted therapies such as antibody-drug conjugates (ADCs) and innovative chimeric antigen receptor (CAR) T cell therapies. Based on its deep expertise in mRNA development and in-house manufacturing capabilities, BioNTech and its collaborators are researching and developing multiple mRNA vaccine candidates for a range of infectious diseases alongside its diverse oncology pipeline. BioNTech has established a broad set of relationships with multiple global and specialized pharmaceutical collaborators, including Duality Biologics, Fosun Pharma, Genentech, a member of the Roche Group, Genevant, Genmab, MediLink, OncoC4, Pfizer and Regeneron.</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For more information, please visit </w:t>
      </w:r>
      <w:r>
        <w:rPr>
          <w:rFonts w:ascii="Arial" w:cs="Arial" w:eastAsia="Arial" w:hAnsi="Arial"/>
          <w:sz w:val="12"/>
          <w:szCs w:val="12"/>
          <w:u w:val="single" w:color="auto"/>
          <w:color w:val="auto"/>
        </w:rPr>
        <w:t>www.BioNTech.com</w:t>
      </w:r>
      <w:r>
        <w:rPr>
          <w:rFonts w:ascii="Arial" w:cs="Arial" w:eastAsia="Arial" w:hAnsi="Arial"/>
          <w:sz w:val="12"/>
          <w:szCs w:val="12"/>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96"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This press release contains forward-looking statements within the meaning of the Private Securities Litigation Reform Act of 1995, as amended, including, but not limited to, statements concerning: BioNTech’s expected revenues and net profit/(loss) related to sales of BioNTech’s COVID-19 vaccine, referred to as COMIRNATY where approved for use under full or conditional marketing authorization, in territories controlled by BioNTech’s collaboration partners, particularly for those figures that are derived from preliminary estimates provided by BioNTech’s partners; the rate and degree of market acceptance of BioNTech’s COVID-19 vaccine and, if approved, BioNTech’s investigational medicines; expectations regarding anticipated changes in COVID-19 vaccine demand, including changes to the ordering environment and expected regulatory recommendations to adapt vaccines to address new variants or sublineages; the initiation, timing, progress, results, and cost of BioNTech’s research and development programs, including BioNTech’s current and future preclinical studies and clinical trials, including statements regarding the expected timing of initiation, enrollment, and completion of studies or clinical trials and related preparatory work and the availability of results, and the timing and outcome of applications for regulatory approvals and marketing authorizations; BioNTech’s expectations regarding potential future commercialization in oncology, including goals regarding timing and indications; the targeted timing and number of additional potentially registrational clinical trials, and the registrational potential of any clinical trial BioNTech may initiate; discussions with regulatory agencies; BioNTech’s expectations with respect to intellectual property; the impact of BioNTech’s collaboration and licensing agreements; the development, nature and feasibility of sustainable vaccine production and supply solutions; the deployment of AI across BioNTech’s preclinical and clinical operations; BioNTech’s estimates of revenues, research and development expenses, selling, general and administrative expenses and capital expenditures for operating activities; BioNTech’s expectations regarding upcoming payments relating to litigation settlements; BioNTech’s expectations for upcoming scientific and investor presentations; and BioNTech’s expectations of net profit / (loss).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w:t>
      </w:r>
    </w:p>
    <w:p>
      <w:pPr>
        <w:spacing w:after="0" w:line="148" w:lineRule="exact"/>
        <w:rPr>
          <w:sz w:val="20"/>
          <w:szCs w:val="20"/>
          <w:color w:val="auto"/>
        </w:rPr>
      </w:pPr>
    </w:p>
    <w:p>
      <w:pPr>
        <w:jc w:val="both"/>
        <w:spacing w:after="0" w:line="298" w:lineRule="auto"/>
        <w:rPr>
          <w:sz w:val="20"/>
          <w:szCs w:val="20"/>
          <w:color w:val="auto"/>
        </w:rPr>
      </w:pPr>
      <w:r>
        <w:rPr>
          <w:rFonts w:ascii="Arial" w:cs="Arial" w:eastAsia="Arial" w:hAnsi="Arial"/>
          <w:sz w:val="12"/>
          <w:szCs w:val="12"/>
          <w:color w:val="auto"/>
        </w:rPr>
        <w:t>The forward-looking statements in this press release are based on BioNTech’s current expectations and beliefs of future events, and are neither promises nor guarantees. You should not place undue reliance on these forward-looking statements because they involve known and unknown risks, uncertainties, and other factors, many of which are beyond BioNTech’s control and which could cause actual results to differ materially and adversely from those expressed or implied by these forward-looking statements. These risks and uncertainties include, but are not limited to: the uncertainties inherent in research and development, including the ability to meet anticipated clinical endpoints, commencement and/or completion dates for clinical trials, projected data release timelines, regulatory submission dates, regulatory approval dates and/or launch dates, as well as risks associated with preclinical and clinical data, including the data discussed in this release, and including the possibility</w:t>
      </w: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300"/>
          </w:cols>
          <w:pgMar w:left="300" w:top="1171" w:right="299" w:bottom="1440" w:gutter="0" w:footer="0" w:header="0"/>
        </w:sectPr>
      </w:pPr>
    </w:p>
    <w:bookmarkStart w:id="12" w:name="page13"/>
    <w:bookmarkEnd w:id="12"/>
    <w:p>
      <w:pPr>
        <w:jc w:val="both"/>
        <w:spacing w:after="0" w:line="29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3035" cy="160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23035" cy="160020"/>
                    </a:xfrm>
                    <a:prstGeom prst="rect">
                      <a:avLst/>
                    </a:prstGeom>
                    <a:noFill/>
                  </pic:spPr>
                </pic:pic>
              </a:graphicData>
            </a:graphic>
          </wp:anchor>
        </w:drawing>
        <w:t>of unfavorable new preclinical, clinical or safety data and further analyses of existing preclinical, clinical or safety data; the nature of the clinical data, which is subject to ongoing peer review, regulatory review and market interpretation; BioNTech’s pricing and coverage negotiations regarding its COVID-19 vaccine with governmental authorities, private health insurers and other third-party payors; the future commercial demand and medical need for initial or booster doses of a COVID-19 vaccine; competition from other COVID-19 vaccines or related to BioNTech’s other product candidates, including those with different mechanisms of action and different manufacturing and distribution constraints, on the basis of, among other things, efficacy, cost, convenience of storage and distribution, breadth of approved use, side-effect profile and durability of immune response; the timing of and BioNTech’s ability to obtain and maintain regulatory approval for its product candidates; the ability of BioNTech’s COVID-19 vaccines to prevent COVID-19 caused by emerging virus variants; BioNTech’s and its counterparties’ ability to manage and source necessary energy resources; BioNTech’s ability to identify research opportunities and discover and develop investigational medicines; the ability and willingness of BioNTech’s third-party collaborators to continue research and development activities relating to BioNTech's development candidates and investigational medicines; the impact of COVID-19 on BioNTech’s development programs, supply chain, collaborators and financial performance; unforeseen safety issues and potential claims that are alleged to arise from the use of products and product candidates developed or manufactured by BioNTech; BioNTech’s and its collaborators’ ability to commercialize and market BioNTech’s COVID-19 vaccine and, if approved, its product candidates; BioNTech’s ability to manage its development and related expenses; regulatory and political developments in the United States and other countries; BioNTech’s ability to effectively scale its production capabilities and manufacture its products and product candidates; risks relating to the global financial system and markets; and other factors not known to BioNTech at this time.</w:t>
      </w:r>
    </w:p>
    <w:p>
      <w:pPr>
        <w:spacing w:after="0" w:line="139" w:lineRule="exact"/>
        <w:rPr>
          <w:sz w:val="20"/>
          <w:szCs w:val="20"/>
          <w:color w:val="auto"/>
        </w:rPr>
      </w:pPr>
    </w:p>
    <w:p>
      <w:pPr>
        <w:jc w:val="both"/>
        <w:spacing w:after="0" w:line="307" w:lineRule="auto"/>
        <w:rPr>
          <w:sz w:val="20"/>
          <w:szCs w:val="20"/>
          <w:color w:val="auto"/>
        </w:rPr>
      </w:pPr>
      <w:r>
        <w:rPr>
          <w:rFonts w:ascii="Arial" w:cs="Arial" w:eastAsia="Arial" w:hAnsi="Arial"/>
          <w:sz w:val="12"/>
          <w:szCs w:val="12"/>
          <w:color w:val="auto"/>
        </w:rPr>
        <w:t xml:space="preserve">You should review the risks and uncertainties described under the heading “Risk Factors” in BioNTech’s Report on Form 20-F for the period ended December 31, 2024 and in subsequent filings made by BioNTech with the SEC, which are available on the SEC’s website at </w:t>
      </w:r>
      <w:r>
        <w:rPr>
          <w:rFonts w:ascii="Arial" w:cs="Arial" w:eastAsia="Arial" w:hAnsi="Arial"/>
          <w:sz w:val="12"/>
          <w:szCs w:val="12"/>
          <w:u w:val="single" w:color="auto"/>
          <w:color w:val="auto"/>
        </w:rPr>
        <w:t>www.sec.gov</w:t>
      </w:r>
      <w:r>
        <w:rPr>
          <w:rFonts w:ascii="Arial" w:cs="Arial" w:eastAsia="Arial" w:hAnsi="Arial"/>
          <w:sz w:val="12"/>
          <w:szCs w:val="12"/>
          <w:color w:val="auto"/>
          <w:highlight w:val="white"/>
        </w:rPr>
        <w:t>. These forward-looking statements speak only as of the date hereof. Except as required by law, BioNTech disclaims any intention or</w:t>
      </w:r>
      <w:r>
        <w:rPr>
          <w:rFonts w:ascii="Arial" w:cs="Arial" w:eastAsia="Arial" w:hAnsi="Arial"/>
          <w:sz w:val="12"/>
          <w:szCs w:val="12"/>
          <w:color w:val="auto"/>
        </w:rPr>
        <w:t xml:space="preserve"> responsibility for updating or revising any forward-looking statements contained in this press release in the event of new information, future developments or otherwise.</w:t>
      </w: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CONTACTS</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Michael Horowicz</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Investors@biontech.de</w:t>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Jasmina Alatovic</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Media@biontech.de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300"/>
          </w:cols>
          <w:pgMar w:left="300" w:top="1171" w:right="299" w:bottom="1440" w:gutter="0" w:footer="0" w:header="0"/>
        </w:sectPr>
      </w:pPr>
    </w:p>
    <w:bookmarkStart w:id="13" w:name="page14"/>
    <w:bookmarkEnd w:id="13"/>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3035" cy="160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423035" cy="160020"/>
                    </a:xfrm>
                    <a:prstGeom prst="rect">
                      <a:avLst/>
                    </a:prstGeom>
                    <a:noFill/>
                  </pic:spPr>
                </pic:pic>
              </a:graphicData>
            </a:graphic>
          </wp:anchor>
        </w:drawing>
        <w:t>Target abbreviation directory</w:t>
      </w:r>
    </w:p>
    <w:p>
      <w:pPr>
        <w:spacing w:after="0" w:line="35"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42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Anti-PD-(L)1</w:t>
            </w:r>
          </w:p>
        </w:tc>
        <w:tc>
          <w:tcPr>
            <w:tcW w:w="7020" w:type="dxa"/>
            <w:vAlign w:val="bottom"/>
            <w:tcBorders>
              <w:top w:val="single" w:sz="8" w:color="auto"/>
              <w:right w:val="single" w:sz="8" w:color="auto"/>
            </w:tcBorders>
          </w:tcPr>
          <w:p>
            <w:pPr>
              <w:spacing w:after="0"/>
              <w:rPr>
                <w:sz w:val="20"/>
                <w:szCs w:val="20"/>
                <w:color w:val="auto"/>
              </w:rPr>
            </w:pPr>
            <w:r>
              <w:rPr>
                <w:rFonts w:ascii="Arial" w:cs="Arial" w:eastAsia="Arial" w:hAnsi="Arial"/>
                <w:sz w:val="12"/>
                <w:szCs w:val="12"/>
                <w:color w:val="auto"/>
              </w:rPr>
              <w:t>Anti-programmed cell death protein (death-ligand) 1</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80"/>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B7-H3</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B7 Homolog 3</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80"/>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CLDN6</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Antigen Claudin 6</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80"/>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CTLA-4</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Cytotoxic T-lymphocyte–associated antigen 4</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80"/>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HER2</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Human Epidermal Growth Factor Receptor 2</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80"/>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HER3</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Human Epidermal Growth Factor Receptor 3</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80"/>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PD-L1</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Programmed death-ligand 1</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80"/>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TROP2</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Trophoblast cell-surface antigen 2</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80"/>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VEGF-A</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Vascular endothelial growth factor A</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300"/>
          </w:cols>
          <w:pgMar w:left="300" w:top="1108" w:right="29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3035" cy="160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23035" cy="160020"/>
                    </a:xfrm>
                    <a:prstGeom prst="rect">
                      <a:avLst/>
                    </a:prstGeom>
                    <a:noFill/>
                  </pic:spPr>
                </pic:pic>
              </a:graphicData>
            </a:graphic>
          </wp:anchor>
        </w:drawing>
        <w:t>Consolidated Statements of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126365</wp:posOffset>
            </wp:positionV>
            <wp:extent cx="7178040"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0" w:type="dxa"/>
            <w:vAlign w:val="bottom"/>
            <w:gridSpan w:val="4"/>
          </w:tcPr>
          <w:p>
            <w:pPr>
              <w:jc w:val="center"/>
              <w:ind w:left="706"/>
              <w:spacing w:after="0"/>
              <w:rPr>
                <w:sz w:val="20"/>
                <w:szCs w:val="20"/>
                <w:color w:val="auto"/>
              </w:rPr>
            </w:pPr>
            <w:r>
              <w:rPr>
                <w:rFonts w:ascii="Arial" w:cs="Arial" w:eastAsia="Arial" w:hAnsi="Arial"/>
                <w:sz w:val="11"/>
                <w:szCs w:val="11"/>
                <w:b w:val="1"/>
                <w:bCs w:val="1"/>
                <w:color w:val="005A64"/>
                <w:w w:val="99"/>
              </w:rPr>
              <w:t>Three months ended</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80" w:type="dxa"/>
            <w:vAlign w:val="bottom"/>
            <w:gridSpan w:val="4"/>
          </w:tcPr>
          <w:p>
            <w:pPr>
              <w:jc w:val="center"/>
              <w:ind w:left="746"/>
              <w:spacing w:after="0"/>
              <w:rPr>
                <w:sz w:val="20"/>
                <w:szCs w:val="20"/>
                <w:color w:val="auto"/>
              </w:rPr>
            </w:pPr>
            <w:r>
              <w:rPr>
                <w:rFonts w:ascii="Arial" w:cs="Arial" w:eastAsia="Arial" w:hAnsi="Arial"/>
                <w:sz w:val="11"/>
                <w:szCs w:val="11"/>
                <w:b w:val="1"/>
                <w:bCs w:val="1"/>
                <w:color w:val="005A64"/>
                <w:w w:val="94"/>
              </w:rPr>
              <w:t>Years ended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0" w:type="dxa"/>
            <w:vAlign w:val="bottom"/>
            <w:gridSpan w:val="4"/>
          </w:tcPr>
          <w:p>
            <w:pPr>
              <w:jc w:val="center"/>
              <w:ind w:left="706"/>
              <w:spacing w:after="0"/>
              <w:rPr>
                <w:sz w:val="20"/>
                <w:szCs w:val="20"/>
                <w:color w:val="auto"/>
              </w:rPr>
            </w:pPr>
            <w:r>
              <w:rPr>
                <w:rFonts w:ascii="Arial" w:cs="Arial" w:eastAsia="Arial" w:hAnsi="Arial"/>
                <w:sz w:val="11"/>
                <w:szCs w:val="11"/>
                <w:b w:val="1"/>
                <w:bCs w:val="1"/>
                <w:color w:val="005A64"/>
              </w:rPr>
              <w:t>December 31,</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80" w:type="dxa"/>
            <w:vAlign w:val="bottom"/>
            <w:gridSpan w:val="4"/>
          </w:tcPr>
          <w:p>
            <w:pPr>
              <w:jc w:val="center"/>
              <w:ind w:left="746"/>
              <w:spacing w:after="0"/>
              <w:rPr>
                <w:sz w:val="20"/>
                <w:szCs w:val="20"/>
                <w:color w:val="auto"/>
              </w:rPr>
            </w:pPr>
            <w:r>
              <w:rPr>
                <w:rFonts w:ascii="Arial" w:cs="Arial" w:eastAsia="Arial" w:hAnsi="Arial"/>
                <w:sz w:val="11"/>
                <w:szCs w:val="11"/>
                <w:b w:val="1"/>
                <w:bCs w:val="1"/>
                <w:color w:val="005A64"/>
                <w:w w:val="97"/>
              </w:rPr>
              <w:t>December 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5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60" w:type="dxa"/>
            <w:vAlign w:val="bottom"/>
            <w:tcBorders>
              <w:bottom w:val="single" w:sz="8" w:color="BECD32"/>
            </w:tcBorders>
            <w:gridSpan w:val="2"/>
          </w:tcPr>
          <w:p>
            <w:pPr>
              <w:spacing w:after="0"/>
              <w:rPr>
                <w:sz w:val="7"/>
                <w:szCs w:val="7"/>
                <w:color w:val="auto"/>
              </w:rPr>
            </w:pPr>
          </w:p>
        </w:tc>
        <w:tc>
          <w:tcPr>
            <w:tcW w:w="100" w:type="dxa"/>
            <w:vAlign w:val="bottom"/>
            <w:tcBorders>
              <w:bottom w:val="single" w:sz="8" w:color="BECD32"/>
            </w:tcBorders>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b w:val="1"/>
                <w:bCs w:val="1"/>
                <w:color w:val="005A64"/>
              </w:rPr>
              <w:t>2023</w:t>
            </w:r>
          </w:p>
        </w:tc>
        <w:tc>
          <w:tcPr>
            <w:tcW w:w="100" w:type="dxa"/>
            <w:vAlign w:val="bottom"/>
          </w:tcPr>
          <w:p>
            <w:pPr>
              <w:spacing w:after="0"/>
              <w:rPr>
                <w:sz w:val="7"/>
                <w:szCs w:val="7"/>
                <w:color w:val="auto"/>
              </w:rPr>
            </w:pPr>
          </w:p>
        </w:tc>
        <w:tc>
          <w:tcPr>
            <w:tcW w:w="1460" w:type="dxa"/>
            <w:vAlign w:val="bottom"/>
            <w:tcBorders>
              <w:bottom w:val="single" w:sz="8" w:color="BECD32"/>
            </w:tcBorders>
            <w:gridSpan w:val="2"/>
          </w:tcPr>
          <w:p>
            <w:pPr>
              <w:spacing w:after="0"/>
              <w:rPr>
                <w:sz w:val="7"/>
                <w:szCs w:val="7"/>
                <w:color w:val="auto"/>
              </w:rPr>
            </w:pPr>
          </w:p>
        </w:tc>
        <w:tc>
          <w:tcPr>
            <w:tcW w:w="120" w:type="dxa"/>
            <w:vAlign w:val="bottom"/>
            <w:tcBorders>
              <w:bottom w:val="single" w:sz="8" w:color="BECD32"/>
            </w:tcBorders>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b w:val="1"/>
                <w:bCs w:val="1"/>
                <w:color w:val="005A64"/>
              </w:rPr>
              <w:t>2023</w:t>
            </w:r>
          </w:p>
        </w:tc>
        <w:tc>
          <w:tcPr>
            <w:tcW w:w="0" w:type="dxa"/>
            <w:vAlign w:val="bottom"/>
          </w:tcPr>
          <w:p>
            <w:pPr>
              <w:spacing w:after="0"/>
              <w:rPr>
                <w:sz w:val="1"/>
                <w:szCs w:val="1"/>
                <w:color w:val="auto"/>
              </w:rPr>
            </w:pPr>
          </w:p>
        </w:tc>
      </w:tr>
      <w:tr>
        <w:trPr>
          <w:trHeight w:val="155"/>
        </w:trPr>
        <w:tc>
          <w:tcPr>
            <w:tcW w:w="5000" w:type="dxa"/>
            <w:vAlign w:val="bottom"/>
          </w:tcPr>
          <w:p>
            <w:pPr>
              <w:spacing w:after="0"/>
              <w:rPr>
                <w:sz w:val="13"/>
                <w:szCs w:val="13"/>
                <w:color w:val="auto"/>
              </w:rPr>
            </w:pPr>
          </w:p>
        </w:tc>
        <w:tc>
          <w:tcPr>
            <w:tcW w:w="140" w:type="dxa"/>
            <w:vAlign w:val="bottom"/>
            <w:tcBorders>
              <w:right w:val="single" w:sz="8" w:color="BECD32"/>
            </w:tcBorders>
          </w:tcPr>
          <w:p>
            <w:pPr>
              <w:spacing w:after="0"/>
              <w:rPr>
                <w:sz w:val="13"/>
                <w:szCs w:val="13"/>
                <w:color w:val="auto"/>
              </w:rPr>
            </w:pPr>
          </w:p>
        </w:tc>
        <w:tc>
          <w:tcPr>
            <w:tcW w:w="1460" w:type="dxa"/>
            <w:vAlign w:val="bottom"/>
            <w:gridSpan w:val="2"/>
          </w:tcPr>
          <w:p>
            <w:pPr>
              <w:jc w:val="right"/>
              <w:spacing w:after="0"/>
              <w:rPr>
                <w:sz w:val="20"/>
                <w:szCs w:val="20"/>
                <w:color w:val="auto"/>
              </w:rPr>
            </w:pPr>
            <w:r>
              <w:rPr>
                <w:rFonts w:ascii="Arial" w:cs="Arial" w:eastAsia="Arial" w:hAnsi="Arial"/>
                <w:sz w:val="11"/>
                <w:szCs w:val="11"/>
                <w:b w:val="1"/>
                <w:bCs w:val="1"/>
                <w:color w:val="005A64"/>
              </w:rPr>
              <w:t>2024</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Borders>
              <w:right w:val="single" w:sz="8" w:color="BECD32"/>
            </w:tcBorders>
          </w:tcPr>
          <w:p>
            <w:pPr>
              <w:spacing w:after="0"/>
              <w:rPr>
                <w:sz w:val="13"/>
                <w:szCs w:val="13"/>
                <w:color w:val="auto"/>
              </w:rPr>
            </w:pPr>
          </w:p>
        </w:tc>
        <w:tc>
          <w:tcPr>
            <w:tcW w:w="1460" w:type="dxa"/>
            <w:vAlign w:val="bottom"/>
            <w:gridSpan w:val="2"/>
          </w:tcPr>
          <w:p>
            <w:pPr>
              <w:jc w:val="right"/>
              <w:spacing w:after="0"/>
              <w:rPr>
                <w:sz w:val="20"/>
                <w:szCs w:val="20"/>
                <w:color w:val="auto"/>
              </w:rPr>
            </w:pPr>
            <w:r>
              <w:rPr>
                <w:rFonts w:ascii="Arial" w:cs="Arial" w:eastAsia="Arial" w:hAnsi="Arial"/>
                <w:sz w:val="11"/>
                <w:szCs w:val="11"/>
                <w:b w:val="1"/>
                <w:bCs w:val="1"/>
                <w:color w:val="005A64"/>
              </w:rPr>
              <w:t>2024</w:t>
            </w:r>
          </w:p>
        </w:tc>
        <w:tc>
          <w:tcPr>
            <w:tcW w:w="12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140" w:type="dxa"/>
            <w:vAlign w:val="bottom"/>
            <w:tcBorders>
              <w:right w:val="single" w:sz="8" w:color="BECD32"/>
            </w:tcBorders>
            <w:gridSpan w:val="2"/>
          </w:tcPr>
          <w:p>
            <w:pPr>
              <w:spacing w:after="0"/>
              <w:rPr>
                <w:sz w:val="20"/>
                <w:szCs w:val="20"/>
                <w:color w:val="auto"/>
              </w:rPr>
            </w:pPr>
            <w:r>
              <w:rPr>
                <w:rFonts w:ascii="Arial" w:cs="Arial" w:eastAsia="Arial" w:hAnsi="Arial"/>
                <w:sz w:val="11"/>
                <w:szCs w:val="11"/>
                <w:i w:val="1"/>
                <w:iCs w:val="1"/>
                <w:color w:val="005A64"/>
              </w:rPr>
              <w:t>(in millions €, except per share data)</w:t>
            </w:r>
          </w:p>
        </w:tc>
        <w:tc>
          <w:tcPr>
            <w:tcW w:w="60" w:type="dxa"/>
            <w:vAlign w:val="bottom"/>
          </w:tcPr>
          <w:p>
            <w:pPr>
              <w:spacing w:after="0"/>
              <w:rPr>
                <w:sz w:val="15"/>
                <w:szCs w:val="15"/>
                <w:color w:val="auto"/>
              </w:rPr>
            </w:pPr>
          </w:p>
        </w:tc>
        <w:tc>
          <w:tcPr>
            <w:tcW w:w="1500" w:type="dxa"/>
            <w:vAlign w:val="bottom"/>
            <w:tcBorders>
              <w:right w:val="single" w:sz="8" w:color="BECD32"/>
            </w:tcBorders>
            <w:gridSpan w:val="2"/>
          </w:tcPr>
          <w:p>
            <w:pPr>
              <w:ind w:left="840"/>
              <w:spacing w:after="0"/>
              <w:rPr>
                <w:sz w:val="20"/>
                <w:szCs w:val="20"/>
                <w:color w:val="auto"/>
              </w:rPr>
            </w:pPr>
            <w:r>
              <w:rPr>
                <w:rFonts w:ascii="Arial" w:cs="Arial" w:eastAsia="Arial" w:hAnsi="Arial"/>
                <w:sz w:val="11"/>
                <w:szCs w:val="11"/>
                <w:i w:val="1"/>
                <w:iCs w:val="1"/>
                <w:color w:val="005A64"/>
              </w:rPr>
              <w:t>(unaudited)</w:t>
            </w:r>
          </w:p>
        </w:tc>
        <w:tc>
          <w:tcPr>
            <w:tcW w:w="700" w:type="dxa"/>
            <w:vAlign w:val="bottom"/>
            <w:gridSpan w:val="2"/>
          </w:tcPr>
          <w:p>
            <w:pPr>
              <w:spacing w:after="0"/>
              <w:rPr>
                <w:sz w:val="15"/>
                <w:szCs w:val="15"/>
                <w:color w:val="auto"/>
              </w:rPr>
            </w:pPr>
          </w:p>
        </w:tc>
        <w:tc>
          <w:tcPr>
            <w:tcW w:w="860" w:type="dxa"/>
            <w:vAlign w:val="bottom"/>
            <w:tcBorders>
              <w:right w:val="single" w:sz="8" w:color="BECD32"/>
            </w:tcBorders>
            <w:gridSpan w:val="2"/>
          </w:tcPr>
          <w:p>
            <w:pPr>
              <w:ind w:left="200"/>
              <w:spacing w:after="0"/>
              <w:rPr>
                <w:sz w:val="20"/>
                <w:szCs w:val="20"/>
                <w:color w:val="auto"/>
              </w:rPr>
            </w:pPr>
            <w:r>
              <w:rPr>
                <w:rFonts w:ascii="Arial" w:cs="Arial" w:eastAsia="Arial" w:hAnsi="Arial"/>
                <w:sz w:val="11"/>
                <w:szCs w:val="11"/>
                <w:i w:val="1"/>
                <w:iCs w:val="1"/>
                <w:color w:val="005A64"/>
              </w:rPr>
              <w:t>(unaudited)</w:t>
            </w:r>
          </w:p>
        </w:tc>
        <w:tc>
          <w:tcPr>
            <w:tcW w:w="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Borders>
              <w:right w:val="single" w:sz="8" w:color="BECD32"/>
            </w:tcBorders>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500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005A64"/>
            </w:tcBorders>
          </w:tcPr>
          <w:p>
            <w:pPr>
              <w:spacing w:after="0"/>
              <w:rPr>
                <w:sz w:val="2"/>
                <w:szCs w:val="2"/>
                <w:color w:val="auto"/>
              </w:rPr>
            </w:pPr>
          </w:p>
        </w:tc>
        <w:tc>
          <w:tcPr>
            <w:tcW w:w="76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005A64"/>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bottom w:val="single" w:sz="8" w:color="005A64"/>
            </w:tcBorders>
          </w:tcPr>
          <w:p>
            <w:pPr>
              <w:spacing w:after="0"/>
              <w:rPr>
                <w:sz w:val="2"/>
                <w:szCs w:val="2"/>
                <w:color w:val="auto"/>
              </w:rPr>
            </w:pPr>
          </w:p>
        </w:tc>
        <w:tc>
          <w:tcPr>
            <w:tcW w:w="80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514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Revenues</w:t>
            </w:r>
          </w:p>
        </w:tc>
        <w:tc>
          <w:tcPr>
            <w:tcW w:w="1460" w:type="dxa"/>
            <w:vAlign w:val="bottom"/>
            <w:gridSpan w:val="2"/>
          </w:tcPr>
          <w:p>
            <w:pPr>
              <w:jc w:val="right"/>
              <w:spacing w:after="0"/>
              <w:rPr>
                <w:sz w:val="20"/>
                <w:szCs w:val="20"/>
                <w:color w:val="auto"/>
              </w:rPr>
            </w:pPr>
            <w:r>
              <w:rPr>
                <w:rFonts w:ascii="Arial" w:cs="Arial" w:eastAsia="Arial" w:hAnsi="Arial"/>
                <w:sz w:val="11"/>
                <w:szCs w:val="11"/>
                <w:color w:val="005A64"/>
              </w:rPr>
              <w:t>1,190.0</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005A64"/>
              </w:rPr>
              <w:t>1,479.0</w:t>
            </w:r>
          </w:p>
        </w:tc>
        <w:tc>
          <w:tcPr>
            <w:tcW w:w="100" w:type="dxa"/>
            <w:vAlign w:val="bottom"/>
            <w:tcBorders>
              <w:right w:val="single" w:sz="8" w:color="BECD32"/>
            </w:tcBorders>
          </w:tcPr>
          <w:p>
            <w:pPr>
              <w:spacing w:after="0"/>
              <w:rPr>
                <w:sz w:val="12"/>
                <w:szCs w:val="12"/>
                <w:color w:val="auto"/>
              </w:rPr>
            </w:pPr>
          </w:p>
        </w:tc>
        <w:tc>
          <w:tcPr>
            <w:tcW w:w="1460" w:type="dxa"/>
            <w:vAlign w:val="bottom"/>
            <w:gridSpan w:val="2"/>
          </w:tcPr>
          <w:p>
            <w:pPr>
              <w:jc w:val="right"/>
              <w:spacing w:after="0"/>
              <w:rPr>
                <w:sz w:val="20"/>
                <w:szCs w:val="20"/>
                <w:color w:val="auto"/>
              </w:rPr>
            </w:pPr>
            <w:r>
              <w:rPr>
                <w:rFonts w:ascii="Arial" w:cs="Arial" w:eastAsia="Arial" w:hAnsi="Arial"/>
                <w:sz w:val="11"/>
                <w:szCs w:val="11"/>
                <w:color w:val="005A64"/>
              </w:rPr>
              <w:t>2,751.1</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005A64"/>
              </w:rPr>
              <w:t>3,819.0</w:t>
            </w:r>
          </w:p>
        </w:tc>
        <w:tc>
          <w:tcPr>
            <w:tcW w:w="0" w:type="dxa"/>
            <w:vAlign w:val="bottom"/>
          </w:tcPr>
          <w:p>
            <w:pPr>
              <w:spacing w:after="0"/>
              <w:rPr>
                <w:sz w:val="1"/>
                <w:szCs w:val="1"/>
                <w:color w:val="auto"/>
              </w:rPr>
            </w:pPr>
          </w:p>
        </w:tc>
      </w:tr>
      <w:tr>
        <w:trPr>
          <w:trHeight w:val="29"/>
        </w:trPr>
        <w:tc>
          <w:tcPr>
            <w:tcW w:w="500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76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bottom w:val="single" w:sz="8" w:color="7FACB1"/>
            </w:tcBorders>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514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Cost of sales</w:t>
            </w:r>
          </w:p>
        </w:tc>
        <w:tc>
          <w:tcPr>
            <w:tcW w:w="1460" w:type="dxa"/>
            <w:vAlign w:val="bottom"/>
            <w:gridSpan w:val="2"/>
          </w:tcPr>
          <w:p>
            <w:pPr>
              <w:jc w:val="right"/>
              <w:spacing w:after="0"/>
              <w:rPr>
                <w:sz w:val="20"/>
                <w:szCs w:val="20"/>
                <w:color w:val="auto"/>
              </w:rPr>
            </w:pPr>
            <w:r>
              <w:rPr>
                <w:rFonts w:ascii="Arial" w:cs="Arial" w:eastAsia="Arial" w:hAnsi="Arial"/>
                <w:sz w:val="11"/>
                <w:szCs w:val="11"/>
                <w:color w:val="005A64"/>
              </w:rPr>
              <w:t>(243.5)</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005A64"/>
              </w:rPr>
              <w:t>(179.1)</w:t>
            </w:r>
          </w:p>
        </w:tc>
        <w:tc>
          <w:tcPr>
            <w:tcW w:w="100" w:type="dxa"/>
            <w:vAlign w:val="bottom"/>
            <w:tcBorders>
              <w:right w:val="single" w:sz="8" w:color="BECD32"/>
            </w:tcBorders>
          </w:tcPr>
          <w:p>
            <w:pPr>
              <w:spacing w:after="0"/>
              <w:rPr>
                <w:sz w:val="12"/>
                <w:szCs w:val="12"/>
                <w:color w:val="auto"/>
              </w:rPr>
            </w:pPr>
          </w:p>
        </w:tc>
        <w:tc>
          <w:tcPr>
            <w:tcW w:w="1460" w:type="dxa"/>
            <w:vAlign w:val="bottom"/>
            <w:gridSpan w:val="2"/>
          </w:tcPr>
          <w:p>
            <w:pPr>
              <w:jc w:val="right"/>
              <w:spacing w:after="0"/>
              <w:rPr>
                <w:sz w:val="20"/>
                <w:szCs w:val="20"/>
                <w:color w:val="auto"/>
              </w:rPr>
            </w:pPr>
            <w:r>
              <w:rPr>
                <w:rFonts w:ascii="Arial" w:cs="Arial" w:eastAsia="Arial" w:hAnsi="Arial"/>
                <w:sz w:val="11"/>
                <w:szCs w:val="11"/>
                <w:color w:val="005A64"/>
              </w:rPr>
              <w:t>(541.3)</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005A64"/>
              </w:rPr>
              <w:t>(599.8)</w:t>
            </w:r>
          </w:p>
        </w:tc>
        <w:tc>
          <w:tcPr>
            <w:tcW w:w="0" w:type="dxa"/>
            <w:vAlign w:val="bottom"/>
          </w:tcPr>
          <w:p>
            <w:pPr>
              <w:spacing w:after="0"/>
              <w:rPr>
                <w:sz w:val="1"/>
                <w:szCs w:val="1"/>
                <w:color w:val="auto"/>
              </w:rPr>
            </w:pPr>
          </w:p>
        </w:tc>
      </w:tr>
      <w:tr>
        <w:trPr>
          <w:trHeight w:val="29"/>
        </w:trPr>
        <w:tc>
          <w:tcPr>
            <w:tcW w:w="500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76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bottom w:val="single" w:sz="8" w:color="7FACB1"/>
            </w:tcBorders>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514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Research and development expenses</w:t>
            </w:r>
          </w:p>
        </w:tc>
        <w:tc>
          <w:tcPr>
            <w:tcW w:w="1460" w:type="dxa"/>
            <w:vAlign w:val="bottom"/>
            <w:gridSpan w:val="2"/>
          </w:tcPr>
          <w:p>
            <w:pPr>
              <w:jc w:val="right"/>
              <w:spacing w:after="0"/>
              <w:rPr>
                <w:sz w:val="20"/>
                <w:szCs w:val="20"/>
                <w:color w:val="auto"/>
              </w:rPr>
            </w:pPr>
            <w:r>
              <w:rPr>
                <w:rFonts w:ascii="Arial" w:cs="Arial" w:eastAsia="Arial" w:hAnsi="Arial"/>
                <w:sz w:val="11"/>
                <w:szCs w:val="11"/>
                <w:color w:val="005A64"/>
              </w:rPr>
              <w:t>(611.8)</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005A64"/>
              </w:rPr>
              <w:t>(577.8)</w:t>
            </w:r>
          </w:p>
        </w:tc>
        <w:tc>
          <w:tcPr>
            <w:tcW w:w="100" w:type="dxa"/>
            <w:vAlign w:val="bottom"/>
            <w:tcBorders>
              <w:right w:val="single" w:sz="8" w:color="BECD32"/>
            </w:tcBorders>
          </w:tcPr>
          <w:p>
            <w:pPr>
              <w:spacing w:after="0"/>
              <w:rPr>
                <w:sz w:val="12"/>
                <w:szCs w:val="12"/>
                <w:color w:val="auto"/>
              </w:rPr>
            </w:pPr>
          </w:p>
        </w:tc>
        <w:tc>
          <w:tcPr>
            <w:tcW w:w="1460" w:type="dxa"/>
            <w:vAlign w:val="bottom"/>
            <w:gridSpan w:val="2"/>
          </w:tcPr>
          <w:p>
            <w:pPr>
              <w:jc w:val="right"/>
              <w:spacing w:after="0"/>
              <w:rPr>
                <w:sz w:val="20"/>
                <w:szCs w:val="20"/>
                <w:color w:val="auto"/>
              </w:rPr>
            </w:pPr>
            <w:r>
              <w:rPr>
                <w:rFonts w:ascii="Arial" w:cs="Arial" w:eastAsia="Arial" w:hAnsi="Arial"/>
                <w:sz w:val="11"/>
                <w:szCs w:val="11"/>
                <w:color w:val="005A64"/>
              </w:rPr>
              <w:t>(2,254.2)</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005A64"/>
              </w:rPr>
              <w:t>(1,783.1)</w:t>
            </w:r>
          </w:p>
        </w:tc>
        <w:tc>
          <w:tcPr>
            <w:tcW w:w="0" w:type="dxa"/>
            <w:vAlign w:val="bottom"/>
          </w:tcPr>
          <w:p>
            <w:pPr>
              <w:spacing w:after="0"/>
              <w:rPr>
                <w:sz w:val="1"/>
                <w:szCs w:val="1"/>
                <w:color w:val="auto"/>
              </w:rPr>
            </w:pPr>
          </w:p>
        </w:tc>
      </w:tr>
      <w:tr>
        <w:trPr>
          <w:trHeight w:val="29"/>
        </w:trPr>
        <w:tc>
          <w:tcPr>
            <w:tcW w:w="500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76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bottom w:val="single" w:sz="8" w:color="7FACB1"/>
            </w:tcBorders>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514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Sales and marketing expenses</w:t>
            </w:r>
          </w:p>
        </w:tc>
        <w:tc>
          <w:tcPr>
            <w:tcW w:w="1460" w:type="dxa"/>
            <w:vAlign w:val="bottom"/>
            <w:gridSpan w:val="2"/>
          </w:tcPr>
          <w:p>
            <w:pPr>
              <w:jc w:val="right"/>
              <w:spacing w:after="0"/>
              <w:rPr>
                <w:sz w:val="20"/>
                <w:szCs w:val="20"/>
                <w:color w:val="auto"/>
              </w:rPr>
            </w:pPr>
            <w:r>
              <w:rPr>
                <w:rFonts w:ascii="Arial" w:cs="Arial" w:eastAsia="Arial" w:hAnsi="Arial"/>
                <w:sz w:val="11"/>
                <w:szCs w:val="11"/>
                <w:color w:val="005A64"/>
              </w:rPr>
              <w:t>(21.3)</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005A64"/>
              </w:rPr>
              <w:t>(18.0)</w:t>
            </w:r>
          </w:p>
        </w:tc>
        <w:tc>
          <w:tcPr>
            <w:tcW w:w="100" w:type="dxa"/>
            <w:vAlign w:val="bottom"/>
            <w:tcBorders>
              <w:right w:val="single" w:sz="8" w:color="BECD32"/>
            </w:tcBorders>
          </w:tcPr>
          <w:p>
            <w:pPr>
              <w:spacing w:after="0"/>
              <w:rPr>
                <w:sz w:val="12"/>
                <w:szCs w:val="12"/>
                <w:color w:val="auto"/>
              </w:rPr>
            </w:pPr>
          </w:p>
        </w:tc>
        <w:tc>
          <w:tcPr>
            <w:tcW w:w="1460" w:type="dxa"/>
            <w:vAlign w:val="bottom"/>
            <w:gridSpan w:val="2"/>
          </w:tcPr>
          <w:p>
            <w:pPr>
              <w:jc w:val="right"/>
              <w:spacing w:after="0"/>
              <w:rPr>
                <w:sz w:val="20"/>
                <w:szCs w:val="20"/>
                <w:color w:val="auto"/>
              </w:rPr>
            </w:pPr>
            <w:r>
              <w:rPr>
                <w:rFonts w:ascii="Arial" w:cs="Arial" w:eastAsia="Arial" w:hAnsi="Arial"/>
                <w:sz w:val="11"/>
                <w:szCs w:val="11"/>
                <w:color w:val="005A64"/>
              </w:rPr>
              <w:t>(67.9)</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005A64"/>
              </w:rPr>
              <w:t>(62.7)</w:t>
            </w:r>
          </w:p>
        </w:tc>
        <w:tc>
          <w:tcPr>
            <w:tcW w:w="0" w:type="dxa"/>
            <w:vAlign w:val="bottom"/>
          </w:tcPr>
          <w:p>
            <w:pPr>
              <w:spacing w:after="0"/>
              <w:rPr>
                <w:sz w:val="1"/>
                <w:szCs w:val="1"/>
                <w:color w:val="auto"/>
              </w:rPr>
            </w:pPr>
          </w:p>
        </w:tc>
      </w:tr>
      <w:tr>
        <w:trPr>
          <w:trHeight w:val="29"/>
        </w:trPr>
        <w:tc>
          <w:tcPr>
            <w:tcW w:w="500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76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bottom w:val="single" w:sz="8" w:color="7FACB1"/>
            </w:tcBorders>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514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General and administrative expenses</w:t>
            </w:r>
          </w:p>
        </w:tc>
        <w:tc>
          <w:tcPr>
            <w:tcW w:w="1460" w:type="dxa"/>
            <w:vAlign w:val="bottom"/>
            <w:gridSpan w:val="2"/>
          </w:tcPr>
          <w:p>
            <w:pPr>
              <w:jc w:val="right"/>
              <w:spacing w:after="0"/>
              <w:rPr>
                <w:sz w:val="20"/>
                <w:szCs w:val="20"/>
                <w:color w:val="auto"/>
              </w:rPr>
            </w:pPr>
            <w:r>
              <w:rPr>
                <w:rFonts w:ascii="Arial" w:cs="Arial" w:eastAsia="Arial" w:hAnsi="Arial"/>
                <w:sz w:val="11"/>
                <w:szCs w:val="11"/>
                <w:color w:val="005A64"/>
              </w:rPr>
              <w:t>(110.8)</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005A64"/>
              </w:rPr>
              <w:t>(124.3)</w:t>
            </w:r>
          </w:p>
        </w:tc>
        <w:tc>
          <w:tcPr>
            <w:tcW w:w="100" w:type="dxa"/>
            <w:vAlign w:val="bottom"/>
            <w:tcBorders>
              <w:right w:val="single" w:sz="8" w:color="BECD32"/>
            </w:tcBorders>
          </w:tcPr>
          <w:p>
            <w:pPr>
              <w:spacing w:after="0"/>
              <w:rPr>
                <w:sz w:val="12"/>
                <w:szCs w:val="12"/>
                <w:color w:val="auto"/>
              </w:rPr>
            </w:pPr>
          </w:p>
        </w:tc>
        <w:tc>
          <w:tcPr>
            <w:tcW w:w="1460" w:type="dxa"/>
            <w:vAlign w:val="bottom"/>
            <w:gridSpan w:val="2"/>
          </w:tcPr>
          <w:p>
            <w:pPr>
              <w:jc w:val="right"/>
              <w:spacing w:after="0"/>
              <w:rPr>
                <w:sz w:val="20"/>
                <w:szCs w:val="20"/>
                <w:color w:val="auto"/>
              </w:rPr>
            </w:pPr>
            <w:r>
              <w:rPr>
                <w:rFonts w:ascii="Arial" w:cs="Arial" w:eastAsia="Arial" w:hAnsi="Arial"/>
                <w:sz w:val="11"/>
                <w:szCs w:val="11"/>
                <w:color w:val="005A64"/>
              </w:rPr>
              <w:t>(531.1)</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005A64"/>
              </w:rPr>
              <w:t>(495.0)</w:t>
            </w:r>
          </w:p>
        </w:tc>
        <w:tc>
          <w:tcPr>
            <w:tcW w:w="0" w:type="dxa"/>
            <w:vAlign w:val="bottom"/>
          </w:tcPr>
          <w:p>
            <w:pPr>
              <w:spacing w:after="0"/>
              <w:rPr>
                <w:sz w:val="1"/>
                <w:szCs w:val="1"/>
                <w:color w:val="auto"/>
              </w:rPr>
            </w:pPr>
          </w:p>
        </w:tc>
      </w:tr>
      <w:tr>
        <w:trPr>
          <w:trHeight w:val="29"/>
        </w:trPr>
        <w:tc>
          <w:tcPr>
            <w:tcW w:w="500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76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bottom w:val="single" w:sz="8" w:color="7FACB1"/>
            </w:tcBorders>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514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Other operating expenses</w:t>
            </w:r>
          </w:p>
        </w:tc>
        <w:tc>
          <w:tcPr>
            <w:tcW w:w="1460" w:type="dxa"/>
            <w:vAlign w:val="bottom"/>
            <w:gridSpan w:val="2"/>
          </w:tcPr>
          <w:p>
            <w:pPr>
              <w:jc w:val="right"/>
              <w:spacing w:after="0"/>
              <w:rPr>
                <w:sz w:val="20"/>
                <w:szCs w:val="20"/>
                <w:color w:val="auto"/>
              </w:rPr>
            </w:pPr>
            <w:r>
              <w:rPr>
                <w:rFonts w:ascii="Arial" w:cs="Arial" w:eastAsia="Arial" w:hAnsi="Arial"/>
                <w:sz w:val="11"/>
                <w:szCs w:val="11"/>
                <w:color w:val="005A64"/>
              </w:rPr>
              <w:t>(91.6)</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005A64"/>
              </w:rPr>
              <w:t>(57.6)</w:t>
            </w:r>
          </w:p>
        </w:tc>
        <w:tc>
          <w:tcPr>
            <w:tcW w:w="100" w:type="dxa"/>
            <w:vAlign w:val="bottom"/>
            <w:tcBorders>
              <w:right w:val="single" w:sz="8" w:color="BECD32"/>
            </w:tcBorders>
          </w:tcPr>
          <w:p>
            <w:pPr>
              <w:spacing w:after="0"/>
              <w:rPr>
                <w:sz w:val="12"/>
                <w:szCs w:val="12"/>
                <w:color w:val="auto"/>
              </w:rPr>
            </w:pPr>
          </w:p>
        </w:tc>
        <w:tc>
          <w:tcPr>
            <w:tcW w:w="1460" w:type="dxa"/>
            <w:vAlign w:val="bottom"/>
            <w:gridSpan w:val="2"/>
          </w:tcPr>
          <w:p>
            <w:pPr>
              <w:jc w:val="right"/>
              <w:spacing w:after="0"/>
              <w:rPr>
                <w:sz w:val="20"/>
                <w:szCs w:val="20"/>
                <w:color w:val="auto"/>
              </w:rPr>
            </w:pPr>
            <w:r>
              <w:rPr>
                <w:rFonts w:ascii="Arial" w:cs="Arial" w:eastAsia="Arial" w:hAnsi="Arial"/>
                <w:sz w:val="11"/>
                <w:szCs w:val="11"/>
                <w:color w:val="005A64"/>
              </w:rPr>
              <w:t>(811.5)</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005A64"/>
              </w:rPr>
              <w:t>(293.0)</w:t>
            </w:r>
          </w:p>
        </w:tc>
        <w:tc>
          <w:tcPr>
            <w:tcW w:w="0" w:type="dxa"/>
            <w:vAlign w:val="bottom"/>
          </w:tcPr>
          <w:p>
            <w:pPr>
              <w:spacing w:after="0"/>
              <w:rPr>
                <w:sz w:val="1"/>
                <w:szCs w:val="1"/>
                <w:color w:val="auto"/>
              </w:rPr>
            </w:pPr>
          </w:p>
        </w:tc>
      </w:tr>
      <w:tr>
        <w:trPr>
          <w:trHeight w:val="29"/>
        </w:trPr>
        <w:tc>
          <w:tcPr>
            <w:tcW w:w="500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76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bottom w:val="single" w:sz="8" w:color="7FACB1"/>
            </w:tcBorders>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514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Other operating income</w:t>
            </w:r>
          </w:p>
        </w:tc>
        <w:tc>
          <w:tcPr>
            <w:tcW w:w="1460" w:type="dxa"/>
            <w:vAlign w:val="bottom"/>
            <w:gridSpan w:val="2"/>
          </w:tcPr>
          <w:p>
            <w:pPr>
              <w:jc w:val="right"/>
              <w:spacing w:after="0"/>
              <w:rPr>
                <w:sz w:val="20"/>
                <w:szCs w:val="20"/>
                <w:color w:val="auto"/>
              </w:rPr>
            </w:pPr>
            <w:r>
              <w:rPr>
                <w:rFonts w:ascii="Arial" w:cs="Arial" w:eastAsia="Arial" w:hAnsi="Arial"/>
                <w:sz w:val="11"/>
                <w:szCs w:val="11"/>
                <w:color w:val="005A64"/>
              </w:rPr>
              <w:t>37.6</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005A64"/>
              </w:rPr>
              <w:t>4.0</w:t>
            </w:r>
          </w:p>
        </w:tc>
        <w:tc>
          <w:tcPr>
            <w:tcW w:w="100" w:type="dxa"/>
            <w:vAlign w:val="bottom"/>
            <w:tcBorders>
              <w:right w:val="single" w:sz="8" w:color="BECD32"/>
            </w:tcBorders>
          </w:tcPr>
          <w:p>
            <w:pPr>
              <w:spacing w:after="0"/>
              <w:rPr>
                <w:sz w:val="12"/>
                <w:szCs w:val="12"/>
                <w:color w:val="auto"/>
              </w:rPr>
            </w:pPr>
          </w:p>
        </w:tc>
        <w:tc>
          <w:tcPr>
            <w:tcW w:w="1460" w:type="dxa"/>
            <w:vAlign w:val="bottom"/>
            <w:gridSpan w:val="2"/>
          </w:tcPr>
          <w:p>
            <w:pPr>
              <w:jc w:val="right"/>
              <w:spacing w:after="0"/>
              <w:rPr>
                <w:sz w:val="20"/>
                <w:szCs w:val="20"/>
                <w:color w:val="auto"/>
              </w:rPr>
            </w:pPr>
            <w:r>
              <w:rPr>
                <w:rFonts w:ascii="Arial" w:cs="Arial" w:eastAsia="Arial" w:hAnsi="Arial"/>
                <w:sz w:val="11"/>
                <w:szCs w:val="11"/>
                <w:color w:val="005A64"/>
              </w:rPr>
              <w:t>140.6</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005A64"/>
              </w:rPr>
              <w:t>105.0</w:t>
            </w:r>
          </w:p>
        </w:tc>
        <w:tc>
          <w:tcPr>
            <w:tcW w:w="0" w:type="dxa"/>
            <w:vAlign w:val="bottom"/>
          </w:tcPr>
          <w:p>
            <w:pPr>
              <w:spacing w:after="0"/>
              <w:rPr>
                <w:sz w:val="1"/>
                <w:szCs w:val="1"/>
                <w:color w:val="auto"/>
              </w:rPr>
            </w:pPr>
          </w:p>
        </w:tc>
      </w:tr>
      <w:tr>
        <w:trPr>
          <w:trHeight w:val="29"/>
        </w:trPr>
        <w:tc>
          <w:tcPr>
            <w:tcW w:w="500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76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bottom w:val="single" w:sz="8" w:color="7FACB1"/>
            </w:tcBorders>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5140" w:type="dxa"/>
            <w:vAlign w:val="bottom"/>
            <w:tcBorders>
              <w:right w:val="single" w:sz="8" w:color="BECD32"/>
            </w:tcBorders>
            <w:gridSpan w:val="2"/>
          </w:tcPr>
          <w:p>
            <w:pPr>
              <w:spacing w:after="0"/>
              <w:rPr>
                <w:sz w:val="20"/>
                <w:szCs w:val="20"/>
                <w:color w:val="auto"/>
              </w:rPr>
            </w:pPr>
            <w:r>
              <w:rPr>
                <w:rFonts w:ascii="Arial" w:cs="Arial" w:eastAsia="Arial" w:hAnsi="Arial"/>
                <w:sz w:val="11"/>
                <w:szCs w:val="11"/>
                <w:b w:val="1"/>
                <w:bCs w:val="1"/>
                <w:color w:val="005A64"/>
              </w:rPr>
              <w:t>Operating profit / (loss)</w:t>
            </w:r>
          </w:p>
        </w:tc>
        <w:tc>
          <w:tcPr>
            <w:tcW w:w="1460" w:type="dxa"/>
            <w:vAlign w:val="bottom"/>
            <w:gridSpan w:val="2"/>
          </w:tcPr>
          <w:p>
            <w:pPr>
              <w:jc w:val="right"/>
              <w:spacing w:after="0"/>
              <w:rPr>
                <w:sz w:val="20"/>
                <w:szCs w:val="20"/>
                <w:color w:val="auto"/>
              </w:rPr>
            </w:pPr>
            <w:r>
              <w:rPr>
                <w:rFonts w:ascii="Arial" w:cs="Arial" w:eastAsia="Arial" w:hAnsi="Arial"/>
                <w:sz w:val="11"/>
                <w:szCs w:val="11"/>
                <w:b w:val="1"/>
                <w:bCs w:val="1"/>
                <w:color w:val="005A64"/>
              </w:rPr>
              <w:t>148.6</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b w:val="1"/>
                <w:bCs w:val="1"/>
                <w:color w:val="005A64"/>
              </w:rPr>
              <w:t>526.2</w:t>
            </w:r>
          </w:p>
        </w:tc>
        <w:tc>
          <w:tcPr>
            <w:tcW w:w="100" w:type="dxa"/>
            <w:vAlign w:val="bottom"/>
            <w:tcBorders>
              <w:right w:val="single" w:sz="8" w:color="BECD32"/>
            </w:tcBorders>
          </w:tcPr>
          <w:p>
            <w:pPr>
              <w:spacing w:after="0"/>
              <w:rPr>
                <w:sz w:val="13"/>
                <w:szCs w:val="13"/>
                <w:color w:val="auto"/>
              </w:rPr>
            </w:pPr>
          </w:p>
        </w:tc>
        <w:tc>
          <w:tcPr>
            <w:tcW w:w="1460" w:type="dxa"/>
            <w:vAlign w:val="bottom"/>
            <w:gridSpan w:val="2"/>
          </w:tcPr>
          <w:p>
            <w:pPr>
              <w:jc w:val="right"/>
              <w:spacing w:after="0"/>
              <w:rPr>
                <w:sz w:val="20"/>
                <w:szCs w:val="20"/>
                <w:color w:val="auto"/>
              </w:rPr>
            </w:pPr>
            <w:r>
              <w:rPr>
                <w:rFonts w:ascii="Arial" w:cs="Arial" w:eastAsia="Arial" w:hAnsi="Arial"/>
                <w:sz w:val="11"/>
                <w:szCs w:val="11"/>
                <w:b w:val="1"/>
                <w:bCs w:val="1"/>
                <w:color w:val="005A64"/>
              </w:rPr>
              <w:t>(1,314.3)</w:t>
            </w:r>
          </w:p>
        </w:tc>
        <w:tc>
          <w:tcPr>
            <w:tcW w:w="12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b w:val="1"/>
                <w:bCs w:val="1"/>
                <w:color w:val="005A64"/>
              </w:rPr>
              <w:t>690.4</w:t>
            </w:r>
          </w:p>
        </w:tc>
        <w:tc>
          <w:tcPr>
            <w:tcW w:w="0" w:type="dxa"/>
            <w:vAlign w:val="bottom"/>
          </w:tcPr>
          <w:p>
            <w:pPr>
              <w:spacing w:after="0"/>
              <w:rPr>
                <w:sz w:val="1"/>
                <w:szCs w:val="1"/>
                <w:color w:val="auto"/>
              </w:rPr>
            </w:pPr>
          </w:p>
        </w:tc>
      </w:tr>
      <w:tr>
        <w:trPr>
          <w:trHeight w:val="23"/>
        </w:trPr>
        <w:tc>
          <w:tcPr>
            <w:tcW w:w="500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005A64"/>
            </w:tcBorders>
          </w:tcPr>
          <w:p>
            <w:pPr>
              <w:spacing w:after="0"/>
              <w:rPr>
                <w:sz w:val="2"/>
                <w:szCs w:val="2"/>
                <w:color w:val="auto"/>
              </w:rPr>
            </w:pPr>
          </w:p>
        </w:tc>
        <w:tc>
          <w:tcPr>
            <w:tcW w:w="76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005A64"/>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bottom w:val="single" w:sz="8" w:color="005A64"/>
            </w:tcBorders>
          </w:tcPr>
          <w:p>
            <w:pPr>
              <w:spacing w:after="0"/>
              <w:rPr>
                <w:sz w:val="2"/>
                <w:szCs w:val="2"/>
                <w:color w:val="auto"/>
              </w:rPr>
            </w:pPr>
          </w:p>
        </w:tc>
        <w:tc>
          <w:tcPr>
            <w:tcW w:w="80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514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Finance income</w:t>
            </w:r>
          </w:p>
        </w:tc>
        <w:tc>
          <w:tcPr>
            <w:tcW w:w="1460" w:type="dxa"/>
            <w:vAlign w:val="bottom"/>
            <w:gridSpan w:val="2"/>
          </w:tcPr>
          <w:p>
            <w:pPr>
              <w:jc w:val="right"/>
              <w:spacing w:after="0"/>
              <w:rPr>
                <w:sz w:val="20"/>
                <w:szCs w:val="20"/>
                <w:color w:val="auto"/>
              </w:rPr>
            </w:pPr>
            <w:r>
              <w:rPr>
                <w:rFonts w:ascii="Arial" w:cs="Arial" w:eastAsia="Arial" w:hAnsi="Arial"/>
                <w:sz w:val="11"/>
                <w:szCs w:val="11"/>
                <w:color w:val="005A64"/>
              </w:rPr>
              <w:t>165.2</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005A64"/>
              </w:rPr>
              <w:t>162.2</w:t>
            </w:r>
          </w:p>
        </w:tc>
        <w:tc>
          <w:tcPr>
            <w:tcW w:w="100" w:type="dxa"/>
            <w:vAlign w:val="bottom"/>
            <w:tcBorders>
              <w:right w:val="single" w:sz="8" w:color="BECD32"/>
            </w:tcBorders>
          </w:tcPr>
          <w:p>
            <w:pPr>
              <w:spacing w:after="0"/>
              <w:rPr>
                <w:sz w:val="12"/>
                <w:szCs w:val="12"/>
                <w:color w:val="auto"/>
              </w:rPr>
            </w:pPr>
          </w:p>
        </w:tc>
        <w:tc>
          <w:tcPr>
            <w:tcW w:w="1460" w:type="dxa"/>
            <w:vAlign w:val="bottom"/>
            <w:gridSpan w:val="2"/>
          </w:tcPr>
          <w:p>
            <w:pPr>
              <w:jc w:val="right"/>
              <w:spacing w:after="0"/>
              <w:rPr>
                <w:sz w:val="20"/>
                <w:szCs w:val="20"/>
                <w:color w:val="auto"/>
              </w:rPr>
            </w:pPr>
            <w:r>
              <w:rPr>
                <w:rFonts w:ascii="Arial" w:cs="Arial" w:eastAsia="Arial" w:hAnsi="Arial"/>
                <w:sz w:val="11"/>
                <w:szCs w:val="11"/>
                <w:color w:val="005A64"/>
              </w:rPr>
              <w:t>664.0</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005A64"/>
              </w:rPr>
              <w:t>519.6</w:t>
            </w:r>
          </w:p>
        </w:tc>
        <w:tc>
          <w:tcPr>
            <w:tcW w:w="0" w:type="dxa"/>
            <w:vAlign w:val="bottom"/>
          </w:tcPr>
          <w:p>
            <w:pPr>
              <w:spacing w:after="0"/>
              <w:rPr>
                <w:sz w:val="1"/>
                <w:szCs w:val="1"/>
                <w:color w:val="auto"/>
              </w:rPr>
            </w:pPr>
          </w:p>
        </w:tc>
      </w:tr>
      <w:tr>
        <w:trPr>
          <w:trHeight w:val="29"/>
        </w:trPr>
        <w:tc>
          <w:tcPr>
            <w:tcW w:w="500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76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bottom w:val="single" w:sz="8" w:color="7FACB1"/>
            </w:tcBorders>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514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Finance expenses</w:t>
            </w:r>
          </w:p>
        </w:tc>
        <w:tc>
          <w:tcPr>
            <w:tcW w:w="1460" w:type="dxa"/>
            <w:vAlign w:val="bottom"/>
            <w:gridSpan w:val="2"/>
          </w:tcPr>
          <w:p>
            <w:pPr>
              <w:jc w:val="right"/>
              <w:spacing w:after="0"/>
              <w:rPr>
                <w:sz w:val="20"/>
                <w:szCs w:val="20"/>
                <w:color w:val="auto"/>
              </w:rPr>
            </w:pPr>
            <w:r>
              <w:rPr>
                <w:rFonts w:ascii="Arial" w:cs="Arial" w:eastAsia="Arial" w:hAnsi="Arial"/>
                <w:sz w:val="11"/>
                <w:szCs w:val="11"/>
                <w:color w:val="005A64"/>
              </w:rPr>
              <w:t>(12.6)</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005A64"/>
              </w:rPr>
              <w:t>(25.2)</w:t>
            </w:r>
          </w:p>
        </w:tc>
        <w:tc>
          <w:tcPr>
            <w:tcW w:w="100" w:type="dxa"/>
            <w:vAlign w:val="bottom"/>
            <w:tcBorders>
              <w:right w:val="single" w:sz="8" w:color="BECD32"/>
            </w:tcBorders>
          </w:tcPr>
          <w:p>
            <w:pPr>
              <w:spacing w:after="0"/>
              <w:rPr>
                <w:sz w:val="12"/>
                <w:szCs w:val="12"/>
                <w:color w:val="auto"/>
              </w:rPr>
            </w:pPr>
          </w:p>
        </w:tc>
        <w:tc>
          <w:tcPr>
            <w:tcW w:w="1460" w:type="dxa"/>
            <w:vAlign w:val="bottom"/>
            <w:gridSpan w:val="2"/>
          </w:tcPr>
          <w:p>
            <w:pPr>
              <w:jc w:val="right"/>
              <w:spacing w:after="0"/>
              <w:rPr>
                <w:sz w:val="20"/>
                <w:szCs w:val="20"/>
                <w:color w:val="auto"/>
              </w:rPr>
            </w:pPr>
            <w:r>
              <w:rPr>
                <w:rFonts w:ascii="Arial" w:cs="Arial" w:eastAsia="Arial" w:hAnsi="Arial"/>
                <w:sz w:val="11"/>
                <w:szCs w:val="11"/>
                <w:color w:val="005A64"/>
              </w:rPr>
              <w:t>(27.4)</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005A64"/>
              </w:rPr>
              <w:t>(23.9)</w:t>
            </w:r>
          </w:p>
        </w:tc>
        <w:tc>
          <w:tcPr>
            <w:tcW w:w="0" w:type="dxa"/>
            <w:vAlign w:val="bottom"/>
          </w:tcPr>
          <w:p>
            <w:pPr>
              <w:spacing w:after="0"/>
              <w:rPr>
                <w:sz w:val="1"/>
                <w:szCs w:val="1"/>
                <w:color w:val="auto"/>
              </w:rPr>
            </w:pPr>
          </w:p>
        </w:tc>
      </w:tr>
      <w:tr>
        <w:trPr>
          <w:trHeight w:val="29"/>
        </w:trPr>
        <w:tc>
          <w:tcPr>
            <w:tcW w:w="500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76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bottom w:val="single" w:sz="8" w:color="7FACB1"/>
            </w:tcBorders>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5140" w:type="dxa"/>
            <w:vAlign w:val="bottom"/>
            <w:tcBorders>
              <w:right w:val="single" w:sz="8" w:color="BECD32"/>
            </w:tcBorders>
            <w:gridSpan w:val="2"/>
          </w:tcPr>
          <w:p>
            <w:pPr>
              <w:spacing w:after="0"/>
              <w:rPr>
                <w:sz w:val="20"/>
                <w:szCs w:val="20"/>
                <w:color w:val="auto"/>
              </w:rPr>
            </w:pPr>
            <w:r>
              <w:rPr>
                <w:rFonts w:ascii="Arial" w:cs="Arial" w:eastAsia="Arial" w:hAnsi="Arial"/>
                <w:sz w:val="11"/>
                <w:szCs w:val="11"/>
                <w:b w:val="1"/>
                <w:bCs w:val="1"/>
                <w:color w:val="005A64"/>
              </w:rPr>
              <w:t>Profit / (Loss) before tax</w:t>
            </w:r>
          </w:p>
        </w:tc>
        <w:tc>
          <w:tcPr>
            <w:tcW w:w="1460" w:type="dxa"/>
            <w:vAlign w:val="bottom"/>
            <w:gridSpan w:val="2"/>
          </w:tcPr>
          <w:p>
            <w:pPr>
              <w:jc w:val="right"/>
              <w:spacing w:after="0"/>
              <w:rPr>
                <w:sz w:val="20"/>
                <w:szCs w:val="20"/>
                <w:color w:val="auto"/>
              </w:rPr>
            </w:pPr>
            <w:r>
              <w:rPr>
                <w:rFonts w:ascii="Arial" w:cs="Arial" w:eastAsia="Arial" w:hAnsi="Arial"/>
                <w:sz w:val="11"/>
                <w:szCs w:val="11"/>
                <w:b w:val="1"/>
                <w:bCs w:val="1"/>
                <w:color w:val="005A64"/>
              </w:rPr>
              <w:t>301.2</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b w:val="1"/>
                <w:bCs w:val="1"/>
                <w:color w:val="005A64"/>
              </w:rPr>
              <w:t>663.2</w:t>
            </w:r>
          </w:p>
        </w:tc>
        <w:tc>
          <w:tcPr>
            <w:tcW w:w="100" w:type="dxa"/>
            <w:vAlign w:val="bottom"/>
            <w:tcBorders>
              <w:right w:val="single" w:sz="8" w:color="BECD32"/>
            </w:tcBorders>
          </w:tcPr>
          <w:p>
            <w:pPr>
              <w:spacing w:after="0"/>
              <w:rPr>
                <w:sz w:val="13"/>
                <w:szCs w:val="13"/>
                <w:color w:val="auto"/>
              </w:rPr>
            </w:pPr>
          </w:p>
        </w:tc>
        <w:tc>
          <w:tcPr>
            <w:tcW w:w="1460" w:type="dxa"/>
            <w:vAlign w:val="bottom"/>
            <w:gridSpan w:val="2"/>
          </w:tcPr>
          <w:p>
            <w:pPr>
              <w:jc w:val="right"/>
              <w:spacing w:after="0"/>
              <w:rPr>
                <w:sz w:val="20"/>
                <w:szCs w:val="20"/>
                <w:color w:val="auto"/>
              </w:rPr>
            </w:pPr>
            <w:r>
              <w:rPr>
                <w:rFonts w:ascii="Arial" w:cs="Arial" w:eastAsia="Arial" w:hAnsi="Arial"/>
                <w:sz w:val="11"/>
                <w:szCs w:val="11"/>
                <w:b w:val="1"/>
                <w:bCs w:val="1"/>
                <w:color w:val="005A64"/>
              </w:rPr>
              <w:t>(677.7)</w:t>
            </w:r>
          </w:p>
        </w:tc>
        <w:tc>
          <w:tcPr>
            <w:tcW w:w="12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b w:val="1"/>
                <w:bCs w:val="1"/>
                <w:color w:val="005A64"/>
              </w:rPr>
              <w:t>1,186.1</w:t>
            </w:r>
          </w:p>
        </w:tc>
        <w:tc>
          <w:tcPr>
            <w:tcW w:w="0" w:type="dxa"/>
            <w:vAlign w:val="bottom"/>
          </w:tcPr>
          <w:p>
            <w:pPr>
              <w:spacing w:after="0"/>
              <w:rPr>
                <w:sz w:val="1"/>
                <w:szCs w:val="1"/>
                <w:color w:val="auto"/>
              </w:rPr>
            </w:pPr>
          </w:p>
        </w:tc>
      </w:tr>
      <w:tr>
        <w:trPr>
          <w:trHeight w:val="23"/>
        </w:trPr>
        <w:tc>
          <w:tcPr>
            <w:tcW w:w="500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005A64"/>
            </w:tcBorders>
          </w:tcPr>
          <w:p>
            <w:pPr>
              <w:spacing w:after="0"/>
              <w:rPr>
                <w:sz w:val="2"/>
                <w:szCs w:val="2"/>
                <w:color w:val="auto"/>
              </w:rPr>
            </w:pPr>
          </w:p>
        </w:tc>
        <w:tc>
          <w:tcPr>
            <w:tcW w:w="76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005A64"/>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bottom w:val="single" w:sz="8" w:color="005A64"/>
            </w:tcBorders>
          </w:tcPr>
          <w:p>
            <w:pPr>
              <w:spacing w:after="0"/>
              <w:rPr>
                <w:sz w:val="2"/>
                <w:szCs w:val="2"/>
                <w:color w:val="auto"/>
              </w:rPr>
            </w:pPr>
          </w:p>
        </w:tc>
        <w:tc>
          <w:tcPr>
            <w:tcW w:w="80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514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Income taxes</w:t>
            </w:r>
          </w:p>
        </w:tc>
        <w:tc>
          <w:tcPr>
            <w:tcW w:w="1460" w:type="dxa"/>
            <w:vAlign w:val="bottom"/>
            <w:gridSpan w:val="2"/>
          </w:tcPr>
          <w:p>
            <w:pPr>
              <w:jc w:val="right"/>
              <w:spacing w:after="0"/>
              <w:rPr>
                <w:sz w:val="20"/>
                <w:szCs w:val="20"/>
                <w:color w:val="auto"/>
              </w:rPr>
            </w:pPr>
            <w:r>
              <w:rPr>
                <w:rFonts w:ascii="Arial" w:cs="Arial" w:eastAsia="Arial" w:hAnsi="Arial"/>
                <w:sz w:val="11"/>
                <w:szCs w:val="11"/>
                <w:color w:val="005A64"/>
              </w:rPr>
              <w:t>(41.7)</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005A64"/>
              </w:rPr>
              <w:t>(205.3)</w:t>
            </w:r>
          </w:p>
        </w:tc>
        <w:tc>
          <w:tcPr>
            <w:tcW w:w="100" w:type="dxa"/>
            <w:vAlign w:val="bottom"/>
            <w:tcBorders>
              <w:right w:val="single" w:sz="8" w:color="BECD32"/>
            </w:tcBorders>
          </w:tcPr>
          <w:p>
            <w:pPr>
              <w:spacing w:after="0"/>
              <w:rPr>
                <w:sz w:val="12"/>
                <w:szCs w:val="12"/>
                <w:color w:val="auto"/>
              </w:rPr>
            </w:pPr>
          </w:p>
        </w:tc>
        <w:tc>
          <w:tcPr>
            <w:tcW w:w="1460" w:type="dxa"/>
            <w:vAlign w:val="bottom"/>
            <w:gridSpan w:val="2"/>
          </w:tcPr>
          <w:p>
            <w:pPr>
              <w:jc w:val="right"/>
              <w:spacing w:after="0"/>
              <w:rPr>
                <w:sz w:val="20"/>
                <w:szCs w:val="20"/>
                <w:color w:val="auto"/>
              </w:rPr>
            </w:pPr>
            <w:r>
              <w:rPr>
                <w:rFonts w:ascii="Arial" w:cs="Arial" w:eastAsia="Arial" w:hAnsi="Arial"/>
                <w:sz w:val="11"/>
                <w:szCs w:val="11"/>
                <w:color w:val="005A64"/>
              </w:rPr>
              <w:t>12.4</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005A64"/>
              </w:rPr>
              <w:t>(255.8)</w:t>
            </w:r>
          </w:p>
        </w:tc>
        <w:tc>
          <w:tcPr>
            <w:tcW w:w="0" w:type="dxa"/>
            <w:vAlign w:val="bottom"/>
          </w:tcPr>
          <w:p>
            <w:pPr>
              <w:spacing w:after="0"/>
              <w:rPr>
                <w:sz w:val="1"/>
                <w:szCs w:val="1"/>
                <w:color w:val="auto"/>
              </w:rPr>
            </w:pPr>
          </w:p>
        </w:tc>
      </w:tr>
      <w:tr>
        <w:trPr>
          <w:trHeight w:val="29"/>
        </w:trPr>
        <w:tc>
          <w:tcPr>
            <w:tcW w:w="500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76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bottom w:val="single" w:sz="8" w:color="7FACB1"/>
            </w:tcBorders>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5140" w:type="dxa"/>
            <w:vAlign w:val="bottom"/>
            <w:tcBorders>
              <w:right w:val="single" w:sz="8" w:color="BECD32"/>
            </w:tcBorders>
            <w:gridSpan w:val="2"/>
          </w:tcPr>
          <w:p>
            <w:pPr>
              <w:spacing w:after="0"/>
              <w:rPr>
                <w:sz w:val="20"/>
                <w:szCs w:val="20"/>
                <w:color w:val="auto"/>
              </w:rPr>
            </w:pPr>
            <w:r>
              <w:rPr>
                <w:rFonts w:ascii="Arial" w:cs="Arial" w:eastAsia="Arial" w:hAnsi="Arial"/>
                <w:sz w:val="11"/>
                <w:szCs w:val="11"/>
                <w:b w:val="1"/>
                <w:bCs w:val="1"/>
                <w:color w:val="005A64"/>
              </w:rPr>
              <w:t>Net profit / (loss)</w:t>
            </w:r>
          </w:p>
        </w:tc>
        <w:tc>
          <w:tcPr>
            <w:tcW w:w="1460" w:type="dxa"/>
            <w:vAlign w:val="bottom"/>
            <w:gridSpan w:val="2"/>
          </w:tcPr>
          <w:p>
            <w:pPr>
              <w:jc w:val="right"/>
              <w:spacing w:after="0"/>
              <w:rPr>
                <w:sz w:val="20"/>
                <w:szCs w:val="20"/>
                <w:color w:val="auto"/>
              </w:rPr>
            </w:pPr>
            <w:r>
              <w:rPr>
                <w:rFonts w:ascii="Arial" w:cs="Arial" w:eastAsia="Arial" w:hAnsi="Arial"/>
                <w:sz w:val="11"/>
                <w:szCs w:val="11"/>
                <w:b w:val="1"/>
                <w:bCs w:val="1"/>
                <w:color w:val="005A64"/>
              </w:rPr>
              <w:t>259.5</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b w:val="1"/>
                <w:bCs w:val="1"/>
                <w:color w:val="005A64"/>
              </w:rPr>
              <w:t>457.9</w:t>
            </w:r>
          </w:p>
        </w:tc>
        <w:tc>
          <w:tcPr>
            <w:tcW w:w="100" w:type="dxa"/>
            <w:vAlign w:val="bottom"/>
            <w:tcBorders>
              <w:right w:val="single" w:sz="8" w:color="BECD32"/>
            </w:tcBorders>
          </w:tcPr>
          <w:p>
            <w:pPr>
              <w:spacing w:after="0"/>
              <w:rPr>
                <w:sz w:val="13"/>
                <w:szCs w:val="13"/>
                <w:color w:val="auto"/>
              </w:rPr>
            </w:pPr>
          </w:p>
        </w:tc>
        <w:tc>
          <w:tcPr>
            <w:tcW w:w="1460" w:type="dxa"/>
            <w:vAlign w:val="bottom"/>
            <w:gridSpan w:val="2"/>
          </w:tcPr>
          <w:p>
            <w:pPr>
              <w:jc w:val="right"/>
              <w:spacing w:after="0"/>
              <w:rPr>
                <w:sz w:val="20"/>
                <w:szCs w:val="20"/>
                <w:color w:val="auto"/>
              </w:rPr>
            </w:pPr>
            <w:r>
              <w:rPr>
                <w:rFonts w:ascii="Arial" w:cs="Arial" w:eastAsia="Arial" w:hAnsi="Arial"/>
                <w:sz w:val="11"/>
                <w:szCs w:val="11"/>
                <w:b w:val="1"/>
                <w:bCs w:val="1"/>
                <w:color w:val="005A64"/>
              </w:rPr>
              <w:t>(665.3)</w:t>
            </w:r>
          </w:p>
        </w:tc>
        <w:tc>
          <w:tcPr>
            <w:tcW w:w="12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b w:val="1"/>
                <w:bCs w:val="1"/>
                <w:color w:val="005A64"/>
              </w:rPr>
              <w:t>930.3</w:t>
            </w:r>
          </w:p>
        </w:tc>
        <w:tc>
          <w:tcPr>
            <w:tcW w:w="0" w:type="dxa"/>
            <w:vAlign w:val="bottom"/>
          </w:tcPr>
          <w:p>
            <w:pPr>
              <w:spacing w:after="0"/>
              <w:rPr>
                <w:sz w:val="1"/>
                <w:szCs w:val="1"/>
                <w:color w:val="auto"/>
              </w:rPr>
            </w:pPr>
          </w:p>
        </w:tc>
      </w:tr>
      <w:tr>
        <w:trPr>
          <w:trHeight w:val="23"/>
        </w:trPr>
        <w:tc>
          <w:tcPr>
            <w:tcW w:w="500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005A64"/>
            </w:tcBorders>
          </w:tcPr>
          <w:p>
            <w:pPr>
              <w:spacing w:after="0"/>
              <w:rPr>
                <w:sz w:val="2"/>
                <w:szCs w:val="2"/>
                <w:color w:val="auto"/>
              </w:rPr>
            </w:pPr>
          </w:p>
        </w:tc>
        <w:tc>
          <w:tcPr>
            <w:tcW w:w="76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005A64"/>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bottom w:val="single" w:sz="8" w:color="005A64"/>
            </w:tcBorders>
          </w:tcPr>
          <w:p>
            <w:pPr>
              <w:spacing w:after="0"/>
              <w:rPr>
                <w:sz w:val="2"/>
                <w:szCs w:val="2"/>
                <w:color w:val="auto"/>
              </w:rPr>
            </w:pPr>
          </w:p>
        </w:tc>
        <w:tc>
          <w:tcPr>
            <w:tcW w:w="80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5140" w:type="dxa"/>
            <w:vAlign w:val="bottom"/>
            <w:tcBorders>
              <w:right w:val="single" w:sz="8" w:color="BECD32"/>
            </w:tcBorders>
            <w:gridSpan w:val="2"/>
          </w:tcPr>
          <w:p>
            <w:pPr>
              <w:spacing w:after="0"/>
              <w:rPr>
                <w:sz w:val="20"/>
                <w:szCs w:val="20"/>
                <w:color w:val="auto"/>
              </w:rPr>
            </w:pPr>
            <w:r>
              <w:rPr>
                <w:rFonts w:ascii="Arial" w:cs="Arial" w:eastAsia="Arial" w:hAnsi="Arial"/>
                <w:sz w:val="11"/>
                <w:szCs w:val="11"/>
                <w:b w:val="1"/>
                <w:bCs w:val="1"/>
                <w:color w:val="3C9673"/>
              </w:rPr>
              <w:t>Earnings / (Loss) per share</w:t>
            </w:r>
          </w:p>
        </w:tc>
        <w:tc>
          <w:tcPr>
            <w:tcW w:w="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00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76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bottom w:val="single" w:sz="8" w:color="7FACB1"/>
            </w:tcBorders>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514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Basic earnings / (loss) per share</w:t>
            </w:r>
          </w:p>
        </w:tc>
        <w:tc>
          <w:tcPr>
            <w:tcW w:w="1460" w:type="dxa"/>
            <w:vAlign w:val="bottom"/>
            <w:gridSpan w:val="2"/>
          </w:tcPr>
          <w:p>
            <w:pPr>
              <w:jc w:val="right"/>
              <w:spacing w:after="0"/>
              <w:rPr>
                <w:sz w:val="20"/>
                <w:szCs w:val="20"/>
                <w:color w:val="auto"/>
              </w:rPr>
            </w:pPr>
            <w:r>
              <w:rPr>
                <w:rFonts w:ascii="Arial" w:cs="Arial" w:eastAsia="Arial" w:hAnsi="Arial"/>
                <w:sz w:val="11"/>
                <w:szCs w:val="11"/>
                <w:color w:val="005A64"/>
              </w:rPr>
              <w:t>1.08</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005A64"/>
              </w:rPr>
              <w:t>1.90</w:t>
            </w:r>
          </w:p>
        </w:tc>
        <w:tc>
          <w:tcPr>
            <w:tcW w:w="100" w:type="dxa"/>
            <w:vAlign w:val="bottom"/>
            <w:tcBorders>
              <w:right w:val="single" w:sz="8" w:color="BECD32"/>
            </w:tcBorders>
          </w:tcPr>
          <w:p>
            <w:pPr>
              <w:spacing w:after="0"/>
              <w:rPr>
                <w:sz w:val="12"/>
                <w:szCs w:val="12"/>
                <w:color w:val="auto"/>
              </w:rPr>
            </w:pPr>
          </w:p>
        </w:tc>
        <w:tc>
          <w:tcPr>
            <w:tcW w:w="1460" w:type="dxa"/>
            <w:vAlign w:val="bottom"/>
            <w:gridSpan w:val="2"/>
          </w:tcPr>
          <w:p>
            <w:pPr>
              <w:jc w:val="right"/>
              <w:spacing w:after="0"/>
              <w:rPr>
                <w:sz w:val="20"/>
                <w:szCs w:val="20"/>
                <w:color w:val="auto"/>
              </w:rPr>
            </w:pPr>
            <w:r>
              <w:rPr>
                <w:rFonts w:ascii="Arial" w:cs="Arial" w:eastAsia="Arial" w:hAnsi="Arial"/>
                <w:sz w:val="11"/>
                <w:szCs w:val="11"/>
                <w:color w:val="005A64"/>
              </w:rPr>
              <w:t>(2.77)</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005A64"/>
              </w:rPr>
              <w:t>3.87</w:t>
            </w:r>
          </w:p>
        </w:tc>
        <w:tc>
          <w:tcPr>
            <w:tcW w:w="0" w:type="dxa"/>
            <w:vAlign w:val="bottom"/>
          </w:tcPr>
          <w:p>
            <w:pPr>
              <w:spacing w:after="0"/>
              <w:rPr>
                <w:sz w:val="1"/>
                <w:szCs w:val="1"/>
                <w:color w:val="auto"/>
              </w:rPr>
            </w:pPr>
          </w:p>
        </w:tc>
      </w:tr>
      <w:tr>
        <w:trPr>
          <w:trHeight w:val="29"/>
        </w:trPr>
        <w:tc>
          <w:tcPr>
            <w:tcW w:w="500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7FACB1"/>
            </w:tcBorders>
          </w:tcPr>
          <w:p>
            <w:pPr>
              <w:spacing w:after="0"/>
              <w:rPr>
                <w:sz w:val="2"/>
                <w:szCs w:val="2"/>
                <w:color w:val="auto"/>
              </w:rPr>
            </w:pPr>
          </w:p>
        </w:tc>
        <w:tc>
          <w:tcPr>
            <w:tcW w:w="76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bottom w:val="single" w:sz="8" w:color="7FACB1"/>
            </w:tcBorders>
          </w:tcPr>
          <w:p>
            <w:pPr>
              <w:spacing w:after="0"/>
              <w:rPr>
                <w:sz w:val="2"/>
                <w:szCs w:val="2"/>
                <w:color w:val="auto"/>
              </w:rPr>
            </w:pPr>
          </w:p>
        </w:tc>
        <w:tc>
          <w:tcPr>
            <w:tcW w:w="8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514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Diluted earnings / (loss) per share</w:t>
            </w:r>
          </w:p>
        </w:tc>
        <w:tc>
          <w:tcPr>
            <w:tcW w:w="1460" w:type="dxa"/>
            <w:vAlign w:val="bottom"/>
            <w:gridSpan w:val="2"/>
          </w:tcPr>
          <w:p>
            <w:pPr>
              <w:jc w:val="right"/>
              <w:spacing w:after="0"/>
              <w:rPr>
                <w:sz w:val="20"/>
                <w:szCs w:val="20"/>
                <w:color w:val="auto"/>
              </w:rPr>
            </w:pPr>
            <w:r>
              <w:rPr>
                <w:rFonts w:ascii="Arial" w:cs="Arial" w:eastAsia="Arial" w:hAnsi="Arial"/>
                <w:sz w:val="11"/>
                <w:szCs w:val="11"/>
                <w:color w:val="005A64"/>
              </w:rPr>
              <w:t>1.08</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005A64"/>
              </w:rPr>
              <w:t>1.88</w:t>
            </w:r>
          </w:p>
        </w:tc>
        <w:tc>
          <w:tcPr>
            <w:tcW w:w="100" w:type="dxa"/>
            <w:vAlign w:val="bottom"/>
            <w:tcBorders>
              <w:right w:val="single" w:sz="8" w:color="BECD32"/>
            </w:tcBorders>
          </w:tcPr>
          <w:p>
            <w:pPr>
              <w:spacing w:after="0"/>
              <w:rPr>
                <w:sz w:val="12"/>
                <w:szCs w:val="12"/>
                <w:color w:val="auto"/>
              </w:rPr>
            </w:pPr>
          </w:p>
        </w:tc>
        <w:tc>
          <w:tcPr>
            <w:tcW w:w="1460" w:type="dxa"/>
            <w:vAlign w:val="bottom"/>
            <w:gridSpan w:val="2"/>
          </w:tcPr>
          <w:p>
            <w:pPr>
              <w:jc w:val="right"/>
              <w:spacing w:after="0"/>
              <w:rPr>
                <w:sz w:val="20"/>
                <w:szCs w:val="20"/>
                <w:color w:val="auto"/>
              </w:rPr>
            </w:pPr>
            <w:r>
              <w:rPr>
                <w:rFonts w:ascii="Arial" w:cs="Arial" w:eastAsia="Arial" w:hAnsi="Arial"/>
                <w:sz w:val="11"/>
                <w:szCs w:val="11"/>
                <w:color w:val="005A64"/>
              </w:rPr>
              <w:t>(2.77)</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005A64"/>
              </w:rPr>
              <w:t>3.83</w:t>
            </w:r>
          </w:p>
        </w:tc>
        <w:tc>
          <w:tcPr>
            <w:tcW w:w="0" w:type="dxa"/>
            <w:vAlign w:val="bottom"/>
          </w:tcPr>
          <w:p>
            <w:pPr>
              <w:spacing w:after="0"/>
              <w:rPr>
                <w:sz w:val="1"/>
                <w:szCs w:val="1"/>
                <w:color w:val="auto"/>
              </w:rPr>
            </w:pPr>
          </w:p>
        </w:tc>
      </w:tr>
      <w:tr>
        <w:trPr>
          <w:trHeight w:val="29"/>
        </w:trPr>
        <w:tc>
          <w:tcPr>
            <w:tcW w:w="500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60" w:type="dxa"/>
            <w:vAlign w:val="bottom"/>
            <w:tcBorders>
              <w:bottom w:val="single" w:sz="8" w:color="BECD32"/>
            </w:tcBorders>
          </w:tcPr>
          <w:p>
            <w:pPr>
              <w:spacing w:after="0"/>
              <w:rPr>
                <w:sz w:val="2"/>
                <w:szCs w:val="2"/>
                <w:color w:val="auto"/>
              </w:rPr>
            </w:pPr>
          </w:p>
        </w:tc>
        <w:tc>
          <w:tcPr>
            <w:tcW w:w="1400" w:type="dxa"/>
            <w:vAlign w:val="bottom"/>
            <w:tcBorders>
              <w:bottom w:val="single" w:sz="8" w:color="BECD32"/>
            </w:tcBorders>
          </w:tcPr>
          <w:p>
            <w:pPr>
              <w:spacing w:after="0"/>
              <w:rPr>
                <w:sz w:val="2"/>
                <w:szCs w:val="2"/>
                <w:color w:val="auto"/>
              </w:rPr>
            </w:pPr>
          </w:p>
        </w:tc>
        <w:tc>
          <w:tcPr>
            <w:tcW w:w="100" w:type="dxa"/>
            <w:vAlign w:val="bottom"/>
            <w:tcBorders>
              <w:bottom w:val="single" w:sz="8" w:color="BECD32"/>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005A64"/>
            </w:tcBorders>
          </w:tcPr>
          <w:p>
            <w:pPr>
              <w:spacing w:after="0"/>
              <w:rPr>
                <w:sz w:val="2"/>
                <w:szCs w:val="2"/>
                <w:color w:val="auto"/>
              </w:rPr>
            </w:pPr>
          </w:p>
        </w:tc>
        <w:tc>
          <w:tcPr>
            <w:tcW w:w="76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Borders>
              <w:bottom w:val="single" w:sz="8" w:color="BECD32"/>
            </w:tcBorders>
          </w:tcPr>
          <w:p>
            <w:pPr>
              <w:spacing w:after="0"/>
              <w:rPr>
                <w:sz w:val="2"/>
                <w:szCs w:val="2"/>
                <w:color w:val="auto"/>
              </w:rPr>
            </w:pPr>
          </w:p>
        </w:tc>
        <w:tc>
          <w:tcPr>
            <w:tcW w:w="1400" w:type="dxa"/>
            <w:vAlign w:val="bottom"/>
            <w:tcBorders>
              <w:bottom w:val="single" w:sz="8" w:color="BECD32"/>
            </w:tcBorders>
          </w:tcPr>
          <w:p>
            <w:pPr>
              <w:spacing w:after="0"/>
              <w:rPr>
                <w:sz w:val="2"/>
                <w:szCs w:val="2"/>
                <w:color w:val="auto"/>
              </w:rPr>
            </w:pPr>
          </w:p>
        </w:tc>
        <w:tc>
          <w:tcPr>
            <w:tcW w:w="120" w:type="dxa"/>
            <w:vAlign w:val="bottom"/>
            <w:tcBorders>
              <w:bottom w:val="single" w:sz="8" w:color="BECD32"/>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bottom w:val="single" w:sz="8" w:color="005A64"/>
            </w:tcBorders>
          </w:tcPr>
          <w:p>
            <w:pPr>
              <w:spacing w:after="0"/>
              <w:rPr>
                <w:sz w:val="2"/>
                <w:szCs w:val="2"/>
                <w:color w:val="auto"/>
              </w:rPr>
            </w:pPr>
          </w:p>
        </w:tc>
        <w:tc>
          <w:tcPr>
            <w:tcW w:w="80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300"/>
          </w:cols>
          <w:pgMar w:left="300" w:top="1174" w:right="299" w:bottom="1440" w:gutter="0" w:footer="0" w:header="0"/>
        </w:sectPr>
      </w:pPr>
    </w:p>
    <w:bookmarkStart w:id="15" w:name="page16"/>
    <w:bookmarkEnd w:id="15"/>
    <w:p>
      <w:pPr>
        <w:spacing w:after="0" w:line="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3035" cy="160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423035" cy="16002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4"/>
          <w:szCs w:val="14"/>
          <w:b w:val="1"/>
          <w:bCs w:val="1"/>
          <w:color w:val="auto"/>
        </w:rPr>
        <w:t>Consolidated Statements of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178040"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80" w:type="dxa"/>
            <w:vAlign w:val="bottom"/>
          </w:tcPr>
          <w:p>
            <w:pPr>
              <w:spacing w:after="0"/>
              <w:rPr>
                <w:sz w:val="15"/>
                <w:szCs w:val="15"/>
                <w:color w:val="auto"/>
              </w:rPr>
            </w:pPr>
          </w:p>
        </w:tc>
        <w:tc>
          <w:tcPr>
            <w:tcW w:w="140" w:type="dxa"/>
            <w:vAlign w:val="bottom"/>
            <w:tcBorders>
              <w:right w:val="single" w:sz="8" w:color="BECD32"/>
            </w:tcBorders>
          </w:tcPr>
          <w:p>
            <w:pPr>
              <w:spacing w:after="0"/>
              <w:rPr>
                <w:sz w:val="15"/>
                <w:szCs w:val="15"/>
                <w:color w:val="auto"/>
              </w:rPr>
            </w:pPr>
          </w:p>
        </w:tc>
        <w:tc>
          <w:tcPr>
            <w:tcW w:w="100" w:type="dxa"/>
            <w:vAlign w:val="bottom"/>
            <w:tcBorders>
              <w:top w:val="single" w:sz="8" w:color="BECD32"/>
            </w:tcBorders>
          </w:tcPr>
          <w:p>
            <w:pPr>
              <w:spacing w:after="0"/>
              <w:rPr>
                <w:sz w:val="15"/>
                <w:szCs w:val="15"/>
                <w:color w:val="auto"/>
              </w:rPr>
            </w:pPr>
          </w:p>
        </w:tc>
        <w:tc>
          <w:tcPr>
            <w:tcW w:w="1900" w:type="dxa"/>
            <w:vAlign w:val="bottom"/>
            <w:tcBorders>
              <w:top w:val="single" w:sz="8" w:color="BECD32"/>
              <w:right w:val="single" w:sz="8" w:color="BECD32"/>
            </w:tcBorders>
            <w:gridSpan w:val="2"/>
          </w:tcPr>
          <w:p>
            <w:pPr>
              <w:ind w:left="1060"/>
              <w:spacing w:after="0"/>
              <w:rPr>
                <w:sz w:val="20"/>
                <w:szCs w:val="20"/>
                <w:color w:val="auto"/>
              </w:rPr>
            </w:pPr>
            <w:r>
              <w:rPr>
                <w:rFonts w:ascii="Arial" w:cs="Arial" w:eastAsia="Arial" w:hAnsi="Arial"/>
                <w:sz w:val="11"/>
                <w:szCs w:val="11"/>
                <w:b w:val="1"/>
                <w:bCs w:val="1"/>
                <w:color w:val="005A64"/>
              </w:rPr>
              <w:t>December 31,</w:t>
            </w:r>
          </w:p>
        </w:tc>
        <w:tc>
          <w:tcPr>
            <w:tcW w:w="1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1"/>
                <w:szCs w:val="11"/>
                <w:b w:val="1"/>
                <w:bCs w:val="1"/>
                <w:color w:val="005A64"/>
              </w:rPr>
              <w:t>December 31,</w:t>
            </w:r>
          </w:p>
        </w:tc>
      </w:tr>
      <w:tr>
        <w:trPr>
          <w:trHeight w:val="189"/>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i w:val="1"/>
                <w:iCs w:val="1"/>
                <w:color w:val="005A64"/>
              </w:rPr>
              <w:t>(in millions €)</w:t>
            </w:r>
          </w:p>
        </w:tc>
        <w:tc>
          <w:tcPr>
            <w:tcW w:w="1860" w:type="dxa"/>
            <w:vAlign w:val="bottom"/>
            <w:gridSpan w:val="2"/>
          </w:tcPr>
          <w:p>
            <w:pPr>
              <w:jc w:val="right"/>
              <w:spacing w:after="0"/>
              <w:rPr>
                <w:sz w:val="20"/>
                <w:szCs w:val="20"/>
                <w:color w:val="auto"/>
              </w:rPr>
            </w:pPr>
            <w:r>
              <w:rPr>
                <w:rFonts w:ascii="Arial" w:cs="Arial" w:eastAsia="Arial" w:hAnsi="Arial"/>
                <w:sz w:val="11"/>
                <w:szCs w:val="11"/>
                <w:b w:val="1"/>
                <w:bCs w:val="1"/>
                <w:color w:val="005A64"/>
              </w:rPr>
              <w:t>2024</w:t>
            </w:r>
          </w:p>
        </w:tc>
        <w:tc>
          <w:tcPr>
            <w:tcW w:w="140" w:type="dxa"/>
            <w:vAlign w:val="bottom"/>
            <w:tcBorders>
              <w:right w:val="single" w:sz="8" w:color="BECD32"/>
            </w:tcBorders>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1"/>
                <w:szCs w:val="11"/>
                <w:b w:val="1"/>
                <w:bCs w:val="1"/>
                <w:color w:val="005A64"/>
              </w:rPr>
              <w:t>2023</w:t>
            </w:r>
          </w:p>
        </w:tc>
      </w:tr>
      <w:tr>
        <w:trPr>
          <w:trHeight w:val="189"/>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b w:val="1"/>
                <w:bCs w:val="1"/>
                <w:color w:val="005A64"/>
              </w:rPr>
              <w:t>Assets</w:t>
            </w: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 w:type="dxa"/>
            <w:vAlign w:val="bottom"/>
            <w:tcBorders>
              <w:right w:val="single" w:sz="8" w:color="BECD32"/>
            </w:tcBorders>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3"/>
        </w:trPr>
        <w:tc>
          <w:tcPr>
            <w:tcW w:w="728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005A64"/>
            </w:tcBorders>
          </w:tcPr>
          <w:p>
            <w:pPr>
              <w:spacing w:after="0"/>
              <w:rPr>
                <w:sz w:val="2"/>
                <w:szCs w:val="2"/>
                <w:color w:val="auto"/>
              </w:rPr>
            </w:pPr>
          </w:p>
        </w:tc>
      </w:tr>
      <w:tr>
        <w:trPr>
          <w:trHeight w:val="155"/>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b w:val="1"/>
                <w:bCs w:val="1"/>
                <w:color w:val="3C9673"/>
              </w:rPr>
              <w:t>Non-current assets</w:t>
            </w: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3"/>
        </w:trPr>
        <w:tc>
          <w:tcPr>
            <w:tcW w:w="72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Goodwill</w:t>
            </w:r>
          </w:p>
        </w:tc>
        <w:tc>
          <w:tcPr>
            <w:tcW w:w="1860" w:type="dxa"/>
            <w:vAlign w:val="bottom"/>
            <w:gridSpan w:val="2"/>
          </w:tcPr>
          <w:p>
            <w:pPr>
              <w:jc w:val="right"/>
              <w:spacing w:after="0"/>
              <w:rPr>
                <w:sz w:val="20"/>
                <w:szCs w:val="20"/>
                <w:color w:val="auto"/>
              </w:rPr>
            </w:pPr>
            <w:r>
              <w:rPr>
                <w:rFonts w:ascii="Arial" w:cs="Arial" w:eastAsia="Arial" w:hAnsi="Arial"/>
                <w:sz w:val="11"/>
                <w:szCs w:val="11"/>
                <w:color w:val="005A64"/>
              </w:rPr>
              <w:t>380.6</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362.5</w:t>
            </w:r>
          </w:p>
        </w:tc>
      </w:tr>
      <w:tr>
        <w:trPr>
          <w:trHeight w:val="29"/>
        </w:trPr>
        <w:tc>
          <w:tcPr>
            <w:tcW w:w="72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Other intangible assets</w:t>
            </w:r>
          </w:p>
        </w:tc>
        <w:tc>
          <w:tcPr>
            <w:tcW w:w="1860" w:type="dxa"/>
            <w:vAlign w:val="bottom"/>
            <w:gridSpan w:val="2"/>
          </w:tcPr>
          <w:p>
            <w:pPr>
              <w:jc w:val="right"/>
              <w:spacing w:after="0"/>
              <w:rPr>
                <w:sz w:val="20"/>
                <w:szCs w:val="20"/>
                <w:color w:val="auto"/>
              </w:rPr>
            </w:pPr>
            <w:r>
              <w:rPr>
                <w:rFonts w:ascii="Arial" w:cs="Arial" w:eastAsia="Arial" w:hAnsi="Arial"/>
                <w:sz w:val="11"/>
                <w:szCs w:val="11"/>
                <w:color w:val="005A64"/>
              </w:rPr>
              <w:t>790.4</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804.1</w:t>
            </w:r>
          </w:p>
        </w:tc>
      </w:tr>
      <w:tr>
        <w:trPr>
          <w:trHeight w:val="29"/>
        </w:trPr>
        <w:tc>
          <w:tcPr>
            <w:tcW w:w="72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Property, plant and equipment</w:t>
            </w:r>
          </w:p>
        </w:tc>
        <w:tc>
          <w:tcPr>
            <w:tcW w:w="1860" w:type="dxa"/>
            <w:vAlign w:val="bottom"/>
            <w:gridSpan w:val="2"/>
          </w:tcPr>
          <w:p>
            <w:pPr>
              <w:jc w:val="right"/>
              <w:spacing w:after="0"/>
              <w:rPr>
                <w:sz w:val="20"/>
                <w:szCs w:val="20"/>
                <w:color w:val="auto"/>
              </w:rPr>
            </w:pPr>
            <w:r>
              <w:rPr>
                <w:rFonts w:ascii="Arial" w:cs="Arial" w:eastAsia="Arial" w:hAnsi="Arial"/>
                <w:sz w:val="11"/>
                <w:szCs w:val="11"/>
                <w:color w:val="005A64"/>
              </w:rPr>
              <w:t>935.3</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757.2</w:t>
            </w:r>
          </w:p>
        </w:tc>
      </w:tr>
      <w:tr>
        <w:trPr>
          <w:trHeight w:val="29"/>
        </w:trPr>
        <w:tc>
          <w:tcPr>
            <w:tcW w:w="72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Right-of-use assets</w:t>
            </w:r>
          </w:p>
        </w:tc>
        <w:tc>
          <w:tcPr>
            <w:tcW w:w="1860" w:type="dxa"/>
            <w:vAlign w:val="bottom"/>
            <w:gridSpan w:val="2"/>
          </w:tcPr>
          <w:p>
            <w:pPr>
              <w:jc w:val="right"/>
              <w:spacing w:after="0"/>
              <w:rPr>
                <w:sz w:val="20"/>
                <w:szCs w:val="20"/>
                <w:color w:val="auto"/>
              </w:rPr>
            </w:pPr>
            <w:r>
              <w:rPr>
                <w:rFonts w:ascii="Arial" w:cs="Arial" w:eastAsia="Arial" w:hAnsi="Arial"/>
                <w:sz w:val="11"/>
                <w:szCs w:val="11"/>
                <w:color w:val="005A64"/>
              </w:rPr>
              <w:t>248.1</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214.4</w:t>
            </w:r>
          </w:p>
        </w:tc>
      </w:tr>
      <w:tr>
        <w:trPr>
          <w:trHeight w:val="29"/>
        </w:trPr>
        <w:tc>
          <w:tcPr>
            <w:tcW w:w="72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Contract assets</w:t>
            </w:r>
          </w:p>
        </w:tc>
        <w:tc>
          <w:tcPr>
            <w:tcW w:w="1860" w:type="dxa"/>
            <w:vAlign w:val="bottom"/>
            <w:gridSpan w:val="2"/>
          </w:tcPr>
          <w:p>
            <w:pPr>
              <w:jc w:val="right"/>
              <w:spacing w:after="0"/>
              <w:rPr>
                <w:sz w:val="20"/>
                <w:szCs w:val="20"/>
                <w:color w:val="auto"/>
              </w:rPr>
            </w:pPr>
            <w:r>
              <w:rPr>
                <w:rFonts w:ascii="Arial" w:cs="Arial" w:eastAsia="Arial" w:hAnsi="Arial"/>
                <w:sz w:val="11"/>
                <w:szCs w:val="11"/>
                <w:color w:val="005A64"/>
              </w:rPr>
              <w:t>9.8</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w:t>
            </w:r>
          </w:p>
        </w:tc>
      </w:tr>
      <w:tr>
        <w:trPr>
          <w:trHeight w:val="29"/>
        </w:trPr>
        <w:tc>
          <w:tcPr>
            <w:tcW w:w="72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Other financial assets</w:t>
            </w:r>
          </w:p>
        </w:tc>
        <w:tc>
          <w:tcPr>
            <w:tcW w:w="1860" w:type="dxa"/>
            <w:vAlign w:val="bottom"/>
            <w:gridSpan w:val="2"/>
          </w:tcPr>
          <w:p>
            <w:pPr>
              <w:jc w:val="right"/>
              <w:spacing w:after="0"/>
              <w:rPr>
                <w:sz w:val="20"/>
                <w:szCs w:val="20"/>
                <w:color w:val="auto"/>
              </w:rPr>
            </w:pPr>
            <w:r>
              <w:rPr>
                <w:rFonts w:ascii="Arial" w:cs="Arial" w:eastAsia="Arial" w:hAnsi="Arial"/>
                <w:sz w:val="11"/>
                <w:szCs w:val="11"/>
                <w:color w:val="005A64"/>
              </w:rPr>
              <w:t>1,254.0</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1,176.1</w:t>
            </w:r>
          </w:p>
        </w:tc>
      </w:tr>
      <w:tr>
        <w:trPr>
          <w:trHeight w:val="29"/>
        </w:trPr>
        <w:tc>
          <w:tcPr>
            <w:tcW w:w="72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Other non-financial assets</w:t>
            </w:r>
          </w:p>
        </w:tc>
        <w:tc>
          <w:tcPr>
            <w:tcW w:w="1860" w:type="dxa"/>
            <w:vAlign w:val="bottom"/>
            <w:gridSpan w:val="2"/>
          </w:tcPr>
          <w:p>
            <w:pPr>
              <w:jc w:val="right"/>
              <w:spacing w:after="0"/>
              <w:rPr>
                <w:sz w:val="20"/>
                <w:szCs w:val="20"/>
                <w:color w:val="auto"/>
              </w:rPr>
            </w:pPr>
            <w:r>
              <w:rPr>
                <w:rFonts w:ascii="Arial" w:cs="Arial" w:eastAsia="Arial" w:hAnsi="Arial"/>
                <w:sz w:val="11"/>
                <w:szCs w:val="11"/>
                <w:color w:val="005A64"/>
              </w:rPr>
              <w:t>26.3</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83.4</w:t>
            </w:r>
          </w:p>
        </w:tc>
      </w:tr>
      <w:tr>
        <w:trPr>
          <w:trHeight w:val="29"/>
        </w:trPr>
        <w:tc>
          <w:tcPr>
            <w:tcW w:w="72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Deferred tax assets</w:t>
            </w:r>
          </w:p>
        </w:tc>
        <w:tc>
          <w:tcPr>
            <w:tcW w:w="1860" w:type="dxa"/>
            <w:vAlign w:val="bottom"/>
            <w:gridSpan w:val="2"/>
          </w:tcPr>
          <w:p>
            <w:pPr>
              <w:jc w:val="right"/>
              <w:spacing w:after="0"/>
              <w:rPr>
                <w:sz w:val="20"/>
                <w:szCs w:val="20"/>
                <w:color w:val="auto"/>
              </w:rPr>
            </w:pPr>
            <w:r>
              <w:rPr>
                <w:rFonts w:ascii="Arial" w:cs="Arial" w:eastAsia="Arial" w:hAnsi="Arial"/>
                <w:sz w:val="11"/>
                <w:szCs w:val="11"/>
                <w:color w:val="005A64"/>
              </w:rPr>
              <w:t>81.7</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81.3</w:t>
            </w:r>
          </w:p>
        </w:tc>
      </w:tr>
      <w:tr>
        <w:trPr>
          <w:trHeight w:val="29"/>
        </w:trPr>
        <w:tc>
          <w:tcPr>
            <w:tcW w:w="72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55"/>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b w:val="1"/>
                <w:bCs w:val="1"/>
                <w:color w:val="005A64"/>
              </w:rPr>
              <w:t>Total non-current assets</w:t>
            </w:r>
          </w:p>
        </w:tc>
        <w:tc>
          <w:tcPr>
            <w:tcW w:w="1860" w:type="dxa"/>
            <w:vAlign w:val="bottom"/>
            <w:gridSpan w:val="2"/>
          </w:tcPr>
          <w:p>
            <w:pPr>
              <w:jc w:val="right"/>
              <w:spacing w:after="0"/>
              <w:rPr>
                <w:sz w:val="20"/>
                <w:szCs w:val="20"/>
                <w:color w:val="auto"/>
              </w:rPr>
            </w:pPr>
            <w:r>
              <w:rPr>
                <w:rFonts w:ascii="Arial" w:cs="Arial" w:eastAsia="Arial" w:hAnsi="Arial"/>
                <w:sz w:val="11"/>
                <w:szCs w:val="11"/>
                <w:b w:val="1"/>
                <w:bCs w:val="1"/>
                <w:color w:val="005A64"/>
              </w:rPr>
              <w:t>3,726.2</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jc w:val="right"/>
              <w:spacing w:after="0"/>
              <w:rPr>
                <w:sz w:val="20"/>
                <w:szCs w:val="20"/>
                <w:color w:val="auto"/>
              </w:rPr>
            </w:pPr>
            <w:r>
              <w:rPr>
                <w:rFonts w:ascii="Arial" w:cs="Arial" w:eastAsia="Arial" w:hAnsi="Arial"/>
                <w:sz w:val="11"/>
                <w:szCs w:val="11"/>
                <w:b w:val="1"/>
                <w:bCs w:val="1"/>
                <w:color w:val="005A64"/>
              </w:rPr>
              <w:t>3,479.0</w:t>
            </w:r>
          </w:p>
        </w:tc>
      </w:tr>
      <w:tr>
        <w:trPr>
          <w:trHeight w:val="23"/>
        </w:trPr>
        <w:tc>
          <w:tcPr>
            <w:tcW w:w="728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005A64"/>
            </w:tcBorders>
          </w:tcPr>
          <w:p>
            <w:pPr>
              <w:spacing w:after="0"/>
              <w:rPr>
                <w:sz w:val="2"/>
                <w:szCs w:val="2"/>
                <w:color w:val="auto"/>
              </w:rPr>
            </w:pPr>
          </w:p>
        </w:tc>
      </w:tr>
      <w:tr>
        <w:trPr>
          <w:trHeight w:val="155"/>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b w:val="1"/>
                <w:bCs w:val="1"/>
                <w:color w:val="3C9673"/>
              </w:rPr>
              <w:t>Current assets</w:t>
            </w: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3"/>
        </w:trPr>
        <w:tc>
          <w:tcPr>
            <w:tcW w:w="72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Inventories</w:t>
            </w:r>
          </w:p>
        </w:tc>
        <w:tc>
          <w:tcPr>
            <w:tcW w:w="1860" w:type="dxa"/>
            <w:vAlign w:val="bottom"/>
            <w:gridSpan w:val="2"/>
          </w:tcPr>
          <w:p>
            <w:pPr>
              <w:jc w:val="right"/>
              <w:spacing w:after="0"/>
              <w:rPr>
                <w:sz w:val="20"/>
                <w:szCs w:val="20"/>
                <w:color w:val="auto"/>
              </w:rPr>
            </w:pPr>
            <w:r>
              <w:rPr>
                <w:rFonts w:ascii="Arial" w:cs="Arial" w:eastAsia="Arial" w:hAnsi="Arial"/>
                <w:sz w:val="11"/>
                <w:szCs w:val="11"/>
                <w:color w:val="005A64"/>
              </w:rPr>
              <w:t>283.3</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357.7</w:t>
            </w:r>
          </w:p>
        </w:tc>
      </w:tr>
      <w:tr>
        <w:trPr>
          <w:trHeight w:val="29"/>
        </w:trPr>
        <w:tc>
          <w:tcPr>
            <w:tcW w:w="72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Trade and other receivables</w:t>
            </w:r>
          </w:p>
        </w:tc>
        <w:tc>
          <w:tcPr>
            <w:tcW w:w="1860" w:type="dxa"/>
            <w:vAlign w:val="bottom"/>
            <w:gridSpan w:val="2"/>
          </w:tcPr>
          <w:p>
            <w:pPr>
              <w:jc w:val="right"/>
              <w:spacing w:after="0"/>
              <w:rPr>
                <w:sz w:val="20"/>
                <w:szCs w:val="20"/>
                <w:color w:val="auto"/>
              </w:rPr>
            </w:pPr>
            <w:r>
              <w:rPr>
                <w:rFonts w:ascii="Arial" w:cs="Arial" w:eastAsia="Arial" w:hAnsi="Arial"/>
                <w:sz w:val="11"/>
                <w:szCs w:val="11"/>
                <w:color w:val="005A64"/>
              </w:rPr>
              <w:t>1,463.9</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2,155.7</w:t>
            </w:r>
          </w:p>
        </w:tc>
      </w:tr>
      <w:tr>
        <w:trPr>
          <w:trHeight w:val="29"/>
        </w:trPr>
        <w:tc>
          <w:tcPr>
            <w:tcW w:w="72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Contract assets</w:t>
            </w:r>
          </w:p>
        </w:tc>
        <w:tc>
          <w:tcPr>
            <w:tcW w:w="1860" w:type="dxa"/>
            <w:vAlign w:val="bottom"/>
            <w:gridSpan w:val="2"/>
          </w:tcPr>
          <w:p>
            <w:pPr>
              <w:jc w:val="right"/>
              <w:spacing w:after="0"/>
              <w:rPr>
                <w:sz w:val="20"/>
                <w:szCs w:val="20"/>
                <w:color w:val="auto"/>
              </w:rPr>
            </w:pPr>
            <w:r>
              <w:rPr>
                <w:rFonts w:ascii="Arial" w:cs="Arial" w:eastAsia="Arial" w:hAnsi="Arial"/>
                <w:sz w:val="11"/>
                <w:szCs w:val="11"/>
                <w:color w:val="005A64"/>
              </w:rPr>
              <w:t>10.0</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4.9</w:t>
            </w:r>
          </w:p>
        </w:tc>
      </w:tr>
      <w:tr>
        <w:trPr>
          <w:trHeight w:val="29"/>
        </w:trPr>
        <w:tc>
          <w:tcPr>
            <w:tcW w:w="72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Other financial assets</w:t>
            </w:r>
          </w:p>
        </w:tc>
        <w:tc>
          <w:tcPr>
            <w:tcW w:w="1860" w:type="dxa"/>
            <w:vAlign w:val="bottom"/>
            <w:gridSpan w:val="2"/>
          </w:tcPr>
          <w:p>
            <w:pPr>
              <w:jc w:val="right"/>
              <w:spacing w:after="0"/>
              <w:rPr>
                <w:sz w:val="20"/>
                <w:szCs w:val="20"/>
                <w:color w:val="auto"/>
              </w:rPr>
            </w:pPr>
            <w:r>
              <w:rPr>
                <w:rFonts w:ascii="Arial" w:cs="Arial" w:eastAsia="Arial" w:hAnsi="Arial"/>
                <w:sz w:val="11"/>
                <w:szCs w:val="11"/>
                <w:color w:val="005A64"/>
              </w:rPr>
              <w:t>7,021.7</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4,885.3</w:t>
            </w:r>
          </w:p>
        </w:tc>
      </w:tr>
      <w:tr>
        <w:trPr>
          <w:trHeight w:val="29"/>
        </w:trPr>
        <w:tc>
          <w:tcPr>
            <w:tcW w:w="72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Other non-financial assets</w:t>
            </w:r>
          </w:p>
        </w:tc>
        <w:tc>
          <w:tcPr>
            <w:tcW w:w="1860" w:type="dxa"/>
            <w:vAlign w:val="bottom"/>
            <w:gridSpan w:val="2"/>
          </w:tcPr>
          <w:p>
            <w:pPr>
              <w:jc w:val="right"/>
              <w:spacing w:after="0"/>
              <w:rPr>
                <w:sz w:val="20"/>
                <w:szCs w:val="20"/>
                <w:color w:val="auto"/>
              </w:rPr>
            </w:pPr>
            <w:r>
              <w:rPr>
                <w:rFonts w:ascii="Arial" w:cs="Arial" w:eastAsia="Arial" w:hAnsi="Arial"/>
                <w:sz w:val="11"/>
                <w:szCs w:val="11"/>
                <w:color w:val="005A64"/>
              </w:rPr>
              <w:t>212.7</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280.9</w:t>
            </w:r>
          </w:p>
        </w:tc>
      </w:tr>
      <w:tr>
        <w:trPr>
          <w:trHeight w:val="29"/>
        </w:trPr>
        <w:tc>
          <w:tcPr>
            <w:tcW w:w="72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Income tax assets</w:t>
            </w:r>
          </w:p>
        </w:tc>
        <w:tc>
          <w:tcPr>
            <w:tcW w:w="1860" w:type="dxa"/>
            <w:vAlign w:val="bottom"/>
            <w:gridSpan w:val="2"/>
          </w:tcPr>
          <w:p>
            <w:pPr>
              <w:jc w:val="right"/>
              <w:spacing w:after="0"/>
              <w:rPr>
                <w:sz w:val="20"/>
                <w:szCs w:val="20"/>
                <w:color w:val="auto"/>
              </w:rPr>
            </w:pPr>
            <w:r>
              <w:rPr>
                <w:rFonts w:ascii="Arial" w:cs="Arial" w:eastAsia="Arial" w:hAnsi="Arial"/>
                <w:sz w:val="11"/>
                <w:szCs w:val="11"/>
                <w:color w:val="005A64"/>
              </w:rPr>
              <w:t>50.0</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179.1</w:t>
            </w:r>
          </w:p>
        </w:tc>
      </w:tr>
      <w:tr>
        <w:trPr>
          <w:trHeight w:val="29"/>
        </w:trPr>
        <w:tc>
          <w:tcPr>
            <w:tcW w:w="72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Cash and cash equivalents</w:t>
            </w:r>
          </w:p>
        </w:tc>
        <w:tc>
          <w:tcPr>
            <w:tcW w:w="1860" w:type="dxa"/>
            <w:vAlign w:val="bottom"/>
            <w:gridSpan w:val="2"/>
          </w:tcPr>
          <w:p>
            <w:pPr>
              <w:jc w:val="right"/>
              <w:spacing w:after="0"/>
              <w:rPr>
                <w:sz w:val="20"/>
                <w:szCs w:val="20"/>
                <w:color w:val="auto"/>
              </w:rPr>
            </w:pPr>
            <w:r>
              <w:rPr>
                <w:rFonts w:ascii="Arial" w:cs="Arial" w:eastAsia="Arial" w:hAnsi="Arial"/>
                <w:sz w:val="11"/>
                <w:szCs w:val="11"/>
                <w:color w:val="005A64"/>
              </w:rPr>
              <w:t>9,761.9</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11,663.7</w:t>
            </w:r>
          </w:p>
        </w:tc>
      </w:tr>
      <w:tr>
        <w:trPr>
          <w:trHeight w:val="29"/>
        </w:trPr>
        <w:tc>
          <w:tcPr>
            <w:tcW w:w="72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55"/>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b w:val="1"/>
                <w:bCs w:val="1"/>
                <w:color w:val="005A64"/>
              </w:rPr>
              <w:t>Total current assets</w:t>
            </w:r>
          </w:p>
        </w:tc>
        <w:tc>
          <w:tcPr>
            <w:tcW w:w="1860" w:type="dxa"/>
            <w:vAlign w:val="bottom"/>
            <w:gridSpan w:val="2"/>
          </w:tcPr>
          <w:p>
            <w:pPr>
              <w:jc w:val="right"/>
              <w:spacing w:after="0"/>
              <w:rPr>
                <w:sz w:val="20"/>
                <w:szCs w:val="20"/>
                <w:color w:val="auto"/>
              </w:rPr>
            </w:pPr>
            <w:r>
              <w:rPr>
                <w:rFonts w:ascii="Arial" w:cs="Arial" w:eastAsia="Arial" w:hAnsi="Arial"/>
                <w:sz w:val="11"/>
                <w:szCs w:val="11"/>
                <w:b w:val="1"/>
                <w:bCs w:val="1"/>
                <w:color w:val="005A64"/>
              </w:rPr>
              <w:t>18,803.5</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jc w:val="right"/>
              <w:spacing w:after="0"/>
              <w:rPr>
                <w:sz w:val="20"/>
                <w:szCs w:val="20"/>
                <w:color w:val="auto"/>
              </w:rPr>
            </w:pPr>
            <w:r>
              <w:rPr>
                <w:rFonts w:ascii="Arial" w:cs="Arial" w:eastAsia="Arial" w:hAnsi="Arial"/>
                <w:sz w:val="11"/>
                <w:szCs w:val="11"/>
                <w:b w:val="1"/>
                <w:bCs w:val="1"/>
                <w:color w:val="005A64"/>
              </w:rPr>
              <w:t>19,527.3</w:t>
            </w:r>
          </w:p>
        </w:tc>
      </w:tr>
      <w:tr>
        <w:trPr>
          <w:trHeight w:val="23"/>
        </w:trPr>
        <w:tc>
          <w:tcPr>
            <w:tcW w:w="728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005A64"/>
            </w:tcBorders>
          </w:tcPr>
          <w:p>
            <w:pPr>
              <w:spacing w:after="0"/>
              <w:rPr>
                <w:sz w:val="2"/>
                <w:szCs w:val="2"/>
                <w:color w:val="auto"/>
              </w:rPr>
            </w:pPr>
          </w:p>
        </w:tc>
      </w:tr>
      <w:tr>
        <w:trPr>
          <w:trHeight w:val="155"/>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b w:val="1"/>
                <w:bCs w:val="1"/>
                <w:color w:val="005A64"/>
              </w:rPr>
              <w:t>Total assets</w:t>
            </w:r>
          </w:p>
        </w:tc>
        <w:tc>
          <w:tcPr>
            <w:tcW w:w="1860" w:type="dxa"/>
            <w:vAlign w:val="bottom"/>
            <w:gridSpan w:val="2"/>
          </w:tcPr>
          <w:p>
            <w:pPr>
              <w:jc w:val="right"/>
              <w:spacing w:after="0"/>
              <w:rPr>
                <w:sz w:val="20"/>
                <w:szCs w:val="20"/>
                <w:color w:val="auto"/>
              </w:rPr>
            </w:pPr>
            <w:r>
              <w:rPr>
                <w:rFonts w:ascii="Arial" w:cs="Arial" w:eastAsia="Arial" w:hAnsi="Arial"/>
                <w:sz w:val="11"/>
                <w:szCs w:val="11"/>
                <w:b w:val="1"/>
                <w:bCs w:val="1"/>
                <w:color w:val="005A64"/>
              </w:rPr>
              <w:t>22,529.7</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jc w:val="right"/>
              <w:spacing w:after="0"/>
              <w:rPr>
                <w:sz w:val="20"/>
                <w:szCs w:val="20"/>
                <w:color w:val="auto"/>
              </w:rPr>
            </w:pPr>
            <w:r>
              <w:rPr>
                <w:rFonts w:ascii="Arial" w:cs="Arial" w:eastAsia="Arial" w:hAnsi="Arial"/>
                <w:sz w:val="11"/>
                <w:szCs w:val="11"/>
                <w:b w:val="1"/>
                <w:bCs w:val="1"/>
                <w:color w:val="005A64"/>
              </w:rPr>
              <w:t>23,006.3</w:t>
            </w:r>
          </w:p>
        </w:tc>
      </w:tr>
      <w:tr>
        <w:trPr>
          <w:trHeight w:val="23"/>
        </w:trPr>
        <w:tc>
          <w:tcPr>
            <w:tcW w:w="728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005A64"/>
            </w:tcBorders>
          </w:tcPr>
          <w:p>
            <w:pPr>
              <w:spacing w:after="0"/>
              <w:rPr>
                <w:sz w:val="2"/>
                <w:szCs w:val="2"/>
                <w:color w:val="auto"/>
              </w:rPr>
            </w:pPr>
          </w:p>
        </w:tc>
      </w:tr>
      <w:tr>
        <w:trPr>
          <w:trHeight w:val="290"/>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b w:val="1"/>
                <w:bCs w:val="1"/>
                <w:color w:val="005A64"/>
              </w:rPr>
              <w:t>Equity and liabilities</w:t>
            </w: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0" w:type="dxa"/>
            <w:vAlign w:val="bottom"/>
            <w:tcBorders>
              <w:right w:val="single" w:sz="8" w:color="BECD32"/>
            </w:tcBorders>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3"/>
        </w:trPr>
        <w:tc>
          <w:tcPr>
            <w:tcW w:w="728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005A64"/>
            </w:tcBorders>
          </w:tcPr>
          <w:p>
            <w:pPr>
              <w:spacing w:after="0"/>
              <w:rPr>
                <w:sz w:val="2"/>
                <w:szCs w:val="2"/>
                <w:color w:val="auto"/>
              </w:rPr>
            </w:pPr>
          </w:p>
        </w:tc>
      </w:tr>
      <w:tr>
        <w:trPr>
          <w:trHeight w:val="155"/>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b w:val="1"/>
                <w:bCs w:val="1"/>
                <w:color w:val="3C9673"/>
              </w:rPr>
              <w:t>Equity</w:t>
            </w: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3"/>
        </w:trPr>
        <w:tc>
          <w:tcPr>
            <w:tcW w:w="72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Share capital</w:t>
            </w:r>
          </w:p>
        </w:tc>
        <w:tc>
          <w:tcPr>
            <w:tcW w:w="1860" w:type="dxa"/>
            <w:vAlign w:val="bottom"/>
            <w:gridSpan w:val="2"/>
          </w:tcPr>
          <w:p>
            <w:pPr>
              <w:jc w:val="right"/>
              <w:spacing w:after="0"/>
              <w:rPr>
                <w:sz w:val="20"/>
                <w:szCs w:val="20"/>
                <w:color w:val="auto"/>
              </w:rPr>
            </w:pPr>
            <w:r>
              <w:rPr>
                <w:rFonts w:ascii="Arial" w:cs="Arial" w:eastAsia="Arial" w:hAnsi="Arial"/>
                <w:sz w:val="11"/>
                <w:szCs w:val="11"/>
                <w:color w:val="005A64"/>
              </w:rPr>
              <w:t>248.6</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248.6</w:t>
            </w:r>
          </w:p>
        </w:tc>
      </w:tr>
      <w:tr>
        <w:trPr>
          <w:trHeight w:val="29"/>
        </w:trPr>
        <w:tc>
          <w:tcPr>
            <w:tcW w:w="72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Capital reserve</w:t>
            </w:r>
          </w:p>
        </w:tc>
        <w:tc>
          <w:tcPr>
            <w:tcW w:w="1860" w:type="dxa"/>
            <w:vAlign w:val="bottom"/>
            <w:gridSpan w:val="2"/>
          </w:tcPr>
          <w:p>
            <w:pPr>
              <w:jc w:val="right"/>
              <w:spacing w:after="0"/>
              <w:rPr>
                <w:sz w:val="20"/>
                <w:szCs w:val="20"/>
                <w:color w:val="auto"/>
              </w:rPr>
            </w:pPr>
            <w:r>
              <w:rPr>
                <w:rFonts w:ascii="Arial" w:cs="Arial" w:eastAsia="Arial" w:hAnsi="Arial"/>
                <w:sz w:val="11"/>
                <w:szCs w:val="11"/>
                <w:color w:val="005A64"/>
              </w:rPr>
              <w:t>1,398.6</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1,229.4</w:t>
            </w:r>
          </w:p>
        </w:tc>
      </w:tr>
      <w:tr>
        <w:trPr>
          <w:trHeight w:val="29"/>
        </w:trPr>
        <w:tc>
          <w:tcPr>
            <w:tcW w:w="72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Treasury shares</w:t>
            </w:r>
          </w:p>
        </w:tc>
        <w:tc>
          <w:tcPr>
            <w:tcW w:w="1860" w:type="dxa"/>
            <w:vAlign w:val="bottom"/>
            <w:gridSpan w:val="2"/>
          </w:tcPr>
          <w:p>
            <w:pPr>
              <w:jc w:val="right"/>
              <w:spacing w:after="0"/>
              <w:rPr>
                <w:sz w:val="20"/>
                <w:szCs w:val="20"/>
                <w:color w:val="auto"/>
              </w:rPr>
            </w:pPr>
            <w:r>
              <w:rPr>
                <w:rFonts w:ascii="Arial" w:cs="Arial" w:eastAsia="Arial" w:hAnsi="Arial"/>
                <w:sz w:val="11"/>
                <w:szCs w:val="11"/>
                <w:color w:val="005A64"/>
              </w:rPr>
              <w:t>(8.6)</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(10.8)</w:t>
            </w:r>
          </w:p>
        </w:tc>
      </w:tr>
      <w:tr>
        <w:trPr>
          <w:trHeight w:val="29"/>
        </w:trPr>
        <w:tc>
          <w:tcPr>
            <w:tcW w:w="72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Retained earnings</w:t>
            </w:r>
          </w:p>
        </w:tc>
        <w:tc>
          <w:tcPr>
            <w:tcW w:w="1860" w:type="dxa"/>
            <w:vAlign w:val="bottom"/>
            <w:gridSpan w:val="2"/>
          </w:tcPr>
          <w:p>
            <w:pPr>
              <w:jc w:val="right"/>
              <w:spacing w:after="0"/>
              <w:rPr>
                <w:sz w:val="20"/>
                <w:szCs w:val="20"/>
                <w:color w:val="auto"/>
              </w:rPr>
            </w:pPr>
            <w:r>
              <w:rPr>
                <w:rFonts w:ascii="Arial" w:cs="Arial" w:eastAsia="Arial" w:hAnsi="Arial"/>
                <w:sz w:val="11"/>
                <w:szCs w:val="11"/>
                <w:color w:val="005A64"/>
              </w:rPr>
              <w:t>19,098.0</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19,763.3</w:t>
            </w:r>
          </w:p>
        </w:tc>
      </w:tr>
      <w:tr>
        <w:trPr>
          <w:trHeight w:val="29"/>
        </w:trPr>
        <w:tc>
          <w:tcPr>
            <w:tcW w:w="72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Other reserves</w:t>
            </w:r>
          </w:p>
        </w:tc>
        <w:tc>
          <w:tcPr>
            <w:tcW w:w="1860" w:type="dxa"/>
            <w:vAlign w:val="bottom"/>
            <w:gridSpan w:val="2"/>
          </w:tcPr>
          <w:p>
            <w:pPr>
              <w:jc w:val="right"/>
              <w:spacing w:after="0"/>
              <w:rPr>
                <w:sz w:val="20"/>
                <w:szCs w:val="20"/>
                <w:color w:val="auto"/>
              </w:rPr>
            </w:pPr>
            <w:r>
              <w:rPr>
                <w:rFonts w:ascii="Arial" w:cs="Arial" w:eastAsia="Arial" w:hAnsi="Arial"/>
                <w:sz w:val="11"/>
                <w:szCs w:val="11"/>
                <w:color w:val="005A64"/>
              </w:rPr>
              <w:t>(1,325.5)</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(984.6)</w:t>
            </w:r>
          </w:p>
        </w:tc>
      </w:tr>
      <w:tr>
        <w:trPr>
          <w:trHeight w:val="29"/>
        </w:trPr>
        <w:tc>
          <w:tcPr>
            <w:tcW w:w="72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55"/>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b w:val="1"/>
                <w:bCs w:val="1"/>
                <w:color w:val="005A64"/>
              </w:rPr>
              <w:t>Total equity</w:t>
            </w:r>
          </w:p>
        </w:tc>
        <w:tc>
          <w:tcPr>
            <w:tcW w:w="1860" w:type="dxa"/>
            <w:vAlign w:val="bottom"/>
            <w:gridSpan w:val="2"/>
          </w:tcPr>
          <w:p>
            <w:pPr>
              <w:jc w:val="right"/>
              <w:spacing w:after="0"/>
              <w:rPr>
                <w:sz w:val="20"/>
                <w:szCs w:val="20"/>
                <w:color w:val="auto"/>
              </w:rPr>
            </w:pPr>
            <w:r>
              <w:rPr>
                <w:rFonts w:ascii="Arial" w:cs="Arial" w:eastAsia="Arial" w:hAnsi="Arial"/>
                <w:sz w:val="11"/>
                <w:szCs w:val="11"/>
                <w:b w:val="1"/>
                <w:bCs w:val="1"/>
                <w:color w:val="005A64"/>
              </w:rPr>
              <w:t>19,411.1</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jc w:val="right"/>
              <w:spacing w:after="0"/>
              <w:rPr>
                <w:sz w:val="20"/>
                <w:szCs w:val="20"/>
                <w:color w:val="auto"/>
              </w:rPr>
            </w:pPr>
            <w:r>
              <w:rPr>
                <w:rFonts w:ascii="Arial" w:cs="Arial" w:eastAsia="Arial" w:hAnsi="Arial"/>
                <w:sz w:val="11"/>
                <w:szCs w:val="11"/>
                <w:b w:val="1"/>
                <w:bCs w:val="1"/>
                <w:color w:val="005A64"/>
              </w:rPr>
              <w:t>20,245.9</w:t>
            </w:r>
          </w:p>
        </w:tc>
      </w:tr>
      <w:tr>
        <w:trPr>
          <w:trHeight w:val="23"/>
        </w:trPr>
        <w:tc>
          <w:tcPr>
            <w:tcW w:w="728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005A64"/>
            </w:tcBorders>
          </w:tcPr>
          <w:p>
            <w:pPr>
              <w:spacing w:after="0"/>
              <w:rPr>
                <w:sz w:val="2"/>
                <w:szCs w:val="2"/>
                <w:color w:val="auto"/>
              </w:rPr>
            </w:pPr>
          </w:p>
        </w:tc>
      </w:tr>
      <w:tr>
        <w:trPr>
          <w:trHeight w:val="155"/>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b w:val="1"/>
                <w:bCs w:val="1"/>
                <w:color w:val="3C9673"/>
              </w:rPr>
              <w:t>Non-current liabilities</w:t>
            </w: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3"/>
        </w:trPr>
        <w:tc>
          <w:tcPr>
            <w:tcW w:w="72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Lease liabilities, loans and borrowings</w:t>
            </w:r>
          </w:p>
        </w:tc>
        <w:tc>
          <w:tcPr>
            <w:tcW w:w="1860" w:type="dxa"/>
            <w:vAlign w:val="bottom"/>
            <w:gridSpan w:val="2"/>
          </w:tcPr>
          <w:p>
            <w:pPr>
              <w:jc w:val="right"/>
              <w:spacing w:after="0"/>
              <w:rPr>
                <w:sz w:val="20"/>
                <w:szCs w:val="20"/>
                <w:color w:val="auto"/>
              </w:rPr>
            </w:pPr>
            <w:r>
              <w:rPr>
                <w:rFonts w:ascii="Arial" w:cs="Arial" w:eastAsia="Arial" w:hAnsi="Arial"/>
                <w:sz w:val="11"/>
                <w:szCs w:val="11"/>
                <w:color w:val="005A64"/>
              </w:rPr>
              <w:t>214.7</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191.0</w:t>
            </w:r>
          </w:p>
        </w:tc>
      </w:tr>
      <w:tr>
        <w:trPr>
          <w:trHeight w:val="29"/>
        </w:trPr>
        <w:tc>
          <w:tcPr>
            <w:tcW w:w="72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Other financial liabilities</w:t>
            </w:r>
          </w:p>
        </w:tc>
        <w:tc>
          <w:tcPr>
            <w:tcW w:w="1860" w:type="dxa"/>
            <w:vAlign w:val="bottom"/>
            <w:gridSpan w:val="2"/>
          </w:tcPr>
          <w:p>
            <w:pPr>
              <w:jc w:val="right"/>
              <w:spacing w:after="0"/>
              <w:rPr>
                <w:sz w:val="20"/>
                <w:szCs w:val="20"/>
                <w:color w:val="auto"/>
              </w:rPr>
            </w:pPr>
            <w:r>
              <w:rPr>
                <w:rFonts w:ascii="Arial" w:cs="Arial" w:eastAsia="Arial" w:hAnsi="Arial"/>
                <w:sz w:val="11"/>
                <w:szCs w:val="11"/>
                <w:color w:val="005A64"/>
              </w:rPr>
              <w:t>46.9</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38.8</w:t>
            </w:r>
          </w:p>
        </w:tc>
      </w:tr>
      <w:tr>
        <w:trPr>
          <w:trHeight w:val="29"/>
        </w:trPr>
        <w:tc>
          <w:tcPr>
            <w:tcW w:w="72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Provisions</w:t>
            </w:r>
          </w:p>
        </w:tc>
        <w:tc>
          <w:tcPr>
            <w:tcW w:w="1860" w:type="dxa"/>
            <w:vAlign w:val="bottom"/>
            <w:gridSpan w:val="2"/>
          </w:tcPr>
          <w:p>
            <w:pPr>
              <w:jc w:val="right"/>
              <w:spacing w:after="0"/>
              <w:rPr>
                <w:sz w:val="20"/>
                <w:szCs w:val="20"/>
                <w:color w:val="auto"/>
              </w:rPr>
            </w:pPr>
            <w:r>
              <w:rPr>
                <w:rFonts w:ascii="Arial" w:cs="Arial" w:eastAsia="Arial" w:hAnsi="Arial"/>
                <w:sz w:val="11"/>
                <w:szCs w:val="11"/>
                <w:color w:val="005A64"/>
              </w:rPr>
              <w:t>20.9</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8.8</w:t>
            </w:r>
          </w:p>
        </w:tc>
      </w:tr>
      <w:tr>
        <w:trPr>
          <w:trHeight w:val="29"/>
        </w:trPr>
        <w:tc>
          <w:tcPr>
            <w:tcW w:w="72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Contract liabilities</w:t>
            </w:r>
          </w:p>
        </w:tc>
        <w:tc>
          <w:tcPr>
            <w:tcW w:w="1860" w:type="dxa"/>
            <w:vAlign w:val="bottom"/>
            <w:gridSpan w:val="2"/>
          </w:tcPr>
          <w:p>
            <w:pPr>
              <w:jc w:val="right"/>
              <w:spacing w:after="0"/>
              <w:rPr>
                <w:sz w:val="20"/>
                <w:szCs w:val="20"/>
                <w:color w:val="auto"/>
              </w:rPr>
            </w:pPr>
            <w:r>
              <w:rPr>
                <w:rFonts w:ascii="Arial" w:cs="Arial" w:eastAsia="Arial" w:hAnsi="Arial"/>
                <w:sz w:val="11"/>
                <w:szCs w:val="11"/>
                <w:color w:val="005A64"/>
              </w:rPr>
              <w:t>183.0</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398.5</w:t>
            </w:r>
          </w:p>
        </w:tc>
      </w:tr>
      <w:tr>
        <w:trPr>
          <w:trHeight w:val="29"/>
        </w:trPr>
        <w:tc>
          <w:tcPr>
            <w:tcW w:w="72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Other non-financial liabilities</w:t>
            </w:r>
          </w:p>
        </w:tc>
        <w:tc>
          <w:tcPr>
            <w:tcW w:w="1860" w:type="dxa"/>
            <w:vAlign w:val="bottom"/>
            <w:gridSpan w:val="2"/>
          </w:tcPr>
          <w:p>
            <w:pPr>
              <w:jc w:val="right"/>
              <w:spacing w:after="0"/>
              <w:rPr>
                <w:sz w:val="20"/>
                <w:szCs w:val="20"/>
                <w:color w:val="auto"/>
              </w:rPr>
            </w:pPr>
            <w:r>
              <w:rPr>
                <w:rFonts w:ascii="Arial" w:cs="Arial" w:eastAsia="Arial" w:hAnsi="Arial"/>
                <w:sz w:val="11"/>
                <w:szCs w:val="11"/>
                <w:color w:val="005A64"/>
              </w:rPr>
              <w:t>87.5</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13.1</w:t>
            </w:r>
          </w:p>
        </w:tc>
      </w:tr>
      <w:tr>
        <w:trPr>
          <w:trHeight w:val="29"/>
        </w:trPr>
        <w:tc>
          <w:tcPr>
            <w:tcW w:w="72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Deferred tax liabilities</w:t>
            </w:r>
          </w:p>
        </w:tc>
        <w:tc>
          <w:tcPr>
            <w:tcW w:w="1860" w:type="dxa"/>
            <w:vAlign w:val="bottom"/>
            <w:gridSpan w:val="2"/>
          </w:tcPr>
          <w:p>
            <w:pPr>
              <w:jc w:val="right"/>
              <w:spacing w:after="0"/>
              <w:rPr>
                <w:sz w:val="20"/>
                <w:szCs w:val="20"/>
                <w:color w:val="auto"/>
              </w:rPr>
            </w:pPr>
            <w:r>
              <w:rPr>
                <w:rFonts w:ascii="Arial" w:cs="Arial" w:eastAsia="Arial" w:hAnsi="Arial"/>
                <w:sz w:val="11"/>
                <w:szCs w:val="11"/>
                <w:color w:val="005A64"/>
              </w:rPr>
              <w:t>42.4</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39.7</w:t>
            </w:r>
          </w:p>
        </w:tc>
      </w:tr>
      <w:tr>
        <w:trPr>
          <w:trHeight w:val="29"/>
        </w:trPr>
        <w:tc>
          <w:tcPr>
            <w:tcW w:w="72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55"/>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b w:val="1"/>
                <w:bCs w:val="1"/>
                <w:color w:val="005A64"/>
              </w:rPr>
              <w:t>Total non-current liabilities</w:t>
            </w:r>
          </w:p>
        </w:tc>
        <w:tc>
          <w:tcPr>
            <w:tcW w:w="1860" w:type="dxa"/>
            <w:vAlign w:val="bottom"/>
            <w:gridSpan w:val="2"/>
          </w:tcPr>
          <w:p>
            <w:pPr>
              <w:jc w:val="right"/>
              <w:spacing w:after="0"/>
              <w:rPr>
                <w:sz w:val="20"/>
                <w:szCs w:val="20"/>
                <w:color w:val="auto"/>
              </w:rPr>
            </w:pPr>
            <w:r>
              <w:rPr>
                <w:rFonts w:ascii="Arial" w:cs="Arial" w:eastAsia="Arial" w:hAnsi="Arial"/>
                <w:sz w:val="11"/>
                <w:szCs w:val="11"/>
                <w:b w:val="1"/>
                <w:bCs w:val="1"/>
                <w:color w:val="005A64"/>
              </w:rPr>
              <w:t>595.4</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jc w:val="right"/>
              <w:spacing w:after="0"/>
              <w:rPr>
                <w:sz w:val="20"/>
                <w:szCs w:val="20"/>
                <w:color w:val="auto"/>
              </w:rPr>
            </w:pPr>
            <w:r>
              <w:rPr>
                <w:rFonts w:ascii="Arial" w:cs="Arial" w:eastAsia="Arial" w:hAnsi="Arial"/>
                <w:sz w:val="11"/>
                <w:szCs w:val="11"/>
                <w:b w:val="1"/>
                <w:bCs w:val="1"/>
                <w:color w:val="005A64"/>
              </w:rPr>
              <w:t>689.9</w:t>
            </w:r>
          </w:p>
        </w:tc>
      </w:tr>
      <w:tr>
        <w:trPr>
          <w:trHeight w:val="23"/>
        </w:trPr>
        <w:tc>
          <w:tcPr>
            <w:tcW w:w="728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005A64"/>
            </w:tcBorders>
          </w:tcPr>
          <w:p>
            <w:pPr>
              <w:spacing w:after="0"/>
              <w:rPr>
                <w:sz w:val="2"/>
                <w:szCs w:val="2"/>
                <w:color w:val="auto"/>
              </w:rPr>
            </w:pPr>
          </w:p>
        </w:tc>
      </w:tr>
      <w:tr>
        <w:trPr>
          <w:trHeight w:val="155"/>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b w:val="1"/>
                <w:bCs w:val="1"/>
                <w:color w:val="3C9673"/>
              </w:rPr>
              <w:t>Current liabilities</w:t>
            </w: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3"/>
        </w:trPr>
        <w:tc>
          <w:tcPr>
            <w:tcW w:w="72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Lease liabilities, loans and borrowings</w:t>
            </w:r>
          </w:p>
        </w:tc>
        <w:tc>
          <w:tcPr>
            <w:tcW w:w="1860" w:type="dxa"/>
            <w:vAlign w:val="bottom"/>
            <w:gridSpan w:val="2"/>
          </w:tcPr>
          <w:p>
            <w:pPr>
              <w:jc w:val="right"/>
              <w:spacing w:after="0"/>
              <w:rPr>
                <w:sz w:val="20"/>
                <w:szCs w:val="20"/>
                <w:color w:val="auto"/>
              </w:rPr>
            </w:pPr>
            <w:r>
              <w:rPr>
                <w:rFonts w:ascii="Arial" w:cs="Arial" w:eastAsia="Arial" w:hAnsi="Arial"/>
                <w:sz w:val="11"/>
                <w:szCs w:val="11"/>
                <w:color w:val="005A64"/>
              </w:rPr>
              <w:t>39.5</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28.1</w:t>
            </w:r>
          </w:p>
        </w:tc>
      </w:tr>
      <w:tr>
        <w:trPr>
          <w:trHeight w:val="29"/>
        </w:trPr>
        <w:tc>
          <w:tcPr>
            <w:tcW w:w="72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Trade payables and other payables</w:t>
            </w:r>
          </w:p>
        </w:tc>
        <w:tc>
          <w:tcPr>
            <w:tcW w:w="1860" w:type="dxa"/>
            <w:vAlign w:val="bottom"/>
            <w:gridSpan w:val="2"/>
          </w:tcPr>
          <w:p>
            <w:pPr>
              <w:jc w:val="right"/>
              <w:spacing w:after="0"/>
              <w:rPr>
                <w:sz w:val="20"/>
                <w:szCs w:val="20"/>
                <w:color w:val="auto"/>
              </w:rPr>
            </w:pPr>
            <w:r>
              <w:rPr>
                <w:rFonts w:ascii="Arial" w:cs="Arial" w:eastAsia="Arial" w:hAnsi="Arial"/>
                <w:sz w:val="11"/>
                <w:szCs w:val="11"/>
                <w:color w:val="005A64"/>
              </w:rPr>
              <w:t>426.7</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354.0</w:t>
            </w:r>
          </w:p>
        </w:tc>
      </w:tr>
      <w:tr>
        <w:trPr>
          <w:trHeight w:val="29"/>
        </w:trPr>
        <w:tc>
          <w:tcPr>
            <w:tcW w:w="72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Other financial liabilities</w:t>
            </w:r>
          </w:p>
        </w:tc>
        <w:tc>
          <w:tcPr>
            <w:tcW w:w="1860" w:type="dxa"/>
            <w:vAlign w:val="bottom"/>
            <w:gridSpan w:val="2"/>
          </w:tcPr>
          <w:p>
            <w:pPr>
              <w:jc w:val="right"/>
              <w:spacing w:after="0"/>
              <w:rPr>
                <w:sz w:val="20"/>
                <w:szCs w:val="20"/>
                <w:color w:val="auto"/>
              </w:rPr>
            </w:pPr>
            <w:r>
              <w:rPr>
                <w:rFonts w:ascii="Arial" w:cs="Arial" w:eastAsia="Arial" w:hAnsi="Arial"/>
                <w:sz w:val="11"/>
                <w:szCs w:val="11"/>
                <w:color w:val="005A64"/>
              </w:rPr>
              <w:t>1,443.4</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415.2</w:t>
            </w:r>
          </w:p>
        </w:tc>
      </w:tr>
      <w:tr>
        <w:trPr>
          <w:trHeight w:val="29"/>
        </w:trPr>
        <w:tc>
          <w:tcPr>
            <w:tcW w:w="72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Income tax liabilities</w:t>
            </w:r>
          </w:p>
        </w:tc>
        <w:tc>
          <w:tcPr>
            <w:tcW w:w="1860" w:type="dxa"/>
            <w:vAlign w:val="bottom"/>
            <w:gridSpan w:val="2"/>
          </w:tcPr>
          <w:p>
            <w:pPr>
              <w:jc w:val="right"/>
              <w:spacing w:after="0"/>
              <w:rPr>
                <w:sz w:val="20"/>
                <w:szCs w:val="20"/>
                <w:color w:val="auto"/>
              </w:rPr>
            </w:pPr>
            <w:r>
              <w:rPr>
                <w:rFonts w:ascii="Arial" w:cs="Arial" w:eastAsia="Arial" w:hAnsi="Arial"/>
                <w:sz w:val="11"/>
                <w:szCs w:val="11"/>
                <w:color w:val="005A64"/>
              </w:rPr>
              <w:t>4.5</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525.5</w:t>
            </w:r>
          </w:p>
        </w:tc>
      </w:tr>
      <w:tr>
        <w:trPr>
          <w:trHeight w:val="29"/>
        </w:trPr>
        <w:tc>
          <w:tcPr>
            <w:tcW w:w="72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Provisions</w:t>
            </w:r>
          </w:p>
        </w:tc>
        <w:tc>
          <w:tcPr>
            <w:tcW w:w="1860" w:type="dxa"/>
            <w:vAlign w:val="bottom"/>
            <w:gridSpan w:val="2"/>
          </w:tcPr>
          <w:p>
            <w:pPr>
              <w:jc w:val="right"/>
              <w:spacing w:after="0"/>
              <w:rPr>
                <w:sz w:val="20"/>
                <w:szCs w:val="20"/>
                <w:color w:val="auto"/>
              </w:rPr>
            </w:pPr>
            <w:r>
              <w:rPr>
                <w:rFonts w:ascii="Arial" w:cs="Arial" w:eastAsia="Arial" w:hAnsi="Arial"/>
                <w:sz w:val="11"/>
                <w:szCs w:val="11"/>
                <w:color w:val="005A64"/>
              </w:rPr>
              <w:t>144.8</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269.3</w:t>
            </w:r>
          </w:p>
        </w:tc>
      </w:tr>
      <w:tr>
        <w:trPr>
          <w:trHeight w:val="29"/>
        </w:trPr>
        <w:tc>
          <w:tcPr>
            <w:tcW w:w="72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Contract liabilities</w:t>
            </w:r>
          </w:p>
        </w:tc>
        <w:tc>
          <w:tcPr>
            <w:tcW w:w="1860" w:type="dxa"/>
            <w:vAlign w:val="bottom"/>
            <w:gridSpan w:val="2"/>
          </w:tcPr>
          <w:p>
            <w:pPr>
              <w:jc w:val="right"/>
              <w:spacing w:after="0"/>
              <w:rPr>
                <w:sz w:val="20"/>
                <w:szCs w:val="20"/>
                <w:color w:val="auto"/>
              </w:rPr>
            </w:pPr>
            <w:r>
              <w:rPr>
                <w:rFonts w:ascii="Arial" w:cs="Arial" w:eastAsia="Arial" w:hAnsi="Arial"/>
                <w:sz w:val="11"/>
                <w:szCs w:val="11"/>
                <w:color w:val="005A64"/>
              </w:rPr>
              <w:t>294.9</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353.3</w:t>
            </w:r>
          </w:p>
        </w:tc>
      </w:tr>
      <w:tr>
        <w:trPr>
          <w:trHeight w:val="29"/>
        </w:trPr>
        <w:tc>
          <w:tcPr>
            <w:tcW w:w="72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49"/>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color w:val="005A64"/>
              </w:rPr>
              <w:t>Other non-financial liabilities</w:t>
            </w:r>
          </w:p>
        </w:tc>
        <w:tc>
          <w:tcPr>
            <w:tcW w:w="1860" w:type="dxa"/>
            <w:vAlign w:val="bottom"/>
            <w:gridSpan w:val="2"/>
          </w:tcPr>
          <w:p>
            <w:pPr>
              <w:jc w:val="right"/>
              <w:spacing w:after="0"/>
              <w:rPr>
                <w:sz w:val="20"/>
                <w:szCs w:val="20"/>
                <w:color w:val="auto"/>
              </w:rPr>
            </w:pPr>
            <w:r>
              <w:rPr>
                <w:rFonts w:ascii="Arial" w:cs="Arial" w:eastAsia="Arial" w:hAnsi="Arial"/>
                <w:sz w:val="11"/>
                <w:szCs w:val="11"/>
                <w:color w:val="005A64"/>
              </w:rPr>
              <w:t>169.4</w:t>
            </w:r>
          </w:p>
        </w:tc>
        <w:tc>
          <w:tcPr>
            <w:tcW w:w="140" w:type="dxa"/>
            <w:vAlign w:val="bottom"/>
            <w:tcBorders>
              <w:right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125.1</w:t>
            </w:r>
          </w:p>
        </w:tc>
      </w:tr>
      <w:tr>
        <w:trPr>
          <w:trHeight w:val="29"/>
        </w:trPr>
        <w:tc>
          <w:tcPr>
            <w:tcW w:w="728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7FACB1"/>
            </w:tcBorders>
          </w:tcPr>
          <w:p>
            <w:pPr>
              <w:spacing w:after="0"/>
              <w:rPr>
                <w:sz w:val="2"/>
                <w:szCs w:val="2"/>
                <w:color w:val="auto"/>
              </w:rPr>
            </w:pPr>
          </w:p>
        </w:tc>
      </w:tr>
      <w:tr>
        <w:trPr>
          <w:trHeight w:val="155"/>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b w:val="1"/>
                <w:bCs w:val="1"/>
                <w:color w:val="005A64"/>
              </w:rPr>
              <w:t>Total current liabilities</w:t>
            </w:r>
          </w:p>
        </w:tc>
        <w:tc>
          <w:tcPr>
            <w:tcW w:w="1860" w:type="dxa"/>
            <w:vAlign w:val="bottom"/>
            <w:gridSpan w:val="2"/>
          </w:tcPr>
          <w:p>
            <w:pPr>
              <w:jc w:val="right"/>
              <w:spacing w:after="0"/>
              <w:rPr>
                <w:sz w:val="20"/>
                <w:szCs w:val="20"/>
                <w:color w:val="auto"/>
              </w:rPr>
            </w:pPr>
            <w:r>
              <w:rPr>
                <w:rFonts w:ascii="Arial" w:cs="Arial" w:eastAsia="Arial" w:hAnsi="Arial"/>
                <w:sz w:val="11"/>
                <w:szCs w:val="11"/>
                <w:b w:val="1"/>
                <w:bCs w:val="1"/>
                <w:color w:val="005A64"/>
              </w:rPr>
              <w:t>2,523.2</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jc w:val="right"/>
              <w:spacing w:after="0"/>
              <w:rPr>
                <w:sz w:val="20"/>
                <w:szCs w:val="20"/>
                <w:color w:val="auto"/>
              </w:rPr>
            </w:pPr>
            <w:r>
              <w:rPr>
                <w:rFonts w:ascii="Arial" w:cs="Arial" w:eastAsia="Arial" w:hAnsi="Arial"/>
                <w:sz w:val="11"/>
                <w:szCs w:val="11"/>
                <w:b w:val="1"/>
                <w:bCs w:val="1"/>
                <w:color w:val="005A64"/>
              </w:rPr>
              <w:t>2,070.5</w:t>
            </w:r>
          </w:p>
        </w:tc>
      </w:tr>
      <w:tr>
        <w:trPr>
          <w:trHeight w:val="23"/>
        </w:trPr>
        <w:tc>
          <w:tcPr>
            <w:tcW w:w="728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005A64"/>
            </w:tcBorders>
          </w:tcPr>
          <w:p>
            <w:pPr>
              <w:spacing w:after="0"/>
              <w:rPr>
                <w:sz w:val="2"/>
                <w:szCs w:val="2"/>
                <w:color w:val="auto"/>
              </w:rPr>
            </w:pPr>
          </w:p>
        </w:tc>
      </w:tr>
      <w:tr>
        <w:trPr>
          <w:trHeight w:val="155"/>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b w:val="1"/>
                <w:bCs w:val="1"/>
                <w:color w:val="005A64"/>
              </w:rPr>
              <w:t>Total liabilities</w:t>
            </w:r>
          </w:p>
        </w:tc>
        <w:tc>
          <w:tcPr>
            <w:tcW w:w="1860" w:type="dxa"/>
            <w:vAlign w:val="bottom"/>
            <w:gridSpan w:val="2"/>
          </w:tcPr>
          <w:p>
            <w:pPr>
              <w:jc w:val="right"/>
              <w:spacing w:after="0"/>
              <w:rPr>
                <w:sz w:val="20"/>
                <w:szCs w:val="20"/>
                <w:color w:val="auto"/>
              </w:rPr>
            </w:pPr>
            <w:r>
              <w:rPr>
                <w:rFonts w:ascii="Arial" w:cs="Arial" w:eastAsia="Arial" w:hAnsi="Arial"/>
                <w:sz w:val="11"/>
                <w:szCs w:val="11"/>
                <w:b w:val="1"/>
                <w:bCs w:val="1"/>
                <w:color w:val="005A64"/>
              </w:rPr>
              <w:t>3,118.6</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jc w:val="right"/>
              <w:spacing w:after="0"/>
              <w:rPr>
                <w:sz w:val="20"/>
                <w:szCs w:val="20"/>
                <w:color w:val="auto"/>
              </w:rPr>
            </w:pPr>
            <w:r>
              <w:rPr>
                <w:rFonts w:ascii="Arial" w:cs="Arial" w:eastAsia="Arial" w:hAnsi="Arial"/>
                <w:sz w:val="11"/>
                <w:szCs w:val="11"/>
                <w:b w:val="1"/>
                <w:bCs w:val="1"/>
                <w:color w:val="005A64"/>
              </w:rPr>
              <w:t>2,760.4</w:t>
            </w:r>
          </w:p>
        </w:tc>
      </w:tr>
      <w:tr>
        <w:trPr>
          <w:trHeight w:val="23"/>
        </w:trPr>
        <w:tc>
          <w:tcPr>
            <w:tcW w:w="728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005A64"/>
            </w:tcBorders>
          </w:tcPr>
          <w:p>
            <w:pPr>
              <w:spacing w:after="0"/>
              <w:rPr>
                <w:sz w:val="2"/>
                <w:szCs w:val="2"/>
                <w:color w:val="auto"/>
              </w:rPr>
            </w:pPr>
          </w:p>
        </w:tc>
      </w:tr>
      <w:tr>
        <w:trPr>
          <w:trHeight w:val="155"/>
        </w:trPr>
        <w:tc>
          <w:tcPr>
            <w:tcW w:w="7420" w:type="dxa"/>
            <w:vAlign w:val="bottom"/>
            <w:tcBorders>
              <w:right w:val="single" w:sz="8" w:color="BECD32"/>
            </w:tcBorders>
            <w:gridSpan w:val="2"/>
          </w:tcPr>
          <w:p>
            <w:pPr>
              <w:spacing w:after="0"/>
              <w:rPr>
                <w:sz w:val="20"/>
                <w:szCs w:val="20"/>
                <w:color w:val="auto"/>
              </w:rPr>
            </w:pPr>
            <w:r>
              <w:rPr>
                <w:rFonts w:ascii="Arial" w:cs="Arial" w:eastAsia="Arial" w:hAnsi="Arial"/>
                <w:sz w:val="11"/>
                <w:szCs w:val="11"/>
                <w:b w:val="1"/>
                <w:bCs w:val="1"/>
                <w:color w:val="005A64"/>
              </w:rPr>
              <w:t>Total equity and liabilities</w:t>
            </w:r>
          </w:p>
        </w:tc>
        <w:tc>
          <w:tcPr>
            <w:tcW w:w="1860" w:type="dxa"/>
            <w:vAlign w:val="bottom"/>
            <w:gridSpan w:val="2"/>
          </w:tcPr>
          <w:p>
            <w:pPr>
              <w:jc w:val="right"/>
              <w:spacing w:after="0"/>
              <w:rPr>
                <w:sz w:val="20"/>
                <w:szCs w:val="20"/>
                <w:color w:val="auto"/>
              </w:rPr>
            </w:pPr>
            <w:r>
              <w:rPr>
                <w:rFonts w:ascii="Arial" w:cs="Arial" w:eastAsia="Arial" w:hAnsi="Arial"/>
                <w:sz w:val="11"/>
                <w:szCs w:val="11"/>
                <w:b w:val="1"/>
                <w:bCs w:val="1"/>
                <w:color w:val="005A64"/>
              </w:rPr>
              <w:t>22,529.7</w:t>
            </w:r>
          </w:p>
        </w:tc>
        <w:tc>
          <w:tcPr>
            <w:tcW w:w="14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jc w:val="right"/>
              <w:spacing w:after="0"/>
              <w:rPr>
                <w:sz w:val="20"/>
                <w:szCs w:val="20"/>
                <w:color w:val="auto"/>
              </w:rPr>
            </w:pPr>
            <w:r>
              <w:rPr>
                <w:rFonts w:ascii="Arial" w:cs="Arial" w:eastAsia="Arial" w:hAnsi="Arial"/>
                <w:sz w:val="11"/>
                <w:szCs w:val="11"/>
                <w:b w:val="1"/>
                <w:bCs w:val="1"/>
                <w:color w:val="005A64"/>
              </w:rPr>
              <w:t>23,006.3</w:t>
            </w:r>
          </w:p>
        </w:tc>
      </w:tr>
      <w:tr>
        <w:trPr>
          <w:trHeight w:val="23"/>
        </w:trPr>
        <w:tc>
          <w:tcPr>
            <w:tcW w:w="728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100" w:type="dxa"/>
            <w:vAlign w:val="bottom"/>
            <w:tcBorders>
              <w:bottom w:val="single" w:sz="8" w:color="BECD32"/>
            </w:tcBorders>
          </w:tcPr>
          <w:p>
            <w:pPr>
              <w:spacing w:after="0"/>
              <w:rPr>
                <w:sz w:val="2"/>
                <w:szCs w:val="2"/>
                <w:color w:val="auto"/>
              </w:rPr>
            </w:pPr>
          </w:p>
        </w:tc>
        <w:tc>
          <w:tcPr>
            <w:tcW w:w="1760" w:type="dxa"/>
            <w:vAlign w:val="bottom"/>
            <w:tcBorders>
              <w:bottom w:val="single" w:sz="8" w:color="BECD32"/>
            </w:tcBorders>
          </w:tcPr>
          <w:p>
            <w:pPr>
              <w:spacing w:after="0"/>
              <w:rPr>
                <w:sz w:val="2"/>
                <w:szCs w:val="2"/>
                <w:color w:val="auto"/>
              </w:rPr>
            </w:pPr>
          </w:p>
        </w:tc>
        <w:tc>
          <w:tcPr>
            <w:tcW w:w="140" w:type="dxa"/>
            <w:vAlign w:val="bottom"/>
            <w:tcBorders>
              <w:bottom w:val="single" w:sz="8" w:color="BECD32"/>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005A64"/>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300"/>
          </w:cols>
          <w:pgMar w:left="300" w:top="1440" w:right="299" w:bottom="1440" w:gutter="0" w:footer="0" w:header="0"/>
        </w:sectPr>
      </w:pPr>
    </w:p>
    <w:bookmarkStart w:id="16" w:name="page17"/>
    <w:bookmarkEnd w:id="16"/>
    <w:p>
      <w:pPr>
        <w:jc w:val="center"/>
        <w:ind w:right="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3035" cy="160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423035" cy="160020"/>
                    </a:xfrm>
                    <a:prstGeom prst="rect">
                      <a:avLst/>
                    </a:prstGeom>
                    <a:noFill/>
                  </pic:spPr>
                </pic:pic>
              </a:graphicData>
            </a:graphic>
          </wp:anchor>
        </w:drawing>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080885" cy="11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0885" cy="11430"/>
                    </a:xfrm>
                    <a:prstGeom prst="rect">
                      <a:avLst/>
                    </a:prstGeom>
                    <a:noFill/>
                  </pic:spPr>
                </pic:pic>
              </a:graphicData>
            </a:graphic>
          </wp:anchor>
        </w:drawing>
      </w:r>
    </w:p>
    <w:p>
      <w:pPr>
        <w:sectPr>
          <w:pgSz w:w="11900" w:h="16838" w:orient="portrait"/>
          <w:cols w:equalWidth="0" w:num="1">
            <w:col w:w="11260"/>
          </w:cols>
          <w:pgMar w:left="340" w:top="1327"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0"/>
          <w:szCs w:val="10"/>
          <w:i w:val="1"/>
          <w:iCs w:val="1"/>
          <w:color w:val="005A64"/>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0"/>
          <w:szCs w:val="10"/>
          <w:b w:val="1"/>
          <w:bCs w:val="1"/>
          <w:color w:val="3C9673"/>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374332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10"/>
          <w:szCs w:val="10"/>
          <w:color w:val="005A64"/>
        </w:rPr>
        <w:t>Net profit /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0"/>
          <w:szCs w:val="10"/>
          <w:color w:val="005A64"/>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0"/>
          <w:szCs w:val="10"/>
          <w:b w:val="1"/>
          <w:bCs w:val="1"/>
          <w:color w:val="005A64"/>
        </w:rPr>
        <w:t>Profit / (Loss)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374332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0"/>
          <w:szCs w:val="10"/>
          <w:b w:val="1"/>
          <w:bCs w:val="1"/>
          <w:color w:val="3C9673"/>
        </w:rPr>
        <w:t>Adjustments to reconcile profit before tax to net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374332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7" w:lineRule="exact"/>
        <w:rPr>
          <w:sz w:val="20"/>
          <w:szCs w:val="20"/>
          <w:color w:val="auto"/>
        </w:rPr>
      </w:pPr>
    </w:p>
    <w:p>
      <w:pPr>
        <w:ind w:left="80"/>
        <w:spacing w:after="0"/>
        <w:rPr>
          <w:sz w:val="20"/>
          <w:szCs w:val="20"/>
          <w:color w:val="auto"/>
        </w:rPr>
      </w:pPr>
      <w:r>
        <w:rPr>
          <w:rFonts w:ascii="Arial" w:cs="Arial" w:eastAsia="Arial" w:hAnsi="Arial"/>
          <w:sz w:val="10"/>
          <w:szCs w:val="10"/>
          <w:color w:val="005A64"/>
        </w:rPr>
        <w:t>Depreciation and amortization of property, plant, equipment, intangible assets and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ind w:left="80"/>
        <w:spacing w:after="0"/>
        <w:rPr>
          <w:sz w:val="20"/>
          <w:szCs w:val="20"/>
          <w:color w:val="auto"/>
        </w:rPr>
      </w:pPr>
      <w:r>
        <w:rPr>
          <w:rFonts w:ascii="Arial" w:cs="Arial" w:eastAsia="Arial" w:hAnsi="Arial"/>
          <w:sz w:val="10"/>
          <w:szCs w:val="10"/>
          <w:color w:val="005A64"/>
        </w:rPr>
        <w:t>Share-based payment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ind w:left="80"/>
        <w:spacing w:after="0"/>
        <w:rPr>
          <w:sz w:val="20"/>
          <w:szCs w:val="20"/>
          <w:color w:val="auto"/>
        </w:rPr>
      </w:pPr>
      <w:r>
        <w:rPr>
          <w:rFonts w:ascii="Arial" w:cs="Arial" w:eastAsia="Arial" w:hAnsi="Arial"/>
          <w:sz w:val="10"/>
          <w:szCs w:val="10"/>
          <w:color w:val="005A64"/>
        </w:rPr>
        <w:t>Net foreign exchange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ind w:left="80"/>
        <w:spacing w:after="0"/>
        <w:rPr>
          <w:sz w:val="20"/>
          <w:szCs w:val="20"/>
          <w:color w:val="auto"/>
        </w:rPr>
      </w:pPr>
      <w:r>
        <w:rPr>
          <w:rFonts w:ascii="Arial" w:cs="Arial" w:eastAsia="Arial" w:hAnsi="Arial"/>
          <w:sz w:val="10"/>
          <w:szCs w:val="10"/>
          <w:color w:val="005A64"/>
        </w:rPr>
        <w:t>(Gain) / Loss on disposal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ind w:left="80"/>
        <w:spacing w:after="0"/>
        <w:rPr>
          <w:sz w:val="20"/>
          <w:szCs w:val="20"/>
          <w:color w:val="auto"/>
        </w:rPr>
      </w:pPr>
      <w:r>
        <w:rPr>
          <w:rFonts w:ascii="Arial" w:cs="Arial" w:eastAsia="Arial" w:hAnsi="Arial"/>
          <w:sz w:val="10"/>
          <w:szCs w:val="10"/>
          <w:color w:val="005A64"/>
        </w:rPr>
        <w:t>Finance income excluding foreign exchange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ind w:left="80"/>
        <w:spacing w:after="0"/>
        <w:rPr>
          <w:sz w:val="20"/>
          <w:szCs w:val="20"/>
          <w:color w:val="auto"/>
        </w:rPr>
      </w:pPr>
      <w:r>
        <w:rPr>
          <w:rFonts w:ascii="Arial" w:cs="Arial" w:eastAsia="Arial" w:hAnsi="Arial"/>
          <w:sz w:val="10"/>
          <w:szCs w:val="10"/>
          <w:color w:val="005A64"/>
        </w:rPr>
        <w:t>Finance expense excluding foreign exchange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ind w:left="80"/>
        <w:spacing w:after="0"/>
        <w:rPr>
          <w:sz w:val="20"/>
          <w:szCs w:val="20"/>
          <w:color w:val="auto"/>
        </w:rPr>
      </w:pPr>
      <w:r>
        <w:rPr>
          <w:rFonts w:ascii="Arial" w:cs="Arial" w:eastAsia="Arial" w:hAnsi="Arial"/>
          <w:sz w:val="10"/>
          <w:szCs w:val="10"/>
          <w:color w:val="005A64"/>
        </w:rPr>
        <w:t>Government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ind w:left="80"/>
        <w:spacing w:after="0"/>
        <w:rPr>
          <w:sz w:val="20"/>
          <w:szCs w:val="20"/>
          <w:color w:val="auto"/>
        </w:rPr>
      </w:pPr>
      <w:r>
        <w:rPr>
          <w:rFonts w:ascii="Arial" w:cs="Arial" w:eastAsia="Arial" w:hAnsi="Arial"/>
          <w:sz w:val="10"/>
          <w:szCs w:val="10"/>
          <w:color w:val="005A64"/>
        </w:rPr>
        <w:t>Unrealized (gain) / loss on derivative instruments at fair value through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0"/>
          <w:szCs w:val="10"/>
          <w:b w:val="1"/>
          <w:bCs w:val="1"/>
          <w:color w:val="3C9673"/>
        </w:rPr>
        <w:t>Working capital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3743325"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7" w:lineRule="exact"/>
        <w:rPr>
          <w:sz w:val="20"/>
          <w:szCs w:val="20"/>
          <w:color w:val="auto"/>
        </w:rPr>
      </w:pPr>
    </w:p>
    <w:p>
      <w:pPr>
        <w:ind w:left="80"/>
        <w:spacing w:after="0"/>
        <w:rPr>
          <w:sz w:val="20"/>
          <w:szCs w:val="20"/>
          <w:color w:val="auto"/>
        </w:rPr>
      </w:pPr>
      <w:r>
        <w:rPr>
          <w:rFonts w:ascii="Arial" w:cs="Arial" w:eastAsia="Arial" w:hAnsi="Arial"/>
          <w:sz w:val="10"/>
          <w:szCs w:val="10"/>
          <w:color w:val="005A64"/>
        </w:rPr>
        <w:t>Decrease in trade and other receivables, contract assets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ind w:left="80"/>
        <w:spacing w:after="0"/>
        <w:rPr>
          <w:sz w:val="20"/>
          <w:szCs w:val="20"/>
          <w:color w:val="auto"/>
        </w:rPr>
      </w:pPr>
      <w:r>
        <w:rPr>
          <w:rFonts w:ascii="Arial" w:cs="Arial" w:eastAsia="Arial" w:hAnsi="Arial"/>
          <w:sz w:val="10"/>
          <w:szCs w:val="10"/>
          <w:color w:val="005A64"/>
        </w:rPr>
        <w:t>Decrease in 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ind w:left="80"/>
        <w:spacing w:after="0"/>
        <w:rPr>
          <w:sz w:val="20"/>
          <w:szCs w:val="20"/>
          <w:color w:val="auto"/>
        </w:rPr>
      </w:pPr>
      <w:r>
        <w:rPr>
          <w:rFonts w:ascii="Arial" w:cs="Arial" w:eastAsia="Arial" w:hAnsi="Arial"/>
          <w:sz w:val="8"/>
          <w:szCs w:val="8"/>
          <w:color w:val="005A64"/>
        </w:rPr>
        <w:t>Increase in trade payables, other financial liabilities, other liabilities, contract liabilities, refund liabilities and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374332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68" w:lineRule="exact"/>
        <w:rPr>
          <w:sz w:val="20"/>
          <w:szCs w:val="20"/>
          <w:color w:val="auto"/>
        </w:rPr>
      </w:pPr>
    </w:p>
    <w:p>
      <w:pPr>
        <w:ind w:left="80"/>
        <w:spacing w:after="0"/>
        <w:rPr>
          <w:sz w:val="20"/>
          <w:szCs w:val="20"/>
          <w:color w:val="auto"/>
        </w:rPr>
      </w:pPr>
      <w:r>
        <w:rPr>
          <w:rFonts w:ascii="Arial" w:cs="Arial" w:eastAsia="Arial" w:hAnsi="Arial"/>
          <w:sz w:val="10"/>
          <w:szCs w:val="10"/>
          <w:color w:val="005A64"/>
        </w:rPr>
        <w:t>Interest received and realized gains from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ind w:left="80"/>
        <w:spacing w:after="0"/>
        <w:rPr>
          <w:sz w:val="20"/>
          <w:szCs w:val="20"/>
          <w:color w:val="auto"/>
        </w:rPr>
      </w:pPr>
      <w:r>
        <w:rPr>
          <w:rFonts w:ascii="Arial" w:cs="Arial" w:eastAsia="Arial" w:hAnsi="Arial"/>
          <w:sz w:val="10"/>
          <w:szCs w:val="10"/>
          <w:color w:val="005A64"/>
        </w:rPr>
        <w:t>Interest paid and realized losses from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ind w:left="80"/>
        <w:spacing w:after="0"/>
        <w:rPr>
          <w:sz w:val="20"/>
          <w:szCs w:val="20"/>
          <w:color w:val="auto"/>
        </w:rPr>
      </w:pPr>
      <w:r>
        <w:rPr>
          <w:rFonts w:ascii="Arial" w:cs="Arial" w:eastAsia="Arial" w:hAnsi="Arial"/>
          <w:sz w:val="10"/>
          <w:szCs w:val="10"/>
          <w:color w:val="005A64"/>
        </w:rPr>
        <w:t>Income tax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ind w:left="80"/>
        <w:spacing w:after="0"/>
        <w:rPr>
          <w:sz w:val="20"/>
          <w:szCs w:val="20"/>
          <w:color w:val="auto"/>
        </w:rPr>
      </w:pPr>
      <w:r>
        <w:rPr>
          <w:rFonts w:ascii="Arial" w:cs="Arial" w:eastAsia="Arial" w:hAnsi="Arial"/>
          <w:sz w:val="10"/>
          <w:szCs w:val="10"/>
          <w:color w:val="005A64"/>
        </w:rPr>
        <w:t>Share-based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ind w:left="80"/>
        <w:spacing w:after="0"/>
        <w:rPr>
          <w:sz w:val="20"/>
          <w:szCs w:val="20"/>
          <w:color w:val="auto"/>
        </w:rPr>
      </w:pPr>
      <w:r>
        <w:rPr>
          <w:rFonts w:ascii="Arial" w:cs="Arial" w:eastAsia="Arial" w:hAnsi="Arial"/>
          <w:sz w:val="10"/>
          <w:szCs w:val="10"/>
          <w:color w:val="005A64"/>
        </w:rPr>
        <w:t>Government grants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0"/>
          <w:szCs w:val="10"/>
          <w:b w:val="1"/>
          <w:bCs w:val="1"/>
          <w:color w:val="005A64"/>
        </w:rPr>
        <w:t>Net 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374332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0"/>
          <w:szCs w:val="10"/>
          <w:b w:val="1"/>
          <w:bCs w:val="1"/>
          <w:color w:val="3C9673"/>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374332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10"/>
          <w:szCs w:val="10"/>
          <w:color w:val="005A64"/>
        </w:rPr>
        <w:t>Purchase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0"/>
          <w:szCs w:val="10"/>
          <w:color w:val="005A64"/>
        </w:rPr>
        <w:t>Proceeds from sale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0"/>
          <w:szCs w:val="10"/>
          <w:color w:val="005A64"/>
        </w:rPr>
        <w:t>Purchase of intangible assets and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0"/>
          <w:szCs w:val="10"/>
          <w:color w:val="005A64"/>
        </w:rPr>
        <w:t>Acquisition of subsidiaries and businesses,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0"/>
          <w:szCs w:val="10"/>
          <w:color w:val="005A64"/>
        </w:rPr>
        <w:t>Investment in other 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0"/>
          <w:szCs w:val="10"/>
          <w:color w:val="005A64"/>
        </w:rPr>
        <w:t>Proceeds from maturity of other 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0"/>
          <w:szCs w:val="10"/>
          <w:b w:val="1"/>
          <w:bCs w:val="1"/>
          <w:color w:val="005A64"/>
        </w:rPr>
        <w:t>Net cash flows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374332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0"/>
          <w:szCs w:val="10"/>
          <w:b w:val="1"/>
          <w:bCs w:val="1"/>
          <w:color w:val="3C9673"/>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374332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10"/>
          <w:szCs w:val="10"/>
          <w:color w:val="005A64"/>
        </w:rPr>
        <w:t>Proceeds from loans and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0"/>
          <w:szCs w:val="10"/>
          <w:color w:val="005A64"/>
        </w:rPr>
        <w:t>Repayment of loans and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0"/>
          <w:szCs w:val="10"/>
          <w:color w:val="005A64"/>
        </w:rPr>
        <w:t>Payments related to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0"/>
          <w:szCs w:val="10"/>
          <w:color w:val="005A64"/>
        </w:rPr>
        <w:t>Share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0"/>
          <w:szCs w:val="10"/>
          <w:b w:val="1"/>
          <w:bCs w:val="1"/>
          <w:color w:val="005A64"/>
        </w:rPr>
        <w:t>Net cash flows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374332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10"/>
          <w:szCs w:val="10"/>
          <w:color w:val="005A64"/>
        </w:rPr>
        <w:t>Net increase /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0"/>
          <w:szCs w:val="10"/>
          <w:color w:val="005A64"/>
        </w:rPr>
        <w:t>Change in cash and cash equivalents resulting from exchange rate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0"/>
          <w:szCs w:val="10"/>
          <w:color w:val="005A64"/>
        </w:rPr>
        <w:t>Change in cash and cash equivalents resulting from other valuation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0"/>
          <w:szCs w:val="10"/>
          <w:color w:val="005A64"/>
        </w:rPr>
        <w:t>Cash and cash equivalents at the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374332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0"/>
          <w:szCs w:val="10"/>
          <w:b w:val="1"/>
          <w:bCs w:val="1"/>
          <w:color w:val="005A64"/>
        </w:rPr>
        <w:t>Cash and cash equivalents 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374332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74332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31"/>
        </w:trPr>
        <w:tc>
          <w:tcPr>
            <w:tcW w:w="80" w:type="dxa"/>
            <w:vAlign w:val="bottom"/>
          </w:tcPr>
          <w:p>
            <w:pPr>
              <w:spacing w:after="0"/>
              <w:rPr>
                <w:sz w:val="11"/>
                <w:szCs w:val="11"/>
                <w:color w:val="auto"/>
              </w:rPr>
            </w:pPr>
          </w:p>
        </w:tc>
        <w:tc>
          <w:tcPr>
            <w:tcW w:w="1820" w:type="dxa"/>
            <w:vAlign w:val="bottom"/>
            <w:gridSpan w:val="4"/>
          </w:tcPr>
          <w:p>
            <w:pPr>
              <w:jc w:val="center"/>
              <w:ind w:left="592"/>
              <w:spacing w:after="0"/>
              <w:rPr>
                <w:sz w:val="20"/>
                <w:szCs w:val="20"/>
                <w:color w:val="auto"/>
              </w:rPr>
            </w:pPr>
            <w:r>
              <w:rPr>
                <w:rFonts w:ascii="Arial" w:cs="Arial" w:eastAsia="Arial" w:hAnsi="Arial"/>
                <w:sz w:val="10"/>
                <w:szCs w:val="10"/>
                <w:b w:val="1"/>
                <w:bCs w:val="1"/>
                <w:color w:val="005A64"/>
                <w:w w:val="95"/>
              </w:rPr>
              <w:t>Three months ended</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80" w:type="dxa"/>
            <w:vAlign w:val="bottom"/>
            <w:gridSpan w:val="4"/>
          </w:tcPr>
          <w:p>
            <w:pPr>
              <w:jc w:val="center"/>
              <w:ind w:left="612"/>
              <w:spacing w:after="0"/>
              <w:rPr>
                <w:sz w:val="20"/>
                <w:szCs w:val="20"/>
                <w:color w:val="auto"/>
              </w:rPr>
            </w:pPr>
            <w:r>
              <w:rPr>
                <w:rFonts w:ascii="Arial" w:cs="Arial" w:eastAsia="Arial" w:hAnsi="Arial"/>
                <w:sz w:val="10"/>
                <w:szCs w:val="10"/>
                <w:b w:val="1"/>
                <w:bCs w:val="1"/>
                <w:color w:val="005A64"/>
                <w:w w:val="94"/>
              </w:rPr>
              <w:t>Years ended</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820" w:type="dxa"/>
            <w:vAlign w:val="bottom"/>
            <w:gridSpan w:val="4"/>
          </w:tcPr>
          <w:p>
            <w:pPr>
              <w:jc w:val="center"/>
              <w:ind w:left="592"/>
              <w:spacing w:after="0"/>
              <w:rPr>
                <w:sz w:val="20"/>
                <w:szCs w:val="20"/>
                <w:color w:val="auto"/>
              </w:rPr>
            </w:pPr>
            <w:r>
              <w:rPr>
                <w:rFonts w:ascii="Arial" w:cs="Arial" w:eastAsia="Arial" w:hAnsi="Arial"/>
                <w:sz w:val="10"/>
                <w:szCs w:val="10"/>
                <w:b w:val="1"/>
                <w:bCs w:val="1"/>
                <w:color w:val="005A64"/>
                <w:w w:val="95"/>
              </w:rPr>
              <w:t>December 31,</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80" w:type="dxa"/>
            <w:vAlign w:val="bottom"/>
            <w:gridSpan w:val="4"/>
          </w:tcPr>
          <w:p>
            <w:pPr>
              <w:jc w:val="center"/>
              <w:ind w:left="592"/>
              <w:spacing w:after="0"/>
              <w:rPr>
                <w:sz w:val="20"/>
                <w:szCs w:val="20"/>
                <w:color w:val="auto"/>
              </w:rPr>
            </w:pPr>
            <w:r>
              <w:rPr>
                <w:rFonts w:ascii="Arial" w:cs="Arial" w:eastAsia="Arial" w:hAnsi="Arial"/>
                <w:sz w:val="10"/>
                <w:szCs w:val="10"/>
                <w:b w:val="1"/>
                <w:bCs w:val="1"/>
                <w:color w:val="005A64"/>
                <w:w w:val="95"/>
              </w:rPr>
              <w:t>December 31,</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1220" w:type="dxa"/>
            <w:vAlign w:val="bottom"/>
            <w:tcBorders>
              <w:bottom w:val="single" w:sz="8" w:color="BECD32"/>
            </w:tcBorders>
            <w:gridSpan w:val="2"/>
          </w:tcPr>
          <w:p>
            <w:pPr>
              <w:spacing w:after="0"/>
              <w:rPr>
                <w:sz w:val="8"/>
                <w:szCs w:val="8"/>
                <w:color w:val="auto"/>
              </w:rPr>
            </w:pPr>
          </w:p>
        </w:tc>
        <w:tc>
          <w:tcPr>
            <w:tcW w:w="100" w:type="dxa"/>
            <w:vAlign w:val="bottom"/>
            <w:tcBorders>
              <w:bottom w:val="single" w:sz="8" w:color="BECD32"/>
            </w:tcBorders>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10"/>
                <w:szCs w:val="10"/>
                <w:b w:val="1"/>
                <w:bCs w:val="1"/>
                <w:color w:val="005A64"/>
              </w:rPr>
              <w:t>2023</w:t>
            </w:r>
          </w:p>
        </w:tc>
        <w:tc>
          <w:tcPr>
            <w:tcW w:w="100" w:type="dxa"/>
            <w:vAlign w:val="bottom"/>
          </w:tcPr>
          <w:p>
            <w:pPr>
              <w:spacing w:after="0"/>
              <w:rPr>
                <w:sz w:val="8"/>
                <w:szCs w:val="8"/>
                <w:color w:val="auto"/>
              </w:rPr>
            </w:pPr>
          </w:p>
        </w:tc>
        <w:tc>
          <w:tcPr>
            <w:tcW w:w="1220" w:type="dxa"/>
            <w:vAlign w:val="bottom"/>
            <w:tcBorders>
              <w:bottom w:val="single" w:sz="8" w:color="BECD32"/>
            </w:tcBorders>
            <w:gridSpan w:val="2"/>
          </w:tcPr>
          <w:p>
            <w:pPr>
              <w:spacing w:after="0"/>
              <w:rPr>
                <w:sz w:val="8"/>
                <w:szCs w:val="8"/>
                <w:color w:val="auto"/>
              </w:rPr>
            </w:pPr>
          </w:p>
        </w:tc>
        <w:tc>
          <w:tcPr>
            <w:tcW w:w="100" w:type="dxa"/>
            <w:vAlign w:val="bottom"/>
            <w:tcBorders>
              <w:bottom w:val="single" w:sz="8" w:color="BECD32"/>
            </w:tcBorders>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b w:val="1"/>
                <w:bCs w:val="1"/>
                <w:color w:val="005A64"/>
              </w:rPr>
              <w:t>2023</w:t>
            </w:r>
          </w:p>
        </w:tc>
        <w:tc>
          <w:tcPr>
            <w:tcW w:w="0" w:type="dxa"/>
            <w:vAlign w:val="bottom"/>
          </w:tcPr>
          <w:p>
            <w:pPr>
              <w:spacing w:after="0"/>
              <w:rPr>
                <w:sz w:val="1"/>
                <w:szCs w:val="1"/>
                <w:color w:val="auto"/>
              </w:rPr>
            </w:pPr>
          </w:p>
        </w:tc>
      </w:tr>
      <w:tr>
        <w:trPr>
          <w:trHeight w:val="140"/>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b w:val="1"/>
                <w:bCs w:val="1"/>
                <w:color w:val="005A64"/>
              </w:rPr>
              <w:t>2024</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00" w:type="dxa"/>
            <w:vAlign w:val="bottom"/>
            <w:tcBorders>
              <w:right w:val="single" w:sz="8" w:color="BECD32"/>
            </w:tcBorders>
          </w:tcPr>
          <w:p>
            <w:pPr>
              <w:spacing w:after="0"/>
              <w:rPr>
                <w:sz w:val="12"/>
                <w:szCs w:val="12"/>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b w:val="1"/>
                <w:bCs w:val="1"/>
                <w:color w:val="005A64"/>
              </w:rPr>
              <w:t>2024</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0" w:type="dxa"/>
            <w:vAlign w:val="bottom"/>
            <w:tcBorders>
              <w:left w:val="single" w:sz="8" w:color="BECD32"/>
            </w:tcBorders>
          </w:tcPr>
          <w:p>
            <w:pPr>
              <w:spacing w:after="0"/>
              <w:rPr>
                <w:sz w:val="14"/>
                <w:szCs w:val="14"/>
                <w:color w:val="auto"/>
              </w:rPr>
            </w:pPr>
          </w:p>
        </w:tc>
        <w:tc>
          <w:tcPr>
            <w:tcW w:w="1240" w:type="dxa"/>
            <w:vAlign w:val="bottom"/>
            <w:tcBorders>
              <w:right w:val="single" w:sz="8" w:color="BECD32"/>
            </w:tcBorders>
            <w:gridSpan w:val="2"/>
          </w:tcPr>
          <w:p>
            <w:pPr>
              <w:ind w:left="640"/>
              <w:spacing w:after="0"/>
              <w:rPr>
                <w:sz w:val="20"/>
                <w:szCs w:val="20"/>
                <w:color w:val="auto"/>
              </w:rPr>
            </w:pPr>
            <w:r>
              <w:rPr>
                <w:rFonts w:ascii="Arial" w:cs="Arial" w:eastAsia="Arial" w:hAnsi="Arial"/>
                <w:sz w:val="10"/>
                <w:szCs w:val="10"/>
                <w:i w:val="1"/>
                <w:iCs w:val="1"/>
                <w:color w:val="005A64"/>
              </w:rPr>
              <w:t>(unaudited)</w:t>
            </w:r>
          </w:p>
        </w:tc>
        <w:tc>
          <w:tcPr>
            <w:tcW w:w="580" w:type="dxa"/>
            <w:vAlign w:val="bottom"/>
            <w:gridSpan w:val="2"/>
          </w:tcPr>
          <w:p>
            <w:pPr>
              <w:spacing w:after="0"/>
              <w:rPr>
                <w:sz w:val="14"/>
                <w:szCs w:val="14"/>
                <w:color w:val="auto"/>
              </w:rPr>
            </w:pPr>
          </w:p>
        </w:tc>
        <w:tc>
          <w:tcPr>
            <w:tcW w:w="720" w:type="dxa"/>
            <w:vAlign w:val="bottom"/>
            <w:tcBorders>
              <w:right w:val="single" w:sz="8" w:color="BECD32"/>
            </w:tcBorders>
            <w:gridSpan w:val="2"/>
          </w:tcPr>
          <w:p>
            <w:pPr>
              <w:ind w:left="140"/>
              <w:spacing w:after="0"/>
              <w:rPr>
                <w:sz w:val="20"/>
                <w:szCs w:val="20"/>
                <w:color w:val="auto"/>
              </w:rPr>
            </w:pPr>
            <w:r>
              <w:rPr>
                <w:rFonts w:ascii="Arial" w:cs="Arial" w:eastAsia="Arial" w:hAnsi="Arial"/>
                <w:sz w:val="10"/>
                <w:szCs w:val="10"/>
                <w:i w:val="1"/>
                <w:iCs w:val="1"/>
                <w:color w:val="005A64"/>
              </w:rPr>
              <w:t>(unaudited)</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1220" w:type="dxa"/>
            <w:vAlign w:val="bottom"/>
            <w:tcBorders>
              <w:left w:val="single" w:sz="8" w:color="BECD32"/>
            </w:tcBorders>
            <w:gridSpan w:val="2"/>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1220" w:type="dxa"/>
            <w:vAlign w:val="bottom"/>
            <w:gridSpan w:val="2"/>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80" w:type="dxa"/>
            <w:vAlign w:val="bottom"/>
            <w:tcBorders>
              <w:left w:val="single" w:sz="8" w:color="BECD32"/>
            </w:tcBorders>
          </w:tcPr>
          <w:p>
            <w:pPr>
              <w:spacing w:after="0"/>
              <w:rPr>
                <w:sz w:val="13"/>
                <w:szCs w:val="13"/>
                <w:color w:val="auto"/>
              </w:rPr>
            </w:pPr>
          </w:p>
        </w:tc>
        <w:tc>
          <w:tcPr>
            <w:tcW w:w="1140" w:type="dxa"/>
            <w:vAlign w:val="bottom"/>
            <w:tcBorders>
              <w:top w:val="single" w:sz="8" w:color="005A64"/>
              <w:bottom w:val="single" w:sz="8" w:color="7FACB1"/>
            </w:tcBorders>
          </w:tcPr>
          <w:p>
            <w:pPr>
              <w:spacing w:after="0"/>
              <w:rPr>
                <w:sz w:val="13"/>
                <w:szCs w:val="13"/>
                <w:color w:val="auto"/>
              </w:rPr>
            </w:pP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top w:val="single" w:sz="8" w:color="005A64"/>
              <w:bottom w:val="single" w:sz="8" w:color="7FACB1"/>
            </w:tcBorders>
          </w:tcPr>
          <w:p>
            <w:pPr>
              <w:spacing w:after="0"/>
              <w:rPr>
                <w:sz w:val="13"/>
                <w:szCs w:val="13"/>
                <w:color w:val="auto"/>
              </w:rPr>
            </w:pPr>
          </w:p>
        </w:tc>
        <w:tc>
          <w:tcPr>
            <w:tcW w:w="620" w:type="dxa"/>
            <w:vAlign w:val="bottom"/>
            <w:tcBorders>
              <w:top w:val="single" w:sz="8" w:color="005A64"/>
              <w:bottom w:val="single" w:sz="8" w:color="7FACB1"/>
            </w:tcBorders>
          </w:tcPr>
          <w:p>
            <w:pPr>
              <w:spacing w:after="0"/>
              <w:rPr>
                <w:sz w:val="13"/>
                <w:szCs w:val="13"/>
                <w:color w:val="auto"/>
              </w:rPr>
            </w:pPr>
          </w:p>
        </w:tc>
        <w:tc>
          <w:tcPr>
            <w:tcW w:w="100" w:type="dxa"/>
            <w:vAlign w:val="bottom"/>
            <w:tcBorders>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Borders>
              <w:top w:val="single" w:sz="8" w:color="005A64"/>
              <w:bottom w:val="single" w:sz="8" w:color="7FACB1"/>
            </w:tcBorders>
          </w:tcPr>
          <w:p>
            <w:pPr>
              <w:spacing w:after="0"/>
              <w:rPr>
                <w:sz w:val="13"/>
                <w:szCs w:val="13"/>
                <w:color w:val="auto"/>
              </w:rPr>
            </w:pP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Borders>
              <w:top w:val="single" w:sz="8" w:color="005A64"/>
              <w:bottom w:val="single" w:sz="8" w:color="7FACB1"/>
            </w:tcBorders>
          </w:tcPr>
          <w:p>
            <w:pPr>
              <w:spacing w:after="0"/>
              <w:rPr>
                <w:sz w:val="13"/>
                <w:szCs w:val="13"/>
                <w:color w:val="auto"/>
              </w:rPr>
            </w:pPr>
          </w:p>
        </w:tc>
        <w:tc>
          <w:tcPr>
            <w:tcW w:w="660" w:type="dxa"/>
            <w:vAlign w:val="bottom"/>
            <w:tcBorders>
              <w:top w:val="single" w:sz="8" w:color="005A64"/>
              <w:bottom w:val="single" w:sz="8" w:color="7FACB1"/>
            </w:tcBorders>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259.5</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457.9</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(665.3)</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005A64"/>
              </w:rPr>
              <w:t>930.3</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41.7</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205.3</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(12.4)</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005A64"/>
              </w:rPr>
              <w:t>255.8</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220" w:type="dxa"/>
            <w:vAlign w:val="bottom"/>
            <w:tcBorders>
              <w:left w:val="single" w:sz="8" w:color="BECD32"/>
              <w:bottom w:val="single" w:sz="8" w:color="005A64"/>
            </w:tcBorders>
            <w:gridSpan w:val="2"/>
          </w:tcPr>
          <w:p>
            <w:pPr>
              <w:jc w:val="right"/>
              <w:spacing w:after="0"/>
              <w:rPr>
                <w:sz w:val="20"/>
                <w:szCs w:val="20"/>
                <w:color w:val="auto"/>
              </w:rPr>
            </w:pPr>
            <w:r>
              <w:rPr>
                <w:rFonts w:ascii="Arial" w:cs="Arial" w:eastAsia="Arial" w:hAnsi="Arial"/>
                <w:sz w:val="10"/>
                <w:szCs w:val="10"/>
                <w:b w:val="1"/>
                <w:bCs w:val="1"/>
                <w:color w:val="005A64"/>
              </w:rPr>
              <w:t>301.2</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005A64"/>
            </w:tcBorders>
          </w:tcPr>
          <w:p>
            <w:pPr>
              <w:spacing w:after="0"/>
              <w:rPr>
                <w:sz w:val="12"/>
                <w:szCs w:val="12"/>
                <w:color w:val="auto"/>
              </w:rPr>
            </w:pPr>
          </w:p>
        </w:tc>
        <w:tc>
          <w:tcPr>
            <w:tcW w:w="62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663.2</w:t>
            </w:r>
          </w:p>
        </w:tc>
        <w:tc>
          <w:tcPr>
            <w:tcW w:w="100" w:type="dxa"/>
            <w:vAlign w:val="bottom"/>
            <w:tcBorders>
              <w:right w:val="single" w:sz="8" w:color="BECD32"/>
            </w:tcBorders>
          </w:tcPr>
          <w:p>
            <w:pPr>
              <w:spacing w:after="0"/>
              <w:rPr>
                <w:sz w:val="12"/>
                <w:szCs w:val="12"/>
                <w:color w:val="auto"/>
              </w:rPr>
            </w:pPr>
          </w:p>
        </w:tc>
        <w:tc>
          <w:tcPr>
            <w:tcW w:w="1220" w:type="dxa"/>
            <w:vAlign w:val="bottom"/>
            <w:tcBorders>
              <w:bottom w:val="single" w:sz="8" w:color="005A64"/>
            </w:tcBorders>
            <w:gridSpan w:val="2"/>
          </w:tcPr>
          <w:p>
            <w:pPr>
              <w:jc w:val="right"/>
              <w:spacing w:after="0"/>
              <w:rPr>
                <w:sz w:val="20"/>
                <w:szCs w:val="20"/>
                <w:color w:val="auto"/>
              </w:rPr>
            </w:pPr>
            <w:r>
              <w:rPr>
                <w:rFonts w:ascii="Arial" w:cs="Arial" w:eastAsia="Arial" w:hAnsi="Arial"/>
                <w:sz w:val="10"/>
                <w:szCs w:val="10"/>
                <w:b w:val="1"/>
                <w:bCs w:val="1"/>
                <w:color w:val="005A64"/>
              </w:rPr>
              <w:t>(677.7)</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005A64"/>
            </w:tcBorders>
          </w:tcPr>
          <w:p>
            <w:pPr>
              <w:spacing w:after="0"/>
              <w:rPr>
                <w:sz w:val="12"/>
                <w:szCs w:val="12"/>
                <w:color w:val="auto"/>
              </w:rPr>
            </w:pPr>
          </w:p>
        </w:tc>
        <w:tc>
          <w:tcPr>
            <w:tcW w:w="66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1,186.1</w:t>
            </w:r>
          </w:p>
        </w:tc>
        <w:tc>
          <w:tcPr>
            <w:tcW w:w="0" w:type="dxa"/>
            <w:vAlign w:val="bottom"/>
          </w:tcPr>
          <w:p>
            <w:pPr>
              <w:spacing w:after="0"/>
              <w:rPr>
                <w:sz w:val="1"/>
                <w:szCs w:val="1"/>
                <w:color w:val="auto"/>
              </w:rPr>
            </w:pPr>
          </w:p>
        </w:tc>
      </w:tr>
      <w:tr>
        <w:trPr>
          <w:trHeight w:val="171"/>
        </w:trPr>
        <w:tc>
          <w:tcPr>
            <w:tcW w:w="80" w:type="dxa"/>
            <w:vAlign w:val="bottom"/>
            <w:tcBorders>
              <w:left w:val="single" w:sz="8" w:color="BECD32"/>
            </w:tcBorders>
          </w:tcPr>
          <w:p>
            <w:pPr>
              <w:spacing w:after="0"/>
              <w:rPr>
                <w:sz w:val="14"/>
                <w:szCs w:val="14"/>
                <w:color w:val="auto"/>
              </w:rPr>
            </w:pPr>
          </w:p>
        </w:tc>
        <w:tc>
          <w:tcPr>
            <w:tcW w:w="1140" w:type="dxa"/>
            <w:vAlign w:val="bottom"/>
            <w:tcBorders>
              <w:bottom w:val="single" w:sz="8" w:color="7FACB1"/>
            </w:tcBorders>
          </w:tcPr>
          <w:p>
            <w:pPr>
              <w:spacing w:after="0"/>
              <w:rPr>
                <w:sz w:val="14"/>
                <w:szCs w:val="14"/>
                <w:color w:val="auto"/>
              </w:rPr>
            </w:pP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Borders>
              <w:bottom w:val="single" w:sz="8" w:color="7FACB1"/>
            </w:tcBorders>
          </w:tcPr>
          <w:p>
            <w:pPr>
              <w:spacing w:after="0"/>
              <w:rPr>
                <w:sz w:val="14"/>
                <w:szCs w:val="14"/>
                <w:color w:val="auto"/>
              </w:rPr>
            </w:pPr>
          </w:p>
        </w:tc>
        <w:tc>
          <w:tcPr>
            <w:tcW w:w="620" w:type="dxa"/>
            <w:vAlign w:val="bottom"/>
            <w:tcBorders>
              <w:bottom w:val="single" w:sz="8" w:color="7FACB1"/>
            </w:tcBorders>
          </w:tcPr>
          <w:p>
            <w:pPr>
              <w:spacing w:after="0"/>
              <w:rPr>
                <w:sz w:val="14"/>
                <w:szCs w:val="14"/>
                <w:color w:val="auto"/>
              </w:rPr>
            </w:pPr>
          </w:p>
        </w:tc>
        <w:tc>
          <w:tcPr>
            <w:tcW w:w="100" w:type="dxa"/>
            <w:vAlign w:val="bottom"/>
            <w:tcBorders>
              <w:right w:val="single" w:sz="8" w:color="BECD32"/>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Borders>
              <w:bottom w:val="single" w:sz="8" w:color="7FACB1"/>
            </w:tcBorders>
          </w:tcPr>
          <w:p>
            <w:pPr>
              <w:spacing w:after="0"/>
              <w:rPr>
                <w:sz w:val="14"/>
                <w:szCs w:val="14"/>
                <w:color w:val="auto"/>
              </w:rPr>
            </w:pP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Borders>
              <w:bottom w:val="single" w:sz="8" w:color="7FACB1"/>
            </w:tcBorders>
          </w:tcPr>
          <w:p>
            <w:pPr>
              <w:spacing w:after="0"/>
              <w:rPr>
                <w:sz w:val="14"/>
                <w:szCs w:val="14"/>
                <w:color w:val="auto"/>
              </w:rPr>
            </w:pPr>
          </w:p>
        </w:tc>
        <w:tc>
          <w:tcPr>
            <w:tcW w:w="660" w:type="dxa"/>
            <w:vAlign w:val="bottom"/>
            <w:tcBorders>
              <w:bottom w:val="single" w:sz="8" w:color="7FACB1"/>
            </w:tcBorders>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165.4</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78.8</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298.0</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005A64"/>
              </w:rPr>
              <w:t>183.4</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23.5</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14.2</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100.9</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005A64"/>
              </w:rPr>
              <w:t>51.4</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(32.1)</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66.3</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(109.5)</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005A64"/>
              </w:rPr>
              <w:t>(298.0)</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(0.1)</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0.2</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(0.3)</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005A64"/>
              </w:rPr>
              <w:t>3.8</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(149.7)</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(162.2)</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(648.5)</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005A64"/>
              </w:rPr>
              <w:t>(519.6)</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12.6</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3.4</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27.4</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005A64"/>
              </w:rPr>
              <w:t>7.9</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(4.7)</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5.4</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(31.5)</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005A64"/>
              </w:rPr>
              <w:t>2.4</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3.9</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(21.2)</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4.6</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005A64"/>
              </w:rPr>
              <w:t>175.5</w:t>
            </w:r>
          </w:p>
        </w:tc>
        <w:tc>
          <w:tcPr>
            <w:tcW w:w="0" w:type="dxa"/>
            <w:vAlign w:val="bottom"/>
          </w:tcPr>
          <w:p>
            <w:pPr>
              <w:spacing w:after="0"/>
              <w:rPr>
                <w:sz w:val="1"/>
                <w:szCs w:val="1"/>
                <w:color w:val="auto"/>
              </w:rPr>
            </w:pPr>
          </w:p>
        </w:tc>
      </w:tr>
      <w:tr>
        <w:trPr>
          <w:trHeight w:val="24"/>
        </w:trPr>
        <w:tc>
          <w:tcPr>
            <w:tcW w:w="1220" w:type="dxa"/>
            <w:vAlign w:val="bottom"/>
            <w:tcBorders>
              <w:left w:val="single" w:sz="8" w:color="BECD32"/>
            </w:tcBorders>
            <w:gridSpan w:val="2"/>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1220" w:type="dxa"/>
            <w:vAlign w:val="bottom"/>
            <w:gridSpan w:val="2"/>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80" w:type="dxa"/>
            <w:vAlign w:val="bottom"/>
            <w:tcBorders>
              <w:left w:val="single" w:sz="8" w:color="BECD32"/>
            </w:tcBorders>
          </w:tcPr>
          <w:p>
            <w:pPr>
              <w:spacing w:after="0"/>
              <w:rPr>
                <w:sz w:val="13"/>
                <w:szCs w:val="13"/>
                <w:color w:val="auto"/>
              </w:rPr>
            </w:pPr>
          </w:p>
        </w:tc>
        <w:tc>
          <w:tcPr>
            <w:tcW w:w="1140" w:type="dxa"/>
            <w:vAlign w:val="bottom"/>
            <w:tcBorders>
              <w:top w:val="single" w:sz="8" w:color="7FACB1"/>
              <w:bottom w:val="single" w:sz="8" w:color="7FACB1"/>
            </w:tcBorders>
          </w:tcPr>
          <w:p>
            <w:pPr>
              <w:spacing w:after="0"/>
              <w:rPr>
                <w:sz w:val="13"/>
                <w:szCs w:val="13"/>
                <w:color w:val="auto"/>
              </w:rPr>
            </w:pP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top w:val="single" w:sz="8" w:color="7FACB1"/>
              <w:bottom w:val="single" w:sz="8" w:color="7FACB1"/>
            </w:tcBorders>
          </w:tcPr>
          <w:p>
            <w:pPr>
              <w:spacing w:after="0"/>
              <w:rPr>
                <w:sz w:val="13"/>
                <w:szCs w:val="13"/>
                <w:color w:val="auto"/>
              </w:rPr>
            </w:pPr>
          </w:p>
        </w:tc>
        <w:tc>
          <w:tcPr>
            <w:tcW w:w="620" w:type="dxa"/>
            <w:vAlign w:val="bottom"/>
            <w:tcBorders>
              <w:top w:val="single" w:sz="8" w:color="7FACB1"/>
              <w:bottom w:val="single" w:sz="8" w:color="7FACB1"/>
            </w:tcBorders>
          </w:tcPr>
          <w:p>
            <w:pPr>
              <w:spacing w:after="0"/>
              <w:rPr>
                <w:sz w:val="13"/>
                <w:szCs w:val="13"/>
                <w:color w:val="auto"/>
              </w:rPr>
            </w:pPr>
          </w:p>
        </w:tc>
        <w:tc>
          <w:tcPr>
            <w:tcW w:w="100" w:type="dxa"/>
            <w:vAlign w:val="bottom"/>
            <w:tcBorders>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Borders>
              <w:top w:val="single" w:sz="8" w:color="7FACB1"/>
              <w:bottom w:val="single" w:sz="8" w:color="7FACB1"/>
            </w:tcBorders>
          </w:tcPr>
          <w:p>
            <w:pPr>
              <w:spacing w:after="0"/>
              <w:rPr>
                <w:sz w:val="13"/>
                <w:szCs w:val="13"/>
                <w:color w:val="auto"/>
              </w:rPr>
            </w:pP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Borders>
              <w:top w:val="single" w:sz="8" w:color="7FACB1"/>
              <w:bottom w:val="single" w:sz="8" w:color="7FACB1"/>
            </w:tcBorders>
          </w:tcPr>
          <w:p>
            <w:pPr>
              <w:spacing w:after="0"/>
              <w:rPr>
                <w:sz w:val="13"/>
                <w:szCs w:val="13"/>
                <w:color w:val="auto"/>
              </w:rPr>
            </w:pPr>
          </w:p>
        </w:tc>
        <w:tc>
          <w:tcPr>
            <w:tcW w:w="660" w:type="dxa"/>
            <w:vAlign w:val="bottom"/>
            <w:tcBorders>
              <w:top w:val="single" w:sz="8" w:color="7FACB1"/>
              <w:bottom w:val="single" w:sz="8" w:color="7FACB1"/>
            </w:tcBorders>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(879.9)</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(288.0)</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387.7</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005A64"/>
              </w:rPr>
              <w:t>5,374.0</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19.9</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58.0</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74.5</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005A64"/>
              </w:rPr>
              <w:t>81.9</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167.7</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412.8</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758.4</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005A64"/>
              </w:rPr>
              <w:t>118.9</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121.6</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91.8</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474.9</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005A64"/>
              </w:rPr>
              <w:t>258.2</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(6.6)</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(1.7)</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(13.5)</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005A64"/>
              </w:rPr>
              <w:t>(5.4)</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(198.4)</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(65.1)</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(389.2)</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005A64"/>
              </w:rPr>
              <w:t>(482.9)</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(10.9)</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(5.0)</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(154.5)</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005A64"/>
              </w:rPr>
              <w:t>(766.2)</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3.3</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Borders>
              <w:right w:val="single" w:sz="8" w:color="BECD32"/>
            </w:tcBorders>
            <w:gridSpan w:val="2"/>
          </w:tcPr>
          <w:p>
            <w:pPr>
              <w:jc w:val="right"/>
              <w:ind w:right="100"/>
              <w:spacing w:after="0"/>
              <w:rPr>
                <w:sz w:val="20"/>
                <w:szCs w:val="20"/>
                <w:color w:val="auto"/>
              </w:rPr>
            </w:pPr>
            <w:r>
              <w:rPr>
                <w:rFonts w:ascii="Arial" w:cs="Arial" w:eastAsia="Arial" w:hAnsi="Arial"/>
                <w:sz w:val="10"/>
                <w:szCs w:val="10"/>
                <w:color w:val="005A64"/>
              </w:rPr>
              <w:t>—</w:t>
            </w: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106.0</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005A64"/>
              </w:rPr>
              <w:t>—</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220" w:type="dxa"/>
            <w:vAlign w:val="bottom"/>
            <w:tcBorders>
              <w:left w:val="single" w:sz="8" w:color="BECD32"/>
              <w:bottom w:val="single" w:sz="8" w:color="005A64"/>
            </w:tcBorders>
            <w:gridSpan w:val="2"/>
          </w:tcPr>
          <w:p>
            <w:pPr>
              <w:jc w:val="right"/>
              <w:spacing w:after="0"/>
              <w:rPr>
                <w:sz w:val="20"/>
                <w:szCs w:val="20"/>
                <w:color w:val="auto"/>
              </w:rPr>
            </w:pPr>
            <w:r>
              <w:rPr>
                <w:rFonts w:ascii="Arial" w:cs="Arial" w:eastAsia="Arial" w:hAnsi="Arial"/>
                <w:sz w:val="10"/>
                <w:szCs w:val="10"/>
                <w:b w:val="1"/>
                <w:bCs w:val="1"/>
                <w:color w:val="005A64"/>
              </w:rPr>
              <w:t>(463.3)</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005A64"/>
            </w:tcBorders>
          </w:tcPr>
          <w:p>
            <w:pPr>
              <w:spacing w:after="0"/>
              <w:rPr>
                <w:sz w:val="12"/>
                <w:szCs w:val="12"/>
                <w:color w:val="auto"/>
              </w:rPr>
            </w:pPr>
          </w:p>
        </w:tc>
        <w:tc>
          <w:tcPr>
            <w:tcW w:w="62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850.9</w:t>
            </w:r>
          </w:p>
        </w:tc>
        <w:tc>
          <w:tcPr>
            <w:tcW w:w="100" w:type="dxa"/>
            <w:vAlign w:val="bottom"/>
            <w:tcBorders>
              <w:right w:val="single" w:sz="8" w:color="BECD32"/>
            </w:tcBorders>
          </w:tcPr>
          <w:p>
            <w:pPr>
              <w:spacing w:after="0"/>
              <w:rPr>
                <w:sz w:val="12"/>
                <w:szCs w:val="12"/>
                <w:color w:val="auto"/>
              </w:rPr>
            </w:pPr>
          </w:p>
        </w:tc>
        <w:tc>
          <w:tcPr>
            <w:tcW w:w="1220" w:type="dxa"/>
            <w:vAlign w:val="bottom"/>
            <w:tcBorders>
              <w:bottom w:val="single" w:sz="8" w:color="005A64"/>
            </w:tcBorders>
            <w:gridSpan w:val="2"/>
          </w:tcPr>
          <w:p>
            <w:pPr>
              <w:jc w:val="right"/>
              <w:spacing w:after="0"/>
              <w:rPr>
                <w:sz w:val="20"/>
                <w:szCs w:val="20"/>
                <w:color w:val="auto"/>
              </w:rPr>
            </w:pPr>
            <w:r>
              <w:rPr>
                <w:rFonts w:ascii="Arial" w:cs="Arial" w:eastAsia="Arial" w:hAnsi="Arial"/>
                <w:sz w:val="10"/>
                <w:szCs w:val="10"/>
                <w:b w:val="1"/>
                <w:bCs w:val="1"/>
                <w:color w:val="005A64"/>
              </w:rPr>
              <w:t>207.7</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005A64"/>
            </w:tcBorders>
          </w:tcPr>
          <w:p>
            <w:pPr>
              <w:spacing w:after="0"/>
              <w:rPr>
                <w:sz w:val="12"/>
                <w:szCs w:val="12"/>
                <w:color w:val="auto"/>
              </w:rPr>
            </w:pPr>
          </w:p>
        </w:tc>
        <w:tc>
          <w:tcPr>
            <w:tcW w:w="66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5,371.4</w:t>
            </w:r>
          </w:p>
        </w:tc>
        <w:tc>
          <w:tcPr>
            <w:tcW w:w="0" w:type="dxa"/>
            <w:vAlign w:val="bottom"/>
          </w:tcPr>
          <w:p>
            <w:pPr>
              <w:spacing w:after="0"/>
              <w:rPr>
                <w:sz w:val="1"/>
                <w:szCs w:val="1"/>
                <w:color w:val="auto"/>
              </w:rPr>
            </w:pPr>
          </w:p>
        </w:tc>
      </w:tr>
      <w:tr>
        <w:trPr>
          <w:trHeight w:val="171"/>
        </w:trPr>
        <w:tc>
          <w:tcPr>
            <w:tcW w:w="80" w:type="dxa"/>
            <w:vAlign w:val="bottom"/>
            <w:tcBorders>
              <w:left w:val="single" w:sz="8" w:color="BECD32"/>
            </w:tcBorders>
          </w:tcPr>
          <w:p>
            <w:pPr>
              <w:spacing w:after="0"/>
              <w:rPr>
                <w:sz w:val="14"/>
                <w:szCs w:val="14"/>
                <w:color w:val="auto"/>
              </w:rPr>
            </w:pPr>
          </w:p>
        </w:tc>
        <w:tc>
          <w:tcPr>
            <w:tcW w:w="1140" w:type="dxa"/>
            <w:vAlign w:val="bottom"/>
            <w:tcBorders>
              <w:bottom w:val="single" w:sz="8" w:color="7FACB1"/>
            </w:tcBorders>
          </w:tcPr>
          <w:p>
            <w:pPr>
              <w:spacing w:after="0"/>
              <w:rPr>
                <w:sz w:val="14"/>
                <w:szCs w:val="14"/>
                <w:color w:val="auto"/>
              </w:rPr>
            </w:pP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Borders>
              <w:bottom w:val="single" w:sz="8" w:color="7FACB1"/>
            </w:tcBorders>
          </w:tcPr>
          <w:p>
            <w:pPr>
              <w:spacing w:after="0"/>
              <w:rPr>
                <w:sz w:val="14"/>
                <w:szCs w:val="14"/>
                <w:color w:val="auto"/>
              </w:rPr>
            </w:pPr>
          </w:p>
        </w:tc>
        <w:tc>
          <w:tcPr>
            <w:tcW w:w="620" w:type="dxa"/>
            <w:vAlign w:val="bottom"/>
            <w:tcBorders>
              <w:bottom w:val="single" w:sz="8" w:color="7FACB1"/>
            </w:tcBorders>
          </w:tcPr>
          <w:p>
            <w:pPr>
              <w:spacing w:after="0"/>
              <w:rPr>
                <w:sz w:val="14"/>
                <w:szCs w:val="14"/>
                <w:color w:val="auto"/>
              </w:rPr>
            </w:pPr>
          </w:p>
        </w:tc>
        <w:tc>
          <w:tcPr>
            <w:tcW w:w="100" w:type="dxa"/>
            <w:vAlign w:val="bottom"/>
            <w:tcBorders>
              <w:right w:val="single" w:sz="8" w:color="BECD32"/>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Borders>
              <w:bottom w:val="single" w:sz="8" w:color="7FACB1"/>
            </w:tcBorders>
          </w:tcPr>
          <w:p>
            <w:pPr>
              <w:spacing w:after="0"/>
              <w:rPr>
                <w:sz w:val="14"/>
                <w:szCs w:val="14"/>
                <w:color w:val="auto"/>
              </w:rPr>
            </w:pP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Borders>
              <w:bottom w:val="single" w:sz="8" w:color="7FACB1"/>
            </w:tcBorders>
          </w:tcPr>
          <w:p>
            <w:pPr>
              <w:spacing w:after="0"/>
              <w:rPr>
                <w:sz w:val="14"/>
                <w:szCs w:val="14"/>
                <w:color w:val="auto"/>
              </w:rPr>
            </w:pPr>
          </w:p>
        </w:tc>
        <w:tc>
          <w:tcPr>
            <w:tcW w:w="660" w:type="dxa"/>
            <w:vAlign w:val="bottom"/>
            <w:tcBorders>
              <w:bottom w:val="single" w:sz="8" w:color="7FACB1"/>
            </w:tcBorders>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(66.6)</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(83.8)</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(286.5)</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005A64"/>
              </w:rPr>
              <w:t>(249.4)</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0.7</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0.1</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1.2</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005A64"/>
              </w:rPr>
              <w:t>(0.7)</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(24.5)</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(106.5)</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(165.8)</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005A64"/>
              </w:rPr>
              <w:t>(455.4)</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80" w:type="dxa"/>
            <w:vAlign w:val="bottom"/>
            <w:tcBorders>
              <w:left w:val="single" w:sz="8" w:color="BECD32"/>
            </w:tcBorders>
          </w:tcPr>
          <w:p>
            <w:pPr>
              <w:spacing w:after="0"/>
              <w:rPr>
                <w:sz w:val="11"/>
                <w:szCs w:val="11"/>
                <w:color w:val="auto"/>
              </w:rPr>
            </w:pPr>
          </w:p>
        </w:tc>
        <w:tc>
          <w:tcPr>
            <w:tcW w:w="1240" w:type="dxa"/>
            <w:vAlign w:val="bottom"/>
            <w:tcBorders>
              <w:right w:val="single" w:sz="8" w:color="BECD32"/>
            </w:tcBorders>
            <w:gridSpan w:val="2"/>
          </w:tcPr>
          <w:p>
            <w:pPr>
              <w:jc w:val="right"/>
              <w:ind w:right="100"/>
              <w:spacing w:after="0"/>
              <w:rPr>
                <w:sz w:val="20"/>
                <w:szCs w:val="20"/>
                <w:color w:val="auto"/>
              </w:rPr>
            </w:pPr>
            <w:r>
              <w:rPr>
                <w:rFonts w:ascii="Arial" w:cs="Arial" w:eastAsia="Arial" w:hAnsi="Arial"/>
                <w:sz w:val="10"/>
                <w:szCs w:val="10"/>
                <w:color w:val="005A64"/>
              </w:rPr>
              <w:t>—</w:t>
            </w:r>
          </w:p>
        </w:tc>
        <w:tc>
          <w:tcPr>
            <w:tcW w:w="580" w:type="dxa"/>
            <w:vAlign w:val="bottom"/>
            <w:gridSpan w:val="2"/>
          </w:tcPr>
          <w:p>
            <w:pPr>
              <w:spacing w:after="0"/>
              <w:rPr>
                <w:sz w:val="11"/>
                <w:szCs w:val="11"/>
                <w:color w:val="auto"/>
              </w:rPr>
            </w:pPr>
          </w:p>
        </w:tc>
        <w:tc>
          <w:tcPr>
            <w:tcW w:w="720" w:type="dxa"/>
            <w:vAlign w:val="bottom"/>
            <w:tcBorders>
              <w:right w:val="single" w:sz="8" w:color="BECD32"/>
            </w:tcBorders>
            <w:gridSpan w:val="2"/>
          </w:tcPr>
          <w:p>
            <w:pPr>
              <w:jc w:val="right"/>
              <w:ind w:right="100"/>
              <w:spacing w:after="0"/>
              <w:rPr>
                <w:sz w:val="20"/>
                <w:szCs w:val="20"/>
                <w:color w:val="auto"/>
              </w:rPr>
            </w:pPr>
            <w:r>
              <w:rPr>
                <w:rFonts w:ascii="Arial" w:cs="Arial" w:eastAsia="Arial" w:hAnsi="Arial"/>
                <w:sz w:val="10"/>
                <w:szCs w:val="10"/>
                <w:color w:val="005A64"/>
              </w:rPr>
              <w:t>—</w:t>
            </w:r>
          </w:p>
        </w:tc>
        <w:tc>
          <w:tcPr>
            <w:tcW w:w="80" w:type="dxa"/>
            <w:vAlign w:val="bottom"/>
          </w:tcPr>
          <w:p>
            <w:pPr>
              <w:spacing w:after="0"/>
              <w:rPr>
                <w:sz w:val="11"/>
                <w:szCs w:val="11"/>
                <w:color w:val="auto"/>
              </w:rPr>
            </w:pPr>
          </w:p>
        </w:tc>
        <w:tc>
          <w:tcPr>
            <w:tcW w:w="1240" w:type="dxa"/>
            <w:vAlign w:val="bottom"/>
            <w:tcBorders>
              <w:right w:val="single" w:sz="8" w:color="BECD32"/>
            </w:tcBorders>
            <w:gridSpan w:val="2"/>
          </w:tcPr>
          <w:p>
            <w:pPr>
              <w:jc w:val="right"/>
              <w:ind w:right="120"/>
              <w:spacing w:after="0"/>
              <w:rPr>
                <w:sz w:val="20"/>
                <w:szCs w:val="20"/>
                <w:color w:val="auto"/>
              </w:rPr>
            </w:pPr>
            <w:r>
              <w:rPr>
                <w:rFonts w:ascii="Arial" w:cs="Arial" w:eastAsia="Arial" w:hAnsi="Arial"/>
                <w:sz w:val="10"/>
                <w:szCs w:val="10"/>
                <w:color w:val="005A64"/>
              </w:rPr>
              <w:t>—</w:t>
            </w:r>
          </w:p>
        </w:tc>
        <w:tc>
          <w:tcPr>
            <w:tcW w:w="540" w:type="dxa"/>
            <w:vAlign w:val="bottom"/>
            <w:gridSpan w:val="2"/>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005A64"/>
              </w:rPr>
              <w:t>(336.9)</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(2,068.8)</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(3,418.2)</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(12,370.3)</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005A64"/>
              </w:rPr>
              <w:t>(7,128.4)</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2,765.9</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913.3</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10,740.2</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005A64"/>
              </w:rPr>
              <w:t>1,216.3</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b w:val="1"/>
                <w:bCs w:val="1"/>
                <w:color w:val="005A64"/>
              </w:rPr>
              <w:t>606.7</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005A64"/>
              </w:rPr>
              <w:t>(2,695.1)</w:t>
            </w:r>
          </w:p>
        </w:tc>
        <w:tc>
          <w:tcPr>
            <w:tcW w:w="100" w:type="dxa"/>
            <w:vAlign w:val="bottom"/>
            <w:tcBorders>
              <w:right w:val="single" w:sz="8" w:color="BECD32"/>
            </w:tcBorders>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b w:val="1"/>
                <w:bCs w:val="1"/>
                <w:color w:val="005A64"/>
              </w:rPr>
              <w:t>(2,081.2)</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0"/>
                <w:szCs w:val="10"/>
                <w:b w:val="1"/>
                <w:bCs w:val="1"/>
                <w:color w:val="005A64"/>
              </w:rPr>
              <w:t>(6,954.5)</w:t>
            </w:r>
          </w:p>
        </w:tc>
        <w:tc>
          <w:tcPr>
            <w:tcW w:w="0" w:type="dxa"/>
            <w:vAlign w:val="bottom"/>
          </w:tcPr>
          <w:p>
            <w:pPr>
              <w:spacing w:after="0"/>
              <w:rPr>
                <w:sz w:val="1"/>
                <w:szCs w:val="1"/>
                <w:color w:val="auto"/>
              </w:rPr>
            </w:pPr>
          </w:p>
        </w:tc>
      </w:tr>
      <w:tr>
        <w:trPr>
          <w:trHeight w:val="170"/>
        </w:trPr>
        <w:tc>
          <w:tcPr>
            <w:tcW w:w="80" w:type="dxa"/>
            <w:vAlign w:val="bottom"/>
            <w:tcBorders>
              <w:left w:val="single" w:sz="8" w:color="BECD32"/>
            </w:tcBorders>
          </w:tcPr>
          <w:p>
            <w:pPr>
              <w:spacing w:after="0"/>
              <w:rPr>
                <w:sz w:val="14"/>
                <w:szCs w:val="14"/>
                <w:color w:val="auto"/>
              </w:rPr>
            </w:pPr>
          </w:p>
        </w:tc>
        <w:tc>
          <w:tcPr>
            <w:tcW w:w="1140" w:type="dxa"/>
            <w:vAlign w:val="bottom"/>
            <w:tcBorders>
              <w:top w:val="single" w:sz="8" w:color="005A64"/>
              <w:bottom w:val="single" w:sz="8" w:color="7FACB1"/>
            </w:tcBorders>
          </w:tcPr>
          <w:p>
            <w:pPr>
              <w:spacing w:after="0"/>
              <w:rPr>
                <w:sz w:val="14"/>
                <w:szCs w:val="14"/>
                <w:color w:val="auto"/>
              </w:rPr>
            </w:pP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Borders>
              <w:top w:val="single" w:sz="8" w:color="005A64"/>
              <w:bottom w:val="single" w:sz="8" w:color="7FACB1"/>
            </w:tcBorders>
          </w:tcPr>
          <w:p>
            <w:pPr>
              <w:spacing w:after="0"/>
              <w:rPr>
                <w:sz w:val="14"/>
                <w:szCs w:val="14"/>
                <w:color w:val="auto"/>
              </w:rPr>
            </w:pPr>
          </w:p>
        </w:tc>
        <w:tc>
          <w:tcPr>
            <w:tcW w:w="620" w:type="dxa"/>
            <w:vAlign w:val="bottom"/>
            <w:tcBorders>
              <w:top w:val="single" w:sz="8" w:color="005A64"/>
              <w:bottom w:val="single" w:sz="8" w:color="7FACB1"/>
            </w:tcBorders>
          </w:tcPr>
          <w:p>
            <w:pPr>
              <w:spacing w:after="0"/>
              <w:rPr>
                <w:sz w:val="14"/>
                <w:szCs w:val="14"/>
                <w:color w:val="auto"/>
              </w:rPr>
            </w:pPr>
          </w:p>
        </w:tc>
        <w:tc>
          <w:tcPr>
            <w:tcW w:w="100" w:type="dxa"/>
            <w:vAlign w:val="bottom"/>
            <w:tcBorders>
              <w:right w:val="single" w:sz="8" w:color="BECD32"/>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Borders>
              <w:top w:val="single" w:sz="8" w:color="005A64"/>
              <w:bottom w:val="single" w:sz="8" w:color="7FACB1"/>
            </w:tcBorders>
          </w:tcPr>
          <w:p>
            <w:pPr>
              <w:spacing w:after="0"/>
              <w:rPr>
                <w:sz w:val="14"/>
                <w:szCs w:val="14"/>
                <w:color w:val="auto"/>
              </w:rPr>
            </w:pP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Borders>
              <w:top w:val="single" w:sz="8" w:color="005A64"/>
              <w:bottom w:val="single" w:sz="8" w:color="7FACB1"/>
            </w:tcBorders>
          </w:tcPr>
          <w:p>
            <w:pPr>
              <w:spacing w:after="0"/>
              <w:rPr>
                <w:sz w:val="14"/>
                <w:szCs w:val="14"/>
                <w:color w:val="auto"/>
              </w:rPr>
            </w:pPr>
          </w:p>
        </w:tc>
        <w:tc>
          <w:tcPr>
            <w:tcW w:w="660" w:type="dxa"/>
            <w:vAlign w:val="bottom"/>
            <w:tcBorders>
              <w:top w:val="single" w:sz="8" w:color="005A64"/>
              <w:bottom w:val="single" w:sz="8" w:color="7FACB1"/>
            </w:tcBorders>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80" w:type="dxa"/>
            <w:vAlign w:val="bottom"/>
            <w:tcBorders>
              <w:left w:val="single" w:sz="8" w:color="BECD32"/>
            </w:tcBorders>
          </w:tcPr>
          <w:p>
            <w:pPr>
              <w:spacing w:after="0"/>
              <w:rPr>
                <w:sz w:val="11"/>
                <w:szCs w:val="11"/>
                <w:color w:val="auto"/>
              </w:rPr>
            </w:pPr>
          </w:p>
        </w:tc>
        <w:tc>
          <w:tcPr>
            <w:tcW w:w="1240" w:type="dxa"/>
            <w:vAlign w:val="bottom"/>
            <w:tcBorders>
              <w:right w:val="single" w:sz="8" w:color="BECD32"/>
            </w:tcBorders>
            <w:gridSpan w:val="2"/>
          </w:tcPr>
          <w:p>
            <w:pPr>
              <w:jc w:val="right"/>
              <w:ind w:right="100"/>
              <w:spacing w:after="0"/>
              <w:rPr>
                <w:sz w:val="20"/>
                <w:szCs w:val="20"/>
                <w:color w:val="auto"/>
              </w:rPr>
            </w:pPr>
            <w:r>
              <w:rPr>
                <w:rFonts w:ascii="Arial" w:cs="Arial" w:eastAsia="Arial" w:hAnsi="Arial"/>
                <w:sz w:val="10"/>
                <w:szCs w:val="10"/>
                <w:color w:val="005A64"/>
              </w:rPr>
              <w:t>—</w:t>
            </w:r>
          </w:p>
        </w:tc>
        <w:tc>
          <w:tcPr>
            <w:tcW w:w="580" w:type="dxa"/>
            <w:vAlign w:val="bottom"/>
            <w:gridSpan w:val="2"/>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0.2</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Borders>
              <w:right w:val="single" w:sz="8" w:color="BECD32"/>
            </w:tcBorders>
            <w:gridSpan w:val="2"/>
          </w:tcPr>
          <w:p>
            <w:pPr>
              <w:jc w:val="right"/>
              <w:ind w:right="120"/>
              <w:spacing w:after="0"/>
              <w:rPr>
                <w:sz w:val="20"/>
                <w:szCs w:val="20"/>
                <w:color w:val="auto"/>
              </w:rPr>
            </w:pPr>
            <w:r>
              <w:rPr>
                <w:rFonts w:ascii="Arial" w:cs="Arial" w:eastAsia="Arial" w:hAnsi="Arial"/>
                <w:sz w:val="10"/>
                <w:szCs w:val="10"/>
                <w:color w:val="005A64"/>
              </w:rPr>
              <w:t>—</w:t>
            </w:r>
          </w:p>
        </w:tc>
        <w:tc>
          <w:tcPr>
            <w:tcW w:w="540" w:type="dxa"/>
            <w:vAlign w:val="bottom"/>
            <w:gridSpan w:val="2"/>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005A64"/>
              </w:rPr>
              <w:t>0.3</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80" w:type="dxa"/>
            <w:vAlign w:val="bottom"/>
            <w:tcBorders>
              <w:left w:val="single" w:sz="8" w:color="BECD32"/>
            </w:tcBorders>
          </w:tcPr>
          <w:p>
            <w:pPr>
              <w:spacing w:after="0"/>
              <w:rPr>
                <w:sz w:val="11"/>
                <w:szCs w:val="11"/>
                <w:color w:val="auto"/>
              </w:rPr>
            </w:pPr>
          </w:p>
        </w:tc>
        <w:tc>
          <w:tcPr>
            <w:tcW w:w="1240" w:type="dxa"/>
            <w:vAlign w:val="bottom"/>
            <w:tcBorders>
              <w:right w:val="single" w:sz="8" w:color="BECD32"/>
            </w:tcBorders>
            <w:gridSpan w:val="2"/>
          </w:tcPr>
          <w:p>
            <w:pPr>
              <w:jc w:val="right"/>
              <w:ind w:right="100"/>
              <w:spacing w:after="0"/>
              <w:rPr>
                <w:sz w:val="20"/>
                <w:szCs w:val="20"/>
                <w:color w:val="auto"/>
              </w:rPr>
            </w:pPr>
            <w:r>
              <w:rPr>
                <w:rFonts w:ascii="Arial" w:cs="Arial" w:eastAsia="Arial" w:hAnsi="Arial"/>
                <w:sz w:val="10"/>
                <w:szCs w:val="10"/>
                <w:color w:val="005A64"/>
              </w:rPr>
              <w:t>—</w:t>
            </w:r>
          </w:p>
        </w:tc>
        <w:tc>
          <w:tcPr>
            <w:tcW w:w="580" w:type="dxa"/>
            <w:vAlign w:val="bottom"/>
            <w:gridSpan w:val="2"/>
          </w:tcPr>
          <w:p>
            <w:pPr>
              <w:spacing w:after="0"/>
              <w:rPr>
                <w:sz w:val="11"/>
                <w:szCs w:val="11"/>
                <w:color w:val="auto"/>
              </w:rPr>
            </w:pPr>
          </w:p>
        </w:tc>
        <w:tc>
          <w:tcPr>
            <w:tcW w:w="720" w:type="dxa"/>
            <w:vAlign w:val="bottom"/>
            <w:tcBorders>
              <w:right w:val="single" w:sz="8" w:color="BECD32"/>
            </w:tcBorders>
            <w:gridSpan w:val="2"/>
          </w:tcPr>
          <w:p>
            <w:pPr>
              <w:jc w:val="right"/>
              <w:ind w:right="100"/>
              <w:spacing w:after="0"/>
              <w:rPr>
                <w:sz w:val="20"/>
                <w:szCs w:val="20"/>
                <w:color w:val="auto"/>
              </w:rPr>
            </w:pPr>
            <w:r>
              <w:rPr>
                <w:rFonts w:ascii="Arial" w:cs="Arial" w:eastAsia="Arial" w:hAnsi="Arial"/>
                <w:sz w:val="10"/>
                <w:szCs w:val="10"/>
                <w:color w:val="005A64"/>
              </w:rPr>
              <w:t>—</w:t>
            </w: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(2.3)</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005A64"/>
              </w:rPr>
              <w:t>(0.1)</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(7.3)</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(12.3)</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(43.6)</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005A64"/>
              </w:rPr>
              <w:t>(40.3)</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80" w:type="dxa"/>
            <w:vAlign w:val="bottom"/>
            <w:tcBorders>
              <w:left w:val="single" w:sz="8" w:color="BECD32"/>
            </w:tcBorders>
          </w:tcPr>
          <w:p>
            <w:pPr>
              <w:spacing w:after="0"/>
              <w:rPr>
                <w:sz w:val="11"/>
                <w:szCs w:val="11"/>
                <w:color w:val="auto"/>
              </w:rPr>
            </w:pPr>
          </w:p>
        </w:tc>
        <w:tc>
          <w:tcPr>
            <w:tcW w:w="1240" w:type="dxa"/>
            <w:vAlign w:val="bottom"/>
            <w:tcBorders>
              <w:right w:val="single" w:sz="8" w:color="BECD32"/>
            </w:tcBorders>
            <w:gridSpan w:val="2"/>
          </w:tcPr>
          <w:p>
            <w:pPr>
              <w:jc w:val="right"/>
              <w:ind w:right="100"/>
              <w:spacing w:after="0"/>
              <w:rPr>
                <w:sz w:val="20"/>
                <w:szCs w:val="20"/>
                <w:color w:val="auto"/>
              </w:rPr>
            </w:pPr>
            <w:r>
              <w:rPr>
                <w:rFonts w:ascii="Arial" w:cs="Arial" w:eastAsia="Arial" w:hAnsi="Arial"/>
                <w:sz w:val="10"/>
                <w:szCs w:val="10"/>
                <w:color w:val="005A64"/>
              </w:rPr>
              <w:t>—</w:t>
            </w:r>
          </w:p>
        </w:tc>
        <w:tc>
          <w:tcPr>
            <w:tcW w:w="580" w:type="dxa"/>
            <w:vAlign w:val="bottom"/>
            <w:gridSpan w:val="2"/>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(0.8)</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Borders>
              <w:right w:val="single" w:sz="8" w:color="BECD32"/>
            </w:tcBorders>
            <w:gridSpan w:val="2"/>
          </w:tcPr>
          <w:p>
            <w:pPr>
              <w:jc w:val="right"/>
              <w:ind w:right="120"/>
              <w:spacing w:after="0"/>
              <w:rPr>
                <w:sz w:val="20"/>
                <w:szCs w:val="20"/>
                <w:color w:val="auto"/>
              </w:rPr>
            </w:pPr>
            <w:r>
              <w:rPr>
                <w:rFonts w:ascii="Arial" w:cs="Arial" w:eastAsia="Arial" w:hAnsi="Arial"/>
                <w:sz w:val="10"/>
                <w:szCs w:val="10"/>
                <w:color w:val="005A64"/>
              </w:rPr>
              <w:t>—</w:t>
            </w:r>
          </w:p>
        </w:tc>
        <w:tc>
          <w:tcPr>
            <w:tcW w:w="540" w:type="dxa"/>
            <w:vAlign w:val="bottom"/>
            <w:gridSpan w:val="2"/>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005A64"/>
              </w:rPr>
              <w:t>(738.5)</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80" w:type="dxa"/>
            <w:vAlign w:val="bottom"/>
            <w:tcBorders>
              <w:left w:val="single" w:sz="8" w:color="BECD32"/>
            </w:tcBorders>
          </w:tcPr>
          <w:p>
            <w:pPr>
              <w:spacing w:after="0"/>
              <w:rPr>
                <w:sz w:val="13"/>
                <w:szCs w:val="13"/>
                <w:color w:val="auto"/>
              </w:rPr>
            </w:pPr>
          </w:p>
        </w:tc>
        <w:tc>
          <w:tcPr>
            <w:tcW w:w="114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(7.3)</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bottom w:val="single" w:sz="8" w:color="005A64"/>
            </w:tcBorders>
          </w:tcPr>
          <w:p>
            <w:pPr>
              <w:spacing w:after="0"/>
              <w:rPr>
                <w:sz w:val="13"/>
                <w:szCs w:val="13"/>
                <w:color w:val="auto"/>
              </w:rPr>
            </w:pPr>
          </w:p>
        </w:tc>
        <w:tc>
          <w:tcPr>
            <w:tcW w:w="62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(12.9)</w:t>
            </w:r>
          </w:p>
        </w:tc>
        <w:tc>
          <w:tcPr>
            <w:tcW w:w="100" w:type="dxa"/>
            <w:vAlign w:val="bottom"/>
            <w:tcBorders>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(45.9)</w:t>
            </w:r>
          </w:p>
        </w:tc>
        <w:tc>
          <w:tcPr>
            <w:tcW w:w="10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Borders>
              <w:bottom w:val="single" w:sz="8" w:color="005A64"/>
            </w:tcBorders>
          </w:tcPr>
          <w:p>
            <w:pPr>
              <w:spacing w:after="0"/>
              <w:rPr>
                <w:sz w:val="13"/>
                <w:szCs w:val="13"/>
                <w:color w:val="auto"/>
              </w:rPr>
            </w:pPr>
          </w:p>
        </w:tc>
        <w:tc>
          <w:tcPr>
            <w:tcW w:w="66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(778.6)</w:t>
            </w:r>
          </w:p>
        </w:tc>
        <w:tc>
          <w:tcPr>
            <w:tcW w:w="0" w:type="dxa"/>
            <w:vAlign w:val="bottom"/>
          </w:tcPr>
          <w:p>
            <w:pPr>
              <w:spacing w:after="0"/>
              <w:rPr>
                <w:sz w:val="1"/>
                <w:szCs w:val="1"/>
                <w:color w:val="auto"/>
              </w:rPr>
            </w:pPr>
          </w:p>
        </w:tc>
      </w:tr>
      <w:tr>
        <w:trPr>
          <w:trHeight w:val="14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136.1</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(1,857.1)</w:t>
            </w:r>
          </w:p>
        </w:tc>
        <w:tc>
          <w:tcPr>
            <w:tcW w:w="100" w:type="dxa"/>
            <w:vAlign w:val="bottom"/>
            <w:tcBorders>
              <w:right w:val="single" w:sz="8" w:color="BECD32"/>
            </w:tcBorders>
          </w:tcPr>
          <w:p>
            <w:pPr>
              <w:spacing w:after="0"/>
              <w:rPr>
                <w:sz w:val="12"/>
                <w:szCs w:val="12"/>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(1,919.4)</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005A64"/>
              </w:rPr>
              <w:t>(2,361.7)</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13.6</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(15.4)</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14.8</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005A64"/>
              </w:rPr>
              <w:t>(14.5)</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(12.4)</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40.4</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2.8</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005A64"/>
              </w:rPr>
              <w:t>164.8</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220" w:type="dxa"/>
            <w:vAlign w:val="bottom"/>
            <w:tcBorders>
              <w:left w:val="single" w:sz="8" w:color="BECD32"/>
            </w:tcBorders>
            <w:gridSpan w:val="2"/>
          </w:tcPr>
          <w:p>
            <w:pPr>
              <w:jc w:val="right"/>
              <w:spacing w:after="0"/>
              <w:rPr>
                <w:sz w:val="20"/>
                <w:szCs w:val="20"/>
                <w:color w:val="auto"/>
              </w:rPr>
            </w:pPr>
            <w:r>
              <w:rPr>
                <w:rFonts w:ascii="Arial" w:cs="Arial" w:eastAsia="Arial" w:hAnsi="Arial"/>
                <w:sz w:val="10"/>
                <w:szCs w:val="10"/>
                <w:color w:val="005A64"/>
              </w:rPr>
              <w:t>9,624.6</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005A64"/>
              </w:rPr>
              <w:t>13,495.8</w:t>
            </w:r>
          </w:p>
        </w:tc>
        <w:tc>
          <w:tcPr>
            <w:tcW w:w="100" w:type="dxa"/>
            <w:vAlign w:val="bottom"/>
            <w:tcBorders>
              <w:right w:val="single" w:sz="8" w:color="BECD32"/>
            </w:tcBorders>
          </w:tcPr>
          <w:p>
            <w:pPr>
              <w:spacing w:after="0"/>
              <w:rPr>
                <w:sz w:val="11"/>
                <w:szCs w:val="11"/>
                <w:color w:val="auto"/>
              </w:rPr>
            </w:pPr>
          </w:p>
        </w:tc>
        <w:tc>
          <w:tcPr>
            <w:tcW w:w="1220" w:type="dxa"/>
            <w:vAlign w:val="bottom"/>
            <w:gridSpan w:val="2"/>
          </w:tcPr>
          <w:p>
            <w:pPr>
              <w:jc w:val="right"/>
              <w:spacing w:after="0"/>
              <w:rPr>
                <w:sz w:val="20"/>
                <w:szCs w:val="20"/>
                <w:color w:val="auto"/>
              </w:rPr>
            </w:pPr>
            <w:r>
              <w:rPr>
                <w:rFonts w:ascii="Arial" w:cs="Arial" w:eastAsia="Arial" w:hAnsi="Arial"/>
                <w:sz w:val="10"/>
                <w:szCs w:val="10"/>
                <w:color w:val="005A64"/>
              </w:rPr>
              <w:t>11,663.7</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005A64"/>
              </w:rPr>
              <w:t>13,875.1</w:t>
            </w:r>
          </w:p>
        </w:tc>
        <w:tc>
          <w:tcPr>
            <w:tcW w:w="0" w:type="dxa"/>
            <w:vAlign w:val="bottom"/>
          </w:tcPr>
          <w:p>
            <w:pPr>
              <w:spacing w:after="0"/>
              <w:rPr>
                <w:sz w:val="1"/>
                <w:szCs w:val="1"/>
                <w:color w:val="auto"/>
              </w:rPr>
            </w:pPr>
          </w:p>
        </w:tc>
      </w:tr>
      <w:tr>
        <w:trPr>
          <w:trHeight w:val="24"/>
        </w:trPr>
        <w:tc>
          <w:tcPr>
            <w:tcW w:w="80" w:type="dxa"/>
            <w:vAlign w:val="bottom"/>
            <w:tcBorders>
              <w:left w:val="single" w:sz="8" w:color="BECD32"/>
            </w:tcBorders>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7FACB1"/>
            </w:tcBorders>
          </w:tcPr>
          <w:p>
            <w:pPr>
              <w:spacing w:after="0"/>
              <w:rPr>
                <w:sz w:val="2"/>
                <w:szCs w:val="2"/>
                <w:color w:val="auto"/>
              </w:rPr>
            </w:pPr>
          </w:p>
        </w:tc>
        <w:tc>
          <w:tcPr>
            <w:tcW w:w="62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7FACB1"/>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220" w:type="dxa"/>
            <w:vAlign w:val="bottom"/>
            <w:tcBorders>
              <w:left w:val="single" w:sz="8" w:color="BECD32"/>
              <w:bottom w:val="single" w:sz="8" w:color="BECD32"/>
            </w:tcBorders>
            <w:gridSpan w:val="2"/>
          </w:tcPr>
          <w:p>
            <w:pPr>
              <w:jc w:val="right"/>
              <w:spacing w:after="0"/>
              <w:rPr>
                <w:sz w:val="20"/>
                <w:szCs w:val="20"/>
                <w:color w:val="auto"/>
              </w:rPr>
            </w:pPr>
            <w:r>
              <w:rPr>
                <w:rFonts w:ascii="Arial" w:cs="Arial" w:eastAsia="Arial" w:hAnsi="Arial"/>
                <w:sz w:val="10"/>
                <w:szCs w:val="10"/>
                <w:b w:val="1"/>
                <w:bCs w:val="1"/>
                <w:color w:val="005A64"/>
              </w:rPr>
              <w:t>9,761.9</w:t>
            </w:r>
          </w:p>
        </w:tc>
        <w:tc>
          <w:tcPr>
            <w:tcW w:w="100" w:type="dxa"/>
            <w:vAlign w:val="bottom"/>
            <w:tcBorders>
              <w:bottom w:val="single" w:sz="8" w:color="BECD32"/>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005A64"/>
            </w:tcBorders>
          </w:tcPr>
          <w:p>
            <w:pPr>
              <w:spacing w:after="0"/>
              <w:rPr>
                <w:sz w:val="12"/>
                <w:szCs w:val="12"/>
                <w:color w:val="auto"/>
              </w:rPr>
            </w:pPr>
          </w:p>
        </w:tc>
        <w:tc>
          <w:tcPr>
            <w:tcW w:w="62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11,663.7</w:t>
            </w:r>
          </w:p>
        </w:tc>
        <w:tc>
          <w:tcPr>
            <w:tcW w:w="100" w:type="dxa"/>
            <w:vAlign w:val="bottom"/>
            <w:tcBorders>
              <w:right w:val="single" w:sz="8" w:color="BECD32"/>
            </w:tcBorders>
          </w:tcPr>
          <w:p>
            <w:pPr>
              <w:spacing w:after="0"/>
              <w:rPr>
                <w:sz w:val="12"/>
                <w:szCs w:val="12"/>
                <w:color w:val="auto"/>
              </w:rPr>
            </w:pPr>
          </w:p>
        </w:tc>
        <w:tc>
          <w:tcPr>
            <w:tcW w:w="1220" w:type="dxa"/>
            <w:vAlign w:val="bottom"/>
            <w:tcBorders>
              <w:bottom w:val="single" w:sz="8" w:color="BECD32"/>
            </w:tcBorders>
            <w:gridSpan w:val="2"/>
          </w:tcPr>
          <w:p>
            <w:pPr>
              <w:jc w:val="right"/>
              <w:spacing w:after="0"/>
              <w:rPr>
                <w:sz w:val="20"/>
                <w:szCs w:val="20"/>
                <w:color w:val="auto"/>
              </w:rPr>
            </w:pPr>
            <w:r>
              <w:rPr>
                <w:rFonts w:ascii="Arial" w:cs="Arial" w:eastAsia="Arial" w:hAnsi="Arial"/>
                <w:sz w:val="10"/>
                <w:szCs w:val="10"/>
                <w:b w:val="1"/>
                <w:bCs w:val="1"/>
                <w:color w:val="005A64"/>
              </w:rPr>
              <w:t>9,761.9</w:t>
            </w:r>
          </w:p>
        </w:tc>
        <w:tc>
          <w:tcPr>
            <w:tcW w:w="100" w:type="dxa"/>
            <w:vAlign w:val="bottom"/>
            <w:tcBorders>
              <w:bottom w:val="single" w:sz="8" w:color="BECD32"/>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005A64"/>
            </w:tcBorders>
          </w:tcPr>
          <w:p>
            <w:pPr>
              <w:spacing w:after="0"/>
              <w:rPr>
                <w:sz w:val="12"/>
                <w:szCs w:val="12"/>
                <w:color w:val="auto"/>
              </w:rPr>
            </w:pPr>
          </w:p>
        </w:tc>
        <w:tc>
          <w:tcPr>
            <w:tcW w:w="66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11,663.7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13</w:t>
      </w:r>
    </w:p>
    <w:p>
      <w:pPr>
        <w:sectPr>
          <w:pgSz w:w="11900" w:h="16838" w:orient="portrait"/>
          <w:cols w:equalWidth="0" w:num="2">
            <w:col w:w="5280" w:space="720"/>
            <w:col w:w="5260"/>
          </w:cols>
          <w:pgMar w:left="340" w:top="1327" w:right="299" w:bottom="1440" w:gutter="0" w:footer="0" w:header="0"/>
          <w:type w:val="continuous"/>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213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3421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bullet"/>
      <w:start w:val="1"/>
    </w:lvl>
  </w:abstractNum>
  <w:abstractNum w:abstractNumId="3">
    <w:nsid w:val="4DB127F8"/>
    <w:multiLevelType w:val="hybridMultilevel"/>
    <w:lvl w:ilvl="0">
      <w:lvlJc w:val="left"/>
      <w:lvlText w:val="2"/>
      <w:numFmt w:val="bullet"/>
      <w:start w:val="1"/>
    </w:lvl>
  </w:abstractNum>
  <w:abstractNum w:abstractNumId="4">
    <w:nsid w:val="216231B"/>
    <w:multiLevelType w:val="hybridMultilevel"/>
    <w:lvl w:ilvl="0">
      <w:lvlJc w:val="left"/>
      <w:lvlText w:val="3"/>
      <w:numFmt w:val="bullet"/>
      <w:start w:val="1"/>
    </w:lvl>
  </w:abstractNum>
  <w:abstractNum w:abstractNumId="5">
    <w:nsid w:val="1F16E9E8"/>
    <w:multiLevelType w:val="hybridMultilevel"/>
    <w:lvl w:ilvl="0">
      <w:lvlJc w:val="left"/>
      <w:lvlText w:val="4"/>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2025-03-10T06:00:09Z</dcterms:created>
  <dcterms:modified xsi:type="dcterms:W3CDTF">2025-03-10T06:00:09Z</dcterms:modified>
</cp:coreProperties>
</file>