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(Rule 14d-100)</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40"/>
          <w:szCs w:val="40"/>
          <w:b w:val="1"/>
          <w:bCs w:val="1"/>
          <w:color w:val="auto"/>
        </w:rPr>
        <w:t>CureVac N.V.</w:t>
      </w:r>
    </w:p>
    <w:p>
      <w:pPr>
        <w:spacing w:after="0" w:line="4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0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(Name of Filing Person (Offeror))</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Common Shares, €0.12 par value per share</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N2451R105</w:t>
      </w:r>
    </w:p>
    <w:p>
      <w:pPr>
        <w:spacing w:after="0" w:line="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Prof. Ugur Sahin, M.D.</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Telephone: +49 6131-9084-0</w:t>
      </w:r>
    </w:p>
    <w:p>
      <w:pPr>
        <w:spacing w:after="0" w:line="2" w:lineRule="exact"/>
        <w:rPr>
          <w:sz w:val="24"/>
          <w:szCs w:val="24"/>
          <w:color w:val="auto"/>
        </w:rPr>
      </w:pPr>
    </w:p>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52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5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315"/>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Paul Claydon</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Howard L. Ellin</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Jack S. Bodner</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June S. Dipchand</w:t>
            </w:r>
          </w:p>
        </w:tc>
      </w:tr>
      <w:tr>
        <w:trPr>
          <w:trHeight w:val="216"/>
        </w:trPr>
        <w:tc>
          <w:tcPr>
            <w:tcW w:w="2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Matthew T. Gehl</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Stephan Hutter</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Charles A. Dobb</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Holger Hofmeister</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Brian K. Rosenzweig</w:t>
            </w:r>
          </w:p>
        </w:tc>
        <w:tc>
          <w:tcPr>
            <w:tcW w:w="554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Skadden, Arps, Slate, Meagher &amp; Flom LLP</w:t>
            </w:r>
          </w:p>
        </w:tc>
      </w:tr>
      <w:tr>
        <w:trPr>
          <w:trHeight w:val="216"/>
        </w:trPr>
        <w:tc>
          <w:tcPr>
            <w:tcW w:w="29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Covington &amp; Burling LLP</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30 Hudson Yards</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395 Ninth Avenue</w:t>
            </w:r>
          </w:p>
        </w:tc>
      </w:tr>
      <w:tr>
        <w:trPr>
          <w:trHeight w:val="216"/>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7"/>
              </w:rPr>
              <w:t>New York, New York 10001-2170</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New York, New York 10001</w:t>
            </w:r>
          </w:p>
        </w:tc>
      </w:tr>
      <w:tr>
        <w:trPr>
          <w:trHeight w:val="238"/>
        </w:trPr>
        <w:tc>
          <w:tcPr>
            <w:tcW w:w="29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Telephone: (212) 841-1000</w:t>
            </w:r>
          </w:p>
        </w:tc>
        <w:tc>
          <w:tcPr>
            <w:tcW w:w="55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8"/>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third-party tender offer subject to Rule 14d-1.</w:t>
      </w:r>
    </w:p>
    <w:p>
      <w:pPr>
        <w:spacing w:after="0" w:line="70"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issuer tender offer subject to Rule 13e-4.</w:t>
      </w:r>
    </w:p>
    <w:p>
      <w:pPr>
        <w:spacing w:after="0" w:line="2"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going-private transaction subject to Rule 13e-3.</w:t>
      </w:r>
    </w:p>
    <w:p>
      <w:pPr>
        <w:spacing w:after="0" w:line="16"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amendment to Schedule 13D under Rule 13d-2.</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11"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223520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40"/>
          </w:cols>
          <w:pgMar w:left="440" w:top="511" w:right="1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2 amends and supplements the Tender Offer Statement on Schedule TO filed by BioNTech SE, a European stock corporation</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 SE) organized under the laws of Germany and the European Union (“</w:t>
      </w:r>
      <w:r>
        <w:rPr>
          <w:rFonts w:ascii="Times New Roman" w:cs="Times New Roman" w:eastAsia="Times New Roman" w:hAnsi="Times New Roman"/>
          <w:sz w:val="18"/>
          <w:szCs w:val="18"/>
          <w:i w:val="1"/>
          <w:iCs w:val="1"/>
          <w:color w:val="auto"/>
        </w:rPr>
        <w:t>BioNTech</w:t>
      </w:r>
      <w:r>
        <w:rPr>
          <w:rFonts w:ascii="Times New Roman" w:cs="Times New Roman" w:eastAsia="Times New Roman" w:hAnsi="Times New Roman"/>
          <w:sz w:val="18"/>
          <w:szCs w:val="18"/>
          <w:color w:val="auto"/>
        </w:rPr>
        <w:t>”), on October 21, 2025 (the “</w:t>
      </w:r>
      <w:r>
        <w:rPr>
          <w:rFonts w:ascii="Times New Roman" w:cs="Times New Roman" w:eastAsia="Times New Roman" w:hAnsi="Times New Roman"/>
          <w:sz w:val="18"/>
          <w:szCs w:val="18"/>
          <w:i w:val="1"/>
          <w:iCs w:val="1"/>
          <w:color w:val="auto"/>
        </w:rPr>
        <w:t>Schedule TO</w:t>
      </w:r>
      <w:r>
        <w:rPr>
          <w:rFonts w:ascii="Times New Roman" w:cs="Times New Roman" w:eastAsia="Times New Roman" w:hAnsi="Times New Roman"/>
          <w:sz w:val="18"/>
          <w:szCs w:val="18"/>
          <w:color w:val="auto"/>
        </w:rPr>
        <w:t>”). The Schedule TO relates to the offer by BioNTech to exchange American Depositary Shares, each representing one ordinary share, no par value, with a notional amount attributable to each ordinary share of €1, of BioNTech, for all of the outstanding ordinary shares, par value €0.12 per share, of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upon the terms and subject to the conditions set forth in the Exchange Offer Prospectus and the related Letter of Transmittal, each as defined in the Schedule TO. The Exchange Offer Prospectus and Letter of Transmittal are incorporated by reference to Exhibit (a)(1)(A) and (a)(4) of the Schedule TO.</w:t>
      </w:r>
    </w:p>
    <w:p>
      <w:pPr>
        <w:spacing w:after="0" w:line="1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Exchange Offer Prospectus, including all annexes thereto, is hereby expressly incorporated by reference in response to all of the items of the Schedule TO, and is supplemented by the information specifically provided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4 through 9 and 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Exchange Offer Prospectus and Items 1, 4 through 9, and 11 of the Schedule TO are hereby amended and supplemented as follows:</w:t>
      </w:r>
    </w:p>
    <w:p>
      <w:pPr>
        <w:spacing w:after="0" w:line="22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set forth in the sections of the Exchange Offer Prospectus entitled “Questions and Answers – Are there any conditions to closing of the offer that must be satisfied for the offer to be completed?,” “Summary – Conditions to Closing of the Offer,” “Summary – The Post-Offer Reorganization and the New Topco U.S. Tax Election,” “The Offer – The Post-Offer Reorganization and the New Topco U.S. Tax Election,” and “The Purchase Agreement – Conditions to Closing of the Offer” are hereby amended and supplemented by inserting the following paragraph within:</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25, 2025, CureVac’s shareholders approved the adoption of the required resolutions at the EGM. Accordingly, the conditions of the offer relating to the receipt of the required approvals of the shareholders of CureVac have been satisfied.”</w:t>
      </w:r>
    </w:p>
    <w:p>
      <w:pPr>
        <w:spacing w:after="0" w:line="16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set forth in the sections of the Exchange Offer Prospectus entitled “Questions and Answers – What will CureVac shareholders receive in the offer?,” “Summary – The Offer and the Purchase Agreement,” “The Offer – Offer Consideration,” and “The Purchase Agreement – The Offer” are hereby amended and supplemented by inserting the following paragraph within: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November 26, 2025, BioNTech announced that the exchange ratio would be 0.05363 of a BioNTech ADS per CureVac share, assuming that the offer expires at 9:00 a.m. (New York City time), on December 3, 2025. This calculation is based on the volume weighted average price of a BioNTech ADS as reported on Nasdaq for each of the 10 consecutive trading days ending on, and including, November 25, 2025, or $101.88. If the offer is extended, BioNTech will recalculate the exchange ratio based on the later expected final expiration time and announce the new exchange ratio by issuing a press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00" w:type="dxa"/>
            <w:vAlign w:val="bottom"/>
          </w:tcPr>
          <w:p>
            <w:pPr>
              <w:spacing w:after="0"/>
              <w:rPr>
                <w:sz w:val="16"/>
                <w:szCs w:val="16"/>
                <w:color w:val="auto"/>
              </w:rPr>
            </w:pPr>
          </w:p>
        </w:tc>
        <w:tc>
          <w:tcPr>
            <w:tcW w:w="9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(a)(5)(M)</w:t>
            </w:r>
          </w:p>
        </w:tc>
        <w:tc>
          <w:tcPr>
            <w:tcW w:w="9600" w:type="dxa"/>
            <w:vAlign w:val="bottom"/>
            <w:gridSpan w:val="3"/>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Press Release issued by BioNTech SE, dated November 26, 2025 (incorporated by reference to Exhibit 99.1 to the Report on Form</w:t>
              </w:r>
            </w:hyperlink>
          </w:p>
        </w:tc>
      </w:tr>
      <w:tr>
        <w:trPr>
          <w:trHeight w:val="196"/>
        </w:trPr>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6-K filed by BioNTech SE with the SEC on November 26, 2025).</w:t>
              </w:r>
            </w:hyperlink>
          </w:p>
        </w:tc>
        <w:tc>
          <w:tcPr>
            <w:tcW w:w="46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BioNTech 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Prof. Ugur Sahin, M.D.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Offer</w:t>
      </w:r>
    </w:p>
    <w:sectPr>
      <w:pgSz w:w="11900" w:h="16838" w:orient="portrait"/>
      <w:cols w:equalWidth="0" w:num="1">
        <w:col w:w="10540"/>
      </w:cols>
      <w:pgMar w:left="4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7" Type="http://schemas.openxmlformats.org/officeDocument/2006/relationships/hyperlink" Target="http://www.sec.gov/Archives/edgar/data/1776985/000119312525300670/d16834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2025-11-26T16:52:02Z</dcterms:created>
  <dcterms:modified xsi:type="dcterms:W3CDTF">2025-11-26T16:52:02Z</dcterms:modified>
</cp:coreProperties>
</file>