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APRIL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ind w:left="3140"/>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April 24, 2025, BioNTech SE announced that it will present data for selected assets from its diversified oncology pipeline, including mRNA cancer immunotherapies, next-generation immunomodulators, and targeted therapies, at the American Association for Cancer Research (“AACR”) Annual Meeting held in Chicago, Illinois from April 25-30, 2025.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April 24,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8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5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BioNTech to Present Clinical and Preclinical Data Across mRNA and Next-Generation Immuno-Oncology Priority</w:t>
            </w:r>
          </w:p>
        </w:tc>
      </w:tr>
      <w:tr>
        <w:trPr>
          <w:trHeight w:val="236"/>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80" w:type="dxa"/>
            <w:vAlign w:val="bottom"/>
            <w:tcBorders>
              <w:bottom w:val="single" w:sz="8" w:color="0000FF"/>
            </w:tcBorders>
            <w:gridSpan w:val="2"/>
          </w:tcPr>
          <w:p>
            <w:pPr>
              <w:spacing w:after="0" w:line="237" w:lineRule="exact"/>
              <w:rPr>
                <w:sz w:val="20"/>
                <w:szCs w:val="20"/>
                <w:color w:val="auto"/>
              </w:rPr>
            </w:pPr>
            <w:r>
              <w:rPr>
                <w:rFonts w:ascii="Times New Roman" w:cs="Times New Roman" w:eastAsia="Times New Roman" w:hAnsi="Times New Roman"/>
                <w:sz w:val="22"/>
                <w:szCs w:val="22"/>
                <w:color w:val="0000FF"/>
                <w:w w:val="97"/>
              </w:rPr>
              <w:t>Programs at AACR 2025</w:t>
            </w:r>
          </w:p>
        </w:tc>
        <w:tc>
          <w:tcPr>
            <w:tcW w:w="7780" w:type="dxa"/>
            <w:vAlign w:val="bottom"/>
          </w:tcPr>
          <w:p>
            <w:pPr>
              <w:spacing w:after="0"/>
              <w:rPr>
                <w:sz w:val="20"/>
                <w:szCs w:val="20"/>
                <w:color w:val="auto"/>
              </w:rPr>
            </w:pPr>
          </w:p>
        </w:tc>
      </w:tr>
    </w:tbl>
    <w:p>
      <w:pPr>
        <w:sectPr>
          <w:pgSz w:w="11900" w:h="16838" w:orient="portrait"/>
          <w:cols w:equalWidth="0" w:num="1">
            <w:col w:w="11180"/>
          </w:cols>
          <w:pgMar w:left="360" w:top="1094" w:right="3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340" w:right="140"/>
        <w:spacing w:after="0" w:line="320" w:lineRule="auto"/>
        <w:rPr>
          <w:sz w:val="20"/>
          <w:szCs w:val="20"/>
          <w:color w:val="auto"/>
        </w:rPr>
      </w:pPr>
      <w:r>
        <w:rPr>
          <w:rFonts w:ascii="Arial" w:cs="Arial" w:eastAsia="Arial" w:hAnsi="Arial"/>
          <w:sz w:val="24"/>
          <w:szCs w:val="24"/>
          <w:b w:val="1"/>
          <w:bCs w:val="1"/>
          <w:color w:val="auto"/>
        </w:rPr>
        <w:t>BioNTech to Present Clinical and Preclinical Data Across mRNA and Next-Generation Immuno-Oncology Priority Programs at AACR 2025</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MAINZ, Germany, April 24, 2025 </w:t>
      </w:r>
      <w:r>
        <w:rPr>
          <w:rFonts w:ascii="Arial" w:cs="Arial" w:eastAsia="Arial" w:hAnsi="Arial"/>
          <w:sz w:val="18"/>
          <w:szCs w:val="18"/>
          <w:color w:val="auto"/>
        </w:rPr>
        <w:t>-- BioNTech SE (Nasdaq: BNTX, “BioNTech” or “the Company”) will present data for selected assets from</w:t>
      </w:r>
      <w:r>
        <w:rPr>
          <w:rFonts w:ascii="Arial" w:cs="Arial" w:eastAsia="Arial" w:hAnsi="Arial"/>
          <w:sz w:val="18"/>
          <w:szCs w:val="18"/>
          <w:b w:val="1"/>
          <w:bCs w:val="1"/>
          <w:color w:val="auto"/>
        </w:rPr>
        <w:t xml:space="preserve"> </w:t>
      </w:r>
      <w:r>
        <w:rPr>
          <w:rFonts w:ascii="Arial" w:cs="Arial" w:eastAsia="Arial" w:hAnsi="Arial"/>
          <w:sz w:val="18"/>
          <w:szCs w:val="18"/>
          <w:color w:val="auto"/>
        </w:rPr>
        <w:t>its diversified oncology pipeline, including mRNA cancer immunotherapies, next-generation immunomodulators, and targeted therapies, at the American Association for Cancer Research (“AACR”) Annual Meeting held in Chicago, Illinois from April 25-30, 2025. The oral and poster presentations underline both the progress of BioNTech’s advanced priority oncology programs as well as the execution of the Company’s combination strategy in oncology, with first data to be presented for the combination of the PD-L1xVEGF-A bispecific antibody candidate BNT327</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plus antibody-drug conjugates (“ADCs”).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believe that the future standard of care for the treatment of advanced cancers will be combinations with novel immuno-oncology backbones,” said </w:t>
      </w:r>
      <w:r>
        <w:rPr>
          <w:rFonts w:ascii="Arial" w:cs="Arial" w:eastAsia="Arial" w:hAnsi="Arial"/>
          <w:sz w:val="18"/>
          <w:szCs w:val="18"/>
          <w:b w:val="1"/>
          <w:bCs w:val="1"/>
          <w:color w:val="auto"/>
        </w:rPr>
        <w:t>Prof. Özlem Türeci, M.D., Co-Founder and Chief Medical Officer at BioNTech</w:t>
      </w:r>
      <w:r>
        <w:rPr>
          <w:rFonts w:ascii="Arial" w:cs="Arial" w:eastAsia="Arial" w:hAnsi="Arial"/>
          <w:sz w:val="18"/>
          <w:szCs w:val="18"/>
          <w:color w:val="auto"/>
        </w:rPr>
        <w:t>. “Our data presentations at this year’s AACR support our approach to combine complementary mechanisms of action with the aim of driving synergistic anti-tumor activity. The data we present indicate that we are well positioned to work towards our vision of improving outcomes for patients across the full continuum of cancer disease.”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BioNTech’s oncology programs to be presented at AACR 2025:</w:t>
      </w:r>
    </w:p>
    <w:p>
      <w:pPr>
        <w:spacing w:after="0" w:line="266" w:lineRule="exact"/>
        <w:rPr>
          <w:sz w:val="20"/>
          <w:szCs w:val="20"/>
          <w:color w:val="auto"/>
        </w:rPr>
      </w:pPr>
    </w:p>
    <w:p>
      <w:pPr>
        <w:jc w:val="both"/>
        <w:ind w:left="660" w:hanging="328"/>
        <w:spacing w:after="0" w:line="272"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BioNTech will present preclinical data characterizing the mode of action of </w:t>
      </w:r>
      <w:r>
        <w:rPr>
          <w:rFonts w:ascii="Arial" w:cs="Arial" w:eastAsia="Arial" w:hAnsi="Arial"/>
          <w:sz w:val="18"/>
          <w:szCs w:val="18"/>
          <w:b w:val="1"/>
          <w:bCs w:val="1"/>
          <w:color w:val="auto"/>
        </w:rPr>
        <w:t>BNT327</w:t>
      </w:r>
      <w:r>
        <w:rPr>
          <w:rFonts w:ascii="Arial" w:cs="Arial" w:eastAsia="Arial" w:hAnsi="Arial"/>
          <w:sz w:val="18"/>
          <w:szCs w:val="18"/>
          <w:color w:val="auto"/>
        </w:rPr>
        <w:t>. BNT327 is an investigational next-generation bispecific antibody combining PD-L1 checkpoint inhibition with VEGF-A neutralization. BNT327 showed a high binding affinity to PD-L1 and VEGF-A and efficient blocking of PD-1/PD-L1 and VEGF-A/VEGFR2 signaling. Anti-tumor activity superior to single PD-1/PD-L1 blockade or anti-VEGF-A treatment was observed in multiple tumor models.</w:t>
      </w:r>
    </w:p>
    <w:p>
      <w:pPr>
        <w:spacing w:after="0" w:line="24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First data for the combination of </w:t>
      </w:r>
      <w:r>
        <w:rPr>
          <w:rFonts w:ascii="Arial" w:cs="Arial" w:eastAsia="Arial" w:hAnsi="Arial"/>
          <w:sz w:val="18"/>
          <w:szCs w:val="18"/>
          <w:b w:val="1"/>
          <w:bCs w:val="1"/>
          <w:color w:val="auto"/>
        </w:rPr>
        <w:t>BNT327 with various ADC candidates</w:t>
      </w:r>
      <w:r>
        <w:rPr>
          <w:rFonts w:ascii="Arial" w:cs="Arial" w:eastAsia="Arial" w:hAnsi="Arial"/>
          <w:sz w:val="18"/>
          <w:szCs w:val="18"/>
          <w:color w:val="auto"/>
        </w:rPr>
        <w:t xml:space="preserve">, which are being jointly developed by BioNTech and Duality Biologics (Suzhou) Co. Ltd. (“DualityBio”), will be presented. The presentation will include preclinical evaluation of BNT327 plus ADCs, showing inhibition of tumor growth that is superior to each candidate alone. Further, early clinical data of the ongoing global Phase 1/2 trial (NCT05438329) of BNT327 in combination with </w:t>
      </w:r>
      <w:r>
        <w:rPr>
          <w:rFonts w:ascii="Arial" w:cs="Arial" w:eastAsia="Arial" w:hAnsi="Arial"/>
          <w:sz w:val="18"/>
          <w:szCs w:val="18"/>
          <w:b w:val="1"/>
          <w:bCs w:val="1"/>
          <w:color w:val="auto"/>
        </w:rPr>
        <w:t>BNT325/DB-1305</w:t>
      </w:r>
      <w:r>
        <w:rPr>
          <w:rFonts w:ascii="Arial" w:cs="Arial" w:eastAsia="Arial" w:hAnsi="Arial"/>
          <w:sz w:val="18"/>
          <w:szCs w:val="18"/>
          <w:color w:val="auto"/>
        </w:rPr>
        <w:t>, a TROP2-targeting ADC candidate, including safety and early efficacy data, will be presented in the poster session.</w:t>
      </w:r>
    </w:p>
    <w:p>
      <w:pPr>
        <w:spacing w:after="0" w:line="224" w:lineRule="exact"/>
        <w:rPr>
          <w:rFonts w:ascii="Times New Roman" w:cs="Times New Roman" w:eastAsia="Times New Roman" w:hAnsi="Times New Roman"/>
          <w:sz w:val="22"/>
          <w:szCs w:val="22"/>
          <w:color w:val="auto"/>
        </w:rPr>
      </w:pPr>
    </w:p>
    <w:p>
      <w:pPr>
        <w:jc w:val="both"/>
        <w:ind w:left="660" w:hanging="328"/>
        <w:spacing w:after="0" w:line="271"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BioNTech will present data from the Phase 1 clinical trial LuCa-MERIT-1 (NCT05142189) for its mRNA cancer immunotherapy candidate </w:t>
      </w:r>
      <w:r>
        <w:rPr>
          <w:rFonts w:ascii="Arial" w:cs="Arial" w:eastAsia="Arial" w:hAnsi="Arial"/>
          <w:sz w:val="18"/>
          <w:szCs w:val="18"/>
          <w:b w:val="1"/>
          <w:bCs w:val="1"/>
          <w:color w:val="auto"/>
        </w:rPr>
        <w:t>BNT116</w:t>
      </w:r>
      <w:r>
        <w:rPr>
          <w:rFonts w:ascii="Arial" w:cs="Arial" w:eastAsia="Arial" w:hAnsi="Arial"/>
          <w:sz w:val="18"/>
          <w:szCs w:val="18"/>
          <w:color w:val="auto"/>
        </w:rPr>
        <w:t xml:space="preserve"> in combination with the anti-PD1 cemiplimab in an oral presentation. The update includes safety and clinical activity data, along with biomarker data from a cohort of frail patients with advanced or metastatic non-small cell lung cancer (“NSCLC”) who were not eligible for platinum-based chemotherapy as first-line treatment. The preliminary data showed anti-tumor activity, consistent immune response induction, and a manageable safety profile.</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84"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Preclinical data for the EpCAMx4-1BB antibody candidate </w:t>
      </w:r>
      <w:r>
        <w:rPr>
          <w:rFonts w:ascii="Arial" w:cs="Arial" w:eastAsia="Arial" w:hAnsi="Arial"/>
          <w:sz w:val="18"/>
          <w:szCs w:val="18"/>
          <w:b w:val="1"/>
          <w:bCs w:val="1"/>
          <w:color w:val="auto"/>
        </w:rPr>
        <w:t>BNT314/GEN1059</w:t>
      </w:r>
      <w:r>
        <w:rPr>
          <w:rFonts w:ascii="Arial" w:cs="Arial" w:eastAsia="Arial" w:hAnsi="Arial"/>
          <w:sz w:val="18"/>
          <w:szCs w:val="18"/>
          <w:color w:val="auto"/>
        </w:rPr>
        <w:t>, which is being developed in collaboration with Genmab A/S (“Genmab”), will be presented in a poster session. BNT314/GEN1059 was evaluated in combination with PD-1 inhibition in a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45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8" w:lineRule="exact"/>
        <w:rPr>
          <w:sz w:val="20"/>
          <w:szCs w:val="20"/>
          <w:color w:val="auto"/>
        </w:rPr>
      </w:pPr>
    </w:p>
    <w:p>
      <w:pPr>
        <w:ind w:right="260" w:firstLine="8"/>
        <w:spacing w:after="0" w:line="235" w:lineRule="auto"/>
        <w:tabs>
          <w:tab w:leader="none" w:pos="103"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BNT327, formerly also known as PM8002, was initially jointly developed by BioNTech and Biotheus Inc (“Biotheus”). Since February 2025, Biotheus is a member of the BioNTech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17" w:right="339" w:bottom="1440" w:gutter="0" w:footer="0" w:header="0"/>
        </w:sectPr>
      </w:pPr>
    </w:p>
    <w:bookmarkStart w:id="5" w:name="page6"/>
    <w:bookmarkEnd w:id="5"/>
    <w:p>
      <w:pPr>
        <w:jc w:val="both"/>
        <w:ind w:left="66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t>unresponsive to each single treatment. The data showed anti-tumor activity, delayed tumor outgrowth and prolonged survival for the combination treatment compared to both single treatments. The immunomodulatory activity of BNT314/GEN1059 was further potentiated in combination with PD-1 blockade.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BioNTech has established a diversified oncology portfolio including mRNA cancer immunotherapies, next-generation immunomodulators, and targeted therapies, comprising ADCs and cell therapies, to develop novel treatment approaches for patients living with cancer. The Company is further maturing its clinical oncology pipeline across multiple solid tumor indications, including more than 20 active Phase 2 and Phase 3 clinical trials with a strategic focus on two pan-tumor priority programs: investigational mRNA cancer immunotherapies and the next-generation immunomodulator candidate BNT327. BioNTech expects multiple data readouts in 2025 and 2026 aimed at supporting its strategy and advancing the Company towards becoming a diversified multi-product oncology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full abstracts are available on the AACR Annual Meeting website. Click here for further information on BioNTech’s pipeline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presentation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Oral presentation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BNT116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Session Title</w:t>
      </w:r>
      <w:r>
        <w:rPr>
          <w:rFonts w:ascii="Arial" w:cs="Arial" w:eastAsia="Arial" w:hAnsi="Arial"/>
          <w:sz w:val="18"/>
          <w:szCs w:val="18"/>
          <w:color w:val="auto"/>
        </w:rPr>
        <w:t>: “ADCs and Immunooncology-focused Biological Approaches”</w:t>
      </w:r>
    </w:p>
    <w:p>
      <w:pPr>
        <w:spacing w:after="0" w:line="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Abstract Title</w:t>
      </w:r>
      <w:r>
        <w:rPr>
          <w:rFonts w:ascii="Arial" w:cs="Arial" w:eastAsia="Arial" w:hAnsi="Arial"/>
          <w:sz w:val="18"/>
          <w:szCs w:val="18"/>
          <w:color w:val="auto"/>
        </w:rPr>
        <w:t>: “Phase I trial evaluating BNT116, a TAA-encoding mRNA vaccine, in combination with cemiplimab in frail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non-small cell lung cancer (NSCLC)”</w:t>
      </w:r>
    </w:p>
    <w:p>
      <w:pPr>
        <w:spacing w:after="0"/>
        <w:rPr>
          <w:sz w:val="20"/>
          <w:szCs w:val="20"/>
          <w:color w:val="auto"/>
        </w:rPr>
      </w:pPr>
      <w:r>
        <w:rPr>
          <w:rFonts w:ascii="Arial" w:cs="Arial" w:eastAsia="Arial" w:hAnsi="Arial"/>
          <w:sz w:val="18"/>
          <w:szCs w:val="18"/>
          <w:i w:val="1"/>
          <w:iCs w:val="1"/>
          <w:color w:val="auto"/>
        </w:rPr>
        <w:t>Abstract Number</w:t>
      </w:r>
      <w:r>
        <w:rPr>
          <w:rFonts w:ascii="Arial" w:cs="Arial" w:eastAsia="Arial" w:hAnsi="Arial"/>
          <w:sz w:val="18"/>
          <w:szCs w:val="18"/>
          <w:color w:val="auto"/>
        </w:rPr>
        <w:t>: CT013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Room S100 A (Grand Ballroom 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 Sunday, April 27, 2025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w:t>
      </w:r>
      <w:r>
        <w:rPr>
          <w:rFonts w:ascii="Arial" w:cs="Arial" w:eastAsia="Arial" w:hAnsi="Arial"/>
          <w:sz w:val="18"/>
          <w:szCs w:val="18"/>
          <w:color w:val="auto"/>
        </w:rPr>
        <w:t>: 4:20 PM - 4:30 PM CDT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Poster presentations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BNT327 + BNT325/DB-1305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Session Title</w:t>
      </w:r>
      <w:r>
        <w:rPr>
          <w:rFonts w:ascii="Arial" w:cs="Arial" w:eastAsia="Arial" w:hAnsi="Arial"/>
          <w:sz w:val="18"/>
          <w:szCs w:val="18"/>
          <w:color w:val="auto"/>
        </w:rPr>
        <w:t>: “Combination Immunotherapies”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Abstract Title: </w:t>
      </w:r>
      <w:r>
        <w:rPr>
          <w:rFonts w:ascii="Arial" w:cs="Arial" w:eastAsia="Arial" w:hAnsi="Arial"/>
          <w:sz w:val="18"/>
          <w:szCs w:val="18"/>
          <w:color w:val="auto"/>
        </w:rPr>
        <w:t>“Activity of BNT327/PM8002 (PD-L1 x VEGF-A bispecific antibody) in combination with BNT325/DB-1305 (TROP2 ADC)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solid tumors: Early preclinical and clinical evidence to support BNT327 + ADC combinations”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Poster Number</w:t>
      </w:r>
      <w:r>
        <w:rPr>
          <w:rFonts w:ascii="Arial" w:cs="Arial" w:eastAsia="Arial" w:hAnsi="Arial"/>
          <w:sz w:val="18"/>
          <w:szCs w:val="18"/>
          <w:color w:val="auto"/>
        </w:rPr>
        <w:t>: 648 / 14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Section 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 Sunday, April 27, 2025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w:t>
      </w:r>
      <w:r>
        <w:rPr>
          <w:rFonts w:ascii="Arial" w:cs="Arial" w:eastAsia="Arial" w:hAnsi="Arial"/>
          <w:sz w:val="18"/>
          <w:szCs w:val="18"/>
          <w:color w:val="auto"/>
        </w:rPr>
        <w:t>: 2:00 PM - 5:00 PM CDT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BNT327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Session Title</w:t>
      </w:r>
      <w:r>
        <w:rPr>
          <w:rFonts w:ascii="Arial" w:cs="Arial" w:eastAsia="Arial" w:hAnsi="Arial"/>
          <w:sz w:val="18"/>
          <w:szCs w:val="18"/>
          <w:color w:val="auto"/>
        </w:rPr>
        <w:t>: “Antibodies 3: Multi-Target Checkpoint Inhibitors and Immune Activators”</w:t>
      </w:r>
    </w:p>
    <w:p>
      <w:pPr>
        <w:spacing w:after="0" w:line="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Abstract Title: “Dual PD-L1 blockade and VEGF-A neutralization with the bispecific antibody BNT327/PM8002 shows potent antitumor activity in preclinical models”</w:t>
      </w:r>
    </w:p>
    <w:p>
      <w:pPr>
        <w:spacing w:after="0"/>
        <w:rPr>
          <w:sz w:val="20"/>
          <w:szCs w:val="20"/>
          <w:color w:val="auto"/>
        </w:rPr>
      </w:pPr>
      <w:r>
        <w:rPr>
          <w:rFonts w:ascii="Arial" w:cs="Arial" w:eastAsia="Arial" w:hAnsi="Arial"/>
          <w:sz w:val="18"/>
          <w:szCs w:val="18"/>
          <w:i w:val="1"/>
          <w:iCs w:val="1"/>
          <w:color w:val="auto"/>
        </w:rPr>
        <w:t>Poster Number</w:t>
      </w:r>
      <w:r>
        <w:rPr>
          <w:rFonts w:ascii="Arial" w:cs="Arial" w:eastAsia="Arial" w:hAnsi="Arial"/>
          <w:sz w:val="18"/>
          <w:szCs w:val="18"/>
          <w:color w:val="auto"/>
        </w:rPr>
        <w:t>: 6061 / 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Section 37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 Tuesday, April 29, 2025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w:t>
      </w:r>
      <w:r>
        <w:rPr>
          <w:rFonts w:ascii="Arial" w:cs="Arial" w:eastAsia="Arial" w:hAnsi="Arial"/>
          <w:sz w:val="18"/>
          <w:szCs w:val="18"/>
          <w:color w:val="auto"/>
        </w:rPr>
        <w:t>: 2:00 PM - 5:00 PM CDT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17" w:right="339" w:bottom="1440" w:gutter="0" w:footer="0" w:header="0"/>
        </w:sectPr>
      </w:pPr>
    </w:p>
    <w:bookmarkStart w:id="6" w:name="page7"/>
    <w:bookmarkEnd w:id="6"/>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BNT314/ GEN1059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Session Title</w:t>
      </w:r>
      <w:r>
        <w:rPr>
          <w:rFonts w:ascii="Arial" w:cs="Arial" w:eastAsia="Arial" w:hAnsi="Arial"/>
          <w:sz w:val="18"/>
          <w:szCs w:val="18"/>
          <w:color w:val="auto"/>
        </w:rPr>
        <w:t>: “Antibodies 3: Multi-Target Checkpoint Inhibitors and Immune Activators”</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Abstract Title: </w:t>
      </w:r>
      <w:r>
        <w:rPr>
          <w:rFonts w:ascii="Arial" w:cs="Arial" w:eastAsia="Arial" w:hAnsi="Arial"/>
          <w:sz w:val="18"/>
          <w:szCs w:val="18"/>
          <w:color w:val="auto"/>
        </w:rPr>
        <w:t>“The combination of an EpCAMx4-1BB bispecific antibody with PD-1 blockade exhibits antitumor activity in a murine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model unresponsive to each individual antibody”</w:t>
      </w:r>
    </w:p>
    <w:p>
      <w:pPr>
        <w:spacing w:after="0"/>
        <w:rPr>
          <w:sz w:val="20"/>
          <w:szCs w:val="20"/>
          <w:color w:val="auto"/>
        </w:rPr>
      </w:pPr>
      <w:r>
        <w:rPr>
          <w:rFonts w:ascii="Arial" w:cs="Arial" w:eastAsia="Arial" w:hAnsi="Arial"/>
          <w:sz w:val="18"/>
          <w:szCs w:val="18"/>
          <w:i w:val="1"/>
          <w:iCs w:val="1"/>
          <w:color w:val="auto"/>
        </w:rPr>
        <w:t>Poster Number</w:t>
      </w:r>
      <w:r>
        <w:rPr>
          <w:rFonts w:ascii="Arial" w:cs="Arial" w:eastAsia="Arial" w:hAnsi="Arial"/>
          <w:sz w:val="18"/>
          <w:szCs w:val="18"/>
          <w:color w:val="auto"/>
        </w:rPr>
        <w:t>: 6075 / 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Section 37</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 Tuesday, April 29,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w:t>
      </w:r>
      <w:r>
        <w:rPr>
          <w:rFonts w:ascii="Arial" w:cs="Arial" w:eastAsia="Arial" w:hAnsi="Arial"/>
          <w:sz w:val="18"/>
          <w:szCs w:val="18"/>
          <w:color w:val="auto"/>
        </w:rPr>
        <w:t>: 2:00 PM - 5:00 PM CDT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Duality Biologics, Fosun Pharma, Genentech, a member of the Roche Group, Genevant, Genmab, MediLink, OncoC4, Pfizer and Regeneron.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the initiation, timing, progress and results of BioNTech’s research and development programs in oncology, including the targeted timing and number of additional potentially registrational trials; BioNTech’s and its collaborators’ current and future preclinical studies and clinical trials in oncology, including the investigational lipoplex-formulated uridine mRNA immunotherapy BNT116, the investigational bispecific antibodies BNT327 and BNT314/GEN1059, and the investigational ADC therapy BNT325/DB-1305;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the ability of BioNTech’s mRNA technology to demonstrate clinical efficacy outside of BioNTech’s infectious disease platform; and the potential safety and efficacy of BioNTech’s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t>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if approved, its product candidates; BioNTech’s ability to manage its development and expansion; regulatory developments in the United States and other countries and regions; BioNTech’s ability to effectively scale its production capabilities and manufacture its products and product candidates; risks relating to the global financial system and markets; and other factors not known to BioNTech at this time.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20-F for the period ended December 31, 2024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Michael Horowicz</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14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2025-04-24T06:56:47Z</dcterms:created>
  <dcterms:modified xsi:type="dcterms:W3CDTF">2025-04-24T06:56:47Z</dcterms:modified>
</cp:coreProperties>
</file>