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2933065</wp:posOffset>
            </wp:positionH>
            <wp:positionV relativeFrom="paragraph">
              <wp:posOffset>-219710</wp:posOffset>
            </wp:positionV>
            <wp:extent cx="127635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REPORT OF FOREIGN PRIVATE ISSUER PURSUANT TO RULE 13a</w:t>
      </w:r>
      <w:r>
        <w:rPr>
          <w:rFonts w:ascii="MS PGothic" w:cs="MS PGothic" w:eastAsia="MS PGothic" w:hAnsi="MS PGothic"/>
          <w:sz w:val="17"/>
          <w:szCs w:val="17"/>
          <w:b w:val="1"/>
          <w:bCs w:val="1"/>
          <w:color w:val="auto"/>
        </w:rPr>
        <w:t>‑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16 OR 15d</w:t>
      </w:r>
      <w:r>
        <w:rPr>
          <w:rFonts w:ascii="MS PGothic" w:cs="MS PGothic" w:eastAsia="MS PGothic" w:hAnsi="MS PGothic"/>
          <w:sz w:val="17"/>
          <w:szCs w:val="17"/>
          <w:b w:val="1"/>
          <w:bCs w:val="1"/>
          <w:color w:val="auto"/>
        </w:rPr>
        <w:t>‑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-118110</wp:posOffset>
            </wp:positionV>
            <wp:extent cx="12763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UNDER THE SECURITIES EXCHANGE ACT OF 1934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FOR THE MONTH OF JANUARY 2021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COMMISSION FILE NUMBER 001-39081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-118110</wp:posOffset>
            </wp:positionV>
            <wp:extent cx="127635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BioNTech SE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333333"/>
        </w:rPr>
        <w:t>(Translation of registrant’s name into English)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An der Goldgrube 12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D-55131 Mainz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Germany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+49 6131-9084-0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333333"/>
        </w:rPr>
        <w:t>(Address of principal executive offices)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Form 20</w:t>
      </w:r>
      <w:r>
        <w:rPr>
          <w:rFonts w:ascii="MS PGothic" w:cs="MS PGothic" w:eastAsia="MS PGothic" w:hAnsi="MS PGothic"/>
          <w:sz w:val="17"/>
          <w:szCs w:val="17"/>
          <w:color w:val="auto"/>
        </w:rPr>
        <w:t>‑</w:t>
      </w:r>
      <w:r>
        <w:rPr>
          <w:rFonts w:ascii="Arial" w:cs="Arial" w:eastAsia="Arial" w:hAnsi="Arial"/>
          <w:sz w:val="17"/>
          <w:szCs w:val="17"/>
          <w:color w:val="auto"/>
        </w:rPr>
        <w:t>F or Form 40</w:t>
      </w:r>
      <w:r>
        <w:rPr>
          <w:rFonts w:ascii="MS PGothic" w:cs="MS PGothic" w:eastAsia="MS PGothic" w:hAnsi="MS PGothic"/>
          <w:sz w:val="17"/>
          <w:szCs w:val="17"/>
          <w:color w:val="auto"/>
        </w:rPr>
        <w:t>‑</w:t>
      </w:r>
      <w:r>
        <w:rPr>
          <w:rFonts w:ascii="Arial" w:cs="Arial" w:eastAsia="Arial" w:hAnsi="Arial"/>
          <w:sz w:val="17"/>
          <w:szCs w:val="17"/>
          <w:color w:val="auto"/>
        </w:rPr>
        <w:t>F: Form 20</w:t>
      </w:r>
      <w:r>
        <w:rPr>
          <w:rFonts w:ascii="MS PGothic" w:cs="MS PGothic" w:eastAsia="MS PGothic" w:hAnsi="MS PGothic"/>
          <w:sz w:val="17"/>
          <w:szCs w:val="17"/>
          <w:color w:val="auto"/>
        </w:rPr>
        <w:t>‑</w:t>
      </w:r>
      <w:r>
        <w:rPr>
          <w:rFonts w:ascii="Arial" w:cs="Arial" w:eastAsia="Arial" w:hAnsi="Arial"/>
          <w:sz w:val="17"/>
          <w:szCs w:val="17"/>
          <w:color w:val="auto"/>
        </w:rPr>
        <w:t xml:space="preserve">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Form 40</w:t>
      </w:r>
      <w:r>
        <w:rPr>
          <w:rFonts w:ascii="MS PGothic" w:cs="MS PGothic" w:eastAsia="MS PGothic" w:hAnsi="MS PGothic"/>
          <w:sz w:val="17"/>
          <w:szCs w:val="17"/>
          <w:color w:val="auto"/>
        </w:rPr>
        <w:t>‑</w:t>
      </w:r>
      <w:r>
        <w:rPr>
          <w:rFonts w:ascii="Arial" w:cs="Arial" w:eastAsia="Arial" w:hAnsi="Arial"/>
          <w:sz w:val="17"/>
          <w:szCs w:val="17"/>
          <w:color w:val="auto"/>
        </w:rPr>
        <w:t xml:space="preserve">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-104140</wp:posOffset>
            </wp:positionV>
            <wp:extent cx="127635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9"/>
          <w:szCs w:val="19"/>
          <w:color w:val="auto"/>
        </w:rPr>
        <w:t>‑</w:t>
      </w:r>
      <w:r>
        <w:rPr>
          <w:rFonts w:ascii="Arial" w:cs="Arial" w:eastAsia="Arial" w:hAnsi="Arial"/>
          <w:sz w:val="19"/>
          <w:szCs w:val="19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9"/>
          <w:szCs w:val="19"/>
          <w:color w:val="auto"/>
        </w:rPr>
        <w:t>‑</w:t>
      </w:r>
      <w:r>
        <w:rPr>
          <w:rFonts w:ascii="Arial" w:cs="Arial" w:eastAsia="Arial" w:hAnsi="Arial"/>
          <w:sz w:val="19"/>
          <w:szCs w:val="19"/>
          <w:color w:val="auto"/>
        </w:rPr>
        <w:t xml:space="preserve">T Rule 101(b)(1):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9"/>
          <w:szCs w:val="19"/>
          <w:color w:val="auto"/>
        </w:rPr>
        <w:t>‑</w:t>
      </w:r>
      <w:r>
        <w:rPr>
          <w:rFonts w:ascii="Arial" w:cs="Arial" w:eastAsia="Arial" w:hAnsi="Arial"/>
          <w:sz w:val="19"/>
          <w:szCs w:val="19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9"/>
          <w:szCs w:val="19"/>
          <w:color w:val="auto"/>
        </w:rPr>
        <w:t>‑</w:t>
      </w:r>
      <w:r>
        <w:rPr>
          <w:rFonts w:ascii="Arial" w:cs="Arial" w:eastAsia="Arial" w:hAnsi="Arial"/>
          <w:sz w:val="19"/>
          <w:szCs w:val="19"/>
          <w:color w:val="auto"/>
        </w:rPr>
        <w:t xml:space="preserve">T Rule 101(b)(7):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338455</wp:posOffset>
            </wp:positionV>
            <wp:extent cx="7164070" cy="15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80"/>
          </w:cols>
          <w:pgMar w:left="320" w:top="568" w:right="699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DOCUMENTS INCLUDED AS PART OF THIS FORM 6-K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On January 11, 2021, BioNTech SE (the “Company”) provided a presentation at the JP Morgan Healthcare Conference 2021. The presentation materials are attached hereto as Exhibit 99.1.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772795</wp:posOffset>
            </wp:positionV>
            <wp:extent cx="7164070" cy="15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15" w:right="33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SIGNATURE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firstLine="804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Pursuant to the requirements of the Exchange Act, the registrant has duly caused this report to be signed on its behalf by the undersigned, thereunto duly authorized.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BioNTech SE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5700"/>
        <w:spacing w:after="0"/>
        <w:tabs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By:</w:t>
        <w:tab/>
        <w:t>/s/ Dr. Sierk Poetting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8255</wp:posOffset>
            </wp:positionV>
            <wp:extent cx="319151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Name: Dr. Sierk Poetting</w:t>
      </w:r>
    </w:p>
    <w:p>
      <w:pPr>
        <w:ind w:left="622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Title:  Chief Financial Officer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Date: January 11, 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246380</wp:posOffset>
            </wp:positionV>
            <wp:extent cx="7164070" cy="152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15" w:right="339" w:bottom="1440" w:gutter="0" w:footer="0" w:header="0"/>
        </w:sectPr>
      </w:pPr>
    </w:p>
    <w:bookmarkStart w:id="3" w:name="page4"/>
    <w:bookmarkEnd w:id="3"/>
    <w:p>
      <w:pPr>
        <w:jc w:val="right"/>
        <w:ind w:right="37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INDEX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4"/>
              </w:rPr>
              <w:t>Exhibit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Description of Exhibit</w:t>
            </w:r>
          </w:p>
        </w:tc>
      </w:tr>
      <w:tr>
        <w:trPr>
          <w:trHeight w:val="20"/>
        </w:trPr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99.1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rFonts w:ascii="Arial" w:cs="Arial" w:eastAsia="Arial" w:hAnsi="Arial"/>
                <w:sz w:val="19"/>
                <w:szCs w:val="19"/>
                <w:u w:val="single" w:color="auto"/>
                <w:color w:val="0000EE"/>
                <w:w w:val="89"/>
              </w:rPr>
            </w:pPr>
            <w:hyperlink w:anchor="page5">
              <w:r>
                <w:rPr>
                  <w:rFonts w:ascii="Arial" w:cs="Arial" w:eastAsia="Arial" w:hAnsi="Arial"/>
                  <w:sz w:val="19"/>
                  <w:szCs w:val="19"/>
                  <w:u w:val="single" w:color="auto"/>
                  <w:color w:val="0000EE"/>
                  <w:w w:val="89"/>
                </w:rPr>
                <w:t>Next Generation Immunotherapy January 2021.</w:t>
              </w:r>
            </w:hyperlink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5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42881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4474845</wp:posOffset>
            </wp:positionV>
            <wp:extent cx="7149465" cy="222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28815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2021-01-11T06:18:03Z</dcterms:created>
  <dcterms:modified xsi:type="dcterms:W3CDTF">2021-01-11T06:18:03Z</dcterms:modified>
</cp:coreProperties>
</file>