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Poetting Sierk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BioNTech SE</w:t>
              </w:r>
            </w:hyperlink>
            <w:r>
              <w:rPr/>
              <w:t xml:space="preserve"> [ </w:t>
            </w:r>
            <w:r>
              <w:rPr>
                <w:rFonts w:ascii="Times;serif" w:hAnsi="Times;serif"/>
                <w:color w:val="0000FF"/>
                <w:sz w:val="24"/>
                <w:shd w:fill="FFFFFF" w:val="clear"/>
              </w:rPr>
              <w:t>BNTX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449,387</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4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141,514</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1,638</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47"/>
        <w:gridCol w:w="1222"/>
        <w:gridCol w:w="1124"/>
        <w:gridCol w:w="1266"/>
        <w:gridCol w:w="927"/>
        <w:gridCol w:w="1256"/>
        <w:gridCol w:w="1215"/>
        <w:gridCol w:w="134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19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05/22/2027</w:t>
            </w:r>
            <w:r>
              <w:rPr>
                <w:rFonts w:ascii="Times;serif" w:hAnsi="Times;serif"/>
                <w:color w:val="008000"/>
                <w:position w:val="7"/>
                <w:sz w:val="16"/>
                <w:sz w:val="20"/>
                <w:shd w:fill="FFFFFF" w:val="clear"/>
              </w:rPr>
              <w:t>(3)</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05/22/2033</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(4)</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18,416</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113.94</w:t>
            </w:r>
            <w:r>
              <w:rPr>
                <w:rFonts w:ascii="Times;serif" w:hAnsi="Times;serif"/>
                <w:color w:val="008000"/>
                <w:position w:val="7"/>
                <w:sz w:val="16"/>
                <w:sz w:val="20"/>
                <w:shd w:fill="FFFFFF" w:val="clear"/>
              </w:rPr>
              <w:t>(5)</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08/26/2028</w:t>
            </w:r>
            <w:r>
              <w:rPr>
                <w:rFonts w:ascii="Times;serif" w:hAnsi="Times;serif"/>
                <w:color w:val="008000"/>
                <w:position w:val="7"/>
                <w:sz w:val="16"/>
                <w:sz w:val="20"/>
                <w:shd w:fill="FFFFFF" w:val="clear"/>
              </w:rPr>
              <w:t>(3)</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08/26/2034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(4)</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25,459</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(5)(6)</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05/28/2029</w:t>
            </w:r>
            <w:r>
              <w:rPr>
                <w:rFonts w:ascii="Times;serif" w:hAnsi="Times;serif"/>
                <w:color w:val="008000"/>
                <w:position w:val="7"/>
                <w:sz w:val="16"/>
                <w:sz w:val="20"/>
                <w:shd w:fill="FFFFFF" w:val="clear"/>
              </w:rPr>
              <w:t>(3)</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05/28/2035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(4)</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8,838</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(5)(7)</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Phantom Option</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05/12/2025</w:t>
            </w:r>
            <w:r>
              <w:rPr>
                <w:rFonts w:ascii="Times;serif" w:hAnsi="Times;serif"/>
                <w:color w:val="008000"/>
                <w:position w:val="7"/>
                <w:sz w:val="16"/>
                <w:sz w:val="20"/>
                <w:shd w:fill="FFFFFF" w:val="clear"/>
              </w:rPr>
              <w:t>(3)</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05/12/2031</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(8)</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7,112</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185.23</w:t>
            </w:r>
            <w:r>
              <w:rPr>
                <w:rFonts w:ascii="Times;serif" w:hAnsi="Times;serif"/>
                <w:color w:val="008000"/>
                <w:position w:val="7"/>
                <w:sz w:val="16"/>
                <w:sz w:val="20"/>
                <w:shd w:fill="FFFFFF" w:val="clear"/>
              </w:rPr>
              <w:t>(5)</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Phantom Option</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05/31/2026</w:t>
            </w:r>
            <w:r>
              <w:rPr>
                <w:rFonts w:ascii="Times;serif" w:hAnsi="Times;serif"/>
                <w:color w:val="008000"/>
                <w:position w:val="7"/>
                <w:sz w:val="16"/>
                <w:sz w:val="20"/>
                <w:shd w:fill="FFFFFF" w:val="clear"/>
              </w:rPr>
              <w:t>(3)</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05/31/2032</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(8)</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14,664</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152.1</w:t>
            </w:r>
            <w:r>
              <w:rPr>
                <w:rFonts w:ascii="Times;serif" w:hAnsi="Times;serif"/>
                <w:color w:val="008000"/>
                <w:position w:val="7"/>
                <w:sz w:val="16"/>
                <w:sz w:val="20"/>
                <w:shd w:fill="FFFFFF" w:val="clear"/>
              </w:rPr>
              <w:t>(5)</w:t>
            </w:r>
            <w:r>
              <w:rPr/>
              <w:t xml:space="preserve"> </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05/27/2029</w:t>
            </w:r>
            <w:r>
              <w:rPr>
                <w:rFonts w:ascii="Times;serif" w:hAnsi="Times;serif"/>
                <w:color w:val="008000"/>
                <w:position w:val="7"/>
                <w:sz w:val="16"/>
                <w:sz w:val="20"/>
                <w:shd w:fill="FFFFFF" w:val="clear"/>
              </w:rPr>
              <w:t>(9)</w:t>
            </w:r>
            <w:r>
              <w:rPr/>
              <w:t xml:space="preserve"> </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05/27/2035</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(9)</w:t>
            </w:r>
            <w:r>
              <w:rPr/>
              <w:t xml:space="preserve"> </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11,047</w:t>
            </w:r>
          </w:p>
        </w:tc>
        <w:tc>
          <w:tcPr>
            <w:tcW w:w="12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Tofino GmbH. The Reporting Person is the sole shareholder of Tofino GmbH and may be deemed to beneficially own the ordinary shares held by Tofino GmbH.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are held by the Reporting Person's immediate family. The Reporting Person disclaims beneficial ownership of the ordinary shares noted herein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vests annually in equal installments over four years commencing on the first anniversary of the grant date and becomes exercisable four years after the grant date, subject to certain performance-based and other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may be settled in ordinary shares, American Depositary Shares ("ADSs") and/or cash at the election of the supervisory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Subject to adjustment such that the trading price of an ADS as of an exercise date does not exceed 800% of the grant date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exercise price of this option is EUR 75.91.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exercise price of this option is EUR 93.35.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Each phantom option represents the right to receive a cash payment equal to the difference between an exercise closing price (average closing price of an ADS over the last ten trading days preceding the exercise date) and the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Each performance share unit ("PSU") is the economic equivalent of one ordinary share of the Issuer and represents a right to receive, at the Issuer's option, one ordinary share, one ADS representing one ordinary share, or a cash payment or another form of settlement equal to the economic value thereof. PSUs vest annually in equal installments over four years commencing on the first anniversary of the grant date and become exercisable four years after the grant date, subject to the achievement of certain performance targets based on the market price of the Issuer's ordinary shares relative to the Nasdaq Biotechnology Index (or a comparable successor index) and the Reporting Person's continued service through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76985-ex24.htm"/>
      <w:bookmarkStart w:id="3" w:name="ksck0001776985ex24"/>
      <w:bookmarkEnd w:id="2"/>
      <w:bookmarkEnd w:id="3"/>
      <w:r>
        <w:rPr/>
        <w:t> </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LIMITED POWER OF ATTORNEY</w:t>
      </w:r>
    </w:p>
    <w:p>
      <w:pPr>
        <w:pStyle w:val="TextBody"/>
        <w:bidi w:val="0"/>
        <w:jc w:val="center"/>
        <w:rPr>
          <w:rFonts w:ascii="Times New Roman" w:hAnsi="Times New Roman"/>
          <w:b/>
          <w:color w:val="000000"/>
          <w:sz w:val="24"/>
        </w:rPr>
      </w:pPr>
      <w:r>
        <w:rPr>
          <w:rFonts w:ascii="Times New Roman" w:hAnsi="Times New Roman"/>
          <w:b/>
          <w:color w:val="000000"/>
          <w:sz w:val="24"/>
        </w:rPr>
        <w:t>FOR SEC REPORTING OBLIGATIONS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Know all by these presents, that the undersigned hereby makes, constitutes and appoints each of Zoey Neuenschwander, Stefanie Lutze, and Humza Bokhari, signing singly and each acting individually, as the undersigned’s true and lawful attorney-in-fact with full power and authority as hereinafter described to:</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(1) submit to the U.S. Securities and Exchange Commission (the “SEC”) a Form ID Application and/or Passphrase Update Application or any other application materials to enable the undersigned to gain or maintain access to the Electronic Data Gathering, Analysis and Retrieval system of the SEC;</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(2)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w:t>
      </w:r>
    </w:p>
    <w:p>
      <w:pPr>
        <w:pStyle w:val="TextBody"/>
        <w:bidi w:val="0"/>
        <w:jc w:val="both"/>
        <w:rPr>
          <w:rFonts w:ascii="Times New Roman" w:hAnsi="Times New Roman"/>
          <w:color w:val="000000"/>
          <w:sz w:val="24"/>
        </w:rPr>
      </w:pPr>
      <w:r>
        <w:rPr>
          <w:rFonts w:ascii="Times New Roman" w:hAnsi="Times New Roman"/>
          <w:color w:val="000000"/>
          <w:sz w:val="24"/>
        </w:rPr>
        <w:t>behalf of the undersigned pursuant to this Limited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 execute for and on behalf of the undersigned, in the undersigned’s capacity as an officer and/or director of BioNTech SE (the “Company”), filings under Section 16 of the Securities Exchange Act of 1934, Forms 144, and Schedules 13D and 13G, each including any amendments thereto;</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(4) do and perform any and all acts for and on behalf of the undersigned which may be necessary or desirable to prepare, complete and execute any such filings, prepare, complete and execute any amendment or amendments thereto, and timely deliver and file such form with the SEC and any stock exchange or similar authority;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(5) 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to comply with filing obligations pursuant to Form 144, Schedule 13D, Schedule 13G, Form 3, Form 4, or Form 5. The undersigned acknowledges that neither the Company nor the foregoing attorneys-in-fact assume (i) any liability for the undersigned’s responsibility to comply with the beneficial ownership and transaction reporting requirements associated with the foregoing filings or (ii) any liability of the undersigned for any failure to comply with such requirements.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Limited Power of Attorney shall remain in full force and effect until the undersigned is no longer required to file any such with respect to the undersigned’s beneficial ownership of and transactions in securities issued by the Company, unless earlier revoked by the undersigned in a signed writing delivered to the foregoing attorneys-in-fact.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undersigned has caused this Limited Power of Attorney to be executed as of this 12th day of February, 2026.</w:t>
      </w:r>
    </w:p>
    <w:p>
      <w:pPr>
        <w:pStyle w:val="TextBody"/>
        <w:bidi w:val="0"/>
        <w:jc w:val="left"/>
        <w:rPr/>
      </w:pPr>
      <w:r>
        <w:rPr/>
        <w:t> </w:t>
      </w:r>
    </w:p>
    <w:tbl>
      <w:tblPr>
        <w:tblW w:w="2483" w:type="dxa"/>
        <w:jc w:val="left"/>
        <w:tblInd w:w="0" w:type="dxa"/>
        <w:tblLayout w:type="fixed"/>
        <w:tblCellMar>
          <w:top w:w="28" w:type="dxa"/>
          <w:left w:w="28" w:type="dxa"/>
          <w:bottom w:w="28" w:type="dxa"/>
          <w:right w:w="28" w:type="dxa"/>
        </w:tblCellMar>
      </w:tblPr>
      <w:tblGrid>
        <w:gridCol w:w="161"/>
        <w:gridCol w:w="21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Sierk Poetting</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Sierk Poetting</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 712 /2025 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hereby certify, that the above signature are the true signature, subscribed in my presence, of</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Dr. Sierk Pötting,</w:t>
      </w:r>
    </w:p>
    <w:p>
      <w:pPr>
        <w:pStyle w:val="TextBody"/>
        <w:bidi w:val="0"/>
        <w:jc w:val="left"/>
        <w:rPr>
          <w:rFonts w:ascii="Times New Roman" w:hAnsi="Times New Roman"/>
          <w:color w:val="000000"/>
          <w:sz w:val="24"/>
        </w:rPr>
      </w:pPr>
      <w:r>
        <w:rPr>
          <w:rFonts w:ascii="Times New Roman" w:hAnsi="Times New Roman"/>
          <w:color w:val="000000"/>
          <w:sz w:val="24"/>
        </w:rPr>
        <w:t>born [***],</w:t>
      </w:r>
    </w:p>
    <w:p>
      <w:pPr>
        <w:pStyle w:val="TextBody"/>
        <w:bidi w:val="0"/>
        <w:jc w:val="left"/>
        <w:rPr>
          <w:rFonts w:ascii="Times New Roman" w:hAnsi="Times New Roman"/>
          <w:sz w:val="20"/>
        </w:rPr>
      </w:pPr>
      <w:r>
        <w:rPr>
          <w:rFonts w:ascii="Times New Roman" w:hAnsi="Times New Roman"/>
          <w:color w:val="000000"/>
          <w:sz w:val="24"/>
        </w:rPr>
        <w:t>business adress: 55131 Mainz, An der Goldgrube 12</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 personally known to me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Upon my inspection of today of the commercial register, I certify that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BioNTech SE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is registered at the Municipal Court of Mainz - Commercial Register - under No. HRB 48720 and that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Dr. Sierk Pötting, born [***],</w:t>
      </w:r>
    </w:p>
    <w:p>
      <w:pPr>
        <w:pStyle w:val="TextBody"/>
        <w:bidi w:val="0"/>
        <w:jc w:val="left"/>
        <w:rPr>
          <w:rFonts w:ascii="Times New Roman" w:hAnsi="Times New Roman"/>
          <w:color w:val="000000"/>
          <w:sz w:val="24"/>
        </w:rPr>
      </w:pPr>
      <w:r>
        <w:rPr>
          <w:rFonts w:ascii="Times New Roman" w:hAnsi="Times New Roman"/>
          <w:color w:val="000000"/>
          <w:sz w:val="24"/>
        </w:rPr>
        <w:t>as this company's Management Board Member,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are registered with the right to jointly act as this company' s legal representatives.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Mainz, 12th of February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/s/ Mascha Diefenbach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Diefenbach, Notary public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26D0712.docx</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APOSTILLE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(Convention de La Haye du 5 octobre 1961)</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Country: Federal Republic of Germany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public document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has been signed by Mascha Diefenbach</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acting in the capacity of notary public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 bears the seal/stamp of Mascha Diefenbach - Notarin in Mainz [SEAL]</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Certified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5. at Mainz 6. the 25.02.2026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7. by the President of the District Court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8. No 248/2026</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846"/>
        <w:gridCol w:w="219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 Stamp: [SEAL]</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 Signature: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Thomas Bergmann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Thomas Bergmann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55589" TargetMode="External"/><Relationship Id="rId3" Type="http://schemas.openxmlformats.org/officeDocument/2006/relationships/hyperlink" Target="http://www.sec.gov/cgi-bin/browse-edgar?action=getcompany&amp;CIK=000177698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1608</Words>
  <Characters>8736</Characters>
  <CharactersWithSpaces>10275</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