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FORM 6-K</w:t>
      </w:r>
    </w:p>
    <w:p>
      <w:pPr>
        <w:spacing w:after="0" w:line="200" w:lineRule="exact"/>
        <w:rPr>
          <w:sz w:val="24"/>
          <w:szCs w:val="24"/>
          <w:color w:val="auto"/>
        </w:rPr>
      </w:pPr>
    </w:p>
    <w:p>
      <w:pPr>
        <w:spacing w:after="0" w:line="279" w:lineRule="exact"/>
        <w:rPr>
          <w:sz w:val="24"/>
          <w:szCs w:val="24"/>
          <w:color w:val="auto"/>
        </w:rPr>
      </w:pPr>
    </w:p>
    <w:p>
      <w:pPr>
        <w:jc w:val="center"/>
        <w:ind w:right="-39"/>
        <w:spacing w:after="0" w:line="230" w:lineRule="exact"/>
        <w:rPr>
          <w:sz w:val="20"/>
          <w:szCs w:val="20"/>
          <w:color w:val="auto"/>
        </w:rPr>
      </w:pPr>
      <w:r>
        <w:rPr>
          <w:rFonts w:ascii="Arial" w:cs="Arial" w:eastAsia="Arial" w:hAnsi="Arial"/>
          <w:sz w:val="20"/>
          <w:szCs w:val="20"/>
          <w:b w:val="1"/>
          <w:bCs w:val="1"/>
          <w:color w:val="auto"/>
        </w:rPr>
        <w:t>REPORT OF FOREIGN PRIVATE ISSUER PURSUANT TO RULE 13a</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 OR 15d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MONTH OF OCTOBER 2023</w:t>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001-39081</w:t>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BioNTech SE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(Translation of registrant’s name into English)</w:t>
      </w:r>
    </w:p>
    <w:p>
      <w:pPr>
        <w:spacing w:after="0" w:line="201" w:lineRule="exact"/>
        <w:rPr>
          <w:sz w:val="24"/>
          <w:szCs w:val="24"/>
          <w:color w:val="auto"/>
        </w:rPr>
      </w:pPr>
    </w:p>
    <w:p>
      <w:pPr>
        <w:ind w:left="4720"/>
        <w:spacing w:after="0"/>
        <w:rPr>
          <w:sz w:val="20"/>
          <w:szCs w:val="20"/>
          <w:color w:val="auto"/>
        </w:rPr>
      </w:pPr>
      <w:r>
        <w:rPr>
          <w:rFonts w:ascii="Arial" w:cs="Arial" w:eastAsia="Arial" w:hAnsi="Arial"/>
          <w:sz w:val="20"/>
          <w:szCs w:val="20"/>
          <w:b w:val="1"/>
          <w:bCs w:val="1"/>
          <w:color w:val="auto"/>
        </w:rPr>
        <w:t>An der Goldgrube 12</w:t>
      </w:r>
    </w:p>
    <w:p>
      <w:pPr>
        <w:spacing w:after="0" w:line="26" w:lineRule="exact"/>
        <w:rPr>
          <w:sz w:val="24"/>
          <w:szCs w:val="24"/>
          <w:color w:val="auto"/>
        </w:rPr>
      </w:pPr>
    </w:p>
    <w:p>
      <w:pPr>
        <w:ind w:left="4980"/>
        <w:spacing w:after="0"/>
        <w:rPr>
          <w:sz w:val="20"/>
          <w:szCs w:val="20"/>
          <w:color w:val="auto"/>
        </w:rPr>
      </w:pPr>
      <w:r>
        <w:rPr>
          <w:rFonts w:ascii="Arial" w:cs="Arial" w:eastAsia="Arial" w:hAnsi="Arial"/>
          <w:sz w:val="20"/>
          <w:szCs w:val="20"/>
          <w:b w:val="1"/>
          <w:bCs w:val="1"/>
          <w:color w:val="auto"/>
        </w:rPr>
        <w:t>D-55131 Mainz</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Germany</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+49 6131-9084-0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Arial" w:cs="Arial" w:eastAsia="Arial" w:hAnsi="Arial"/>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Arial" w:cs="Arial" w:eastAsia="Arial" w:hAnsi="Arial"/>
          <w:sz w:val="22"/>
          <w:szCs w:val="22"/>
          <w:color w:val="auto"/>
        </w:rPr>
        <w:t>F or Form 40</w:t>
      </w:r>
      <w:r>
        <w:rPr>
          <w:rFonts w:ascii="MS PGothic" w:cs="MS PGothic" w:eastAsia="MS PGothic" w:hAnsi="MS PGothic"/>
          <w:sz w:val="22"/>
          <w:szCs w:val="22"/>
          <w:color w:val="auto"/>
        </w:rPr>
        <w:t>‑</w:t>
      </w:r>
      <w:r>
        <w:rPr>
          <w:rFonts w:ascii="Arial" w:cs="Arial" w:eastAsia="Arial" w:hAnsi="Arial"/>
          <w:sz w:val="22"/>
          <w:szCs w:val="22"/>
          <w:color w:val="auto"/>
        </w:rPr>
        <w:t>F: Form 20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101(b)(1): </w:t>
      </w:r>
      <w:r>
        <w:rPr>
          <w:rFonts w:ascii="MS PGothic" w:cs="MS PGothic" w:eastAsia="MS PGothic" w:hAnsi="MS PGothic"/>
          <w:sz w:val="19"/>
          <w:szCs w:val="19"/>
          <w:color w:val="auto"/>
        </w:rPr>
        <w:t>☐</w:t>
      </w:r>
    </w:p>
    <w:p>
      <w:pPr>
        <w:spacing w:after="0" w:line="254"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101(b)(7): </w:t>
      </w:r>
      <w:r>
        <w:rPr>
          <w:rFonts w:ascii="MS PGothic" w:cs="MS PGothic" w:eastAsia="MS PGothic" w:hAnsi="MS PGothic"/>
          <w:sz w:val="19"/>
          <w:szCs w:val="19"/>
          <w:color w:val="auto"/>
        </w:rPr>
        <w:t>☐</w:t>
      </w:r>
    </w:p>
    <w:p>
      <w:pPr>
        <w:sectPr>
          <w:pgSz w:w="11900" w:h="16838" w:orient="portrait"/>
          <w:cols w:equalWidth="0" w:num="1">
            <w:col w:w="11220"/>
          </w:cols>
          <w:pgMar w:left="320" w:top="1437" w:right="359" w:bottom="1440" w:gutter="0" w:footer="0" w:header="0"/>
        </w:sectPr>
      </w:pPr>
    </w:p>
    <w:bookmarkStart w:id="1" w:name="page2"/>
    <w:bookmarkEnd w:id="1"/>
    <w:p>
      <w:pPr>
        <w:ind w:left="2820"/>
        <w:spacing w:after="0"/>
        <w:rPr>
          <w:sz w:val="20"/>
          <w:szCs w:val="20"/>
          <w:color w:val="auto"/>
        </w:rPr>
      </w:pPr>
      <w:r>
        <w:rPr>
          <w:rFonts w:ascii="Arial" w:cs="Arial" w:eastAsia="Arial" w:hAnsi="Arial"/>
          <w:sz w:val="22"/>
          <w:szCs w:val="22"/>
          <w:b w:val="1"/>
          <w:bCs w:val="1"/>
          <w:color w:val="auto"/>
        </w:rPr>
        <w:t>DOCUMENTS INCLUDED AS PART OF THIS FORM 6-K</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On October 16, 2023, BioNTech SE provided an update regarding Pfizer Inc.'s October 13, 2023 statement on COMIRNATY-related write-offs. The press release is attached hereto as Exhibit 99.1.</w:t>
      </w:r>
    </w:p>
    <w:p>
      <w:pPr>
        <w:sectPr>
          <w:pgSz w:w="11900" w:h="16838" w:orient="portrait"/>
          <w:cols w:equalWidth="0" w:num="1">
            <w:col w:w="10900"/>
          </w:cols>
          <w:pgMar w:left="320" w:top="1098" w:right="6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thereunto duly authorized.</w:t>
      </w:r>
    </w:p>
    <w:p>
      <w:pPr>
        <w:spacing w:after="0" w:line="236"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BioNTech SE</w:t>
      </w:r>
    </w:p>
    <w:p>
      <w:pPr>
        <w:spacing w:after="0" w:line="200" w:lineRule="exact"/>
        <w:rPr>
          <w:sz w:val="20"/>
          <w:szCs w:val="20"/>
          <w:color w:val="auto"/>
        </w:rPr>
      </w:pPr>
    </w:p>
    <w:p>
      <w:pPr>
        <w:spacing w:after="0" w:line="336"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2"/>
          <w:szCs w:val="22"/>
          <w:color w:val="auto"/>
        </w:rPr>
        <w:t>By:</w:t>
        <w:tab/>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33020</wp:posOffset>
            </wp:positionV>
            <wp:extent cx="3188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65"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Dr. Sierk Poetting</w:t>
      </w:r>
    </w:p>
    <w:p>
      <w:pPr>
        <w:spacing w:after="0" w:line="71"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 Chief Operating Officer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October 16, 2023</w:t>
      </w:r>
    </w:p>
    <w:p>
      <w:pPr>
        <w:sectPr>
          <w:pgSz w:w="11900" w:h="16838" w:orient="portrait"/>
          <w:cols w:equalWidth="0" w:num="1">
            <w:col w:w="11240"/>
          </w:cols>
          <w:pgMar w:left="320" w:top="109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0"/>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580" w:type="dxa"/>
            <w:vAlign w:val="bottom"/>
          </w:tcPr>
          <w:p>
            <w:pPr>
              <w:ind w:left="1580"/>
              <w:spacing w:after="0"/>
              <w:rPr>
                <w:sz w:val="20"/>
                <w:szCs w:val="20"/>
                <w:color w:val="auto"/>
              </w:rPr>
            </w:pPr>
            <w:r>
              <w:rPr>
                <w:rFonts w:ascii="Arial" w:cs="Arial" w:eastAsia="Arial" w:hAnsi="Arial"/>
                <w:sz w:val="22"/>
                <w:szCs w:val="22"/>
                <w:b w:val="1"/>
                <w:bCs w:val="1"/>
                <w:color w:val="auto"/>
              </w:rPr>
              <w:t>EXHIBIT INDEX</w:t>
            </w:r>
          </w:p>
        </w:tc>
      </w:tr>
      <w:tr>
        <w:trPr>
          <w:trHeight w:val="705"/>
        </w:trPr>
        <w:tc>
          <w:tcPr>
            <w:tcW w:w="12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652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Arial" w:cs="Arial" w:eastAsia="Arial" w:hAnsi="Arial"/>
                <w:sz w:val="22"/>
                <w:szCs w:val="22"/>
                <w:color w:val="auto"/>
              </w:rPr>
              <w:t>99.1</w:t>
            </w:r>
          </w:p>
        </w:tc>
        <w:tc>
          <w:tcPr>
            <w:tcW w:w="600" w:type="dxa"/>
            <w:vAlign w:val="bottom"/>
          </w:tcPr>
          <w:p>
            <w:pPr>
              <w:spacing w:after="0"/>
              <w:rPr>
                <w:sz w:val="24"/>
                <w:szCs w:val="24"/>
                <w:color w:val="auto"/>
              </w:rPr>
            </w:pPr>
          </w:p>
        </w:tc>
        <w:tc>
          <w:tcPr>
            <w:tcW w:w="652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90"/>
              </w:rPr>
              <w:t>Update Regarding Pfizer’s Statement on COMIRNATY-Related Write-Offs</w:t>
            </w:r>
          </w:p>
        </w:tc>
      </w:tr>
    </w:tbl>
    <w:p>
      <w:pPr>
        <w:sectPr>
          <w:pgSz w:w="11900" w:h="16838" w:orient="portrait"/>
          <w:cols w:equalWidth="0" w:num="1">
            <w:col w:w="10099"/>
          </w:cols>
          <w:pgMar w:left="360" w:top="109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Update Regarding Pfizer’s Statement on</w:t>
      </w:r>
    </w:p>
    <w:p>
      <w:pPr>
        <w:spacing w:after="0" w:line="55"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COMIRNATY-Related Write-Offs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 xml:space="preserve">MAINZ, Germany, October 16, 2023 (GLOBE NEWSWIRE) </w:t>
      </w:r>
      <w:r>
        <w:rPr>
          <w:rFonts w:ascii="Arial" w:cs="Arial" w:eastAsia="Arial" w:hAnsi="Arial"/>
          <w:sz w:val="18"/>
          <w:szCs w:val="18"/>
          <w:color w:val="auto"/>
        </w:rPr>
        <w:t>-- On October 13, 2023, Pfizer Inc. (NYSE: PFE, “Pfizer”), a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BioNTech SE (Nasdaq: BNTX, “BioNTech” or “the Company”), announced a non-cash charge for inventory write-offs and other charges related to COMIRNATY of $ 0.9 billion. The Company has been informed by Pfizer that the majority of the write-offs relate to raw materials, mainly formulation-related lipids, purchased during the pandemic, as well as COVID-19 vaccine doses adapted to other, non-XBB.1.5 variants produced at risk. According to Pfizer, the write-offs do not address the Pfizer-BioNTech COVID-19 Vaccine adapted to the XBB.1.5 variant, which has been approved and is being marketed in key geographies.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BioNTech is evaluating the potential impact of Pfizer’s write-offs and other charges related to COMIRNATY on the Company’s financial results. BioNTech’s current expectation is that the Company is likely to recognize the effect of Pfizer’s inventory write-offs and other charges related to COMIRNATY in the third quarter of 2023 up to €0.9 billion, which represents BioNTech’s half under the gross profit-sharing agreement with Pfizer. Any such write-offs will reduce the revenues the Company would report for 2023. BioNTech expects to release its financial report for the third quarter of 2023 on November 6, 2023.</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Biopharmaceutical New Technologies (BioNTech)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DualityBio, Fosun Pharma, Genentech, a member of the Roche Group, Genevant, Genmab, OncoC4, Regeneron, Sanofi, and Pfizer.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BioNTech's expected revenues and net profit related to sales of BioNTech's COVID-19 vaccine, referred to as COMIRNATY where approved for use under full or conditional marketing authorization, in territories controlled by BioNTech's collaboration partners, particularly for those figures that are derived from preliminary estimates provided by BioNTech's partners; the impact and timing of the impact of the Pfizer write-offs and other COMIRNATY-related charges on BioNTech’s financial results;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and BioNTech's estimates of commercial and other revenues, cost of sales, research and development expenses, sales and marketing expenses, general and administrative expenses, capital expenditures, income taxes, net profit, cash, cash equivalents and security investments, shares outstanding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84"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outflows and share consideration.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BioNTech's pricing and coverage negotiations with governmental authorities, private health insurers and other third-party payors after BioNTech's initial sales to national governments; the future commercial demand and medical need for initial or booster doses of a COVID-19 vaccine;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BioNTech's product candidates; the ability of BioNTech’s COVID-19 vaccines to prevent COVID-19 caused by emerging virus variants; BioNTech's and its counterparties’ ability to manage and source necessary energy resources; the impact of the COVID-19 pandemic on BioNTech's development programs, supply chain, collaborators and financial performance; unforeseen safety issues and potential claims that are alleged to arise from the use of BioNTech's COVID-19 vaccine and other products and product candidates developed or manufactured by BioNTech; BioNTech's and its collaborators’ ability to commercialize and market BioNTech's COVID-19 vaccine and, if approved, its product candidates; BioNTech's ability to manage its development and expansion; regulatory developments in the United States and other countries; BioNTech's ability to effectively scale BioNTech's production capabilities and manufacture BioNTech's products, including BioNTech's target COVID-19 vaccine production levels, and BioNTech's product candidates; risks relating to the global financial system and markets; and other factors not known to BioNTech at this time.</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2023 and in subsequent filings made by BioNTech with the SEC, which are available on the SEC’s website at www.sec.gov. Except as required by law, BioNTech disclaims any intention or responsibility for updating or revising any forward-looking statements contained in this press release in the event of new information, future developments or otherwise. These forward-looking statements are based on BioNTech’s current expectations and speak only as of the date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Victoria Meissner, M.D.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+1 617 528 8293</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Investors@biontech.de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+49 (0)6131 9084 1513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2023-10-16T05:33:34Z</dcterms:created>
  <dcterms:modified xsi:type="dcterms:W3CDTF">2023-10-16T05:33:34Z</dcterms:modified>
</cp:coreProperties>
</file>