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333-239970</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5,500,000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2718435</wp:posOffset>
            </wp:positionV>
            <wp:extent cx="699516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Representing 5,500,000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40"/>
        <w:spacing w:after="0" w:line="257" w:lineRule="auto"/>
        <w:rPr>
          <w:sz w:val="20"/>
          <w:szCs w:val="20"/>
          <w:color w:val="auto"/>
        </w:rPr>
      </w:pPr>
      <w:r>
        <w:rPr>
          <w:rFonts w:ascii="Arial" w:cs="Arial" w:eastAsia="Arial" w:hAnsi="Arial"/>
          <w:sz w:val="18"/>
          <w:szCs w:val="18"/>
          <w:color w:val="auto"/>
        </w:rPr>
        <w:t>We are offering 5,500,000 American Depositary Shares, or the ADSs, with each ADS representing one ordinary share, or the Underwritten Offering. The Selling Shareholder identified in this prospectus is offering 825,000 ADSs if and to the extent that the underwriters exercise their option to purchase additional ADSs described below. We will not receive any of the proceeds from the sale of ADS by the Selling Shareholder. ADSs representing our ordinary shares are listed on the Nasdaq Global Select Market under the symbol “BNTX.” On July 21, 2020, the last reported sale price of the ADSs on the Nasdaq Global Select Market was $91.60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120" w:right="60"/>
        <w:spacing w:after="0" w:line="296" w:lineRule="auto"/>
        <w:rPr>
          <w:sz w:val="20"/>
          <w:szCs w:val="20"/>
          <w:color w:val="auto"/>
        </w:rPr>
      </w:pPr>
      <w:r>
        <w:rPr>
          <w:rFonts w:ascii="Arial" w:cs="Arial" w:eastAsia="Arial" w:hAnsi="Arial"/>
          <w:sz w:val="16"/>
          <w:szCs w:val="16"/>
          <w:color w:val="auto"/>
        </w:rPr>
        <w:t>This offering is part of a Global Offering consisting of a rights offering and this Underwritten Offering, covering, in the aggregate, up to 7,505,596 ordinary shares (including ordinary shares represented by ADSs), as described further in this prospectus. The ADSs being offered by this prospectus are being so offered based upon irrevocable, binding agreements under German law from certain holders of our ordinary shares, representing 74.83% of our outstanding ordinary shares (including ordinary shares represented by ADSs), not to transfer or exercise rights to subscribe for our new ordinary shares that we intend to grant in a rights offering we intend to conduct. This offering together with the rights offering constitute the Global Offering.</w:t>
      </w:r>
    </w:p>
    <w:p>
      <w:pPr>
        <w:spacing w:after="0" w:line="148" w:lineRule="exact"/>
        <w:rPr>
          <w:sz w:val="24"/>
          <w:szCs w:val="24"/>
          <w:color w:val="auto"/>
        </w:rPr>
      </w:pPr>
    </w:p>
    <w:p>
      <w:pPr>
        <w:ind w:left="120" w:right="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representing our ordinary shares involves a high degree of risk. See “</w:t>
      </w:r>
      <w:hyperlink w:anchor="page2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22 of this prospectus.</w:t>
      </w:r>
    </w:p>
    <w:p>
      <w:pPr>
        <w:sectPr>
          <w:pgSz w:w="11900" w:h="16838" w:orient="portrait"/>
          <w:cols w:equalWidth="0" w:num="1">
            <w:col w:w="11140"/>
          </w:cols>
          <w:pgMar w:left="320" w:top="230" w:right="439" w:bottom="0" w:gutter="0" w:footer="0" w:header="0"/>
        </w:sectPr>
      </w:pPr>
    </w:p>
    <w:p>
      <w:pPr>
        <w:spacing w:after="0" w:line="171" w:lineRule="exact"/>
        <w:rPr>
          <w:sz w:val="24"/>
          <w:szCs w:val="24"/>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We are an “emerging growth company” and a “foreign private issuer” as defined under the U.S. federal securities laws and, as such, are eligible for reduced public company disclosure requirements. See “Prospectus Summary—Implications of Being an Emerging Growth Company and a Foreign Private Issuer” for additional information.</w:t>
      </w:r>
    </w:p>
    <w:p>
      <w:pPr>
        <w:sectPr>
          <w:pgSz w:w="11900" w:h="16838" w:orient="portrait"/>
          <w:cols w:equalWidth="0" w:num="1">
            <w:col w:w="11140"/>
          </w:cols>
          <w:pgMar w:left="320" w:top="230" w:right="439" w:bottom="0" w:gutter="0" w:footer="0" w:header="0"/>
          <w:type w:val="continuous"/>
        </w:sectPr>
      </w:pPr>
    </w:p>
    <w:bookmarkStart w:id="1" w:name="page2"/>
    <w:bookmarkEnd w:id="1"/>
    <w:p>
      <w:pPr>
        <w:ind w:left="4"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PER ADS</w:t>
            </w: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93.00000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511,500,000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5.29161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29,103,855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87.70839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482,396,145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details concerning underwriter compensation and expense reimbursement arrangements.</w:t>
      </w:r>
    </w:p>
    <w:p>
      <w:pPr>
        <w:spacing w:after="0" w:line="225"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The underwriters have the option for a period of 30 days from the date of this prospectus to purchase an additional 825,000 ADSs from the Selling Shareholder.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Delivery of the ADSs is expected to be made on or about July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342"/>
        </w:trPr>
        <w:tc>
          <w:tcPr>
            <w:tcW w:w="296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5160" w:type="dxa"/>
            <w:vAlign w:val="bottom"/>
          </w:tcPr>
          <w:p>
            <w:pPr>
              <w:jc w:val="center"/>
              <w:spacing w:after="0"/>
              <w:rPr>
                <w:sz w:val="20"/>
                <w:szCs w:val="20"/>
                <w:color w:val="auto"/>
              </w:rPr>
            </w:pPr>
            <w:r>
              <w:rPr>
                <w:rFonts w:ascii="Arial" w:cs="Arial" w:eastAsia="Arial" w:hAnsi="Arial"/>
                <w:sz w:val="29"/>
                <w:szCs w:val="29"/>
                <w:b w:val="1"/>
                <w:bCs w:val="1"/>
                <w:color w:val="auto"/>
                <w:w w:val="88"/>
              </w:rPr>
              <w:t>BofA Securities</w:t>
            </w:r>
          </w:p>
        </w:tc>
        <w:tc>
          <w:tcPr>
            <w:tcW w:w="2900" w:type="dxa"/>
            <w:vAlign w:val="bottom"/>
          </w:tcPr>
          <w:p>
            <w:pPr>
              <w:jc w:val="right"/>
              <w:spacing w:after="0"/>
              <w:rPr>
                <w:sz w:val="20"/>
                <w:szCs w:val="20"/>
                <w:color w:val="auto"/>
              </w:rPr>
            </w:pPr>
            <w:r>
              <w:rPr>
                <w:rFonts w:ascii="Arial" w:cs="Arial" w:eastAsia="Arial" w:hAnsi="Arial"/>
                <w:sz w:val="29"/>
                <w:szCs w:val="29"/>
                <w:b w:val="1"/>
                <w:bCs w:val="1"/>
                <w:color w:val="auto"/>
              </w:rPr>
              <w:t>Berenberg</w:t>
            </w:r>
          </w:p>
        </w:tc>
      </w:tr>
      <w:tr>
        <w:trPr>
          <w:trHeight w:val="243"/>
        </w:trPr>
        <w:tc>
          <w:tcPr>
            <w:tcW w:w="2960" w:type="dxa"/>
            <w:vAlign w:val="bottom"/>
          </w:tcPr>
          <w:p>
            <w:pPr>
              <w:spacing w:after="0" w:line="243" w:lineRule="exact"/>
              <w:rPr>
                <w:sz w:val="20"/>
                <w:szCs w:val="20"/>
                <w:color w:val="auto"/>
              </w:rPr>
            </w:pPr>
            <w:r>
              <w:rPr>
                <w:rFonts w:ascii="Arial" w:cs="Arial" w:eastAsia="Arial" w:hAnsi="Arial"/>
                <w:sz w:val="22"/>
                <w:szCs w:val="22"/>
                <w:b w:val="1"/>
                <w:bCs w:val="1"/>
                <w:color w:val="auto"/>
              </w:rPr>
              <w:t>UBS Investment Bank</w:t>
            </w:r>
          </w:p>
        </w:tc>
        <w:tc>
          <w:tcPr>
            <w:tcW w:w="5160" w:type="dxa"/>
            <w:vAlign w:val="bottom"/>
          </w:tcPr>
          <w:p>
            <w:pPr>
              <w:spacing w:after="0"/>
              <w:rPr>
                <w:sz w:val="21"/>
                <w:szCs w:val="21"/>
                <w:color w:val="auto"/>
              </w:rPr>
            </w:pPr>
          </w:p>
        </w:tc>
        <w:tc>
          <w:tcPr>
            <w:tcW w:w="290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Canaccord Genuity</w:t>
            </w:r>
          </w:p>
        </w:tc>
      </w:tr>
      <w:tr>
        <w:trPr>
          <w:trHeight w:val="280"/>
        </w:trPr>
        <w:tc>
          <w:tcPr>
            <w:tcW w:w="2960" w:type="dxa"/>
            <w:vAlign w:val="bottom"/>
          </w:tcPr>
          <w:p>
            <w:pPr>
              <w:spacing w:after="0"/>
              <w:rPr>
                <w:sz w:val="20"/>
                <w:szCs w:val="20"/>
                <w:color w:val="auto"/>
              </w:rPr>
            </w:pPr>
            <w:r>
              <w:rPr>
                <w:rFonts w:ascii="Arial" w:cs="Arial" w:eastAsia="Arial" w:hAnsi="Arial"/>
                <w:sz w:val="22"/>
                <w:szCs w:val="22"/>
                <w:b w:val="1"/>
                <w:bCs w:val="1"/>
                <w:color w:val="auto"/>
              </w:rPr>
              <w:t>COMMERZBANK</w:t>
            </w:r>
          </w:p>
        </w:tc>
        <w:tc>
          <w:tcPr>
            <w:tcW w:w="5160" w:type="dxa"/>
            <w:vAlign w:val="bottom"/>
          </w:tcPr>
          <w:p>
            <w:pPr>
              <w:jc w:val="center"/>
              <w:spacing w:after="0"/>
              <w:rPr>
                <w:sz w:val="20"/>
                <w:szCs w:val="20"/>
                <w:color w:val="auto"/>
              </w:rPr>
            </w:pPr>
            <w:r>
              <w:rPr>
                <w:rFonts w:ascii="Arial" w:cs="Arial" w:eastAsia="Arial" w:hAnsi="Arial"/>
                <w:sz w:val="22"/>
                <w:szCs w:val="22"/>
                <w:b w:val="1"/>
                <w:bCs w:val="1"/>
                <w:color w:val="auto"/>
                <w:w w:val="90"/>
              </w:rPr>
              <w:t>Wolfe Capital Markets and Advisory</w:t>
            </w:r>
          </w:p>
        </w:tc>
        <w:tc>
          <w:tcPr>
            <w:tcW w:w="2900" w:type="dxa"/>
            <w:vAlign w:val="bottom"/>
          </w:tcPr>
          <w:p>
            <w:pPr>
              <w:jc w:val="right"/>
              <w:spacing w:after="0"/>
              <w:rPr>
                <w:sz w:val="20"/>
                <w:szCs w:val="20"/>
                <w:color w:val="auto"/>
              </w:rPr>
            </w:pPr>
            <w:r>
              <w:rPr>
                <w:rFonts w:ascii="Arial" w:cs="Arial" w:eastAsia="Arial" w:hAnsi="Arial"/>
                <w:sz w:val="22"/>
                <w:szCs w:val="22"/>
                <w:b w:val="1"/>
                <w:bCs w:val="1"/>
                <w:color w:val="auto"/>
              </w:rPr>
              <w:t>Bryan, Garnier &amp; Co.</w:t>
            </w:r>
          </w:p>
        </w:tc>
      </w:tr>
      <w:tr>
        <w:trPr>
          <w:trHeight w:val="422"/>
        </w:trPr>
        <w:tc>
          <w:tcPr>
            <w:tcW w:w="2960" w:type="dxa"/>
            <w:vAlign w:val="bottom"/>
          </w:tcPr>
          <w:p>
            <w:pPr>
              <w:spacing w:after="0"/>
              <w:rPr>
                <w:sz w:val="24"/>
                <w:szCs w:val="24"/>
                <w:color w:val="auto"/>
              </w:rPr>
            </w:pPr>
          </w:p>
        </w:tc>
        <w:tc>
          <w:tcPr>
            <w:tcW w:w="5160" w:type="dxa"/>
            <w:vAlign w:val="bottom"/>
          </w:tcPr>
          <w:p>
            <w:pPr>
              <w:ind w:left="1360"/>
              <w:spacing w:after="0"/>
              <w:rPr>
                <w:sz w:val="20"/>
                <w:szCs w:val="20"/>
                <w:color w:val="auto"/>
              </w:rPr>
            </w:pPr>
            <w:r>
              <w:rPr>
                <w:rFonts w:ascii="Arial" w:cs="Arial" w:eastAsia="Arial" w:hAnsi="Arial"/>
                <w:sz w:val="18"/>
                <w:szCs w:val="18"/>
                <w:b w:val="1"/>
                <w:bCs w:val="1"/>
                <w:color w:val="auto"/>
              </w:rPr>
              <w:t>Prospectus dated July 22, 2020</w:t>
            </w:r>
          </w:p>
        </w:tc>
        <w:tc>
          <w:tcPr>
            <w:tcW w:w="2900" w:type="dxa"/>
            <w:vAlign w:val="bottom"/>
          </w:tcPr>
          <w:p>
            <w:pPr>
              <w:spacing w:after="0"/>
              <w:rPr>
                <w:sz w:val="24"/>
                <w:szCs w:val="24"/>
                <w:color w:val="auto"/>
              </w:rPr>
            </w:pPr>
          </w:p>
        </w:tc>
      </w:tr>
    </w:tbl>
    <w:p>
      <w:pPr>
        <w:sectPr>
          <w:pgSz w:w="11900" w:h="16838" w:orient="portrait"/>
          <w:cols w:equalWidth="0" w:num="1">
            <w:col w:w="11024"/>
          </w:cols>
          <w:pgMar w:left="436" w:top="121"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00" w:type="dxa"/>
            <w:vAlign w:val="bottom"/>
          </w:tcPr>
          <w:p>
            <w:pPr>
              <w:spacing w:after="0"/>
              <w:rPr>
                <w:sz w:val="20"/>
                <w:szCs w:val="20"/>
                <w:color w:val="auto"/>
              </w:rPr>
            </w:pPr>
          </w:p>
        </w:tc>
      </w:tr>
      <w:tr>
        <w:trPr>
          <w:trHeight w:val="513"/>
        </w:trPr>
        <w:tc>
          <w:tcPr>
            <w:tcW w:w="87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4"/>
                <w:szCs w:val="24"/>
                <w:color w:val="auto"/>
              </w:rPr>
            </w:pPr>
          </w:p>
        </w:tc>
      </w:tr>
      <w:tr>
        <w:trPr>
          <w:trHeight w:val="445"/>
        </w:trPr>
        <w:tc>
          <w:tcPr>
            <w:tcW w:w="87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THE GLOBAL OFFERING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PRESENTATION OF FINANCIAL INFORMATION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TRADEMARKS, SERVICE MARKS AND TRADE NAMES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MARKET AND INDUSTRY DATA</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CAUTIONARY NOTE REGARDING FORWARD-LOOKING STATEMENTS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USE OF PROCEEDS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DIVIDEND POLICY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CAPITALIZATION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DILUTION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SELECTED CONSOLIDATED FINANCIAL DATA</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UNAUDITED PRO FORMA CONDENSED COMBINED FINANCIAL INFORMATION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BUSINESS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PRINCIPAL AND SELLING SHAREHOLDERS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DESCRIPTION OF SHARE CAPITAL AND ARTICLES OF ASSOCIATION (</w:t>
              </w:r>
              <w:r>
                <w:rPr>
                  <w:rFonts w:ascii="Arial" w:cs="Arial" w:eastAsia="Arial" w:hAnsi="Arial"/>
                  <w:sz w:val="18"/>
                  <w:szCs w:val="18"/>
                  <w:i w:val="1"/>
                  <w:iCs w:val="1"/>
                  <w:u w:val="single" w:color="auto"/>
                  <w:color w:val="0000EE"/>
                </w:rPr>
                <w:t>SATZUNG</w:t>
              </w:r>
              <w:r>
                <w:rPr>
                  <w:rFonts w:ascii="Arial" w:cs="Arial" w:eastAsia="Arial" w:hAnsi="Arial"/>
                  <w:sz w:val="18"/>
                  <w:szCs w:val="18"/>
                  <w:u w:val="single" w:color="auto"/>
                  <w:color w:val="0000EE"/>
                </w:rPr>
                <w:t>)</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DESCRIPTION OF AMERICAN DEPOSITARY SHARES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SHARES AND ADSs ELIGIBLE FOR FUTURE SALE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TAXATION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UNDERWRITING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EXPENSES OF THE GLOBAL OFFERING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LEGAL MATTERS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EXPERTS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SERVICE OF PROCESS AND ENFORCEMENT OF LIABILITIES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WHERE YOU CAN FIND MORE INFORMATION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780" w:type="dxa"/>
            <w:vAlign w:val="bottom"/>
          </w:tcPr>
          <w:p>
            <w:pPr>
              <w:ind w:left="120"/>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INCORPORATION OF CERTAIN INFORMATION BY REFERENCE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239</w:t>
            </w:r>
          </w:p>
        </w:tc>
      </w:tr>
    </w:tbl>
    <w:p>
      <w:pPr>
        <w:spacing w:after="0" w:line="20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Neither we, the Selling Shareholder, nor any of the underwriters have authorized anyone to provide you with information that is different from that contained in this prospectus, any amendment or supplement to this prospectus, or any free writing prospectus we may authorize to be delivered or made available to you. Neither we, the Selling Shareholder, nor any of the underwriters take responsibility for, or provide assurance as to the reliability of, any other information that others may give you. We and the underwriters are offering to sell ADSs and seeking offers to purchase ADSs only in jurisdictions where offers and sales are permitted. The information contained in this prospectus is accurate only as of the date on the cover page of this prospectus, regardless of the time of delivery of this prospectus or the sale of any ADSs. Our business, financial condition, results of operations and prospects may have changed since the date on the cover page of this prospectus.</w:t>
      </w:r>
    </w:p>
    <w:p>
      <w:pPr>
        <w:spacing w:after="0" w:line="17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For investors outside the United States: Neither we, the Selling Shareholder, nor the underwriters have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representing our ordinary shares and the distribution of this prospectus outside of the United States.</w:t>
      </w:r>
    </w:p>
    <w:p>
      <w:pPr>
        <w:spacing w:after="0" w:line="15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prospectus summary beginning on page 1 herein highlights information contained elsewhere in this prospectus and does not contain all of the information that you should consider in making your investment decision. Before deciding to invest in the ADSs representing our ordinary shares, you should read this entire prospectus carefully, including the sections titled “Risk Factors” and “Business” in this prospectus and the sections titled “Risk Factors,” “Business” and “Management’s Discussion and Analysis of Financial Condition and Results of Operations” and our consolidated financial statements and related notes in our Forms 20-F and 6-K incorporated by reference herein. You should also read the other documents incorporated by reference into the registration statement of which this prospectus forms a part. See “Where You Can Find More Information.”</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“BioNTech,” the “Company,” “we,” “us” and “our” refer to BioNTech SE and our wholly owned subsidiaries.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GLOBAL OFFERING</w:t>
      </w:r>
    </w:p>
    <w:p>
      <w:pPr>
        <w:spacing w:after="0" w:line="2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This prospectus relates to a firm commitment underwritten offering of our ordinary shares to be represented by American Depositary Shares, or ADSs, which we refer to as the Underwritten Offering. The Underwritten Offering is part of a Global Offering that consists of (i) a rights offering to be extended to our ordinary shareholders and ADS holders, or the Rights Offering, and (ii) the Underwritten Offering. Under German law, where a company obtains binding, irrevocable agreements from certain existing shareholders not to transfer or exercise rights to be granted in a future rights offering, the company is permitted to attempt to sell the shares represented by such rights either before or after the rights offering. Based on binding irrevocable agreements not to transfer or exercise rights that we have obtained from certain holders of our ordinary shares, representing 74.83% of our outstanding ordinary shares (including ordinary shares represented by ADSs), we are conducting the Underwritten Offering pursuant to this prospectus prior to the commencement of the Rights Offering.</w:t>
      </w:r>
    </w:p>
    <w:p>
      <w:pPr>
        <w:spacing w:after="0" w:line="17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The Rights Offering is being conducted pursuant to a separate registration statement and prospectus. The price to public that is set in the Underwritten Offering will be the subscription price for the Rights Offering. Shareholders and ADS holders as of the respective record dates for our ordinary shares and the ADSs representing our ordinary shares who have not agreed to forego exercising their rights will have the opportunity in the Rights Offering to subscribe for up to 1,889,189 new ordinary shares or new ADSs (representing approximately 0.81% of our outstanding ordinary shares) at the subscription price. </w:t>
      </w:r>
      <w:r>
        <w:rPr>
          <w:rFonts w:ascii="Arial" w:cs="Arial" w:eastAsia="Arial" w:hAnsi="Arial"/>
          <w:sz w:val="17"/>
          <w:szCs w:val="17"/>
          <w:b w:val="1"/>
          <w:bCs w:val="1"/>
          <w:color w:val="auto"/>
        </w:rPr>
        <w:t>ADSs PURCHASED IN THE UNDERWRITTEN OFFERING ARE NOT ENTITLED TO RECEIVE RIGHTS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TO SUBSCRIBE FOR NEW ORDINARY SHARES OR NEW ADSs IN THE RIGHTS OFFERING. </w:t>
      </w:r>
      <w:r>
        <w:rPr>
          <w:rFonts w:ascii="Arial" w:cs="Arial" w:eastAsia="Arial" w:hAnsi="Arial"/>
          <w:sz w:val="17"/>
          <w:szCs w:val="17"/>
          <w:color w:val="auto"/>
        </w:rPr>
        <w:t>Accordingly, a total of up to 7,389,189</w:t>
      </w:r>
      <w:r>
        <w:rPr>
          <w:rFonts w:ascii="Arial" w:cs="Arial" w:eastAsia="Arial" w:hAnsi="Arial"/>
          <w:sz w:val="17"/>
          <w:szCs w:val="17"/>
          <w:b w:val="1"/>
          <w:bCs w:val="1"/>
          <w:color w:val="auto"/>
        </w:rPr>
        <w:t xml:space="preserve"> </w:t>
      </w:r>
      <w:r>
        <w:rPr>
          <w:rFonts w:ascii="Arial" w:cs="Arial" w:eastAsia="Arial" w:hAnsi="Arial"/>
          <w:sz w:val="17"/>
          <w:szCs w:val="17"/>
          <w:color w:val="auto"/>
        </w:rPr>
        <w:t>ordinary shares (including ordinary shares represented by ADSs) may be sold by us in the Global Offering.</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includes financial information derived from our audited consolidated financial statements as of December 31, 2019 and 2018 and for the years ended December 31, 2019, 2018 and 2017, which have been prepared in accordance with International Financial Reporting Standards, or IFRS, as issued by the International Accounting Standards Board, or IASB, which differ in certain significant respects from U.S. generally accepted accounting principles, or U.S. GAAP, and are incorporated by reference herein. It also includes financial information derived from our unaudited interim condensed consolidated financial statements as of March 31, 2020 and for the three months ended March 31, 2020 and 2019 that have been prepared on the same basis as the audited financial statements and are incorporated by reference herein.</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financial information is presented in Euros. For the convenience of the reader, we have translated some of our financial information into U.S. dollars. Unless otherwise indicated, these translations were made at the rate of €1.00 to $1.1107, the noon buying rate of the Federal Reserve Bank of New York on May 29, 2020. Such U.S. dollar amounts are not necessarily indicative of the amounts of U.S. dollars that could actually have been purchased upon exchange of Euros at the dates indicated. All references in this prospectus to “$” mean U.S. dollars and all references to “€” mean Euros and all references in this prospectus to “k$” and “k€” refer to thousands of U.S. dollars and thousands of Euros, respectively.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have made rounding adjustments to some of the figures contained in this prospectus. Accordingly, numerical figures shown as totals in some tables may not be exact arithmetic aggregations of the figures that preceded them.</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BioNTech SE logo, FixVac</w:t>
      </w:r>
      <w:r>
        <w:rPr>
          <w:rFonts w:ascii="Arial" w:cs="Arial" w:eastAsia="Arial" w:hAnsi="Arial"/>
          <w:sz w:val="15"/>
          <w:szCs w:val="15"/>
          <w:color w:val="auto"/>
        </w:rPr>
        <w:t>®</w:t>
      </w:r>
      <w:r>
        <w:rPr>
          <w:rFonts w:ascii="Arial" w:cs="Arial" w:eastAsia="Arial" w:hAnsi="Arial"/>
          <w:sz w:val="18"/>
          <w:szCs w:val="18"/>
          <w:color w:val="auto"/>
        </w:rPr>
        <w:t>, RiboMab</w:t>
      </w:r>
      <w:r>
        <w:rPr>
          <w:rFonts w:ascii="Arial" w:cs="Arial" w:eastAsia="Arial" w:hAnsi="Arial"/>
          <w:sz w:val="15"/>
          <w:szCs w:val="15"/>
          <w:color w:val="auto"/>
        </w:rPr>
        <w:t>®</w:t>
      </w:r>
      <w:r>
        <w:rPr>
          <w:rFonts w:ascii="Arial" w:cs="Arial" w:eastAsia="Arial" w:hAnsi="Arial"/>
          <w:sz w:val="18"/>
          <w:szCs w:val="18"/>
          <w:color w:val="auto"/>
        </w:rPr>
        <w:t>, RiboCytokine</w:t>
      </w:r>
      <w:r>
        <w:rPr>
          <w:rFonts w:ascii="Arial" w:cs="Arial" w:eastAsia="Arial" w:hAnsi="Arial"/>
          <w:sz w:val="15"/>
          <w:szCs w:val="15"/>
          <w:color w:val="auto"/>
        </w:rPr>
        <w:t>®</w:t>
      </w:r>
      <w:r>
        <w:rPr>
          <w:rFonts w:ascii="Arial" w:cs="Arial" w:eastAsia="Arial" w:hAnsi="Arial"/>
          <w:sz w:val="18"/>
          <w:szCs w:val="18"/>
          <w:color w:val="auto"/>
        </w:rPr>
        <w:t>, MammaTyper</w:t>
      </w:r>
      <w:r>
        <w:rPr>
          <w:rFonts w:ascii="Arial" w:cs="Arial" w:eastAsia="Arial" w:hAnsi="Arial"/>
          <w:sz w:val="15"/>
          <w:szCs w:val="15"/>
          <w:color w:val="auto"/>
        </w:rPr>
        <w:t>®</w:t>
      </w:r>
      <w:r>
        <w:rPr>
          <w:rFonts w:ascii="Arial" w:cs="Arial" w:eastAsia="Arial" w:hAnsi="Arial"/>
          <w:sz w:val="18"/>
          <w:szCs w:val="18"/>
          <w:color w:val="auto"/>
        </w:rPr>
        <w:t>, RECON</w:t>
      </w:r>
      <w:r>
        <w:rPr>
          <w:rFonts w:ascii="Arial" w:cs="Arial" w:eastAsia="Arial" w:hAnsi="Arial"/>
          <w:sz w:val="15"/>
          <w:szCs w:val="15"/>
          <w:color w:val="auto"/>
        </w:rPr>
        <w:t>®</w:t>
      </w:r>
      <w:r>
        <w:rPr>
          <w:rFonts w:ascii="Arial" w:cs="Arial" w:eastAsia="Arial" w:hAnsi="Arial"/>
          <w:sz w:val="18"/>
          <w:szCs w:val="18"/>
          <w:color w:val="auto"/>
        </w:rPr>
        <w:t xml:space="preserve"> and NEO-STIM</w:t>
      </w:r>
      <w:r>
        <w:rPr>
          <w:rFonts w:ascii="Arial" w:cs="Arial" w:eastAsia="Arial" w:hAnsi="Arial"/>
          <w:sz w:val="15"/>
          <w:szCs w:val="15"/>
          <w:color w:val="auto"/>
        </w:rPr>
        <w:t>™</w:t>
      </w:r>
      <w:r>
        <w:rPr>
          <w:rFonts w:ascii="Arial" w:cs="Arial" w:eastAsia="Arial" w:hAnsi="Arial"/>
          <w:sz w:val="18"/>
          <w:szCs w:val="18"/>
          <w:color w:val="auto"/>
        </w:rPr>
        <w:t xml:space="preserve"> and other trademarks or service marks of BioNTech appearing in this prospectus are the property of the Company. Solely for convenience, some of the trademarks, service marks, logos and trade names referred to in this prospectus are presented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they contain has been obtained from sources believed to be reliable, although they do not guarantee the accuracy or completeness of such information. While we believe that each of these publications and third-party studies is reliable, we have not independently verified the market and industry data obtained from these third-party sources. Forecasts and other forward-looking information obtained from these sources are subject to the same qualifications and uncertainties as the other forward-looking statements contained in this prospectus. These forecasts and forward-looking information are subject to uncertainty and risk due to a variety of factors, including those described in “Risk Factors.” These and other factors could cause results to differ materially from those expressed in our forecasts or estimates or those of independent third parties. While we believe our internal research is reliable and the definitions of our market and industry are appropriate, neither such research nor these definitions have been verified by any independent source.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in the documents we incorporate by reference herein. This summary does not contain all of the information you should consider before making an investment decision. You should read this entire prospectus carefully, especially the risks of investing in the ADSs representing our ordinary shares discussed under “Risk Factors” beginning on page 22 of this prospectus, along with our consolidated financial statements and notes to those consolidated financial statements and the other information incorporated by reference in this prospectus.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immunotherapies for cancer and other diseases. We leverage powerful new therapeutic mechanisms and exploit a diverse array of biological targets to harness the power of each patient’s immune system to address the unique molecular signature of each patient’s underlying disease. The breadth of our immunotherapy technologies and expertise has also enabled us to develop therapies to address a range of rare and infectious diseases, and we have recently rapidly mobilized these with the aim of addressing the COVID-19 pandemic. We believe we are uniquely positioned to develop and commercialize the next generation of immunotherapies with the potential to significantly improve clinical outcomes for patients and usher in a new era of individualized medicine.</w:t>
      </w:r>
    </w:p>
    <w:p>
      <w:pPr>
        <w:spacing w:after="0" w:line="18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approach to therapeutic development in oncology is based on the key drivers of cancer heterogeneity. The interaction between cancer and the immune system is shaped by various host, tumor and environmental factors. The complex interplay of these sources of interpatient heterogeneity both affects the course of disease and determines the most appropriate choice of treatment.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8353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835342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Leveraging our expertise in the field of immunology, we and our collaborators have advanced a development pipeline of over 20 product candidates, of which 12 have entered into 13 ongoing clinical trials. Our most advanced programs are focused on oncology, where we have treated over 500 patients across 17 tumor types to date. In our Phase 1 trials, we have observed single-agent antigen-specific immune responses in over 90% of advanced melanoma patients treated with BNT111, our wholly owned lead off-the-shelf immunotherapy product candidate from our FixVac platform. In addition, we have observed single-agent antigen-specific immune responses in patients treated with BNT121, the precursor to RO7198457 (BNT122), our lead individualized neoantigen specific immunotherapy product candidate from our iNeST platform, which we are co-developing with Genentech, Inc., or Genentech. For both product candidates, we have also observed durable reduction in tumor volume, including objective responses, in both the monotherapy and checkpoint-combination settings.</w:t>
      </w:r>
    </w:p>
    <w:p>
      <w:pPr>
        <w:spacing w:after="0" w:line="178"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We believe our technology and expertise is broadly applicable across a number of therapeutic areas, such as infectious diseases and rare diseases. In April 2020, we initiated a first-in-human clinical trial program for our BNT162 vaccine program to prevent COVID-19, which includes four vaccine candidate variants based on three distinct mRNA formats. We are co-developing BNT162 with Pfizer Inc., or Pfizer, worldwide (ex-China) and with</w:t>
      </w:r>
    </w:p>
    <w:p>
      <w:pPr>
        <w:sectPr>
          <w:pgSz w:w="11900" w:h="16838" w:orient="portrait"/>
          <w:cols w:equalWidth="0" w:num="1">
            <w:col w:w="10940"/>
          </w:cols>
          <w:pgMar w:left="320" w:top="459"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940"/>
          </w:cols>
          <w:pgMar w:left="320" w:top="459" w:right="6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59" w:lineRule="auto"/>
        <w:rPr>
          <w:sz w:val="20"/>
          <w:szCs w:val="20"/>
          <w:color w:val="auto"/>
        </w:rPr>
      </w:pPr>
      <w:r>
        <w:rPr>
          <w:rFonts w:ascii="Arial" w:cs="Arial" w:eastAsia="Arial" w:hAnsi="Arial"/>
          <w:sz w:val="18"/>
          <w:szCs w:val="18"/>
          <w:color w:val="auto"/>
        </w:rPr>
        <w:t>Shanghai Fosun Pharmaceutical (Group) Co., Ltd, or Fosun Pharma, in China. We initiated the BNT162 program in late January 2020 in response to the global COVID-19 pandemic, and initiated human testing following preclinical studies and within approximately three months of initiating the research program. Our ability to rapidly design and test multiple vaccine variants leveraged our deep experience with mRNA vaccines and our prior preclinical work in the infectious disease field.</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immunotherapy product candidates span four distinct drug classes:</w:t>
      </w:r>
    </w:p>
    <w:p>
      <w:pPr>
        <w:spacing w:after="0" w:line="127" w:lineRule="exact"/>
        <w:rPr>
          <w:sz w:val="20"/>
          <w:szCs w:val="20"/>
          <w:color w:val="auto"/>
        </w:rPr>
      </w:pPr>
    </w:p>
    <w:p>
      <w:pPr>
        <w:ind w:left="1640" w:right="420" w:hanging="289"/>
        <w:spacing w:after="0" w:line="312" w:lineRule="auto"/>
        <w:tabs>
          <w:tab w:leader="none" w:pos="16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mRNA Therapeutics. </w:t>
      </w:r>
      <w:r>
        <w:rPr>
          <w:rFonts w:ascii="Arial" w:cs="Arial" w:eastAsia="Arial" w:hAnsi="Arial"/>
          <w:sz w:val="17"/>
          <w:szCs w:val="17"/>
          <w:color w:val="auto"/>
        </w:rPr>
        <w:t>We have developed multiple proprietary formats and formulations of messenger ribonucleic acid, or</w:t>
      </w:r>
      <w:r>
        <w:rPr>
          <w:rFonts w:ascii="Arial" w:cs="Arial" w:eastAsia="Arial" w:hAnsi="Arial"/>
          <w:sz w:val="17"/>
          <w:szCs w:val="17"/>
          <w:b w:val="1"/>
          <w:bCs w:val="1"/>
          <w:color w:val="auto"/>
        </w:rPr>
        <w:t xml:space="preserve"> </w:t>
      </w:r>
      <w:r>
        <w:rPr>
          <w:rFonts w:ascii="Arial" w:cs="Arial" w:eastAsia="Arial" w:hAnsi="Arial"/>
          <w:sz w:val="17"/>
          <w:szCs w:val="17"/>
          <w:color w:val="auto"/>
        </w:rPr>
        <w:t>mRNA, to deliver genetic information to cells, where it is used to express proteins for therapeutic effect.</w:t>
      </w:r>
    </w:p>
    <w:p>
      <w:pPr>
        <w:spacing w:after="0" w:line="45" w:lineRule="exact"/>
        <w:rPr>
          <w:rFonts w:ascii="Arial" w:cs="Arial" w:eastAsia="Arial" w:hAnsi="Arial"/>
          <w:sz w:val="17"/>
          <w:szCs w:val="17"/>
          <w:color w:val="auto"/>
        </w:rPr>
      </w:pPr>
    </w:p>
    <w:p>
      <w:pPr>
        <w:ind w:left="1640" w:right="40" w:hanging="289"/>
        <w:spacing w:after="0" w:line="282"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Cell Therapies. </w:t>
      </w:r>
      <w:r>
        <w:rPr>
          <w:rFonts w:ascii="Arial" w:cs="Arial" w:eastAsia="Arial" w:hAnsi="Arial"/>
          <w:sz w:val="18"/>
          <w:szCs w:val="18"/>
          <w:color w:val="auto"/>
        </w:rPr>
        <w:t>We are developing a range of cell therapies, including CAR-T cells, neoantigen-based T cell therapies and TCR</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in which the patient’s T cells are modified or primed to target cancer-specific antigens.</w:t>
      </w:r>
    </w:p>
    <w:p>
      <w:pPr>
        <w:spacing w:after="0" w:line="67" w:lineRule="exact"/>
        <w:rPr>
          <w:rFonts w:ascii="Arial" w:cs="Arial" w:eastAsia="Arial" w:hAnsi="Arial"/>
          <w:sz w:val="18"/>
          <w:szCs w:val="18"/>
          <w:color w:val="auto"/>
        </w:rPr>
      </w:pPr>
    </w:p>
    <w:p>
      <w:pPr>
        <w:ind w:left="1640" w:right="900" w:hanging="289"/>
        <w:spacing w:after="0" w:line="282"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next-generation antibodies, including bispecifics, that are designed to target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checkpoints and novel cancer antigens.</w:t>
      </w:r>
    </w:p>
    <w:p>
      <w:pPr>
        <w:spacing w:after="0" w:line="67" w:lineRule="exact"/>
        <w:rPr>
          <w:rFonts w:ascii="Arial" w:cs="Arial" w:eastAsia="Arial" w:hAnsi="Arial"/>
          <w:sz w:val="18"/>
          <w:szCs w:val="18"/>
          <w:color w:val="auto"/>
        </w:rPr>
      </w:pPr>
    </w:p>
    <w:p>
      <w:pPr>
        <w:ind w:left="1640" w:right="580" w:hanging="289"/>
        <w:spacing w:after="0" w:line="282"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and discrete patterns of immunomodulation.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In oncology, we are focused on delivering on the promise of individualized immunotherapy for cancer patients. We believe that we can accomplish this by applying the following principles:</w:t>
      </w:r>
    </w:p>
    <w:p>
      <w:pPr>
        <w:spacing w:after="0" w:line="76" w:lineRule="exact"/>
        <w:rPr>
          <w:sz w:val="20"/>
          <w:szCs w:val="20"/>
          <w:color w:val="auto"/>
        </w:rPr>
      </w:pPr>
    </w:p>
    <w:p>
      <w:pPr>
        <w:ind w:left="1640" w:right="120" w:hanging="28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Harnessing the full potential of the immune system by exploiting multiple drug classes and addressing multiple complementary immune pathways.</w:t>
      </w:r>
    </w:p>
    <w:p>
      <w:pPr>
        <w:spacing w:after="0" w:line="75" w:lineRule="exact"/>
        <w:rPr>
          <w:rFonts w:ascii="Arial" w:cs="Arial" w:eastAsia="Arial" w:hAnsi="Arial"/>
          <w:sz w:val="18"/>
          <w:szCs w:val="18"/>
          <w:color w:val="auto"/>
        </w:rPr>
      </w:pPr>
    </w:p>
    <w:p>
      <w:pPr>
        <w:ind w:left="1640" w:hanging="289"/>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Broadening the universe of patients benefiting from cancer immunotherapy.</w:t>
      </w:r>
    </w:p>
    <w:p>
      <w:pPr>
        <w:spacing w:after="0" w:line="130" w:lineRule="exact"/>
        <w:rPr>
          <w:rFonts w:ascii="Arial" w:cs="Arial" w:eastAsia="Arial" w:hAnsi="Arial"/>
          <w:sz w:val="18"/>
          <w:szCs w:val="18"/>
          <w:color w:val="auto"/>
        </w:rPr>
      </w:pPr>
    </w:p>
    <w:p>
      <w:pPr>
        <w:ind w:left="1640" w:right="20" w:hanging="289"/>
        <w:spacing w:after="0" w:line="277"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the success rate of treatment by developing and engineering highly potent, precise and target-specific drug candidates either as off-the-shelf or individualized immunotherapies.</w:t>
      </w:r>
    </w:p>
    <w:p>
      <w:pPr>
        <w:spacing w:after="0" w:line="75" w:lineRule="exact"/>
        <w:rPr>
          <w:rFonts w:ascii="Arial" w:cs="Arial" w:eastAsia="Arial" w:hAnsi="Arial"/>
          <w:sz w:val="18"/>
          <w:szCs w:val="18"/>
          <w:color w:val="auto"/>
        </w:rPr>
      </w:pPr>
    </w:p>
    <w:p>
      <w:pPr>
        <w:ind w:left="1640" w:hanging="289"/>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Focusing on curative approaches by addressing interindividual variability and cancer heterogeneity.</w:t>
      </w:r>
    </w:p>
    <w:p>
      <w:pPr>
        <w:spacing w:after="0" w:line="225"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Similarly, in infectious disease, we are deploying our full suite of technologies and immunotherapeutic understanding to develop mRNA vaccines against emerging infectious diseases, such as COVID-19, in a manner that is designed to be faster and more easily scalable, and with more flexible constructs, than traditional vaccine development.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42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Our patient-centric approach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founding onwards, we have been developing the novel technologies needed to match the identified targets to the optimal individualized treatment approach. Our patient-centric model is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are advancing a deep and broad portfolio of product candidates derived from our four drug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648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9648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We believe the breadth of our technology positions us to combine modes of action in a coordinated, potentially synergistic way to treat cancer in a more efficacious manner than current existing therapies. For example, we have capitalized on synergies in our portfolio by combining our CAR-T cell development with a CARVac primer based on our FixVac platform. We further believe that our patient-centric approach and our broad, potentially synergistic portfolio of drug platforms place us at the forefront of a paradigm shift toward individualized immunotherapies in oncology and allow us to potentially address a larger share of cancer patients,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We have established relationships with seven pharmaceutical collaborators, which comprise Genentech, Sanofi S.A., or Sanofi, Genmab A/S, or Genmab, Genevant Sciences GmbH, or Genevant, Bayer AG, or Bayer, Pfizer Inc., or Pfizer, and Shanghai Fosun Pharmaceutical (Group) Co., Ltd, or Fosun Pharma, in order to advance our science and development capabilities and provide capital, most of which has been non-dilutive. In addition, we have established research collaborations with the University of Pennsylvania and Translational Oncology at the University Medical Center of the Johannes Gutenberg University Mainz (Translationale Onkologie an der Universitätsmedizin der Johannes Gutenberg Universität Mainz gemeinnützige GmbH), or TRON.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66"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Our ability to develop, control and optimize the manufacturing of our product candidates is a core strategic pillar and competitive advantage, especially for our individualized mRNA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immunomonitoring activities, which are critical to our development programs. Additionally, we have collaborated with Siemens AG to develop efficient, semi-automated processes to produce our individualized mRNA immunotherapies on demand.</w:t>
      </w:r>
    </w:p>
    <w:p>
      <w:pPr>
        <w:spacing w:after="0" w:line="178"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Our team is comprised of pioneers and entrepreneurs in the fields of immunology and oncology, with experience in pioneering cutting-edge technologies for new, forward-looking therapeutic applications in order to capture new opportunities. Our scientific founders each have over 25 years of experience characterizing the</w:t>
      </w:r>
    </w:p>
    <w:p>
      <w:pPr>
        <w:sectPr>
          <w:pgSz w:w="11900" w:h="16838" w:orient="portrait"/>
          <w:cols w:equalWidth="0" w:num="1">
            <w:col w:w="10940"/>
          </w:cols>
          <w:pgMar w:left="320" w:top="459" w:right="639" w:bottom="334"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125"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01" w:lineRule="auto"/>
        <w:rPr>
          <w:sz w:val="20"/>
          <w:szCs w:val="20"/>
          <w:color w:val="auto"/>
        </w:rPr>
      </w:pPr>
      <w:r>
        <w:rPr>
          <w:rFonts w:ascii="Arial" w:cs="Arial" w:eastAsia="Arial" w:hAnsi="Arial"/>
          <w:sz w:val="16"/>
          <w:szCs w:val="16"/>
          <w:color w:val="auto"/>
        </w:rPr>
        <w:t>molecular signatures of cancer and discovering potent high-precision immunotherapies. They are translating this combined knowledge into the development of highly individualized treatments to target patients’ specific cancers and other diseases. Our co-founders, Chief Executive Officer Prof. Ugur Sahin, M.D., and Supervisory Board member Prof. Christoph Huber, M.D., along with our Chief Medical Officer Özlem Türeci, M.D., have been published widely in the field of immunology and oncology and are recognized as thought leaders in their disciplines.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June 30, 2020 Preliminary Financial Results</w:t>
      </w:r>
    </w:p>
    <w:p>
      <w:pPr>
        <w:spacing w:after="0" w:line="117" w:lineRule="exact"/>
        <w:rPr>
          <w:sz w:val="20"/>
          <w:szCs w:val="20"/>
          <w:color w:val="auto"/>
        </w:rPr>
      </w:pPr>
    </w:p>
    <w:p>
      <w:pPr>
        <w:jc w:val="both"/>
        <w:ind w:left="300" w:right="80" w:firstLine="426"/>
        <w:spacing w:after="0" w:line="301" w:lineRule="auto"/>
        <w:rPr>
          <w:sz w:val="20"/>
          <w:szCs w:val="20"/>
          <w:color w:val="auto"/>
        </w:rPr>
      </w:pPr>
      <w:r>
        <w:rPr>
          <w:rFonts w:ascii="Arial" w:cs="Arial" w:eastAsia="Arial" w:hAnsi="Arial"/>
          <w:sz w:val="16"/>
          <w:szCs w:val="16"/>
          <w:color w:val="auto"/>
        </w:rPr>
        <w:t>As of June 30, 2020, we maintained cash and cash equivalents of €573.0 million ($636.4 million). Cash and cash equivalents as of June 30, 2020 is preliminary, unaudited and subject to completion and may differ from what will be reflected in our unaudited interim financial statements as of and for the three months ended June 30, 2020. Our unaudited interim condensed consolidated financial statements as of and for the three and six months ended June 30, 2020 will not be available to you prior to investing in the Underwritten Offering.</w:t>
      </w:r>
    </w:p>
    <w:p>
      <w:pPr>
        <w:spacing w:after="0" w:line="49"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In addition to €573.0 million ($636.4 million) in cash and cash equivalents at June 30, 2020, we expect to receive €223.9 million ($251.0 million, translated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as proceeds from the June 2020 Private Placement described below, which is expected to settle in August 2020.</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Pfizer COVID-19 Collaboration</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On April 9, 2020, we announced that we and Pfizer had entered into a collaboration agreement to co-develop our potential first-in-class COVID-19 mRNA vaccine program, BNT162, aimed at preventing COVID-19. Under the terms of the agreement, Pfizer agreed to pay us $185 million in upfront payments, including an equity investment of €103.9 million ($113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which was received in late April 2020, and a cash payment of €65.5 million ($72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which was received in May 2020. The issuance of 2,377,446 ordinary shares with the nominal amount of €2,377,446 was registered within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as of May 5, 2020. We are eligible to receive future milestone payments of up to $563 million for potential aggregate consideration of $748 million. Pfizer and we will share development costs equally. Initially, Pfizer will fund 100% of the development costs, and we will repay Pfizer our 50% share of these costs if success-based milestones are reached, or with proceeds generated from the commercialization of the vaccine, if approved. If the vaccine program is not successful or does not generate sufficient proceeds, we will not be required to pay back our 50% share of the development costs incurred.</w:t>
      </w:r>
    </w:p>
    <w:p>
      <w:pPr>
        <w:spacing w:after="0" w:line="182"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and Pfizer are jointly conducting clinical trials for four COVID-19 vaccine candidate variants initially in the United States and Europe across multiple sites. In late April 2020, we and Pfizer announced that the German regulatory authority, the Paul-Ehrlich-Institut, approved the Phase 1/2 clinical trial and the first patients in the first cohort of our Phase 1/2 clinical trial were dosed shortly thereafter. In early May 2020, Pfizer and we initiated a clinical trial for BNT162 in the United States and the first participants were dosed shortly thereafter. On July 13, 2020, we and Pfizer announced that our BNT162b1 and BNT162b2 vaccine candidate variants were granted Fast Track designation by the FDA. During the clinical development stage, we and our partners will provide clinical supply of the vaccine from our GMP-certified mRNA manufacturing facilities in Europe. We and Pfizer are working together to scale-up manufacturing capacity at risk to provide worldwide supply in response to the pandemic. If the vaccine candidate is approved, we and Pfizer would also work jointly to commercialize the vaccine worldwide (excluding China which is covered by our collaboration with Fosun Pharma). If the vaccine candidate is approved, we and Pfizer expect to manufacture up to 100 million doses by the end of 2020 and potentially more than 1.3 billion doses by the end of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On July 20, 2020, we announced that we and Pfizer entered into a binding term sheet for a supply agreement with the United Kingdom. Pursuant to the term sheet, we and Pfizer expect to supply 30 million doses of BNT162, if approved, to the United Kingdom. Under the terms of the binding term sheet, we and Pfizer are eligible to receive a fully refundable advance payment per dose upon signing of a definitive supply agreement. The advance payment will be treated as a prepayment towards the total cost of the contracted number of doses of BNT162, with the remainder of the contracted price per dose to be paid upon delivery of the contracted doses.</w:t>
      </w:r>
    </w:p>
    <w:p>
      <w:pPr>
        <w:spacing w:after="0" w:line="176"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On July 22, 2020, we announced that the United States government has agreed to purchase an initial order of 100 million doses of BNT162 and has the option to acquire up to 500 million additional doses from us and Pfizer. The U.S. government will pay $1.95 billion upon the receipt of the first 100 million doses, following FDA authorization or approval.</w:t>
      </w:r>
    </w:p>
    <w:p>
      <w:pPr>
        <w:spacing w:after="0" w:line="184"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We are also in late-stage discussions with other governments and governmental bodies related to the establishment of supply agreements for BNT162, if approved. We expect that we and Pfizer will enter into further binding and non-binding agreements to supply additional doses of BNT162 as early as 2020 and 2021. Certain of the agreements may also provide an option to purchase additional doses, under specified circumstances.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July 2020 BNT162 Data Announcements</w:t>
      </w:r>
    </w:p>
    <w:p>
      <w:pPr>
        <w:spacing w:after="0" w:line="117"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On July 1, 2020, we and Pfizer announced preliminary data from our ongoing U.S. Phase 1/2 trial of BNT162b1. The initial part of this randomized, placebo-controlled, observer-blinded study is evaluating the safety, tolerability and immunogenicity of escalating dose levels of BNT162b1, one of four vaccine candidate variants in development as part of our BNT162 program, in 45 healthy adults between 18 and 55 years of age.</w:t>
      </w:r>
    </w:p>
    <w:p>
      <w:pPr>
        <w:spacing w:after="0" w:line="18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The participants received two doses, 21 days apart, of placebo, 10µg or 30µg of BNT162b1, or received a single dose of 100µg of the vaccine candidate. Because of a strong vaccine booster effect, the highest neutralizing titers were observed seven days after the second dose of 10µg or 30µg on day 28 after vaccination. The neutralizing GMTs were 168 and 267 for the 10µg and 30µg dose levels, respectively, corresponding to 1.8-and 2.8-times the neutralizing GMT of 94 observed in a panel of 38 sera from subjects who had contracted SARS-CoV-2.</w:t>
      </w:r>
    </w:p>
    <w:p>
      <w:pPr>
        <w:spacing w:after="0" w:line="157" w:lineRule="exact"/>
        <w:rPr>
          <w:sz w:val="20"/>
          <w:szCs w:val="20"/>
          <w:color w:val="auto"/>
        </w:rPr>
      </w:pPr>
    </w:p>
    <w:p>
      <w:pPr>
        <w:ind w:left="300" w:right="300" w:firstLine="426"/>
        <w:spacing w:after="0" w:line="311" w:lineRule="auto"/>
        <w:rPr>
          <w:sz w:val="20"/>
          <w:szCs w:val="20"/>
          <w:color w:val="auto"/>
        </w:rPr>
      </w:pPr>
      <w:r>
        <w:rPr>
          <w:rFonts w:ascii="Arial" w:cs="Arial" w:eastAsia="Arial" w:hAnsi="Arial"/>
          <w:sz w:val="16"/>
          <w:szCs w:val="16"/>
          <w:color w:val="auto"/>
        </w:rPr>
        <w:t>In all 24 subjects who received 2 vaccinations at 10µg and 30µg dose levels of BNT162b1, elevation of RBD-binding IgG concentrations was observed after the second injection with respective GMCs of 4,813 and 27,872 units/ml at day 28, seven days after immunization. These concentrations are 8- and 46.3-times the GMC of 602 units/ml in a panel of 38 sera from subjects who had contracted SARS-CoV-2.</w:t>
      </w:r>
    </w:p>
    <w:p>
      <w:pPr>
        <w:spacing w:after="0" w:line="149" w:lineRule="exact"/>
        <w:rPr>
          <w:sz w:val="20"/>
          <w:szCs w:val="20"/>
          <w:color w:val="auto"/>
        </w:rPr>
      </w:pPr>
    </w:p>
    <w:p>
      <w:pPr>
        <w:ind w:left="300" w:right="100" w:firstLine="426"/>
        <w:spacing w:after="0" w:line="342" w:lineRule="auto"/>
        <w:rPr>
          <w:sz w:val="20"/>
          <w:szCs w:val="20"/>
          <w:color w:val="auto"/>
        </w:rPr>
      </w:pPr>
      <w:r>
        <w:rPr>
          <w:rFonts w:ascii="Arial" w:cs="Arial" w:eastAsia="Arial" w:hAnsi="Arial"/>
          <w:sz w:val="16"/>
          <w:szCs w:val="16"/>
          <w:color w:val="auto"/>
        </w:rPr>
        <w:t>At day 21 after a single injection, the 12 subjects who received 100µg of BNT162b1 had an RBD-binding IgG GMC of 1,778 units/ml and a SARS-CoV neutralizing GMT of 33, which are 3-times and 0.35-times, respectively, the GMC and GMT of the convalescent serum panel.</w:t>
      </w:r>
    </w:p>
    <w:p>
      <w:pPr>
        <w:spacing w:after="0" w:line="124"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At the 10µg or 30µg dose levels, adverse reactions, including low grade fever, were more common after the second dose than the first dose. Following dose 2, 8.3% of participants who received 10µg and 75.0% of participants who received 30µg BNT162b1 reported fever ³ 38.0 °C. Local reactions and systemic events after injection with 10µg and 30µg of BNT162b1 were dose-dependent, generally mild to moderate, and transient. The most commonly reported local reaction was injection site pain, which was mild to moderate, except in one of 12 subjects who received a 100µg dose, which was severe. No serious adverse events were reported. Given higher numbers of subjects experiencing local reactions and systemic events after a single 100µg dose with no significant increases in immunogenicity compared to the 30µg dose level, the 12 participants in the 100µg group were not administered a second dose.</w:t>
      </w:r>
    </w:p>
    <w:p>
      <w:pPr>
        <w:spacing w:after="0" w:line="17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On July 20, 2020, we and Pfizer announced preliminary data from our ongoing German Phase 1/2 trial of BNT162b1. The initial part of this open-label, non-randomized, non-placebo-controlled study is evaluating the safety, tolerability and immunogenicity of escalating dose levels of BNT162b1, one of four vaccine candidate variants in development as part of our BNT162 program, in 60 healthy adults, between 18 and 55 years of 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
        <w:spacing w:after="0" w:line="263" w:lineRule="auto"/>
        <w:rPr>
          <w:sz w:val="20"/>
          <w:szCs w:val="20"/>
          <w:color w:val="auto"/>
        </w:rPr>
      </w:pPr>
      <w:r>
        <w:rPr>
          <w:rFonts w:ascii="Arial" w:cs="Arial" w:eastAsia="Arial" w:hAnsi="Arial"/>
          <w:sz w:val="18"/>
          <w:szCs w:val="18"/>
          <w:color w:val="auto"/>
        </w:rPr>
        <w:t>The preliminary data we reported was from 12 subjects each who received two doses of 1µg, 10µg, 30µg and 50µg (except for one individual each in the 10µg and 50µg who discontinued due to non-study drug related reasons) and 12 subjects who received a single dose of 60µg. The two doses received by the participants were given 21 days apart.</w:t>
      </w:r>
    </w:p>
    <w:p>
      <w:pPr>
        <w:spacing w:after="0" w:line="184"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In 34 of the 36 subjects who received two vaccinations at 10µg, 30µg, or 50µg dose levels of BNT162b1, RBD-specific CD4+ T cell responses were observed. All subjects but the two exceptions at the lowest dose level had cytokine profiling of the RBD-specific CD4+ T cells that demonstrated a TH1-dominant profile for these cells. While the magnitude varied between individuals, participants with the strongest CD4+ T cell responses to RBD had more than 10-fold of the memory responses observed in the same participants when stimulated with cytomegalovirus (CMV), Epstein Barr virus (EBV), influenza virus and tetanus toxoid-derived immuno- dominant peptide panels. The strength of RBD-specific CD4+ T cell responses correlated positively with both RBD-binding IgG and with SARS-CoV-2 neutralizing antibody titers. Among vaccine-induced CD8+ T cell responses, which were observed in 29 of 36 participants, strong responses were mounted by the majority of participants and were comparable with memory responses against CMV, EBV, influenza virus and tetanus toxoid in the same participants. The strength of RBD-specific CD8+ T cell responses correlated positively with vaccine-induced CD4+ T cell responses, but did not significantly correlate with SARS-CoV-2 neutralizing antibody titers. Additionally, although at 1µg the immunogenicity rate was lower (6 of 8 responding participants), the magnitude of vaccine-induced CD4+ and CD8+ T cells in some participants was almost as high as with 50µg BNT162b1.</w:t>
      </w:r>
    </w:p>
    <w:p>
      <w:pPr>
        <w:spacing w:after="0" w:line="172" w:lineRule="exact"/>
        <w:rPr>
          <w:sz w:val="20"/>
          <w:szCs w:val="20"/>
          <w:color w:val="auto"/>
        </w:rPr>
      </w:pPr>
    </w:p>
    <w:p>
      <w:pPr>
        <w:ind w:left="300" w:right="60" w:firstLine="426"/>
        <w:spacing w:after="0" w:line="253" w:lineRule="auto"/>
        <w:rPr>
          <w:sz w:val="20"/>
          <w:szCs w:val="20"/>
          <w:color w:val="auto"/>
        </w:rPr>
      </w:pPr>
      <w:r>
        <w:rPr>
          <w:rFonts w:ascii="Arial" w:cs="Arial" w:eastAsia="Arial" w:hAnsi="Arial"/>
          <w:sz w:val="18"/>
          <w:szCs w:val="18"/>
          <w:color w:val="auto"/>
        </w:rPr>
        <w:t>Elevation of SARS-CoV-2 RBD-binding IgG concentrations was observed, with respective GMCs ranging from 265 units/ml to 1,672 units/ml at day 21. At day 29, seven days after the second dose, RBD-binding IgG GMCs ranged from 2,015 units/ml to 25,006 units/ml. At day 43, RBD-binding IgG GMCs ranged from 3,920 units/ml to 18,289 units/ml. These concentrations are 6.5- to 30.4-times the GMC of 602 units/ml in a panel of sera from 38 subjects who had contracted SARS-CoV-2. At day 29, the SARS-CoV-2 neutralizing GMTs reached 36 (1µg dose), 158 (10µg dose), 308 (30µg dose) and 578 (50µg dose) compared to neutralizing GMT of 94 observed in the convalescent serum panel. At day 43, SARS-CoV-2 neutralizing GMTs reached .7-fold (1µg dose) to 3.2-fold (50µg dose) compared to those of a panel of SARS-CoV-2 infection convalescent human sera. Furthermore, sera of vaccinated subjects displayed broadly neutralizing activity in pseudovirus neutralization assays across a panel of sixteen SARS-CoV-2 RBD variants represented in publicly available SARS-CoV-2 sequences and against the newly dominant D614G strain. In summary, antibody responses elicited by BNT162b1 in our German clinical trial largely mirrored those observed in our U.S. clinical trial.</w:t>
      </w:r>
    </w:p>
    <w:p>
      <w:pPr>
        <w:spacing w:after="0" w:line="194"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At the 10µg, 30µg and 50µg dose levels, certain adverse reactions, including low grade fever, were more common after the second dose than the first dose. Following the second dose, 25.0%, 25.0% and 33.3% of participants who received the 10µg, 30µg and 50µg doses, respectively reported fever of at least 38.0 degrees Celsius. Local reactions and systemic events after injection with 10µg, 30µg and 50µg of BNT162b1 were dose- dependent, generally mild to moderate and transient, with occasional severe events (grade 3) of flu-like symptoms and injection site reactions. The most commonly reported local reaction was injection site pain, which was mild to moderate, except in one of 12 subjects who received a 60µg dose, which was severe. No serious adverse events were reported, and there were no withdrawals due to adverse events related to the vaccine. Based on the adverse reactions reported after the 50µg boost dose, a second 60µg dose was not administered to participants who had received an initial 60µg dose.</w:t>
      </w:r>
    </w:p>
    <w:p>
      <w:pPr>
        <w:spacing w:after="0" w:line="192"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For additional information on these preliminary results, please review our reports on Form 6-K filed with the SEC on July 1, 2020 and July 20, 2020 and incorporated by reference herein.</w:t>
      </w:r>
    </w:p>
    <w:p>
      <w:pPr>
        <w:spacing w:after="0" w:line="170"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Based on preclinical and clinical data observed to-date, we and Pfizer have decided to progress our BNT162 development program into a Phase 2b/3 trial, which is anticipated to commence in late July 2020, subject to input and approval from the appropriate regulatory bodies. For the initial Phase 2b/3 trial, we intend to select either BNT162b1 or BNT162b2. Both the BNT162b1 and the BNT162b2 vaccine candidates have received Fast Track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status from the FDA. Since clinical evaluation of the BNT162b2 candidate started several weeks later than BNT162b1, only preliminary clinical data are currently available for the BNT162b2 candidate. A set of data obtained for a cohort of subjects 18-55 years of age immunized with 10µg of BNT162b2 indicates that BNT162b2 induces similar virus neutralizing antibody responses as observed for BNT162b1. The preliminary 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 inform the FDA of our selection of the BNT162 candidate variant before the closing of this offering. Based on clinical data from our ongoing Phase 1/2 trials of BNT162b1 in the United States and Germany, BNT162b1 appears to be a viable variant to advance into a Phase 2b/3 trial. However, given that additional information relating to BNT162b2 is becoming available over the next few days, we and Pfizer plan to make the ultimate decision on the final candidate based on multiple factors, including the overall observed safety, tolerability and immunogenicity profiles for each vaccine candidate at different dose levels, a full immunogenicity data set and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likely will not publish any data with respect to the BNT162b2 variant before we make our selection.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June 2020 iNeST Data Update</w:t>
      </w:r>
    </w:p>
    <w:p>
      <w:pPr>
        <w:spacing w:after="0" w:line="117" w:lineRule="exact"/>
        <w:rPr>
          <w:sz w:val="20"/>
          <w:szCs w:val="20"/>
          <w:color w:val="auto"/>
        </w:rPr>
      </w:pPr>
    </w:p>
    <w:p>
      <w:pPr>
        <w:ind w:left="300" w:right="40" w:firstLine="426"/>
        <w:spacing w:after="0" w:line="287" w:lineRule="auto"/>
        <w:rPr>
          <w:sz w:val="20"/>
          <w:szCs w:val="20"/>
          <w:color w:val="auto"/>
        </w:rPr>
      </w:pPr>
      <w:r>
        <w:rPr>
          <w:rFonts w:ascii="Arial" w:cs="Arial" w:eastAsia="Arial" w:hAnsi="Arial"/>
          <w:sz w:val="16"/>
          <w:szCs w:val="16"/>
          <w:color w:val="auto"/>
        </w:rPr>
        <w:t>In June 2020, we presented data from a monotherapy dose-finding cohort of our RO7198457 (BNT122) Phase 1 trial in multiple solid tumors in which RO7198457 (BNT122) was observed to have a manageable safety profile and induced strong neoantigen-specific immune responses in patients with low and intermediate mutational load tumors types. This data related to 31 patients enrolled in cohorts with doses ranging from</w:t>
      </w:r>
    </w:p>
    <w:p>
      <w:pPr>
        <w:spacing w:after="0" w:line="2" w:lineRule="exact"/>
        <w:rPr>
          <w:sz w:val="20"/>
          <w:szCs w:val="20"/>
          <w:color w:val="auto"/>
        </w:rPr>
      </w:pPr>
    </w:p>
    <w:p>
      <w:pPr>
        <w:ind w:left="300" w:right="60"/>
        <w:spacing w:after="0" w:line="285" w:lineRule="auto"/>
        <w:rPr>
          <w:sz w:val="20"/>
          <w:szCs w:val="20"/>
          <w:color w:val="auto"/>
        </w:rPr>
      </w:pPr>
      <w:r>
        <w:rPr>
          <w:rFonts w:ascii="Arial" w:cs="Arial" w:eastAsia="Arial" w:hAnsi="Arial"/>
          <w:sz w:val="16"/>
          <w:szCs w:val="16"/>
          <w:color w:val="auto"/>
        </w:rPr>
        <w:t xml:space="preserve">25-100µg. The most common tumor types were HR+/HER2+ breast, prostate, and ovarian cancer with a median of 5 lines of prior therapies (range 1-17). Most patients enrolled had a low level of PD-L1 expression in the tumor as determined by immunohistochemistry (97% patients with &lt;5% PD-L1 expression on tumor cells (TC) and 93% patients with &lt;5% expression on immune cell (IC)). The majority of adverse events were Grade 1 or Grade 2 and those occurring in more than 20% of patients included infusion related reaction (IRR), fatigue, cytokine release syndrome (CRS), nausea, and diarrhea. IRR and CRS were transient and reversible and presented primarily as Grade 1 or Grade 2 chills and fever. A single dose limiting toxicity of Grade 3 CRS occurred at the 100µg dose level. None of the patients discontinued RO7198457 (BNT122) due to AEs. RO1798457 (BNT122) induced pulsatile release of pro-inflammatory cytokines with each dose, consistent with TLR agonist activity of RNA.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T cell responses were detected in approximately 86% of patients treated with RO7198457 (BNT122) as a monotherapy. Analysis of MHC</w:t>
      </w:r>
      <w:r>
        <w:rPr>
          <w:rFonts w:ascii="Arial" w:cs="Arial" w:eastAsia="Arial" w:hAnsi="Arial"/>
          <w:sz w:val="16"/>
          <w:szCs w:val="16"/>
          <w:i w:val="1"/>
          <w:iCs w:val="1"/>
          <w:color w:val="auto"/>
        </w:rPr>
        <w:t xml:space="preserve"> </w:t>
      </w:r>
      <w:r>
        <w:rPr>
          <w:rFonts w:ascii="Arial" w:cs="Arial" w:eastAsia="Arial" w:hAnsi="Arial"/>
          <w:sz w:val="16"/>
          <w:szCs w:val="16"/>
          <w:color w:val="auto"/>
        </w:rPr>
        <w:t>multimers showed the induction of up to 5.3% neo-epitope specific CD8 T-cells with effector memory phenotype in the peripheral blood. RO7198457 (BNT122) induced T cells against multiple neoantigens were detected in post-treatment tumor biopsies. Of 26 patients that underwent at least one tumor assessment, one patient with gastric cancer and metastatic liver lesions had a durable best response of confirmed complete response and remains on study after 1.5 years (3.8%) and 12 patients had stable disease (46.2%).</w:t>
      </w:r>
    </w:p>
    <w:p>
      <w:pPr>
        <w:spacing w:after="0" w:line="172"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Also in June 2020, we presented data from 132 patients enrolled in cohorts with doses ranging from 15µg to 50µg of RO7198457 (BNT122) in combination with 1200mg atezolizumab. The most common tumor types enrolled were non-small cell lung cancer, or NSCLC, triple-negative breast cancer, or TNBC, melanoma and colon cancer with a median of three lines of prior therapies (range 1-11). Most patients enrolled had low levels of PD-L1 expression in the tumor as determined by immunohistochemistry (93% patients with &lt;5% PD-L1 expression on tumor cells (TC0/1) and 79% patients with &lt;5% PD-L1 expression on immune cell (IC0/1)).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55" w:lineRule="auto"/>
        <w:rPr>
          <w:sz w:val="20"/>
          <w:szCs w:val="20"/>
          <w:color w:val="auto"/>
        </w:rPr>
      </w:pPr>
      <w:r>
        <w:rPr>
          <w:rFonts w:ascii="Arial" w:cs="Arial" w:eastAsia="Arial" w:hAnsi="Arial"/>
          <w:sz w:val="18"/>
          <w:szCs w:val="18"/>
          <w:color w:val="auto"/>
        </w:rPr>
        <w:t>majority of adverse events were Grade 1 or Grade 2 and those occurring in more than 15% of patients included infusion related reaction (IRR), fatigue, nausea, cytokine release syndrome (CRS) and diarrhea. IRR and CRS were transient and reversible and presented primarily as Grade 1 or Grade 2 chills and fever. There were no dose</w:t>
      </w:r>
    </w:p>
    <w:p>
      <w:pPr>
        <w:spacing w:after="0" w:line="3" w:lineRule="exact"/>
        <w:rPr>
          <w:sz w:val="20"/>
          <w:szCs w:val="20"/>
          <w:color w:val="auto"/>
        </w:rPr>
      </w:pPr>
    </w:p>
    <w:p>
      <w:pPr>
        <w:ind w:left="300" w:right="20"/>
        <w:spacing w:after="0" w:line="270" w:lineRule="auto"/>
        <w:rPr>
          <w:sz w:val="20"/>
          <w:szCs w:val="20"/>
          <w:color w:val="auto"/>
        </w:rPr>
      </w:pPr>
      <w:r>
        <w:rPr>
          <w:rFonts w:ascii="Arial" w:cs="Arial" w:eastAsia="Arial" w:hAnsi="Arial"/>
          <w:sz w:val="17"/>
          <w:szCs w:val="17"/>
          <w:color w:val="auto"/>
        </w:rPr>
        <w:t xml:space="preserve">limiting toxicities. Eight patients (5.6%) discontinued due to AEs related to study drugs. RO1798457 (BNT122) induced a self-limiting increase of pro-inflammatory cytokines with each dose, consistent with the TLR agonist activity of RNA.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 cell responses were observed in peripheral blood in 46 out of 63 (73%) patients. Induction of up to 5.7% MHC multimer-stained CD8+ T-cells with effector memory phenotype was observed in the peripheral blood. RO7198457 (BNT122) induced T cells against multiple neoantigens were detected in post-treatment tumor biopsies. Of 108 patients that underwent at least one tumor assessment, 1 patient had a complete response as their best response (0.9%), 8 patients had partial responses (7.4%), and 53 patients had stable disease (49.1%).</w:t>
      </w:r>
    </w:p>
    <w:p>
      <w:pPr>
        <w:spacing w:after="0" w:line="178"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Based on data from our study of BNT121 as an adjunct to surgery in patients with metastatic melanoma, we believe that RO7198457 (BNT122) is potentially well suited to control metastatic relapses in patients with a lower tumor burden. Additionally, RO7198457 (BNT122) as a monotherapy and in combination with atezolizumab has been observed to have a manageable safety profile to date and to induce significant levels of neoantigen-specific immune responses, even in late-stage, heavily pre-treated patients. Accordingly, we and our collaborator, Genentech, intend to initiate two additional randomized Phase 2 trials in the second half of 2020 in early and adjuvant stage NSCLC and colorectal cancer, where we believe the mechanism of action of RO7198457 (BNT122) is best suited. We also continue to investigate RO7198457 (BNT122) in our ongoing Phase 2 trial in first line melanoma in combination with pembrolizumab.</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June 2020 Private Placement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June 29, 2020, we announced the signing of a private investment by a fund associated with Temasek Capital Management Pte. Ltd., or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Temasek, and another accredited investor, which investment we refer to as the June 2020 Private Placement. The June 2020 Private Placement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consisted of approximately €123.9 million ($138.9 million, using the exchange rate then in effect as published by the German Central Bank</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Deutsche Bundesbank</w:t>
      </w:r>
      <w:r>
        <w:rPr>
          <w:rFonts w:ascii="Arial" w:cs="Arial" w:eastAsia="Arial" w:hAnsi="Arial"/>
          <w:sz w:val="16"/>
          <w:szCs w:val="16"/>
          <w:color w:val="auto"/>
        </w:rPr>
        <w:t>)) in ordinary shares and a €100.0 million ($112.1 million, using the exchange rate then in effect as published by the German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four-year mandatory convertible note. Upon the closing of the June 2020 Private Placement, which is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expected to occur in August 2020, subject to customary closing conditions, the investors will receive an aggregate of 2,595,996 of our ordinary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shares and will be subject to a 180-day lock-up period. The four-year mandatory convertible note will have a coupon of 4.5% per annum and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conversion premium of 20% above the reference price.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Acquisition of Neon Therapeutics, Inc.</w:t>
      </w:r>
    </w:p>
    <w:p>
      <w:pPr>
        <w:spacing w:after="0" w:line="117"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On May 6, 2020, we announced the closing of our acquisition of Neon Therapeutics, Inc., or Neon, a biotechnology company developing novel neoantigen-based T cell therapies, through a stock transaction and including de minimis cash consideration, or the Merger. The Merger was first announced on January 16, 2020. Neon, now BioNTech US Inc., or BioNTech US, is operated as our wholly owned subsidiary. The transaction combines two organizations with a common culture of pioneering translational science and a shared vision for the future of cancer immunotherapy. Through the acquisition, we leverage Neon’s deep expertise in the development of neoantigen therapies, with both vaccine and T-cell capabilities. Our most advanced program acquired in the Merger is NEO-PTC-01, a personalized neoantigen-targeted T cell therapy candidate consisting of multiple T cell populations targeting the most therapeutically relevant neoantigens from each patient’s tumor. We also acquired a precision T cell therapy program targeting shared neoantigens in genetically defined patient populations. The lead program from this approach, NEO-STC-01, is a T cell therapy candidate targeting shared RAS neoantigens. In addition, Neon had assembled libraries of high-quality TCRs against various shared neoantigens across common HLAs. This pipeline is underpinned by Neon’s platform technologies including RECON</w:t>
      </w:r>
      <w:r>
        <w:rPr>
          <w:rFonts w:ascii="Arial" w:cs="Arial" w:eastAsia="Arial" w:hAnsi="Arial"/>
          <w:sz w:val="13"/>
          <w:szCs w:val="13"/>
          <w:color w:val="auto"/>
        </w:rPr>
        <w:t>®</w:t>
      </w:r>
      <w:r>
        <w:rPr>
          <w:rFonts w:ascii="Arial" w:cs="Arial" w:eastAsia="Arial" w:hAnsi="Arial"/>
          <w:sz w:val="16"/>
          <w:szCs w:val="16"/>
          <w:color w:val="auto"/>
        </w:rPr>
        <w:t>, its machine-learning bioinformatics platform, and NEO-STIM</w:t>
      </w:r>
      <w:r>
        <w:rPr>
          <w:rFonts w:ascii="Arial" w:cs="Arial" w:eastAsia="Arial" w:hAnsi="Arial"/>
          <w:sz w:val="13"/>
          <w:szCs w:val="13"/>
          <w:color w:val="auto"/>
        </w:rPr>
        <w:t>™</w:t>
      </w:r>
      <w:r>
        <w:rPr>
          <w:rFonts w:ascii="Arial" w:cs="Arial" w:eastAsia="Arial" w:hAnsi="Arial"/>
          <w:sz w:val="16"/>
          <w:szCs w:val="16"/>
          <w:color w:val="auto"/>
        </w:rPr>
        <w:t>, its proprietary process to directly prime, activate and expand neoantigen-targeting T cells ex vivo.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firstLine="426"/>
        <w:spacing w:after="0" w:line="258" w:lineRule="auto"/>
        <w:rPr>
          <w:sz w:val="20"/>
          <w:szCs w:val="20"/>
          <w:color w:val="auto"/>
        </w:rPr>
      </w:pPr>
      <w:r>
        <w:rPr>
          <w:rFonts w:ascii="Arial" w:cs="Arial" w:eastAsia="Arial" w:hAnsi="Arial"/>
          <w:sz w:val="18"/>
          <w:szCs w:val="18"/>
          <w:color w:val="auto"/>
        </w:rPr>
        <w:t>Based on the acquisition date share price, the implied aggregate value of the Merger consideration was approximately €89.9 million ($97.1 million) financed by issuing new ordinary shares as a stock transaction and</w:t>
      </w:r>
    </w:p>
    <w:p>
      <w:pPr>
        <w:spacing w:after="0" w:line="1" w:lineRule="exact"/>
        <w:rPr>
          <w:sz w:val="20"/>
          <w:szCs w:val="20"/>
          <w:color w:val="auto"/>
        </w:rPr>
      </w:pPr>
    </w:p>
    <w:p>
      <w:pPr>
        <w:ind w:left="300" w:right="200"/>
        <w:spacing w:after="0" w:line="260" w:lineRule="auto"/>
        <w:rPr>
          <w:sz w:val="20"/>
          <w:szCs w:val="20"/>
          <w:color w:val="auto"/>
        </w:rPr>
      </w:pPr>
      <w:r>
        <w:rPr>
          <w:rFonts w:ascii="Arial" w:cs="Arial" w:eastAsia="Arial" w:hAnsi="Arial"/>
          <w:sz w:val="18"/>
          <w:szCs w:val="18"/>
          <w:color w:val="auto"/>
        </w:rPr>
        <w:t>including a de minimis cash consideration which was paid to settle Neon’s outstanding stock options. The new subsidiary is based in Cambridge, Massachusetts and serves as our U.S. headquarters.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as a pandemic, which continues to spread throughout the United States, the European Union and around the world. As we advance our clinical programs, we are in close contact with our principal investigators and clinical sites, which are located in jurisdictions affected by the COVID-19 pandemic, and are assessing the impact of the COVID-19 pandemic on our clinical trials, expected timelines and costs on an ongoing basis. In light of recent developments relating to the COVID-19 pandemic, the primary focus of healthcare providers and hospitals is currently on fighting the novel coronavirus. In addition, in response to the spread of COVID-19, we have modified our business practices, including restricting employee travel, developing social distancing plans for our employees and cancelling physical participation in meetings, events and conferences. In addition, for certain of our earlier-stage programs, including BNT141 and BNT142 (RiboMabs), BNT151 and BNT152/153 (RiboCytokines), BNT161 (Influenza), BNT171 (Rare Disease) and BNT411 (TLR7), we have delayed commencement of trials, experienced slowed patient enrollment or experienced other delays as a result of the COVID-19 pandemic. This partial disruption, even temporary, may severely impact our operations and overall business by delaying the progress of our clinical trials and preclinical studies. All anticipated milestones set forth in this prospectus are subject to further future adjustment as a result of the COVID-19 pandemic. See “Risk Factors.”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section of this prospectus titled “Risk Factors” immediately following this prospectus summary and in the section titled “Risk Factors” in our Annual Report on Form 20-F for the year ended December 31, 2019, incorporated by reference herein. These risks include, but are not limited to, the following:</w:t>
      </w:r>
    </w:p>
    <w:p>
      <w:pPr>
        <w:spacing w:after="0" w:line="92" w:lineRule="exact"/>
        <w:rPr>
          <w:sz w:val="20"/>
          <w:szCs w:val="20"/>
          <w:color w:val="auto"/>
        </w:rPr>
      </w:pPr>
    </w:p>
    <w:p>
      <w:pPr>
        <w:ind w:left="1240" w:right="100" w:hanging="415"/>
        <w:spacing w:after="0" w:line="275"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Data from our COVID-19 vaccine development program is not predictive of the safety or efficacy of any vaccine candidate. Even if a COVID-19 vaccine is approved for use, we will need to devote significant resources to scale-up our manufacturing and distribution capabilities, which would divert resources away from our other clinical and preclinical programs. Even if a COVID-19 vaccine is approved for use, there can be no assurance that it would ever become profitable, due to, among other things, government interest, public perception regarding a vaccine and competing treatments being developed.</w:t>
      </w:r>
    </w:p>
    <w:p>
      <w:pPr>
        <w:spacing w:after="0" w:line="81" w:lineRule="exact"/>
        <w:rPr>
          <w:rFonts w:ascii="Arial" w:cs="Arial" w:eastAsia="Arial" w:hAnsi="Arial"/>
          <w:sz w:val="17"/>
          <w:szCs w:val="17"/>
          <w:color w:val="auto"/>
        </w:rPr>
      </w:pPr>
    </w:p>
    <w:p>
      <w:pPr>
        <w:ind w:left="1240" w:right="6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no pharmaceutical products approved for commercial sale. We have incurred significant losses since our inception and we anticipate that we will continue to incur significant losses for the foreseeable future, which makes it difficult to assess our future viability.</w:t>
      </w:r>
    </w:p>
    <w:p>
      <w:pPr>
        <w:spacing w:after="0" w:line="89" w:lineRule="exact"/>
        <w:rPr>
          <w:rFonts w:ascii="Arial" w:cs="Arial" w:eastAsia="Arial" w:hAnsi="Arial"/>
          <w:sz w:val="18"/>
          <w:szCs w:val="18"/>
          <w:color w:val="auto"/>
        </w:rPr>
      </w:pPr>
    </w:p>
    <w:p>
      <w:pPr>
        <w:jc w:val="both"/>
        <w:ind w:left="1240" w:right="140" w:hanging="415"/>
        <w:spacing w:after="0" w:line="342" w:lineRule="auto"/>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29" w:lineRule="exact"/>
        <w:rPr>
          <w:rFonts w:ascii="Arial" w:cs="Arial" w:eastAsia="Arial" w:hAnsi="Arial"/>
          <w:sz w:val="16"/>
          <w:szCs w:val="16"/>
          <w:color w:val="auto"/>
        </w:rPr>
      </w:pPr>
    </w:p>
    <w:p>
      <w:pPr>
        <w:ind w:left="1240" w:right="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develop and expand our company, and we may encounter difficulties in managing this development and expansion, which could disrupt our operations.</w:t>
      </w:r>
    </w:p>
    <w:p>
      <w:pPr>
        <w:spacing w:after="0" w:line="75" w:lineRule="exact"/>
        <w:rPr>
          <w:rFonts w:ascii="Arial" w:cs="Arial" w:eastAsia="Arial" w:hAnsi="Arial"/>
          <w:sz w:val="18"/>
          <w:szCs w:val="18"/>
          <w:color w:val="auto"/>
        </w:rPr>
      </w:pPr>
    </w:p>
    <w:p>
      <w:pPr>
        <w:ind w:left="1240" w:right="340" w:hanging="415"/>
        <w:spacing w:after="0" w:line="308"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mRNA immunotherapy has been approved, and none may ever be approved. mRNA drug development has substantial clinical development and regulatory risks due to the novel and unprecedented nature of this new category of therapeutics.</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89" w:lineRule="exact"/>
        <w:rPr>
          <w:rFonts w:ascii="Arial" w:cs="Arial" w:eastAsia="Arial" w:hAnsi="Arial"/>
          <w:sz w:val="18"/>
          <w:szCs w:val="18"/>
          <w:color w:val="auto"/>
        </w:rPr>
      </w:pPr>
    </w:p>
    <w:p>
      <w:pPr>
        <w:ind w:left="1240" w:right="180" w:hanging="415"/>
        <w:spacing w:after="0" w:line="259"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92" w:lineRule="exact"/>
        <w:rPr>
          <w:rFonts w:ascii="Arial" w:cs="Arial" w:eastAsia="Arial" w:hAnsi="Arial"/>
          <w:sz w:val="18"/>
          <w:szCs w:val="18"/>
          <w:color w:val="auto"/>
        </w:rPr>
      </w:pPr>
    </w:p>
    <w:p>
      <w:pPr>
        <w:ind w:left="1240" w:right="22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risks related to health epidemics, such as the current COVID-19 outbreak, that could adversely affect our operations.</w:t>
      </w:r>
    </w:p>
    <w:p>
      <w:pPr>
        <w:spacing w:after="0" w:line="142" w:lineRule="exact"/>
        <w:rPr>
          <w:rFonts w:ascii="Arial" w:cs="Arial" w:eastAsia="Arial" w:hAnsi="Arial"/>
          <w:sz w:val="17"/>
          <w:szCs w:val="17"/>
          <w:color w:val="auto"/>
        </w:rPr>
      </w:pPr>
    </w:p>
    <w:p>
      <w:pPr>
        <w:jc w:val="both"/>
        <w:ind w:left="1240" w:right="2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planned clinical trials or those of our collaborators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89" w:lineRule="exact"/>
        <w:rPr>
          <w:rFonts w:ascii="Arial" w:cs="Arial" w:eastAsia="Arial" w:hAnsi="Arial"/>
          <w:sz w:val="18"/>
          <w:szCs w:val="18"/>
          <w:color w:val="auto"/>
        </w:rPr>
      </w:pPr>
    </w:p>
    <w:p>
      <w:pPr>
        <w:ind w:left="1240" w:hanging="415"/>
        <w:spacing w:after="0" w:line="25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93" w:lineRule="exact"/>
        <w:rPr>
          <w:rFonts w:ascii="Arial" w:cs="Arial" w:eastAsia="Arial" w:hAnsi="Arial"/>
          <w:sz w:val="18"/>
          <w:szCs w:val="18"/>
          <w:color w:val="auto"/>
        </w:rPr>
      </w:pPr>
    </w:p>
    <w:p>
      <w:pPr>
        <w:ind w:left="1240" w:right="12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under applicable international regulatory requirements. The denial or delay of such approval would delay commercialization of our product candidates and adversely impact our potential to generate revenue, our business and our results of operations.</w:t>
      </w:r>
    </w:p>
    <w:p>
      <w:pPr>
        <w:spacing w:after="0" w:line="89" w:lineRule="exact"/>
        <w:rPr>
          <w:rFonts w:ascii="Arial" w:cs="Arial" w:eastAsia="Arial" w:hAnsi="Arial"/>
          <w:sz w:val="18"/>
          <w:szCs w:val="18"/>
          <w:color w:val="auto"/>
        </w:rPr>
      </w:pPr>
    </w:p>
    <w:p>
      <w:pPr>
        <w:jc w:val="both"/>
        <w:ind w:left="1240" w:right="4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89" w:lineRule="exact"/>
        <w:rPr>
          <w:rFonts w:ascii="Arial" w:cs="Arial" w:eastAsia="Arial" w:hAnsi="Arial"/>
          <w:sz w:val="18"/>
          <w:szCs w:val="18"/>
          <w:color w:val="auto"/>
        </w:rPr>
      </w:pPr>
    </w:p>
    <w:p>
      <w:pPr>
        <w:ind w:left="1240" w:right="2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obtain regulatory approval for our product candidates, the products may not gain the market acceptance among physicians, patients, hospitals, cancer treatment centers and others in the medical community necessary for commercial success.</w:t>
      </w:r>
    </w:p>
    <w:p>
      <w:pPr>
        <w:spacing w:after="0" w:line="29" w:lineRule="exact"/>
        <w:rPr>
          <w:rFonts w:ascii="Arial" w:cs="Arial" w:eastAsia="Arial" w:hAnsi="Arial"/>
          <w:sz w:val="16"/>
          <w:szCs w:val="16"/>
          <w:color w:val="auto"/>
        </w:rPr>
      </w:pPr>
    </w:p>
    <w:p>
      <w:pPr>
        <w:jc w:val="both"/>
        <w:ind w:left="1240" w:hanging="415"/>
        <w:spacing w:after="0" w:line="259"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mRNA product candidates are based on novel technologies and any product candidates we develop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92" w:lineRule="exact"/>
        <w:rPr>
          <w:rFonts w:ascii="Arial" w:cs="Arial" w:eastAsia="Arial" w:hAnsi="Arial"/>
          <w:sz w:val="18"/>
          <w:szCs w:val="18"/>
          <w:color w:val="auto"/>
        </w:rPr>
      </w:pPr>
    </w:p>
    <w:p>
      <w:pPr>
        <w:ind w:left="1240" w:right="520" w:hanging="415"/>
        <w:spacing w:after="0" w:line="301"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our product candidates for clinical trials or our products for patients, if approved, could be delayed or stopped, or we may be unable to maintain a commercially viable cost structure.</w:t>
      </w:r>
    </w:p>
    <w:p>
      <w:pPr>
        <w:spacing w:after="0" w:line="62" w:lineRule="exact"/>
        <w:rPr>
          <w:rFonts w:ascii="Arial" w:cs="Arial" w:eastAsia="Arial" w:hAnsi="Arial"/>
          <w:sz w:val="16"/>
          <w:szCs w:val="16"/>
          <w:color w:val="auto"/>
        </w:rPr>
      </w:pPr>
    </w:p>
    <w:p>
      <w:pPr>
        <w:ind w:left="1240" w:right="50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several arrangements with a related party for the performance of nonclinical research programs, and these arrangements present potential conflicts of interest.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40" w:hanging="415"/>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 candidates.</w:t>
      </w:r>
    </w:p>
    <w:p>
      <w:pPr>
        <w:spacing w:after="0" w:line="89" w:lineRule="exact"/>
        <w:rPr>
          <w:rFonts w:ascii="Arial" w:cs="Arial" w:eastAsia="Arial" w:hAnsi="Arial"/>
          <w:sz w:val="18"/>
          <w:szCs w:val="18"/>
          <w:color w:val="auto"/>
        </w:rPr>
      </w:pPr>
    </w:p>
    <w:p>
      <w:pPr>
        <w:ind w:left="1240" w:right="6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efforts to obtain, maintain, protect, defend and/or enforce the intellectual property related to our product candidates and technologies are not adequate, we may not be able to compete effectively in our market.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fully realize the anticipated benefits of the Neon acquisition or realize such benefits within the timing anticipated.</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price of the ADSs may be volatile and fluctuate substantially, which could result in substantial losses for purchasers of the ADSs.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We were incorporated on June 2, 2008 as Petersberg 91, V V AG, a German stock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We changed our name to BioNTech AG on December 11, 2008. On March 8, 2019, we converted to a European stock corporation (</w:t>
      </w:r>
      <w:r>
        <w:rPr>
          <w:rFonts w:ascii="Arial" w:cs="Arial" w:eastAsia="Arial" w:hAnsi="Arial"/>
          <w:sz w:val="17"/>
          <w:szCs w:val="17"/>
          <w:i w:val="1"/>
          <w:iCs w:val="1"/>
          <w:color w:val="auto"/>
        </w:rPr>
        <w:t>Societas Europaea</w:t>
      </w:r>
      <w:r>
        <w:rPr>
          <w:rFonts w:ascii="Arial" w:cs="Arial" w:eastAsia="Arial" w:hAnsi="Arial"/>
          <w:sz w:val="17"/>
          <w:szCs w:val="17"/>
          <w:color w:val="auto"/>
        </w:rPr>
        <w:t>, or SE) under the laws of Germany and the European Union called BioNTech SE. We completed our initial public offering in October 2019. ADSs representing our ordinary shares are currently listed on the Nasdaq Global Select Market under the symbol “BNTX.”</w:t>
      </w:r>
    </w:p>
    <w:p>
      <w:pPr>
        <w:spacing w:after="0" w:line="171" w:lineRule="exact"/>
        <w:rPr>
          <w:sz w:val="20"/>
          <w:szCs w:val="20"/>
          <w:color w:val="auto"/>
        </w:rPr>
      </w:pPr>
    </w:p>
    <w:p>
      <w:pPr>
        <w:jc w:val="both"/>
        <w:ind w:left="300" w:right="140" w:firstLine="426"/>
        <w:spacing w:after="0" w:line="286" w:lineRule="auto"/>
        <w:rPr>
          <w:sz w:val="20"/>
          <w:szCs w:val="20"/>
          <w:color w:val="auto"/>
        </w:rPr>
      </w:pPr>
      <w:r>
        <w:rPr>
          <w:rFonts w:ascii="Arial" w:cs="Arial" w:eastAsia="Arial" w:hAnsi="Arial"/>
          <w:sz w:val="17"/>
          <w:szCs w:val="17"/>
          <w:color w:val="auto"/>
        </w:rPr>
        <w:t>Our principal executive offices are located at An der Goldgrube 12, D-55131 Mainz, Germany. Our telephone number is +49 6131-9084-0. Our website address is http://www.biontech.de. The information contained on, or that can be accessed through, our website is not incorporated by reference into this prospectus. We have included our website address as an inactive textual reference only.</w:t>
      </w:r>
    </w:p>
    <w:p>
      <w:pPr>
        <w:spacing w:after="0" w:line="269" w:lineRule="exact"/>
        <w:rPr>
          <w:sz w:val="20"/>
          <w:szCs w:val="20"/>
          <w:color w:val="auto"/>
        </w:rPr>
      </w:pPr>
    </w:p>
    <w:p>
      <w:pPr>
        <w:ind w:left="300" w:right="4280"/>
        <w:spacing w:after="0" w:line="378" w:lineRule="auto"/>
        <w:rPr>
          <w:sz w:val="20"/>
          <w:szCs w:val="20"/>
          <w:color w:val="auto"/>
        </w:rPr>
      </w:pPr>
      <w:r>
        <w:rPr>
          <w:rFonts w:ascii="Arial" w:cs="Arial" w:eastAsia="Arial" w:hAnsi="Arial"/>
          <w:sz w:val="18"/>
          <w:szCs w:val="18"/>
          <w:b w:val="1"/>
          <w:bCs w:val="1"/>
          <w:color w:val="auto"/>
        </w:rPr>
        <w:t xml:space="preserve">Implications of Being an Emerging Growth Company and a Foreign Private Issuer </w:t>
      </w:r>
      <w:r>
        <w:rPr>
          <w:rFonts w:ascii="Arial" w:cs="Arial" w:eastAsia="Arial" w:hAnsi="Arial"/>
          <w:sz w:val="18"/>
          <w:szCs w:val="18"/>
          <w:b w:val="1"/>
          <w:bCs w:val="1"/>
          <w:i w:val="1"/>
          <w:iCs w:val="1"/>
          <w:color w:val="auto"/>
        </w:rPr>
        <w:t>Emerging Growth Company</w:t>
      </w:r>
    </w:p>
    <w:p>
      <w:pPr>
        <w:jc w:val="both"/>
        <w:ind w:left="300" w:right="340" w:firstLine="426"/>
        <w:spacing w:after="0" w:line="311" w:lineRule="auto"/>
        <w:rPr>
          <w:sz w:val="20"/>
          <w:szCs w:val="20"/>
          <w:color w:val="auto"/>
        </w:rPr>
      </w:pPr>
      <w:r>
        <w:rPr>
          <w:rFonts w:ascii="Arial" w:cs="Arial" w:eastAsia="Arial" w:hAnsi="Arial"/>
          <w:sz w:val="16"/>
          <w:szCs w:val="16"/>
          <w:color w:val="auto"/>
        </w:rPr>
        <w:t>As a company with less than $1.07 billion in revenue during our last fiscal year, we are an “emerging growth company” as defined in the Jumpstart Our Business Startups Act of 2012, or the JOBS Act. As such, we may take advantage of certain exemptions from various reporting requirements that are applicable to publicly traded entities that are not emerging growth companies. These exemptions include:</w:t>
      </w:r>
    </w:p>
    <w:p>
      <w:pPr>
        <w:spacing w:after="0" w:line="54" w:lineRule="exact"/>
        <w:rPr>
          <w:sz w:val="20"/>
          <w:szCs w:val="20"/>
          <w:color w:val="auto"/>
        </w:rPr>
      </w:pPr>
    </w:p>
    <w:p>
      <w:pPr>
        <w:ind w:left="1240" w:right="4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as amended;</w:t>
      </w:r>
    </w:p>
    <w:p>
      <w:pPr>
        <w:spacing w:after="0" w:line="75" w:lineRule="exact"/>
        <w:rPr>
          <w:rFonts w:ascii="Arial" w:cs="Arial" w:eastAsia="Arial" w:hAnsi="Arial"/>
          <w:sz w:val="18"/>
          <w:szCs w:val="18"/>
          <w:color w:val="auto"/>
        </w:rPr>
      </w:pPr>
    </w:p>
    <w:p>
      <w:pPr>
        <w:ind w:left="1240" w:right="6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 and</w:t>
      </w:r>
    </w:p>
    <w:p>
      <w:pPr>
        <w:spacing w:after="0" w:line="89" w:lineRule="exact"/>
        <w:rPr>
          <w:rFonts w:ascii="Arial" w:cs="Arial" w:eastAsia="Arial" w:hAnsi="Arial"/>
          <w:sz w:val="18"/>
          <w:szCs w:val="18"/>
          <w:color w:val="auto"/>
        </w:rPr>
      </w:pPr>
    </w:p>
    <w:p>
      <w:pPr>
        <w:ind w:left="1240" w:right="20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exemption from compliance with the requirement that the Public Company Accounting Oversight Board has adopted regarding a supplement to the auditor’s report providing additional information about the audit and the financial statements.</w:t>
      </w:r>
    </w:p>
    <w:p>
      <w:pPr>
        <w:spacing w:after="0" w:line="146"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As a result, the information contained in this prospectus may be different from the information you receive from other public companies in which you hold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IASB.</w:t>
      </w:r>
    </w:p>
    <w:p>
      <w:pPr>
        <w:spacing w:after="0" w:line="188" w:lineRule="exact"/>
        <w:rPr>
          <w:sz w:val="20"/>
          <w:szCs w:val="20"/>
          <w:color w:val="auto"/>
        </w:rPr>
      </w:pPr>
    </w:p>
    <w:p>
      <w:pPr>
        <w:ind w:left="300" w:right="180" w:firstLine="426"/>
        <w:spacing w:after="0" w:line="285" w:lineRule="auto"/>
        <w:rPr>
          <w:sz w:val="20"/>
          <w:szCs w:val="20"/>
          <w:color w:val="auto"/>
        </w:rPr>
      </w:pPr>
      <w:r>
        <w:rPr>
          <w:rFonts w:ascii="Arial" w:cs="Arial" w:eastAsia="Arial" w:hAnsi="Arial"/>
          <w:sz w:val="16"/>
          <w:szCs w:val="16"/>
          <w:color w:val="auto"/>
        </w:rPr>
        <w:t>We may take advantage of these provisions for up to five years from the completion of our initial public offering or until such earlier time that we are no longer an emerging growth company. We would cease to be an emerging growth company upon the earliest to occur of: (i) the last day of the first fiscal year in which our annual gross revenues exceed $1.07 billion, (ii) the date on which we have issued more than $1 billion in non-convertible debt securities during the previous three years and (iii) the first day of the year following the first year in which, as of the last business day of our most recently completed second fiscal quarter, the market value of our common equity held by non-affiliates exceeds</w:t>
      </w:r>
    </w:p>
    <w:p>
      <w:pPr>
        <w:spacing w:after="0" w:line="2" w:lineRule="exact"/>
        <w:rPr>
          <w:sz w:val="20"/>
          <w:szCs w:val="20"/>
          <w:color w:val="auto"/>
        </w:rPr>
      </w:pPr>
    </w:p>
    <w:p>
      <w:pPr>
        <w:ind w:left="300" w:right="20"/>
        <w:spacing w:after="0" w:line="288" w:lineRule="auto"/>
        <w:rPr>
          <w:sz w:val="20"/>
          <w:szCs w:val="20"/>
          <w:color w:val="auto"/>
        </w:rPr>
      </w:pPr>
      <w:r>
        <w:rPr>
          <w:rFonts w:ascii="Arial" w:cs="Arial" w:eastAsia="Arial" w:hAnsi="Arial"/>
          <w:sz w:val="16"/>
          <w:szCs w:val="16"/>
          <w:color w:val="auto"/>
        </w:rPr>
        <w:t>$700 million. As of June 30, 2020, which was the last business day of our most recently completed second fiscal quarter, the market value of our common equity held by non-affiliates exceeded $700 million. Consequently, we expect that we will cease to be an emerging growth company no later than December 31, 2020, and we expect to qualify as a large accelerated filer as of that date. As a result, we expect that, as of December 31, 2020, we will be required to adhere to, among other things, the auditor attestation requirement in the assessment of internal control over financial reporting and compliance with the requirement that the Public Company Accounting Oversight Board has adopted regarding a supplement to the auditor’s report providing additional information about the audit and the financial statements. For additional information, please see “Risk Factors” in our Annual Report on Form 20-F for the year ended December 31, 2019, incorporated by reference herein.</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17" w:lineRule="exact"/>
        <w:rPr>
          <w:sz w:val="20"/>
          <w:szCs w:val="20"/>
          <w:color w:val="auto"/>
        </w:rPr>
      </w:pPr>
    </w:p>
    <w:p>
      <w:pPr>
        <w:ind w:left="300" w:right="160" w:firstLine="426"/>
        <w:spacing w:after="0" w:line="311" w:lineRule="auto"/>
        <w:rPr>
          <w:sz w:val="20"/>
          <w:szCs w:val="20"/>
          <w:color w:val="auto"/>
        </w:rPr>
      </w:pPr>
      <w:r>
        <w:rPr>
          <w:rFonts w:ascii="Arial" w:cs="Arial" w:eastAsia="Arial" w:hAnsi="Arial"/>
          <w:sz w:val="16"/>
          <w:szCs w:val="16"/>
          <w:color w:val="auto"/>
        </w:rPr>
        <w:t>We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are exempt from certain provisions of the Exchange Act that are applicable to U.S. domestic public companies, including:</w:t>
      </w:r>
    </w:p>
    <w:p>
      <w:pPr>
        <w:spacing w:after="0" w:line="54"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the SEC, of quarterly reports on Form 10-Q containing unaudited financial statements and other specified information, and current reports on Form 8-K upon the occurrence of specified significant events.</w:t>
      </w:r>
    </w:p>
    <w:p>
      <w:pPr>
        <w:spacing w:after="0" w:line="184" w:lineRule="exact"/>
        <w:rPr>
          <w:sz w:val="20"/>
          <w:szCs w:val="20"/>
          <w:color w:val="auto"/>
        </w:rPr>
      </w:pPr>
    </w:p>
    <w:p>
      <w:pPr>
        <w:ind w:left="300" w:right="60" w:firstLine="426"/>
        <w:spacing w:after="0" w:line="342" w:lineRule="auto"/>
        <w:rPr>
          <w:sz w:val="20"/>
          <w:szCs w:val="20"/>
          <w:color w:val="auto"/>
        </w:rPr>
      </w:pPr>
      <w:r>
        <w:rPr>
          <w:rFonts w:ascii="Arial" w:cs="Arial" w:eastAsia="Arial" w:hAnsi="Arial"/>
          <w:sz w:val="16"/>
          <w:szCs w:val="16"/>
          <w:color w:val="auto"/>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24" w:lineRule="exact"/>
        <w:rPr>
          <w:sz w:val="20"/>
          <w:szCs w:val="20"/>
          <w:color w:val="auto"/>
        </w:rPr>
      </w:pPr>
    </w:p>
    <w:p>
      <w:pPr>
        <w:ind w:left="300" w:right="420" w:firstLine="426"/>
        <w:spacing w:after="0" w:line="263"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247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1247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740"/>
        <w:spacing w:after="0" w:line="277" w:lineRule="auto"/>
        <w:rPr>
          <w:sz w:val="20"/>
          <w:szCs w:val="20"/>
          <w:color w:val="auto"/>
        </w:rPr>
      </w:pPr>
      <w:r>
        <w:rPr>
          <w:rFonts w:ascii="Arial" w:cs="Arial" w:eastAsia="Arial" w:hAnsi="Arial"/>
          <w:sz w:val="18"/>
          <w:szCs w:val="18"/>
          <w:color w:val="auto"/>
        </w:rPr>
        <w:t>officers or directors are U.S. citizens or residents, (ii) more than 50% of our assets are located in the United States or (iii) our business is administered principally in the United States.</w:t>
      </w:r>
    </w:p>
    <w:p>
      <w:pPr>
        <w:spacing w:after="0" w:line="170"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as long as we remain a foreign private issuer, even after we no longer qualify as an emerging growth company,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UNDERWRITTEN OFFERING</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Public offering price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$93.00 per ADS.</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2880"/>
        <w:spacing w:after="0"/>
        <w:rPr>
          <w:sz w:val="20"/>
          <w:szCs w:val="20"/>
          <w:color w:val="auto"/>
        </w:rPr>
      </w:pPr>
      <w:r>
        <w:rPr>
          <w:rFonts w:ascii="Arial" w:cs="Arial" w:eastAsia="Arial" w:hAnsi="Arial"/>
          <w:sz w:val="16"/>
          <w:szCs w:val="16"/>
          <w:color w:val="auto"/>
        </w:rPr>
        <w:t>5,500,000 ADSs, each representing one ordinary share</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Selling Shareholder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MIG Verwaltungs AG, through MIG GmbH &amp; Co. Fonds 7 KG, MIG GmbH &amp; Co. Fonds 8 KG and MIG GmbH &amp; Co. Fonds 9 KG</w:t>
      </w:r>
    </w:p>
    <w:p>
      <w:pPr>
        <w:spacing w:after="0" w:line="197"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80" w:right="1260" w:hanging="78"/>
        <w:spacing w:after="0" w:line="277" w:lineRule="auto"/>
        <w:rPr>
          <w:sz w:val="20"/>
          <w:szCs w:val="20"/>
          <w:color w:val="auto"/>
        </w:rPr>
      </w:pPr>
      <w:r>
        <w:rPr>
          <w:rFonts w:ascii="Arial" w:cs="Arial" w:eastAsia="Arial" w:hAnsi="Arial"/>
          <w:sz w:val="18"/>
          <w:szCs w:val="18"/>
          <w:color w:val="auto"/>
        </w:rPr>
        <w:t>Ordinary shares to be outstanding immediately after the 238,173,455 ordinary shares, including ordinary shares represented by ADSs Underwritten Offering</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Option to purchase additional ADSs</w:t>
            </w:r>
          </w:p>
        </w:tc>
        <w:tc>
          <w:tcPr>
            <w:tcW w:w="7520" w:type="dxa"/>
            <w:vAlign w:val="bottom"/>
          </w:tcPr>
          <w:p>
            <w:pPr>
              <w:ind w:left="720"/>
              <w:spacing w:after="0"/>
              <w:rPr>
                <w:sz w:val="20"/>
                <w:szCs w:val="20"/>
                <w:color w:val="auto"/>
              </w:rPr>
            </w:pPr>
            <w:r>
              <w:rPr>
                <w:rFonts w:ascii="Arial" w:cs="Arial" w:eastAsia="Arial" w:hAnsi="Arial"/>
                <w:sz w:val="18"/>
                <w:szCs w:val="18"/>
                <w:color w:val="auto"/>
                <w:w w:val="95"/>
              </w:rPr>
              <w:t>The underwriters have an option, exercisable for a period of 30 days after the date of this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6"/>
              </w:rPr>
              <w:t>prospectus, to purchase an aggregate of up to 825,000 additional ADSs from the Selling</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Shareholder.</w:t>
            </w:r>
          </w:p>
        </w:tc>
      </w:tr>
      <w:tr>
        <w:trPr>
          <w:trHeight w:val="445"/>
        </w:trPr>
        <w:tc>
          <w:tcPr>
            <w:tcW w:w="3500" w:type="dxa"/>
            <w:vAlign w:val="bottom"/>
          </w:tcPr>
          <w:p>
            <w:pPr>
              <w:ind w:left="180"/>
              <w:spacing w:after="0"/>
              <w:rPr>
                <w:sz w:val="20"/>
                <w:szCs w:val="20"/>
                <w:color w:val="auto"/>
              </w:rPr>
            </w:pPr>
            <w:r>
              <w:rPr>
                <w:rFonts w:ascii="Arial" w:cs="Arial" w:eastAsia="Arial" w:hAnsi="Arial"/>
                <w:sz w:val="18"/>
                <w:szCs w:val="18"/>
                <w:color w:val="auto"/>
              </w:rPr>
              <w:t>American Depositary Shares</w:t>
            </w:r>
          </w:p>
        </w:tc>
        <w:tc>
          <w:tcPr>
            <w:tcW w:w="7520" w:type="dxa"/>
            <w:vAlign w:val="bottom"/>
          </w:tcPr>
          <w:p>
            <w:pPr>
              <w:ind w:left="720"/>
              <w:spacing w:after="0"/>
              <w:rPr>
                <w:sz w:val="20"/>
                <w:szCs w:val="20"/>
                <w:color w:val="auto"/>
              </w:rPr>
            </w:pPr>
            <w:r>
              <w:rPr>
                <w:rFonts w:ascii="Arial" w:cs="Arial" w:eastAsia="Arial" w:hAnsi="Arial"/>
                <w:sz w:val="18"/>
                <w:szCs w:val="18"/>
                <w:color w:val="auto"/>
              </w:rPr>
              <w:t>The underwriters will deliver American Depositary Shares, or the ADSs. Each ADS</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represents one of our ordinary shares, no par value per share.</w:t>
            </w:r>
          </w:p>
        </w:tc>
      </w:tr>
      <w:tr>
        <w:trPr>
          <w:trHeight w:val="445"/>
        </w:trPr>
        <w:tc>
          <w:tcPr>
            <w:tcW w:w="3500" w:type="dxa"/>
            <w:vAlign w:val="bottom"/>
          </w:tcPr>
          <w:p>
            <w:pPr>
              <w:spacing w:after="0"/>
              <w:rPr>
                <w:sz w:val="24"/>
                <w:szCs w:val="24"/>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4"/>
              </w:rPr>
              <w:t>As an ADS holder, you will not be treated as one of our shareholders and you will not have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4"/>
              </w:rPr>
              <w:t>shareholder rights. The depositary, The Bank of New York Mellon, will be the holder of the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ordinary shares underlying the ADSs. You will have the rights of an ADS holder as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7"/>
              </w:rPr>
              <w:t>provided in the deposit agreement among us, the depositary and holders and beneficial</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owners of ADSs from time to time. To better understand the terms of the ADSs, see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5"/>
              </w:rPr>
              <w:t>“Description of American Depositary Shares.” We also encourage you to read the deposit</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5"/>
              </w:rPr>
              <w:t>agreement, the form of which is incorporated by reference as an exhibit to the registration</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statement of which this prospectus forms a part.</w:t>
            </w:r>
          </w:p>
        </w:tc>
      </w:tr>
      <w:tr>
        <w:trPr>
          <w:trHeight w:val="459"/>
        </w:trPr>
        <w:tc>
          <w:tcPr>
            <w:tcW w:w="350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7520" w:type="dxa"/>
            <w:vAlign w:val="bottom"/>
          </w:tcPr>
          <w:p>
            <w:pPr>
              <w:ind w:left="720"/>
              <w:spacing w:after="0"/>
              <w:rPr>
                <w:sz w:val="20"/>
                <w:szCs w:val="20"/>
                <w:color w:val="auto"/>
              </w:rPr>
            </w:pPr>
            <w:r>
              <w:rPr>
                <w:rFonts w:ascii="Arial" w:cs="Arial" w:eastAsia="Arial" w:hAnsi="Arial"/>
                <w:sz w:val="18"/>
                <w:szCs w:val="18"/>
                <w:color w:val="auto"/>
              </w:rPr>
              <w:t>The Bank of New York Mellon</w:t>
            </w:r>
          </w:p>
        </w:tc>
      </w:tr>
      <w:tr>
        <w:trPr>
          <w:trHeight w:val="458"/>
        </w:trPr>
        <w:tc>
          <w:tcPr>
            <w:tcW w:w="350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520" w:type="dxa"/>
            <w:vAlign w:val="bottom"/>
          </w:tcPr>
          <w:p>
            <w:pPr>
              <w:ind w:left="720"/>
              <w:spacing w:after="0"/>
              <w:rPr>
                <w:sz w:val="20"/>
                <w:szCs w:val="20"/>
                <w:color w:val="auto"/>
              </w:rPr>
            </w:pPr>
            <w:r>
              <w:rPr>
                <w:rFonts w:ascii="Arial" w:cs="Arial" w:eastAsia="Arial" w:hAnsi="Arial"/>
                <w:sz w:val="18"/>
                <w:szCs w:val="18"/>
                <w:color w:val="auto"/>
              </w:rPr>
              <w:t>See “Risk Factors” beginning on page 22 as well as the risk factors contained in our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Annual Report on Form 20-F for the year ended December 31, 2019 and the other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information contained in this prospectus or incorporated by reference herein for a</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discussion of factors you should consider before deciding to invest in the ADSs.</w:t>
            </w:r>
          </w:p>
        </w:tc>
      </w:tr>
      <w:tr>
        <w:trPr>
          <w:trHeight w:val="445"/>
        </w:trPr>
        <w:tc>
          <w:tcPr>
            <w:tcW w:w="35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520" w:type="dxa"/>
            <w:vAlign w:val="bottom"/>
          </w:tcPr>
          <w:p>
            <w:pPr>
              <w:ind w:left="720"/>
              <w:spacing w:after="0"/>
              <w:rPr>
                <w:sz w:val="20"/>
                <w:szCs w:val="20"/>
                <w:color w:val="auto"/>
              </w:rPr>
            </w:pPr>
            <w:r>
              <w:rPr>
                <w:rFonts w:ascii="Arial" w:cs="Arial" w:eastAsia="Arial" w:hAnsi="Arial"/>
                <w:sz w:val="18"/>
                <w:szCs w:val="18"/>
                <w:color w:val="auto"/>
              </w:rPr>
              <w:t>We estimate that the net proceeds to us from the Underwritten Offering will be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6"/>
              </w:rPr>
              <w:t>approximately $478.0 million (€430.4 million), after deducting underwriting discounts and</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9"/>
              </w:rPr>
              <w:t>commissions and estimated offering expenses payable by us. We will not receive any</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proceeds from the potential sale of ADSs in this Underwritten Offering by the Selling</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7"/>
              </w:rPr>
              <w:t>Shareholder, pursuant to the underwriters’ option to purchase additional ADSs from the</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Selling Shareholder. We intend to use the</w:t>
            </w:r>
          </w:p>
        </w:tc>
      </w:tr>
      <w:tr>
        <w:trPr>
          <w:trHeight w:val="240"/>
        </w:trPr>
        <w:tc>
          <w:tcPr>
            <w:tcW w:w="3500" w:type="dxa"/>
            <w:vAlign w:val="bottom"/>
            <w:tcBorders>
              <w:bottom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r>
      <w:tr>
        <w:trPr>
          <w:trHeight w:val="604"/>
        </w:trPr>
        <w:tc>
          <w:tcPr>
            <w:tcW w:w="3500" w:type="dxa"/>
            <w:vAlign w:val="bottom"/>
          </w:tcPr>
          <w:p>
            <w:pPr>
              <w:spacing w:after="0"/>
              <w:rPr>
                <w:sz w:val="24"/>
                <w:szCs w:val="24"/>
                <w:color w:val="auto"/>
              </w:rPr>
            </w:pPr>
          </w:p>
        </w:tc>
        <w:tc>
          <w:tcPr>
            <w:tcW w:w="7520" w:type="dxa"/>
            <w:vAlign w:val="bottom"/>
          </w:tcPr>
          <w:p>
            <w:pPr>
              <w:ind w:left="19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00"/>
        <w:spacing w:after="0" w:line="277" w:lineRule="auto"/>
        <w:rPr>
          <w:sz w:val="20"/>
          <w:szCs w:val="20"/>
          <w:color w:val="auto"/>
        </w:rPr>
      </w:pPr>
      <w:r>
        <w:rPr>
          <w:rFonts w:ascii="Arial" w:cs="Arial" w:eastAsia="Arial" w:hAnsi="Arial"/>
          <w:sz w:val="18"/>
          <w:szCs w:val="18"/>
          <w:color w:val="auto"/>
        </w:rPr>
        <w:t>net proceeds from the Underwritten Offering and the net proceeds, if any, from the Rights Offering, to:</w:t>
      </w:r>
    </w:p>
    <w:p>
      <w:pPr>
        <w:spacing w:after="0" w:line="89" w:lineRule="exact"/>
        <w:rPr>
          <w:sz w:val="20"/>
          <w:szCs w:val="20"/>
          <w:color w:val="auto"/>
        </w:rPr>
      </w:pPr>
    </w:p>
    <w:p>
      <w:pPr>
        <w:ind w:left="4960" w:right="380" w:hanging="259"/>
        <w:spacing w:after="0" w:line="277" w:lineRule="auto"/>
        <w:tabs>
          <w:tab w:leader="none" w:pos="4940" w:val="left"/>
        </w:tabs>
        <w:rPr>
          <w:sz w:val="20"/>
          <w:szCs w:val="20"/>
          <w:color w:val="auto"/>
        </w:rPr>
      </w:pPr>
      <w:r>
        <w:rPr>
          <w:rFonts w:ascii="Arial" w:cs="Arial" w:eastAsia="Arial" w:hAnsi="Arial"/>
          <w:sz w:val="18"/>
          <w:szCs w:val="18"/>
          <w:color w:val="auto"/>
        </w:rPr>
        <w:t>•</w:t>
        <w:tab/>
        <w:t>advance our iNeST program candidate RO7198457 (BNT122) into late-stage trials;</w:t>
      </w:r>
    </w:p>
    <w:p>
      <w:pPr>
        <w:sectPr>
          <w:pgSz w:w="11900" w:h="16838" w:orient="portrait"/>
          <w:cols w:equalWidth="0" w:num="1">
            <w:col w:w="10900"/>
          </w:cols>
          <w:pgMar w:left="320" w:top="459" w:right="679" w:bottom="1440" w:gutter="0" w:footer="0" w:header="0"/>
        </w:sectPr>
      </w:pPr>
    </w:p>
    <w:p>
      <w:pPr>
        <w:spacing w:after="0" w:line="76"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advance our ongoing and currently planned clinical trials for our FixVac product candidates, BNT111, BNT112, BNT113, BNT114, BNT115 and our targeted cancer antibody, MVT-5873 (BNT321), as well as fund our portion of the research and development expenses for SAR441000 (BNT131), which is being developed in collaboration with Sanofi, GEN1046 (BNT311) and GEN1042 (BNT312), which are being developed in collaboration with Genmab and advance the development of BNT162, our COVID-19 vaccine candidate, which is being developed in collaboration with Pfizer;</w:t>
      </w:r>
    </w:p>
    <w:p>
      <w:pPr>
        <w:spacing w:after="0" w:line="84"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20"/>
        <w:spacing w:after="0" w:line="263" w:lineRule="auto"/>
        <w:rPr>
          <w:sz w:val="20"/>
          <w:szCs w:val="20"/>
          <w:color w:val="auto"/>
        </w:rPr>
      </w:pPr>
      <w:r>
        <w:rPr>
          <w:rFonts w:ascii="Arial" w:cs="Arial" w:eastAsia="Arial" w:hAnsi="Arial"/>
          <w:sz w:val="18"/>
          <w:szCs w:val="18"/>
          <w:color w:val="auto"/>
        </w:rPr>
        <w:t>initiate clinical trials for additional product candidates, including product candidates from our CAR T, RiboMabs, RiboCytokines and TCR platforms in oncology;</w:t>
      </w:r>
    </w:p>
    <w:p>
      <w:pPr>
        <w:spacing w:after="0" w:line="89"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further accelerate and expand our infectious disease immunotherapy programs;</w:t>
      </w:r>
    </w:p>
    <w:p>
      <w:pPr>
        <w:spacing w:after="0" w:line="153"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advance our rare disease protein replacement therapy platforms outside of oncology;</w:t>
      </w:r>
    </w:p>
    <w:p>
      <w:pPr>
        <w:spacing w:after="0" w:line="76"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advance additional preclinical product candidates, develop additional product candidates leveraging our therapeutic platforms and fund the further development of our core technologies; and</w:t>
      </w:r>
    </w:p>
    <w:p>
      <w:pPr>
        <w:spacing w:after="0" w:line="89"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20"/>
        <w:spacing w:after="0" w:line="286" w:lineRule="auto"/>
        <w:rPr>
          <w:sz w:val="20"/>
          <w:szCs w:val="20"/>
          <w:color w:val="auto"/>
        </w:rPr>
      </w:pPr>
      <w:r>
        <w:rPr>
          <w:rFonts w:ascii="Arial" w:cs="Arial" w:eastAsia="Arial" w:hAnsi="Arial"/>
          <w:sz w:val="17"/>
          <w:szCs w:val="17"/>
          <w:color w:val="auto"/>
        </w:rPr>
        <w:t>fund the further expansion of our manufacturing and laboratory capacity, the continued development of our infrastructure and investment in preparation for commercialization for launch of BNT162, if approved.</w:t>
      </w:r>
    </w:p>
    <w:p>
      <w:pPr>
        <w:spacing w:after="0" w:line="71"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340" w:right="100"/>
        <w:spacing w:after="0" w:line="296" w:lineRule="auto"/>
        <w:rPr>
          <w:sz w:val="20"/>
          <w:szCs w:val="20"/>
          <w:color w:val="auto"/>
        </w:rPr>
      </w:pPr>
      <w:r>
        <w:rPr>
          <w:rFonts w:ascii="Arial" w:cs="Arial" w:eastAsia="Arial" w:hAnsi="Arial"/>
          <w:sz w:val="16"/>
          <w:szCs w:val="16"/>
          <w:color w:val="auto"/>
        </w:rPr>
        <w:t>We expect to use the remainder of any net proceeds from the Global Offering, as well as our existing cash and cash equivalents, for general corporate purposes. We may also use a portion of the net proceeds to in-license or acquire or invest in complementary technologies, products, businesses or assets, either alone or together with a collaborator. However, we have no current commitments or obligations to do so.</w:t>
      </w:r>
    </w:p>
    <w:p>
      <w:pPr>
        <w:spacing w:after="0" w:line="67" w:lineRule="exact"/>
        <w:rPr>
          <w:sz w:val="20"/>
          <w:szCs w:val="20"/>
          <w:color w:val="auto"/>
        </w:rPr>
      </w:pPr>
    </w:p>
    <w:p>
      <w:pPr>
        <w:ind w:left="4340" w:right="300"/>
        <w:spacing w:after="0" w:line="277" w:lineRule="auto"/>
        <w:rPr>
          <w:sz w:val="20"/>
          <w:szCs w:val="20"/>
          <w:color w:val="auto"/>
        </w:rPr>
      </w:pPr>
      <w:r>
        <w:rPr>
          <w:rFonts w:ascii="Arial" w:cs="Arial" w:eastAsia="Arial" w:hAnsi="Arial"/>
          <w:sz w:val="18"/>
          <w:szCs w:val="18"/>
          <w:color w:val="auto"/>
        </w:rPr>
        <w:t>See “Use of Proceeds” for a more complete description of the intended use of proceeds from the Global Offering.</w:t>
      </w:r>
    </w:p>
    <w:p>
      <w:pPr>
        <w:sectPr>
          <w:pgSz w:w="11900" w:h="16838" w:orient="portrait"/>
          <w:cols w:equalWidth="0" w:num="1">
            <w:col w:w="10900"/>
          </w:cols>
          <w:pgMar w:left="320" w:top="459" w:right="679" w:bottom="1440" w:gutter="0" w:footer="0" w:header="0"/>
          <w:type w:val="continuous"/>
        </w:sectPr>
      </w:pPr>
    </w:p>
    <w:p>
      <w:pPr>
        <w:spacing w:after="0" w:line="19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ADSs representing our ordinary shares are listed on the Nasdaq Global Select Market under the symbol “BNTX.”</w:t>
      </w:r>
    </w:p>
    <w:p>
      <w:pPr>
        <w:spacing w:after="0" w:line="17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right="100" w:firstLine="426"/>
        <w:spacing w:after="0" w:line="259" w:lineRule="auto"/>
        <w:rPr>
          <w:sz w:val="20"/>
          <w:szCs w:val="20"/>
          <w:color w:val="auto"/>
        </w:rPr>
      </w:pPr>
      <w:r>
        <w:rPr>
          <w:rFonts w:ascii="Arial" w:cs="Arial" w:eastAsia="Arial" w:hAnsi="Arial"/>
          <w:sz w:val="18"/>
          <w:szCs w:val="18"/>
          <w:color w:val="auto"/>
        </w:rPr>
        <w:t>As required by German law, following the setting of the price to public for this underwritten offering, which we refer to as the Underwritten Offering, we intend to commence a rights offering, or the Rights Offering, to holders of our ordinary shares and ADSs representing our ordinary shares. The Underwritten Offering and the Rights Offering are part of a single, global offering which we refer to in this prospectus as the “Global Offering.”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320" w:top="459" w:right="6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 xml:space="preserve">We have obtained irrevocable, binding agreements from certain holders of our ordinary shares, representing 74.83% of our outstanding ordinary shares (including ordinary shares represented by ADSs), not to transfer or exercise their rights to subscribe for new ordinary shares in the Rights Offering. Under German law, the law of our jurisdiction of organization, we are permitted to offer new ordinary shares and ADSs, in an amount equal to the percentage of securities represented by the irrevocable agreements not to transfer or exercise rights, to new investors in advance of the Rights Offering. We intend to accomplish this through the Underwritten Offering described above. Following the Underwritten Offering, our shareholders and ADS holders as of the respective record dates who have not agreed to forego exercising rights have the opportunity in the Rights Offering to subscribe for up to 1,889,189 new ordinary shares or new ADSs (representing approximately 0.81% of our outstanding ordinary shares) at a subscription price equal to the price to public in the Underwritten Offering. </w:t>
      </w:r>
      <w:r>
        <w:rPr>
          <w:rFonts w:ascii="Arial" w:cs="Arial" w:eastAsia="Arial" w:hAnsi="Arial"/>
          <w:sz w:val="17"/>
          <w:szCs w:val="17"/>
          <w:b w:val="1"/>
          <w:bCs w:val="1"/>
          <w:color w:val="auto"/>
        </w:rPr>
        <w:t>ADSs purchased in the Underwritten Offering are not entitled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to receive rights to subscribe for new ordinary shares or new ADSs in the Rights Offering. </w:t>
      </w:r>
      <w:r>
        <w:rPr>
          <w:rFonts w:ascii="Arial" w:cs="Arial" w:eastAsia="Arial" w:hAnsi="Arial"/>
          <w:sz w:val="17"/>
          <w:szCs w:val="17"/>
          <w:color w:val="auto"/>
        </w:rPr>
        <w:t>Accordingly, a total of up to 7,389,189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ordinary shares represented by ADSs) may be sold by us in the Global Offering. If all of the shares and ADSs in the Rights Offering are subscribed for (excluding those attributable to holders that have irrevocably agreed not to transfer or exercise rights), we will offer 7,389,189 ordinary shares (including ordinary shares represented by ADSs) in the Global Offering and will have 240,062,644 ordinary shares outstanding immediately after the Global Offering.</w:t>
      </w:r>
    </w:p>
    <w:p>
      <w:pPr>
        <w:spacing w:after="0" w:line="186"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Unless otherwise indicated, the number of our ordinary shares to be outstanding after the Underwritten Offering is based on 226,779,744 ordinary shares outstanding as of March 31, 2020 and excludes:</w:t>
      </w:r>
    </w:p>
    <w:p>
      <w:pPr>
        <w:spacing w:after="0" w:line="76"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16,338,305 ordinary shares available for issuance upon the exercise of options outstanding as of March 31, 2020;</w:t>
      </w:r>
    </w:p>
    <w:p>
      <w:pPr>
        <w:spacing w:after="0" w:line="130"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254,065 ordinary shares available for issuance upon the exercise of options expected to be granted in 2021 and 2022 under our long-term incentive program as of March 31, 2020;</w:t>
      </w:r>
    </w:p>
    <w:p>
      <w:pPr>
        <w:spacing w:after="0" w:line="75" w:lineRule="exact"/>
        <w:rPr>
          <w:rFonts w:ascii="Arial" w:cs="Arial" w:eastAsia="Arial" w:hAnsi="Arial"/>
          <w:sz w:val="18"/>
          <w:szCs w:val="18"/>
          <w:color w:val="auto"/>
        </w:rPr>
      </w:pPr>
    </w:p>
    <w:p>
      <w:pPr>
        <w:ind w:left="1240" w:right="120" w:hanging="415"/>
        <w:spacing w:after="0" w:line="308"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5,282,436 ordinary shares available for future issuance under our Employee Stock Ownership Plan or any future share option plan as of March 31, 2020 (after taking into account the issuance of options expected to be granted in 2021 and 2022);</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1,580,777 ordinary shares issued to Fosun Pharma in connection with our collaboration with Fosun Pharma;</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2,377,446 ordinary shares issued to Pfizer in connection with our collaboration with Pfizer;</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1,935,488 ADSs representing our ordinary shares issued to former stockholders of Neon in the Merger;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5,524,506 ordinary shares held in treasury.</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contained in this prospectus:</w:t>
      </w:r>
    </w:p>
    <w:p>
      <w:pPr>
        <w:spacing w:after="0" w:line="131"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the 2,595,996 ordinary shares to be issued in the June 2020 Private Placement, which is expected to close in August 2020;</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no exercise of the outstanding options described above;</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no exercise of the option granted to the underwriters to purchase up to 825,000 additional ADSs from the Selling Shareholder in the Underwritten Offering; and</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effects of our acquisition of Neon; for more information, see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200" w:firstLine="426"/>
        <w:spacing w:after="0" w:line="254" w:lineRule="auto"/>
        <w:rPr>
          <w:sz w:val="20"/>
          <w:szCs w:val="20"/>
          <w:color w:val="auto"/>
        </w:rPr>
      </w:pPr>
      <w:r>
        <w:rPr>
          <w:rFonts w:ascii="Arial" w:cs="Arial" w:eastAsia="Arial" w:hAnsi="Arial"/>
          <w:sz w:val="18"/>
          <w:szCs w:val="18"/>
          <w:color w:val="auto"/>
        </w:rPr>
        <w:t>The following tables set forth a summary of our historical consolidated financial data for the years ended December 31, 2019, 2018 and 2017, as of March 31, 2020 and for the three months ended March 31, 2020 and 2019. We derived the summary of our results for the years ended December 31, 2019, 2018 and 2017 from our audited consolidated financial statements incorporated by reference herein. The summary consolidated financial data as of March 31, 2020 and for the three months ended March 31, 2020 and 2019 have been derived from our unaudited interim condensed consolidated financial statements incorporated by reference herein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192" w:lineRule="exact"/>
        <w:rPr>
          <w:sz w:val="20"/>
          <w:szCs w:val="20"/>
          <w:color w:val="auto"/>
        </w:rPr>
      </w:pPr>
    </w:p>
    <w:p>
      <w:pPr>
        <w:ind w:left="300" w:right="200" w:firstLine="426"/>
        <w:spacing w:after="0" w:line="255" w:lineRule="auto"/>
        <w:rPr>
          <w:sz w:val="20"/>
          <w:szCs w:val="20"/>
          <w:color w:val="auto"/>
        </w:rPr>
      </w:pPr>
      <w:r>
        <w:rPr>
          <w:rFonts w:ascii="Arial" w:cs="Arial" w:eastAsia="Arial" w:hAnsi="Arial"/>
          <w:sz w:val="18"/>
          <w:szCs w:val="18"/>
          <w:color w:val="auto"/>
        </w:rPr>
        <w:t>The summary consolidated financial data below should be read together with our consolidated financial statements and related notes, and our unaudited interim condensed consolidated financial statements included elsewhere in this prospectus, as well as the section of this prospectus titled “Selected Consolidated Financial Data” and the section titled “Management’s Discussion and Analysis of Financial Condition and Results of Operations” in our Forms 20-F and 6-K incorporated by reference herein. Our historical results for any prior period are not necessarily indicative of results to be expected in any future period, and the results for the three months ended March 31, 2020 are not necessarily indicative of the results to be expected for the full year ended December 31, 2020.</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2"/>
              </w:rPr>
              <w:t>For the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2"/>
              </w:rPr>
              <w:t>For the 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01"/>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1600" w:type="dxa"/>
            <w:vAlign w:val="bottom"/>
            <w:gridSpan w:val="2"/>
          </w:tcPr>
          <w:p>
            <w:pPr>
              <w:ind w:left="15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27,663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26,154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108,589</w:t>
            </w:r>
          </w:p>
        </w:tc>
        <w:tc>
          <w:tcPr>
            <w:tcW w:w="1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127,575</w:t>
            </w:r>
          </w:p>
        </w:tc>
        <w:tc>
          <w:tcPr>
            <w:tcW w:w="2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61,598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(17,361)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b w:val="1"/>
                <w:bCs w:val="1"/>
                <w:color w:val="auto"/>
              </w:rPr>
              <w:t>Gross profit</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21,821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22,949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113,885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52,280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(65,122)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(57,241)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88"/>
              </w:rPr>
              <w:t>(226,466)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8"/>
              </w:rPr>
              <w:t>(143,040)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(85,496)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
              <w:spacing w:after="0"/>
              <w:rPr>
                <w:sz w:val="20"/>
                <w:szCs w:val="20"/>
                <w:color w:val="auto"/>
              </w:rPr>
            </w:pPr>
            <w:r>
              <w:rPr>
                <w:rFonts w:ascii="Arial" w:cs="Arial" w:eastAsia="Arial" w:hAnsi="Arial"/>
                <w:sz w:val="18"/>
                <w:szCs w:val="18"/>
                <w:color w:val="auto"/>
              </w:rPr>
              <w:t>(2,718)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(15,815)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(45,547)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(26,334)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loss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(59,277</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(43,835</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(181,518</w:t>
            </w:r>
          </w:p>
        </w:tc>
        <w:tc>
          <w:tcPr>
            <w:tcW w:w="160" w:type="dxa"/>
            <w:vAlign w:val="bottom"/>
          </w:tcPr>
          <w:p>
            <w:pPr>
              <w:jc w:val="right"/>
              <w:ind w:right="23"/>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(53,854</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(61,277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Finance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(26,007)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related to lease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(1,718)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(53,378)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9"/>
              </w:rPr>
              <w:t>(40,756)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w w:val="88"/>
              </w:rPr>
              <w:t>(179,440)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(47,662)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80"/>
              <w:spacing w:after="0"/>
              <w:rPr>
                <w:sz w:val="20"/>
                <w:szCs w:val="20"/>
                <w:color w:val="auto"/>
              </w:rPr>
            </w:pPr>
            <w:r>
              <w:rPr>
                <w:rFonts w:ascii="Arial" w:cs="Arial" w:eastAsia="Arial" w:hAnsi="Arial"/>
                <w:sz w:val="18"/>
                <w:szCs w:val="18"/>
                <w:color w:val="auto"/>
              </w:rPr>
              <w:t>Income taxes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(53,386)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9"/>
              </w:rPr>
              <w:t>(40,762)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w w:val="88"/>
              </w:rPr>
              <w:t>(179,172)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(48,262)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80"/>
              <w:spacing w:after="0"/>
              <w:rPr>
                <w:sz w:val="20"/>
                <w:szCs w:val="20"/>
                <w:color w:val="auto"/>
              </w:rPr>
            </w:pPr>
            <w:r>
              <w:rPr>
                <w:rFonts w:ascii="Arial" w:cs="Arial" w:eastAsia="Arial" w:hAnsi="Arial"/>
                <w:sz w:val="18"/>
                <w:szCs w:val="18"/>
                <w:color w:val="auto"/>
              </w:rPr>
              <w:t>Loss attributable to equity holders of the parent</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(53,386)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(40,646)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(179,056</w:t>
            </w:r>
          </w:p>
        </w:tc>
        <w:tc>
          <w:tcPr>
            <w:tcW w:w="160" w:type="dxa"/>
            <w:vAlign w:val="bottom"/>
          </w:tcPr>
          <w:p>
            <w:pPr>
              <w:jc w:val="right"/>
              <w:ind w:right="23"/>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(85,653)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Basic and diluted loss per share</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(0.24</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(0.85</w:t>
            </w:r>
          </w:p>
        </w:tc>
        <w:tc>
          <w:tcPr>
            <w:tcW w:w="160" w:type="dxa"/>
            <w:vAlign w:val="bottom"/>
          </w:tcPr>
          <w:p>
            <w:pPr>
              <w:jc w:val="right"/>
              <w:ind w:right="23"/>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9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40932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The following table presents our summary consolidated statement of financial position as of March 31, 2020 (i) on an actual basis, (ii) on a pro forma basis to give effect to (a) the issuance of 1,935,488 ADSs representing our ordinary shares in our acquisition of Neon, (b) the issuance of 1,580,777 of our ordinary shares in a private placement to Fosun Pharma for proceeds of €45.6 million ($50.0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(c) the issuance of 2,377,446 of our ordinary shares in a private placement to Pfizer for proceeds of €103.9 million ($113.0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on a pro forma as adjusted basis to give further effect to the sale of up to 5,500,000 ADSs representing ordinary shares by us in the Underwritten Offering at the public offering price of $93.00 per ADS, and after deducting underwriting discounts and commissions and estimated offering expenses payable by us.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As of March 31, 2020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14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040" w:type="dxa"/>
            <w:vAlign w:val="bottom"/>
            <w:gridSpan w:val="2"/>
          </w:tcPr>
          <w:p>
            <w:pPr>
              <w:jc w:val="center"/>
              <w:ind w:right="60"/>
              <w:spacing w:after="0" w:line="156"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0"/>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tcPr>
          <w:p>
            <w:pPr>
              <w:jc w:val="right"/>
              <w:ind w:right="68"/>
              <w:spacing w:after="0"/>
              <w:rPr>
                <w:sz w:val="20"/>
                <w:szCs w:val="20"/>
                <w:color w:val="auto"/>
              </w:rPr>
            </w:pPr>
            <w:r>
              <w:rPr>
                <w:rFonts w:ascii="Arial" w:cs="Arial" w:eastAsia="Arial" w:hAnsi="Arial"/>
                <w:sz w:val="18"/>
                <w:szCs w:val="18"/>
                <w:color w:val="auto"/>
              </w:rPr>
              <w:t>€ 451,597</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  601,055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€ 1,031,411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732,208</w:t>
            </w:r>
          </w:p>
        </w:tc>
        <w:tc>
          <w:tcPr>
            <w:tcW w:w="1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971,214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liabilities</w:t>
            </w:r>
          </w:p>
        </w:tc>
        <w:tc>
          <w:tcPr>
            <w:tcW w:w="2760" w:type="dxa"/>
            <w:vAlign w:val="bottom"/>
            <w:gridSpan w:val="2"/>
          </w:tcPr>
          <w:p>
            <w:pPr>
              <w:jc w:val="right"/>
              <w:ind w:right="68"/>
              <w:spacing w:after="0"/>
              <w:rPr>
                <w:sz w:val="20"/>
                <w:szCs w:val="20"/>
                <w:color w:val="auto"/>
              </w:rPr>
            </w:pPr>
            <w:r>
              <w:rPr>
                <w:rFonts w:ascii="Arial" w:cs="Arial" w:eastAsia="Arial" w:hAnsi="Arial"/>
                <w:sz w:val="18"/>
                <w:szCs w:val="18"/>
                <w:color w:val="auto"/>
              </w:rPr>
              <w:t>284,078</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284,078</w:t>
            </w:r>
          </w:p>
        </w:tc>
        <w:tc>
          <w:tcPr>
            <w:tcW w:w="940" w:type="dxa"/>
            <w:vAlign w:val="bottom"/>
          </w:tcPr>
          <w:p>
            <w:pPr>
              <w:jc w:val="right"/>
              <w:spacing w:after="0"/>
              <w:rPr>
                <w:sz w:val="20"/>
                <w:szCs w:val="20"/>
                <w:color w:val="auto"/>
              </w:rPr>
            </w:pPr>
            <w:r>
              <w:rPr>
                <w:rFonts w:ascii="Arial" w:cs="Arial" w:eastAsia="Arial" w:hAnsi="Arial"/>
                <w:sz w:val="18"/>
                <w:szCs w:val="18"/>
                <w:color w:val="auto"/>
              </w:rPr>
              <w:t>284,078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232,304</w:t>
            </w:r>
          </w:p>
        </w:tc>
        <w:tc>
          <w:tcPr>
            <w:tcW w:w="1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238,198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Capital reserve</w:t>
            </w:r>
          </w:p>
        </w:tc>
        <w:tc>
          <w:tcPr>
            <w:tcW w:w="2760" w:type="dxa"/>
            <w:vAlign w:val="bottom"/>
            <w:gridSpan w:val="2"/>
          </w:tcPr>
          <w:p>
            <w:pPr>
              <w:jc w:val="right"/>
              <w:ind w:right="68"/>
              <w:spacing w:after="0"/>
              <w:rPr>
                <w:sz w:val="20"/>
                <w:szCs w:val="20"/>
                <w:color w:val="auto"/>
              </w:rPr>
            </w:pPr>
            <w:r>
              <w:rPr>
                <w:rFonts w:ascii="Arial" w:cs="Arial" w:eastAsia="Arial" w:hAnsi="Arial"/>
                <w:sz w:val="18"/>
                <w:szCs w:val="18"/>
                <w:color w:val="auto"/>
              </w:rPr>
              <w:t>686,714</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919,826</w:t>
            </w:r>
          </w:p>
        </w:tc>
        <w:tc>
          <w:tcPr>
            <w:tcW w:w="940" w:type="dxa"/>
            <w:vAlign w:val="bottom"/>
          </w:tcPr>
          <w:p>
            <w:pPr>
              <w:jc w:val="right"/>
              <w:spacing w:after="0"/>
              <w:rPr>
                <w:sz w:val="20"/>
                <w:szCs w:val="20"/>
                <w:color w:val="auto"/>
              </w:rPr>
            </w:pPr>
            <w:r>
              <w:rPr>
                <w:rFonts w:ascii="Arial" w:cs="Arial" w:eastAsia="Arial" w:hAnsi="Arial"/>
                <w:sz w:val="18"/>
                <w:szCs w:val="18"/>
                <w:color w:val="auto"/>
              </w:rPr>
              <w:t>1,344,682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(478,213)</w:t>
            </w:r>
          </w:p>
        </w:tc>
        <w:tc>
          <w:tcPr>
            <w:tcW w:w="14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(478,213)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(478,213)</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Total equity</w:t>
            </w:r>
          </w:p>
        </w:tc>
        <w:tc>
          <w:tcPr>
            <w:tcW w:w="2760" w:type="dxa"/>
            <w:vAlign w:val="bottom"/>
            <w:gridSpan w:val="2"/>
          </w:tcPr>
          <w:p>
            <w:pPr>
              <w:jc w:val="right"/>
              <w:ind w:right="68"/>
              <w:spacing w:after="0"/>
              <w:rPr>
                <w:sz w:val="20"/>
                <w:szCs w:val="20"/>
                <w:color w:val="auto"/>
              </w:rPr>
            </w:pPr>
            <w:r>
              <w:rPr>
                <w:rFonts w:ascii="Arial" w:cs="Arial" w:eastAsia="Arial" w:hAnsi="Arial"/>
                <w:sz w:val="18"/>
                <w:szCs w:val="18"/>
                <w:color w:val="auto"/>
              </w:rPr>
              <w:t>448,130</w:t>
            </w: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687,136</w:t>
            </w:r>
          </w:p>
        </w:tc>
        <w:tc>
          <w:tcPr>
            <w:tcW w:w="940" w:type="dxa"/>
            <w:vAlign w:val="bottom"/>
          </w:tcPr>
          <w:p>
            <w:pPr>
              <w:jc w:val="right"/>
              <w:spacing w:after="0"/>
              <w:rPr>
                <w:sz w:val="20"/>
                <w:szCs w:val="20"/>
                <w:color w:val="auto"/>
              </w:rPr>
            </w:pPr>
            <w:r>
              <w:rPr>
                <w:rFonts w:ascii="Arial" w:cs="Arial" w:eastAsia="Arial" w:hAnsi="Arial"/>
                <w:sz w:val="18"/>
                <w:szCs w:val="18"/>
                <w:color w:val="auto"/>
              </w:rPr>
              <w:t>1,117,492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20" w:right="480" w:hanging="422"/>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reflect the issuance of 2,595,996 ordinary shares and a four-year mandatory convertible note for anticipated gross proceeds of €223.9 million ($251.0 million, translated using the exchange rate then in effect as published by the German Central Bank (</w:t>
      </w:r>
      <w:r>
        <w:rPr>
          <w:rFonts w:ascii="Arial" w:cs="Arial" w:eastAsia="Arial" w:hAnsi="Arial"/>
          <w:sz w:val="18"/>
          <w:szCs w:val="18"/>
          <w:i w:val="1"/>
          <w:iCs w:val="1"/>
          <w:color w:val="auto"/>
        </w:rPr>
        <w:t>Deutsche</w:t>
      </w:r>
      <w:r>
        <w:rPr>
          <w:rFonts w:ascii="Arial" w:cs="Arial" w:eastAsia="Arial" w:hAnsi="Arial"/>
          <w:sz w:val="18"/>
          <w:szCs w:val="18"/>
          <w:color w:val="auto"/>
        </w:rPr>
        <w:t xml:space="preserve"> </w:t>
      </w:r>
      <w:r>
        <w:rPr>
          <w:rFonts w:ascii="Arial" w:cs="Arial" w:eastAsia="Arial" w:hAnsi="Arial"/>
          <w:sz w:val="18"/>
          <w:szCs w:val="18"/>
          <w:i w:val="1"/>
          <w:iCs w:val="1"/>
          <w:color w:val="auto"/>
        </w:rPr>
        <w:t>Bundesbank</w:t>
      </w:r>
      <w:r>
        <w:rPr>
          <w:rFonts w:ascii="Arial" w:cs="Arial" w:eastAsia="Arial" w:hAnsi="Arial"/>
          <w:sz w:val="18"/>
          <w:szCs w:val="18"/>
          <w:color w:val="auto"/>
        </w:rPr>
        <w:t>)) in the June 2020 Private Placement, expected to close in August 2020.</w:t>
      </w:r>
    </w:p>
    <w:p>
      <w:pPr>
        <w:spacing w:after="0" w:line="2" w:lineRule="exact"/>
        <w:rPr>
          <w:rFonts w:ascii="Arial" w:cs="Arial" w:eastAsia="Arial" w:hAnsi="Arial"/>
          <w:sz w:val="18"/>
          <w:szCs w:val="18"/>
          <w:color w:val="auto"/>
        </w:rPr>
      </w:pPr>
    </w:p>
    <w:p>
      <w:pPr>
        <w:ind w:left="720" w:right="180" w:hanging="422"/>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Rights Offering is fully subscribed (excluding ordinary shares underlying rights offered to holders that have irrevocably agreed not to transfer or exercise their rights), our cash and cash equivalents, total assets and total equity would each increase by €150.0 million and our share capital would increase by €1.9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Investing in the ADSs representing our ordinary shares involves a high degree of risk. You should carefully consider the following risks, together with all of the other information contained in this prospectus and in our filings with the Securities and Exchange Commission, or the SEC, that we have incorporated by reference in this prospectus. If any of the following risks actually occur, our business, prospects, operating results and financial condition could suffer materially. In such event, the trading price of the ADSs representing our ordinary shares could decline and you might lose all or part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COVID-19 Vaccine Development Program and Our Intellectual Property</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may experience significant volatility in the market price of the ADSs representing our ordinary shares following announcements and data releases regarding our ongoing development of BNT162 as a potential COVID-19 vaccine.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Biopharmaceutical companies that are developing potential therapeutics and vaccines to combat COVID-19 and SARS-CoV-2, including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BioNTech SE, have experienced significant volatility in the price of their securities upon publication of preclinical and clinical data as well as news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about their development programs. For example, following the announcement of our collaborations with Pfizer and Fosun Pharma relating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development of BNT162, our vaccine candidate program for the prevention of COVID-19, the last reported sales price of the ADSs representing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ordinary shares on the Nasdaq Global Select Market increased from $30.93 on March 13, 2020, the day before the announcement, to $92.00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18, 2020, before decreasing to $46.50 on March 20, 2020. In addition to the preclinical and clinical data we and Pfizer have already disclosed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our BNT162 development program, we and Pfizer intend over the coming months to make public several additional COVID-19 vaccine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data readouts and clinical updates. We also expect to announce data, in due course, for the other three vaccine candidate variants that we are currently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testing for the prevention of COVID-19 as part of our BNT162 program. On July 20, 2020, we announced that we and Pfizer have entered into a binding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 sheet for a supply agreement with the United Kingdom and on July 22, 2020, we announced that the U.S. government has agreed to purchase doses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BNT162 from us and Pfizer. In addition, we are in late-stage discussions with other governments and governmental bodies related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establishment of supply agreements for BNT162, if approved. We cannot predict public reaction or the impact on the market price of the ADSs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representing our ordinary shares once the terms of any or all of these supply arrangements are announced. We also cannot guarantee that the ultimate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supply agreements we enter into, if any, will be for the number of doses we currently estimate and that aggregate consideration to be received under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supply agreements will ultimately be what we currently expect. Given the attention being paid to the COVID-19 pandemic and the public scrutiny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COVID-19 development announcements and data releases to date, we expect that the public announcements we and Pfizer intend to make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coming months regarding the ongoing development of BNT162 will attract significant attention and scrutiny and that, as a result, the price of the ADSs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representing our ordinary shares may be particularly volatile during this time.</w:t>
      </w:r>
    </w:p>
    <w:p>
      <w:pPr>
        <w:spacing w:after="0" w:line="31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currently developing multiple candidate variants in our BNT162 program, which rely on different mechanisms of action, and the efficacy or safety of one variant is not indicative or predictive of the efficacy or safety of another variant.</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currently developing four vaccine candidate variants for the prevention of COVID-19 as part of our BNT162 program. The first, which is the variant for which we and Pfizer announced Phase 1/2 data on July 1 and July 20, 2020, is BNT162b1, which utilizes nucleoside-modified mRNA (modRNA) and encodes the receptor binding domain antigen. Two of our four vaccine candidate variants, including BNT162b1, include a modRNA, one includes a uridine containing mRNA (uRNA), and the fourth variant utilizes self-amplifying mRNA (saRNA). Each mRNA format is combined with a lipid nanoparticle (LNP) formulation. The larger spike sequence is included in two of the vaccine candidate variants and the smaller optimized receptor binding domain from the spike protein is included in the other two candidate variants. Each variant has a distinct mechanism of action, and, as a result, clinical activity or safety results observed from one variant may not be indicative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predictive of the efficacy or safety profile or results observed of another variant. For example, the data we recently announced for our BNT162b1 variant may differ in material respects from the safety or efficacy profile of the other vaccine candidate variants and should not be considered predictive of the safety or efficacy of our other vaccine candidate variants.</w:t>
      </w:r>
    </w:p>
    <w:p>
      <w:pPr>
        <w:spacing w:after="0" w:line="2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We cannot guarantee that the BNT162 variant we choose to advance into late stage clinical development will perform better than any of the variants we do not choose to advance. Further, even if we demonstrate a sufficient safety profile for BNT162 we may not be able to demonstrate sufficient efficacy in subsequent trials to obtain regulatory approval.</w:t>
      </w:r>
    </w:p>
    <w:p>
      <w:pPr>
        <w:spacing w:after="0" w:line="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Based on preclinical and clinical data observed to-date, we and Pfizer have decided to progress our BNT162 development program into a Phase 2b/3 trial, which we plan to commence in late July 2020, subject to input and approval the from the appropriate regulatory bodies. For the initial Phase 2b/3 trial, we intend to select either the vaccine candidate variant for which we have already released data publicly, BNT162b1, or our modRNA vaccine candidate variant targeting the 2P-mutated full spike protein, BNT162b2. Both the BNT162b1 and the BNT162b2 vaccine candidates have received Fast Track status from the FDA. Since clinical evaluation of the BNT162b2 candidate started several weeks later than BNT162b1, only preliminary clinical data are currently available for the BNT162b2 candidate. A set of data obtained for a cohort of subjects aged to 18-55 years immunized with 10µg of BNT162b2 indicates that BNT162b2 may induce strong virus neutralizing antibody responses with titers in a similar range as observed for BNT162b1. The preliminary 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 inform the FDA of our selection of the BNT162 candidate variant before the closing of this offering. Based on clinical data from our ongoing Phase 1/2 trials of BNT162b1 in the United States and Germany, BNT162b1 appears to be a suitable variant to advance into a Phase 2b/3 trial. If we and Pfizer ultimately determine to advance the BNT162b2 variant, we intend to base this decision on multiple factors, including the overall observed safety, tolerability and immunogenicity profiles for each vaccine candidate at different dose levels, as well as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do not plan to publish any data with respect to the BNT162b2 variant before we make our selection.</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cannot guarantee that the candidate variant that we select will ultimately prove to be the optimal variant. We and Pfizer intend to choose the variant to advance based on our scientific judgment in light of the preclinical and clinical data available to us at the time as to which variant has the best chance for success. It is possible that subsequent data regarding the variant we choose could prove to be less favorable or subsequent data from a variant that is not advanced could prove to be more favorable. In addition, it is possible that public perception of subsequently released data on the variant we choose to advance could be negative and could cause our stock price to decrease regardless of the progress of the Phase 2b/3 trial. It is also possible that the FDA may disagree with or have questions about our variant selection, which could delay the start of our Phase 2b/3 trial.</w:t>
      </w:r>
    </w:p>
    <w:p>
      <w:pPr>
        <w:spacing w:after="0" w:line="164" w:lineRule="exact"/>
        <w:rPr>
          <w:sz w:val="20"/>
          <w:szCs w:val="20"/>
          <w:color w:val="auto"/>
        </w:rPr>
      </w:pPr>
    </w:p>
    <w:p>
      <w:pPr>
        <w:jc w:val="both"/>
        <w:ind w:left="120" w:right="60" w:firstLine="440"/>
        <w:spacing w:after="0" w:line="269" w:lineRule="auto"/>
        <w:rPr>
          <w:sz w:val="20"/>
          <w:szCs w:val="20"/>
          <w:color w:val="auto"/>
        </w:rPr>
      </w:pPr>
      <w:r>
        <w:rPr>
          <w:rFonts w:ascii="Arial" w:cs="Arial" w:eastAsia="Arial" w:hAnsi="Arial"/>
          <w:sz w:val="17"/>
          <w:szCs w:val="17"/>
          <w:color w:val="auto"/>
        </w:rPr>
        <w:t>Regardless of the variant we select for Phase 2b/3, we cannot guarantee that the results from subsequent data analyses and announcements will be in line with the data that we have previously published. In addition, the total number of patients evaluated in Phase 1 is small relative to the number we intend to evaluate in Phase 2b/3 and may not be indicative of the safety or immunogenicity of BNT162 in a larger and more diverse patient population. Similarly, the samples of convalescent sera, or blood samples from people who have recovered from</w:t>
      </w:r>
    </w:p>
    <w:p>
      <w:pPr>
        <w:spacing w:after="0" w:line="2"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8"/>
          <w:szCs w:val="18"/>
          <w:color w:val="auto"/>
        </w:rPr>
        <w:t>COVID-19, used to benchmark the level of antibodies produced by subjects receiving BNT162 in clinical studies, have been taken from a small number of people and may not be representative of the antibody levels in 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broader population of people who have recovered from COVID-19. Future results in clinical trials of BNT162 may not be as positive when compared to the antibody levels in other samples of convalescent sera.</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Furthermore, because the assays being used to measure and analyze the effectiveness of COVID-19 vaccines have only recently been developed and are continuing to evolve, indications of immunogenicity and the duration of immunity observed in our Phase 1/2 trials may not be predictive of the achievement of clinically relevant endpoints.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by definition our Phase 1/2 clinical trials are designed to evaluate only safety and not efficacy. Positive results from these Phase 1/2 trials do not guarantee we will be able to demonstrate in our Phase 2b/3 trial that BNT162 is efficacious. More specifically, we do not yet know the levels of immunity required to prevent COVID-19 infection, and have not yet tested the ability of our vaccine candidates to prevent infection in humans. Failure to adequately demonstrate safety or to eventually demonstrate sufficient efficacy of BNT162 could delay or prevent us from receiving regulatory approval of BNT162 and there can be no assurance that BNT162 will be approved in a timely manner, if at all.</w:t>
      </w:r>
    </w:p>
    <w:p>
      <w:pPr>
        <w:spacing w:after="0" w:line="2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 development of our BNT162 program may divert resources from the clinical development of our other product candidates and we may not recoup our investments in the program.</w:t>
      </w:r>
    </w:p>
    <w:p>
      <w:pPr>
        <w:spacing w:after="0" w:line="6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Although we believe that our BNT162 program could result in an effective COVID-19 vaccine, clinical trials involve a lengthy and expensive process with an uncertain outcome. Given the severity and urgency of the COVID-19 pandemic, we have committed significant capital and resources to fund and supply the development of BNT162. However, the development of BNT162 will require us to expend financial, personnel and other resources and may cause delays in or otherwise negatively impact our other development programs, despite uncertainties surrounding the longevity and extent of COVID-19 as a global health concern. Furthermore, our business could be negatively impacted by our allocation of significant resources to a global health threat that is unpredictable and could rapidly dissipate or against which our vaccine, if developed, may not be partially or fully effective.</w:t>
      </w:r>
    </w:p>
    <w:p>
      <w:pPr>
        <w:spacing w:after="0" w:line="272" w:lineRule="exact"/>
        <w:rPr>
          <w:sz w:val="20"/>
          <w:szCs w:val="20"/>
          <w:color w:val="auto"/>
        </w:rPr>
      </w:pPr>
    </w:p>
    <w:p>
      <w:pPr>
        <w:jc w:val="center"/>
        <w:ind w:right="520"/>
        <w:spacing w:after="0"/>
        <w:rPr>
          <w:sz w:val="20"/>
          <w:szCs w:val="20"/>
          <w:color w:val="auto"/>
        </w:rPr>
      </w:pPr>
      <w:r>
        <w:rPr>
          <w:rFonts w:ascii="Arial" w:cs="Arial" w:eastAsia="Arial" w:hAnsi="Arial"/>
          <w:sz w:val="15"/>
          <w:szCs w:val="15"/>
          <w:b w:val="1"/>
          <w:bCs w:val="1"/>
          <w:i w:val="1"/>
          <w:iCs w:val="1"/>
          <w:color w:val="auto"/>
        </w:rPr>
        <w:t>If we are successful in producing a vaccine against COVID-19, we may need to devote significant resources to its scale-up and development.</w:t>
      </w:r>
    </w:p>
    <w:p>
      <w:pPr>
        <w:spacing w:after="0" w:line="15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any clinical trials for BNT162 are perceived to be successful, we may need to work toward the large scale technical development, manufacturing scale-up and larger scale deployment of this vaccine candidate through a variety of government mechanisms such as an Emergency Use Authorization program in the United States. We may also need to access facilities capable of rapidly manufacturing BNT162 in the volumes necessary to support large-scale clinical trials or commercial sales. If we are unable to conduct production and manufacturing activities or if our vaccine requires more doses to achieve sufficient efficacy than we expect, we may not complete our product development or commercialization efforts in a timely manner. In addition, during a global health crisis, such as the COVID-19 pandemic, where the spread of a disease needs to be controlled, closed or heavily regulated national borders will create challenges and potential delays in our development and production activities and may necessitate that we pursue strategies to develop and produce our vaccine candidate variants within self-contained national or international borders, at potentially much greater expense and with longer timeframes for public distribution.</w:t>
      </w:r>
    </w:p>
    <w:p>
      <w:pPr>
        <w:spacing w:after="0" w:line="28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There can be no assurance that BNT162, even if approved, would ever become profitable, due to government interest and public perception regarding a vaccine.</w:t>
      </w:r>
    </w:p>
    <w:p>
      <w:pPr>
        <w:spacing w:after="0" w:line="62" w:lineRule="exact"/>
        <w:rPr>
          <w:sz w:val="20"/>
          <w:szCs w:val="20"/>
          <w:color w:val="auto"/>
        </w:rPr>
      </w:pPr>
    </w:p>
    <w:p>
      <w:pPr>
        <w:ind w:left="120" w:right="480" w:firstLine="440"/>
        <w:spacing w:after="0" w:line="279" w:lineRule="auto"/>
        <w:rPr>
          <w:sz w:val="20"/>
          <w:szCs w:val="20"/>
          <w:color w:val="auto"/>
        </w:rPr>
      </w:pPr>
      <w:r>
        <w:rPr>
          <w:rFonts w:ascii="Arial" w:cs="Arial" w:eastAsia="Arial" w:hAnsi="Arial"/>
          <w:sz w:val="17"/>
          <w:szCs w:val="17"/>
          <w:color w:val="auto"/>
        </w:rPr>
        <w:t>As a result of the emergency situations in many countries, there is a heightened risk that a COVID-19 vaccine may be subject to adverse governmental actions in certain countries, including intellectual property expropriation, compulsory licenses, strict price controls or other actions. Additionally, we may need to, or we may be required by governmental or non-governmental authorities to, set aside specific quantities of doses of BNT162 for designated purposes or geographic areas. We are likely to face challenges related to the allocation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supply of BNT162, particularly with respect to geographic distribution. Thus, even if BNT162 is approved, such governmental actions may limit our ability to recoup our current and future expenses.</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Furthermore, public sentiment regarding commercialization of a COVID-19 vaccine may limit or negate our ability to generate revenues from sales of BNT162. Given that COVID-19 has been designated as a pandemic and represents an urgent public health crisis, we are likely to face significant public attention and scrutiny over any future business models and pricing decisions with respect to BNT162. If we are unable to successfully manage these risks, we could face significant reputational harm, which could negatively affect the price of the ADSs representing our ordinary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regulatory pathway for BNT162 is highly dynamic and continues to evolve and may result in unexpected or unforeseen challenges.</w:t>
      </w:r>
    </w:p>
    <w:p>
      <w:pPr>
        <w:spacing w:after="0" w:line="1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To date, BNT162 has moved rapidly through the regulatory review process of the FDA and foreign regulatory authorities. The speed at which all parties are acting to create and test many therapeutics and vaccines for SARS-CoV-2 and COVID-19 is unusual, and evolving or changing plans or priorities within the FDA and foreign regulatory authorities, including changes based on new knowledge of COVID-19 and how the disease affects the human body, may significantly affect the regulatory timeline for BNT162. Results from clinical testing may raise new questions and require us to redesign proposed clinical trials, including revising proposed endpoints or adding new clinical trial sites or cohorts of subjects.</w:t>
      </w:r>
    </w:p>
    <w:p>
      <w:pPr>
        <w:spacing w:after="0" w:line="16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For example, the FDA on June 30, 2020 adopted guidance outlining the FDA’s current recommendations regarding the data needed to facilitate clinical development and licensure of vaccines to prevent COVID-19. In particular, the June 30, 2020 guidance suggests that the primary efficacy endpoint estimate for a placebo-controlled efficacy trial should be at least 50%. The guidance also includes discussion of chemical, manufacturing and controls and safety concerns. Although we intend to design any future clinical trials for BNT162 in accordance with this guidance, we cannot be certain that, as the regulatory pathway continues to evolve, we will be able to complete a clinical trial in accordance with the FDA’s guidance and regulations then in effect. A failure to complete a clinical trial in accordance with guidance and regulations then in effect could impair our ability to obtain approval for BNT162, which may adversely affect our operating results, reputation and ability to raise capital and enter into or maintain collaborations to advance our other product candidates.</w:t>
      </w:r>
    </w:p>
    <w:p>
      <w:pPr>
        <w:spacing w:after="0" w:line="17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Additionally, 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BNT162, we would be able to commercialize BNT162 prior to FDA approval. However,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BNT162 is not yet approved by the FDA and if we and our manufacturing partners have invested in the supply chain to provide BNT162 under an Emergency Use Authorization.</w:t>
      </w:r>
    </w:p>
    <w:p>
      <w:pPr>
        <w:spacing w:after="0" w:line="285"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Even if regulatory approval is received for a BNT162 vaccine candidate, the later discovery of previously unknown problems associated with BNT162 may result in restrictions, including withdrawal of the product from the market, and lead to significant liabilities and reputational damage.</w:t>
      </w:r>
    </w:p>
    <w:p>
      <w:pPr>
        <w:spacing w:after="0" w:line="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Because the path to marketing approval of any vaccine against COVID-19 is unclear, we may have a widely used vaccine in circulation in the United States or another country prior to our receipt of marketing approval. Unexpected safety issues, including any that we have not yet observed in our Phase 1/2 clinical trials for BNT162, could lead to significant reputational damage for BioNTech and our technology platforms going forward and other issues, including delays in our other programs, the need for re-design of our clinical trials and the need for significant additional financial resources.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also may be restricted or prohibited from marketing or manufacturing a BNT162 vaccine, even after obtaining product approval, if previously unknown problems with the product or its manufacture are subsequently discovered. We cannot provide assurance that newly discovered or developed safety issues will not arise following regulatory approval. With the use of any vaccine by a wide patient population, serious adverse events may occur from time to time that did not arise in the clinical trials of the product or that initially appeared to be unrelated to the vaccine itself and only with the collection of subsequent information were found to be causally related to the product. Any such safety issues could cause us to suspend or cease marketing of our approved products, possibly subject us to substantial liabilities, and adversely affect our ability to generate revenue and our financial condition.</w:t>
      </w:r>
    </w:p>
    <w:p>
      <w:pPr>
        <w:spacing w:after="0" w:line="303"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We may be unable to produce a successful COVID-19 vaccine and establish a competitive market share for our vaccine before a competitor or before the COVID-19 outbreak is effectively contained or the risk of coronavirus infection is significantly diminished.</w:t>
      </w:r>
    </w:p>
    <w:p>
      <w:pPr>
        <w:spacing w:after="0" w:line="3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 large number of vaccine manufacturers, academic institutions and other organizations currently have programs to develop COVID-19 vaccine candidates. While we are not aware of all of our competitors’ efforts, we believe that the University of Oxford/AstraZeneca plc, CanSino Biologics Inc., Sanofi/GlaxoSmithKline plc Inovio Pharmaceuticals, Inc., China National Pharmaceutical Group (Sinopharm)/Beijing Institute of Biological Products and Wuhan Institute of Biological Products, Moderna, Inc., Johnson &amp; Johnson, Novavax, Inc. and other companies are all in the early stages of developing vaccine candidates against COVID-19.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efforts to develop BNT162 for regulatory approval and commercialization may fail if competitors develop and commercialize one or more COVID-19 vaccines before we are able to do so, or if they develop and commercialize one or more COVID-19 vaccines that are safer, more effective, produce longer immunity against COVID-19, require fewer administrations, have fewer or less severe side effects, have broader market acceptance, are more convenient or are less expensive than any vaccine candidate that we may develop.</w:t>
      </w:r>
    </w:p>
    <w:p>
      <w:pPr>
        <w:spacing w:after="0" w:line="29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intellectual property rights or may assert intellectual property rights that prevent us from developing and commercializing our product candidates and other technologies.</w:t>
      </w:r>
    </w:p>
    <w:p>
      <w:pPr>
        <w:spacing w:after="0" w:line="6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and methods including uses and manufacturing methods, or features or aspects of any of these. These issued patents and pending patent applications claim certain compositions of matter and methods relating to the discovery, development, manufacture and commercialization of therapeutic modalities and our delivery technologies, including LNPs. If we, our co-owners or our licensors are unable to obtain, maintain, protect, defend or enforce patent protection with respect to our product candidates and other technology and any product candidates and technology we develop, our business, financial condition, results of operations and prospects could be materially harmed.</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the scientific fields mature, our known competitors and other third parties have filed, and will continue to file, patent applications claiming inventions in the field in the United States and abroad.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our co-owners or our licensors may in the future become a party to patent proceedings or priority disputes in the United States, Europe or other jurisdictions. The Leahy-Smith America Invents Act, or the America Invents Act, enacted in September 2011,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 For example, various third parties have filed opposition papers challenging our issued EP patent 2714071 which relates to our iNeST product candidates, and whose claims recite steps relating to neoantigen selection.</w:t>
      </w:r>
    </w:p>
    <w:p>
      <w:pPr>
        <w:spacing w:after="0" w:line="19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expect that we will be subject to similar proceedings or priority disputes, including oppositions, in Europe or other foreign jurisdictions relating to patents and patent applications in our portfolio.</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our co-owners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impact on our business and our ability to successfully compete against our current and future competitors.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are many issued and pending patent filings that claim aspects of technologies that we may need for our mRNA product candidates or other product candidates, including patent filings that relate to relevant delivery technologies. There are also many issued patents that claim targeting genes or portions of genes that may be relevant for immunotherapies we wish to develop. In addition, there may be issued and pending patent applications that may be asserted against us in a court proceeding or otherwise based upon the asserting party’s belief that we may need such patents for the development, manufacturing and commercialization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or a court rules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and commercialization of one or more of the product candidates we may develop. Any of the foregoing could result in a material adverse effect on our business, financial condition, results of operations or prospects.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the ADSs and the Underwritten Offering</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ordinary shares after the Underwritten Offering will be restricted from immediate resale but may be sold in the near future. The large number of shares eligible for sale or subject to rights requiring us to register them for sale could cause the market price of the ADSs to drop significantly, even if our business is performing well.</w:t>
      </w:r>
    </w:p>
    <w:p>
      <w:pPr>
        <w:spacing w:after="0" w:line="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Sales of a substantial number of ordinary shares or the ADSs could occur at any time, subject to certain restrictions described below. These sales, or the perception in the market that holders of a large number of shares intend to sell shares, could reduce the market price of the ADSs. Based on the number of our ordinary shares outstanding as of July 22, 2020, we will have 238,173,455 ordinary shares outstanding after the Underwritten Offering. Additionally, if the Rights Offering is fully subscribed (excluding new ordinary shares underlying rights offered to holders that have irrevocably agreed not to transfer or exercise their rights), we will have 240,062,644 shares outstanding.</w:t>
      </w:r>
    </w:p>
    <w:p>
      <w:pPr>
        <w:spacing w:after="0" w:line="1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connection with the Underwritten Offering, we, all of our directors and officers and certain significant shareholders have entered into lock-up agreements with the underwriters under which we and they agreed, subject to specific exceptions, not to sell any of our shares for at least 90 days following the date of this prospectus. The remaining ordinary shares will be available for sale after the Underwritten Offering since they are not subject to contractual and legal restrictions on resale. Any or all of the shares subject to lock-up agreements may be released prior to the expiration of the lock-up period at the discretion of the lead underwriters for the Underwritten Offering. To the extent shares are released before the expiration of the lock-up period and these shares are sold into the market, the market price of the ADSs could decline.</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of 1933, as amended, or the Securities Act, to register all ordinary shares issued or issuable under our equity plans. Any such Form S-8 registration statements will automatically become effective upon filing. Accordingly, shares registered under such registration statements will be available for sale in the open market following the expiration of the applicable lock-up period. See “Shares and ADSs Eligible for Future Sale” appearing elsewhere in this prospectus for a more detailed description of the restrictions on selling shares.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for you to sell the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you purchase ADSs in the Underwritten Offering, you will incur immediate and substantial dilution in the book value of your investment.</w:t>
      </w:r>
    </w:p>
    <w:p>
      <w:pPr>
        <w:spacing w:after="0" w:line="14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You will suffer immediate and substantial dilution in the net tangible book value of the ADSs if you purchase ADSs in the Underwritten Offering. Based on the public offering price of $93.00 per ADS, after giving effect to the Underwritten Offering, purchasers of ADSs in the Underwritten Offering will experience immediate dilution in net tangible book value of $88.23 per ADS. In addition, after giving effect to the Underwritten Offering, investors purchasing ADSs in the Underwritten Offering will contribute 28.32% of the total amount invested by shareholders since inception but will only own 2.31% of the ordinary shares outstanding. See “Dilution” for a more detailed description of the dilution to new investors in the Underwritten Offering.</w:t>
      </w:r>
    </w:p>
    <w:p>
      <w:pPr>
        <w:spacing w:after="0" w:line="26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 For example, purchasers who acquire ADSs in the Underwritten Offering will not receive rights to participate in the concurrent Rights Offering.</w:t>
      </w:r>
    </w:p>
    <w:p>
      <w:pPr>
        <w:spacing w:after="0" w:line="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German law, the existing shareholders of a company generally have a preemptive right in proportion to the amount of shares they hold in connection with any issuance of ordinary shares, convertible bonds, bonds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 Purchasers who acquire ADSs in the Underwritten Offering will not receive rights to participate in the concurrent Rights Offering.</w:t>
      </w:r>
    </w:p>
    <w:p>
      <w:pPr>
        <w:spacing w:after="0" w:line="27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executive officers, directors, five percent shareholders, and their affiliates beneficially own approximately 69.99% of our ordinary shares (including ordinary shares represented by ADSs) and, upon closing of the Underwritten Offering, that same group will beneficially own approximately 68.37% of our outstanding ordinary shares (including ordinary shares represented by ADSs), assuming no exercise of the underwriters’ option to purchase additional ADSs from the Selling Shareholder. If the underwriters exercise in full their option to purchase additional ADSs from the Selling Shareholder, that same group will beneficially own approximately 68.37% of our outstanding ordinary shares (including ordinary shares represented by ADSs). Therefore, even after the Underwritten Offering, these shareholders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you may believe are in your best interest as one of our shareholders.</w:t>
      </w:r>
    </w:p>
    <w:p>
      <w:pPr>
        <w:spacing w:after="0" w:line="27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the Underwritten Offering, and we may not use them effectively.</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management will have broad discretion in the application of our cash, cash equivalents and investments, including the net proceeds from the Global Offering, and could spend the proceeds in ways that do not improve our results of operations or enhance the value of our ordinary shares. The failure by our management to apply these funds effectively could result in financial losses that could have a material adverse impact on our business, cause the price of the ADSs to decline, and delay the development of our product candidates. Pending their use, we may invest our cash, cash equivalents and investments, including the net proceeds from the Global Offering, in a manner that does not produce income or that loses value. See “Use of Proceeds” for more information.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Many of the forward-looking statements contained in this prospectus can be identified by the use of forward-looking words such as “anticipate,” “believe,” “could,” “estimate,” “expect,” “intend,” “may,” “might,” “plan,” “potential,” “should,” “target,” “would” and other similar expressions that are predictions of or indicate future events and future trends, although not all forward-looking statements contain these identifying words.</w:t>
      </w:r>
    </w:p>
    <w:p>
      <w:pPr>
        <w:spacing w:after="0" w:line="1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a variety of factors, including, but not limited to, those identified in the section titled “Risk Factors” in this prospectus and in our Annual Report on Form 20-F for the year ended December 31, 2019, incorporated by reference herein. These risks and uncertainties include factors relating to:</w:t>
      </w:r>
    </w:p>
    <w:p>
      <w:pPr>
        <w:spacing w:after="0" w:line="93" w:lineRule="exact"/>
        <w:rPr>
          <w:sz w:val="20"/>
          <w:szCs w:val="20"/>
          <w:color w:val="auto"/>
        </w:rPr>
      </w:pPr>
    </w:p>
    <w:p>
      <w:pPr>
        <w:ind w:left="1080" w:right="120" w:hanging="424"/>
        <w:spacing w:after="0" w:line="31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for our product candidates;</w:t>
      </w:r>
    </w:p>
    <w:p>
      <w:pPr>
        <w:spacing w:after="0" w:line="130" w:lineRule="exact"/>
        <w:rPr>
          <w:rFonts w:ascii="Arial" w:cs="Arial" w:eastAsia="Arial" w:hAnsi="Arial"/>
          <w:sz w:val="18"/>
          <w:szCs w:val="18"/>
          <w:color w:val="auto"/>
        </w:rPr>
      </w:pPr>
    </w:p>
    <w:p>
      <w:pPr>
        <w:jc w:val="both"/>
        <w:ind w:left="1080" w:right="2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COVID-19 vaccine development program, including the timing thereof (including as it relates to the selection of a candidate variant and the FDA’s acceptance of our candidate variant to advance into a Phase 2b/3 trial), the data therefrom, and our ability to successfully commercialize any approved vaccine;</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supply the quantities of BNT162 to support clinical development and, if approved, market demand, including our production estimates for 2020 and 2021;</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to supply the United States government with up to 500 million additional doses of BNT162 pursuant to its option to purchase additional doses from us and Pfizer;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around the timing of entry, number of potential doses covered and amount of consideration under potential agreements for the supply of BNT162, our COVID-19 vaccine candidate, if approved;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research opportunities and discover and develop investigational medicines;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development candidates and investigational medicines;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and our needs for or ability to obtain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and our collaborators’ ability to protect and enforce our intellectual property protection for our proprietary and collaborative product candidates, and the scope of such protection;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and projections relating to our competitors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and reimbursement of our investigational medicines,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market acceptance of our investigational medicines;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 of and our ability to use net operating losses and research and development credits to offset future taxable income;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development and expansion;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with advantages in turnaround times or manufacturing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130"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to realize the anticipated benefits of transactions related to our acquisition of Neon and other acquisitions, restructuring activities, including in connection with our acquisition of Neon, or other initiatives in a timely manner or at all;</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the Rights Offering is subscribed;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use of the proceeds from the Global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 foreign private issuer.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contained in this prospectus speak only as of the date of this prospectus,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459"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estimate that the net proceeds to us from the Underwritten Offering will be approximately $478.0 million (€430.4 million), based on the public offering price of $93.00 per ADS, and after deducting underwriting discounts and commissions and estimated offering expenses payable by us. We will not receive any proceeds from the potential sale of ADSs in this Underwritten Offering by the Selling Shareholder, pursuant to the underwriters’ option to purchase additional ADSs from the Selling Shareholder.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Rights Offering is fully subscribed (excluding ordinary shares underlying rights offered to holders that have irrevocably agreed not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transfer or exercise their rights), we estimate that the additional net proceeds to us in the Global Offering will be approximately $166.6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(€150.0 million), based on the subscription price of $93.00 per ordinary share or ADS, and after deducting fees and estimated offering expenses payable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us.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intend to use the net proceeds from the Global Offering to:</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our iNeST program candidate RO7198457 (BNT122) into late-stage trials;</w:t>
      </w:r>
    </w:p>
    <w:p>
      <w:pPr>
        <w:spacing w:after="0" w:line="130"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our ongoing and currently planned clinical trials for our FixVac product candidates, BNT111, BNT112, BNT113, BNT114, BNT115 and our targeted cancer antibody, MVT-5873 (BNT321), as well as fund our portion of the research and development expenses for SAR441000 (BNT131), which is being developed in collaboration with Sanofi, GEN1046 (BNT311) and GEN1042 (BNT312), which are being developed in collaboration with Genmab and advance the development of BNT162, our COVID-19 vaccine candidate, which is being developed in collaboration with Pfizer;</w:t>
      </w:r>
    </w:p>
    <w:p>
      <w:pPr>
        <w:spacing w:after="0" w:line="93"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clinical trials for additional product candidates, including product candidates from our CAR-T, RiboMabs, RiboCytokines and TCR platforms in oncology;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accelerate and expand our infectious disease immunotherapy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our rare disease protein replacement therapy platforms outside of oncology;</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additional preclinical product candidates, develop additional product candidates leveraging our therapeutic platforms and fund the further development of our core technologies;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 the further expansion of our manufacturing and laboratory capacity, the continued development of our infrastructure and investment in preparation for commercialization for launch of BNT162, if approved.</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We expect to use the remainder of any net proceeds from the Global Offering, as well as our existing cash and cash equivalents, for general corporate purposes. We may also use a portion of the net proceeds to in-license or acquire or invest in complementary technologies, products, businesses or assets, either alone or together with a collaborator. However, we have no current plans, commitments or obligations to do so.</w:t>
      </w:r>
    </w:p>
    <w:p>
      <w:pPr>
        <w:spacing w:after="0" w:line="165" w:lineRule="exact"/>
        <w:rPr>
          <w:sz w:val="20"/>
          <w:szCs w:val="20"/>
          <w:color w:val="auto"/>
        </w:rPr>
      </w:pPr>
    </w:p>
    <w:p>
      <w:pPr>
        <w:ind w:left="120" w:right="260" w:firstLine="440"/>
        <w:spacing w:after="0" w:line="269" w:lineRule="auto"/>
        <w:rPr>
          <w:sz w:val="20"/>
          <w:szCs w:val="20"/>
          <w:color w:val="auto"/>
        </w:rPr>
      </w:pPr>
      <w:r>
        <w:rPr>
          <w:rFonts w:ascii="Arial" w:cs="Arial" w:eastAsia="Arial" w:hAnsi="Arial"/>
          <w:sz w:val="17"/>
          <w:szCs w:val="17"/>
          <w:color w:val="auto"/>
        </w:rPr>
        <w:t>Our expected use of net proceeds from the Global Offering represents our current intentions based on our present plans and business condition, which could change as our plans and business conditions evolve. The amounts and timing of our actual use of net proceeds will vary depending on numerous factors, including the progress of our clinical development of our product candidates, including our ongoing clinical trials. As a result, we cannot predict with certainty all of the particular uses for the net proceeds to be received upon the closings of</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the Global Offering or the amounts that we will actually spend on the uses set forth above. Our management will have broad discretion in the application of the net proceeds from the Global Offering.</w:t>
      </w:r>
    </w:p>
    <w:p>
      <w:pPr>
        <w:spacing w:after="0" w:line="18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expect that we will need to raise significant additional funds beyond the Global Offering in order to continue to advance our pipeline. In particular, we will need additional funds in order to advance our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candidates through Phase 3 clinical trials and to potential commercialization. We may seek to raise capital through public or private equity or debt financing, government or other third-party grants or funding, sales of assets, marketing and distribution arrangements, other collaborations or a combination of these approaches.</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Based on our planned use of the net proceeds of the Global Offering and our existing cash and cash equivalents, we estimate that such funds will be sufficient to enable us to fund our operating expenses and capital expenditure requirements through at least the next 18 months. We have based this estimate on assumptions that may prove to be incorrect, and we could use our available capital resources sooner than we currently expect.</w:t>
      </w:r>
    </w:p>
    <w:p>
      <w:pPr>
        <w:spacing w:after="0" w:line="14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Pending our use of the net proceeds from the Global Offering, we plan to invest the net proceeds in short- and intermediate-term interest-bearing financial instruments.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320" w:top="459" w:right="5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In addition, our ability to pay cash dividends is also limited in certain circumstances under the terms of an agreement we have entered into with the Bill &amp; Melinda Gates Foundation. All of the shares represented by the ADSs offered by this prospectus will generally have the same dividend rights as all of our other outstanding shares.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German law, we may pay dividends only from the distributable profit (</w:t>
      </w:r>
      <w:r>
        <w:rPr>
          <w:rFonts w:ascii="Arial" w:cs="Arial" w:eastAsia="Arial" w:hAnsi="Arial"/>
          <w:sz w:val="16"/>
          <w:szCs w:val="16"/>
          <w:i w:val="1"/>
          <w:iCs w:val="1"/>
          <w:color w:val="auto"/>
        </w:rPr>
        <w:t>Bilanzgewinn</w:t>
      </w:r>
      <w:r>
        <w:rPr>
          <w:rFonts w:ascii="Arial" w:cs="Arial" w:eastAsia="Arial" w:hAnsi="Arial"/>
          <w:sz w:val="16"/>
          <w:szCs w:val="16"/>
          <w:color w:val="auto"/>
        </w:rPr>
        <w:t>) reflected in our unconsolidated financial statements (as opposed to the consolidated financial statements for us and our subsidiaries) prepared in accordance with the principles set forth in the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and adopted by our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and the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or, as the case may be, by our shareholders in a shareholders’ meeting. See “Description of Share Capital and Articles of Association (</w:t>
      </w:r>
      <w:r>
        <w:rPr>
          <w:rFonts w:ascii="Arial" w:cs="Arial" w:eastAsia="Arial" w:hAnsi="Arial"/>
          <w:sz w:val="16"/>
          <w:szCs w:val="16"/>
          <w:i w:val="1"/>
          <w:iCs w:val="1"/>
          <w:color w:val="auto"/>
        </w:rPr>
        <w:t>Satzung</w:t>
      </w:r>
      <w:r>
        <w:rPr>
          <w:rFonts w:ascii="Arial" w:cs="Arial" w:eastAsia="Arial" w:hAnsi="Arial"/>
          <w:sz w:val="16"/>
          <w:szCs w:val="16"/>
          <w:color w:val="auto"/>
        </w:rPr>
        <w:t>),” which explains in more detail the procedures we must follow and the German law provisions that determine whether we are entitled to declare a dividend.</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320" w:top="459"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cash and cash equivalents and our total capitalization as of March 31, 2020:</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a pro forma basis to give effect to (i) the issuance of 1,935,488 ADSs representing our ordinary shares in our acquisition of Neon,</w:t>
      </w:r>
    </w:p>
    <w:p>
      <w:pPr>
        <w:spacing w:after="0" w:line="34" w:lineRule="exact"/>
        <w:rPr>
          <w:rFonts w:ascii="Arial" w:cs="Arial" w:eastAsia="Arial" w:hAnsi="Arial"/>
          <w:sz w:val="17"/>
          <w:szCs w:val="17"/>
          <w:color w:val="auto"/>
        </w:rPr>
      </w:pPr>
    </w:p>
    <w:p>
      <w:pPr>
        <w:ind w:left="1080" w:right="20"/>
        <w:spacing w:after="0" w:line="273" w:lineRule="auto"/>
        <w:rPr>
          <w:rFonts w:ascii="Arial" w:cs="Arial" w:eastAsia="Arial" w:hAnsi="Arial"/>
          <w:sz w:val="17"/>
          <w:szCs w:val="17"/>
          <w:color w:val="auto"/>
        </w:rPr>
      </w:pPr>
      <w:r>
        <w:rPr>
          <w:rFonts w:ascii="Arial" w:cs="Arial" w:eastAsia="Arial" w:hAnsi="Arial"/>
          <w:sz w:val="17"/>
          <w:szCs w:val="17"/>
          <w:color w:val="auto"/>
        </w:rPr>
        <w:t>(ii) the issuance of 1,580,777 of our ordinary shares in a private placement to Fosun Pharma for proceeds of €45.6 million ($50.0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the issuance of 2,377,446 of our ordinary shares in a private placement to Pfizer for proceeds of €103.9 million ($113.0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w:t>
      </w:r>
    </w:p>
    <w:p>
      <w:pPr>
        <w:spacing w:after="0" w:line="81" w:lineRule="exact"/>
        <w:rPr>
          <w:rFonts w:ascii="Arial" w:cs="Arial" w:eastAsia="Arial" w:hAnsi="Arial"/>
          <w:sz w:val="17"/>
          <w:szCs w:val="17"/>
          <w:color w:val="auto"/>
        </w:rPr>
      </w:pPr>
    </w:p>
    <w:p>
      <w:pPr>
        <w:jc w:val="both"/>
        <w:ind w:left="1080" w:right="8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sale of up to 5,500,000 ordinary shares (including ADSs representing ordinary shares) by us in the Underwritten Offering at the public offering price of $93.00 per ADS, and after deducting underwriting discounts and commissions and estimated offering expenses payable by us.</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table below does not reflect the effects of the issuance of the 2,595,996 ordinary shares and a mandatory convertible note to be issued in the June 2020 Private Placement, which is expected to close in August 2020, and our receipt of proceeds of €223.9 million ($251.0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therefrom.</w:t>
      </w:r>
    </w:p>
    <w:p>
      <w:pPr>
        <w:spacing w:after="0" w:line="165"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Our capitalization following the Underwritten Offering will be adjusted based on the actual public offering price and other terms of the Underwritten Offering determined at pricing, including the amount by which actual offering expenses are higher or lower than estimated. You should read this table in conjunction with our consolidated financial statements and related notes included in this prospectus as well as the sections in this prospectus titled “Use of Proceeds” and “Selected Consolidated Financial Data” and the section titled “Management’s Discussion and Analysis of Financial Condition and Results of Operations” in our Forms 20-F and 6-K incorporated by reference herein.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9"/>
              </w:rPr>
              <w:t>As of March 31, 2020</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60" w:type="dxa"/>
            <w:vAlign w:val="bottom"/>
          </w:tcPr>
          <w:p>
            <w:pPr>
              <w:spacing w:after="0"/>
              <w:rPr>
                <w:sz w:val="10"/>
                <w:szCs w:val="10"/>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0"/>
                <w:szCs w:val="10"/>
                <w:color w:val="auto"/>
              </w:rPr>
            </w:pPr>
          </w:p>
        </w:tc>
        <w:tc>
          <w:tcPr>
            <w:tcW w:w="78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80"/>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7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€ 451,597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€ 601,055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1,031,411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360"/>
              <w:spacing w:after="0" w:line="201" w:lineRule="exact"/>
              <w:rPr>
                <w:sz w:val="20"/>
                <w:szCs w:val="20"/>
                <w:color w:val="auto"/>
              </w:rPr>
            </w:pPr>
            <w:r>
              <w:rPr>
                <w:rFonts w:ascii="Arial" w:cs="Arial" w:eastAsia="Arial" w:hAnsi="Arial"/>
                <w:sz w:val="18"/>
                <w:szCs w:val="18"/>
                <w:color w:val="auto"/>
                <w:w w:val="97"/>
              </w:rPr>
              <w:t>Ordinary shares, no par value per share: 232,304,250 shares, actual; 238,197,961 shares, pro</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40"/>
              <w:spacing w:after="0"/>
              <w:rPr>
                <w:sz w:val="20"/>
                <w:szCs w:val="20"/>
                <w:color w:val="auto"/>
              </w:rPr>
            </w:pPr>
            <w:r>
              <w:rPr>
                <w:rFonts w:ascii="Arial" w:cs="Arial" w:eastAsia="Arial" w:hAnsi="Arial"/>
                <w:sz w:val="18"/>
                <w:szCs w:val="18"/>
                <w:color w:val="auto"/>
              </w:rPr>
              <w:t>forma; 243,697,961 shares, pro forma as adjusted</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232,304</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238,198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243,698</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Capital reserve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686,714</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919,826</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1,344,682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shares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(5,525)</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Accumulated losses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(478,213)</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(478,213)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(478,213)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12,850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12,850</w:t>
            </w:r>
          </w:p>
        </w:tc>
        <w:tc>
          <w:tcPr>
            <w:tcW w:w="0" w:type="dxa"/>
            <w:vAlign w:val="bottom"/>
          </w:tcPr>
          <w:p>
            <w:pPr>
              <w:spacing w:after="0"/>
              <w:rPr>
                <w:sz w:val="1"/>
                <w:szCs w:val="1"/>
                <w:color w:val="auto"/>
              </w:rPr>
            </w:pP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448,130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687,136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1,117,492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€ 467,678</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€ 706,684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1,137,040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Rights Offering is fully subscribed (excluding ordinary shares underlying rights offered to holders that have irrevocably agreed not to transfer or exercise their rights), our cash and cash equivalents and total equity would each increase by €150.0 million, our share capital would increase by €1.9 million and our capital reserve would increase by €148.1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number of our ordinary shares issued and outstanding actual is based on 232,304,250 ordinary shares outstanding (including 5,524,506 shares held in treasury) as of March 31, 2020 and excludes:</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16,338,305 ordinary shares available for issuance upon the exercise of options outstanding as of March 31, 2020;</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254,065 ordinary shares available for issuance upon the exercise of options expected to be granted in 2021 and 2022 under our long-term incentive program as of March 31, 2020; and</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5,282,436 ordinary shares available for future issuance under our Employee Stock Ownership Plan or any future share option plan as of March 31, 2020 (after taking into account the issuance of options expected to be granted in 2021 and 2022).</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you invest in the ADSs in the Underwritten Offering, your interest will be diluted immediately to the extent of the difference between the public offering price per ADS and our as adjusted net tangible book value per ADS after completion of the Underwritten Offering. The discussion in this section does not reflect the effects of the issuance of the 2,595,996 ordinary shares and a mandatory convertible note to be issued in the June 2020 Private Placement, which is expected to close in August 2020, and our receipt of proceeds of €223.9 million ($251.0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therefrom.</w:t>
      </w:r>
    </w:p>
    <w:p>
      <w:pPr>
        <w:spacing w:after="0" w:line="17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Net tangible book value per ADS represents the amount of our total assets less our total liabilities, excluding intangible assets, divided by the number of our ordinary shares outstanding as of March 31, 2020. As of March 31, 2020, we had a historical net tangible book value of €354.2 million ($393.4 million), corresponding to a net tangible book value per ordinary share of €1.56 ($1.73) (equivalent to $1.73 per ADS). Our pro forma net tangible book value as of March 31, 2020 was €593.2 million ($658.9 million), corresponding to a pro forma net tangible book value per ordinary share of €2.55 ($2.83) (equivalent to $2.83 per ADS), based on the total number of shares of our common stock outstanding as of March 31, 2020, and after giving effect to (i) the issuance of 1,935,488 ADSs representing our ordinary shares in connection with our acquisition of Neon, (ii) the issuance of 1,580,777 of our ordinary shares in a private placement to Fosun Pharma for proceeds of €45.6 million ($50.0 million,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and (iii) the issuance of 2,377,446 of our ordinary shares in a private placement to Pfizer for proceeds of €103.9 million ($113.0 million,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w:t>
      </w:r>
    </w:p>
    <w:p>
      <w:pPr>
        <w:spacing w:after="0" w:line="19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After giving effect to the issuance and sale of 5,500,000 ADSs in the Underwritten Offering at the public offering price of $93.00 per ADS, which was the last reported sale price of the ADSs on the Nasdaq Global Select Market on July 21, 2020, our pro forma as adjusted net tangible book value as of March 31, 2020 would have been €1,023.6 million ($1,136.9 million), corresponding to a net tangible book value per ordinary share of €4.29 ($4.77) (equivalent to $4.77 per ADS). This represents an immediate increase in net tangible book value of €1.74 ($1.94) per ordinary share (equivalent to $1.94 per ADS) to existing shareholders and immediate dilution of $88.23 per ADS to new investors purchasing ADSs in the Underwritten Offering. Dilution per ADS to new investors is determined by subtracting our pro forma as adjusted net tangible book value per ADS from the public offering price per ADS paid by new investors.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80" w:type="dxa"/>
            <w:vAlign w:val="bottom"/>
            <w:gridSpan w:val="2"/>
          </w:tcPr>
          <w:p>
            <w:pPr>
              <w:jc w:val="right"/>
              <w:ind w:right="2830"/>
              <w:spacing w:after="0"/>
              <w:rPr>
                <w:sz w:val="20"/>
                <w:szCs w:val="20"/>
                <w:color w:val="auto"/>
              </w:rPr>
            </w:pPr>
            <w:r>
              <w:rPr>
                <w:rFonts w:ascii="Arial" w:cs="Arial" w:eastAsia="Arial" w:hAnsi="Arial"/>
                <w:sz w:val="18"/>
                <w:szCs w:val="18"/>
                <w:color w:val="auto"/>
                <w:w w:val="92"/>
              </w:rPr>
              <w:t>The following table illustrates this dilution on a per-ADS basis:</w:t>
            </w: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ADS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93.00</w:t>
            </w:r>
          </w:p>
        </w:tc>
      </w:tr>
      <w:tr>
        <w:trPr>
          <w:trHeight w:val="216"/>
        </w:trPr>
        <w:tc>
          <w:tcPr>
            <w:tcW w:w="88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ADS as of March 31, 2020</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ADS as of March 31, 2020</w:t>
            </w: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$2.83</w:t>
            </w:r>
          </w:p>
        </w:tc>
        <w:tc>
          <w:tcPr>
            <w:tcW w:w="460" w:type="dxa"/>
            <w:vAlign w:val="bottom"/>
            <w:shd w:val="clear" w:color="auto" w:fill="CCEEFF"/>
          </w:tcPr>
          <w:p>
            <w:pPr>
              <w:spacing w:after="0"/>
              <w:rPr>
                <w:sz w:val="18"/>
                <w:szCs w:val="18"/>
                <w:color w:val="auto"/>
              </w:rPr>
            </w:pPr>
          </w:p>
        </w:tc>
      </w:tr>
      <w:tr>
        <w:trPr>
          <w:trHeight w:val="202"/>
        </w:trPr>
        <w:tc>
          <w:tcPr>
            <w:tcW w:w="880" w:type="dxa"/>
            <w:vAlign w:val="bottom"/>
          </w:tcPr>
          <w:p>
            <w:pPr>
              <w:spacing w:after="0"/>
              <w:rPr>
                <w:sz w:val="17"/>
                <w:szCs w:val="17"/>
                <w:color w:val="auto"/>
              </w:rPr>
            </w:pPr>
          </w:p>
        </w:tc>
        <w:tc>
          <w:tcPr>
            <w:tcW w:w="6600" w:type="dxa"/>
            <w:vAlign w:val="bottom"/>
          </w:tcPr>
          <w:p>
            <w:pPr>
              <w:ind w:left="360"/>
              <w:spacing w:after="0" w:line="201" w:lineRule="exact"/>
              <w:rPr>
                <w:sz w:val="20"/>
                <w:szCs w:val="20"/>
                <w:color w:val="auto"/>
              </w:rPr>
            </w:pPr>
            <w:r>
              <w:rPr>
                <w:rFonts w:ascii="Arial" w:cs="Arial" w:eastAsia="Arial" w:hAnsi="Arial"/>
                <w:sz w:val="18"/>
                <w:szCs w:val="18"/>
                <w:color w:val="auto"/>
              </w:rPr>
              <w:t>Increase in net tangible book value per ADS attributable to the Underwritten</w:t>
            </w: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6600" w:type="dxa"/>
            <w:vAlign w:val="bottom"/>
          </w:tcPr>
          <w:p>
            <w:pPr>
              <w:ind w:left="540"/>
              <w:spacing w:after="0"/>
              <w:rPr>
                <w:sz w:val="20"/>
                <w:szCs w:val="20"/>
                <w:color w:val="auto"/>
              </w:rPr>
            </w:pPr>
            <w:r>
              <w:rPr>
                <w:rFonts w:ascii="Arial" w:cs="Arial" w:eastAsia="Arial" w:hAnsi="Arial"/>
                <w:sz w:val="18"/>
                <w:szCs w:val="18"/>
                <w:color w:val="auto"/>
              </w:rPr>
              <w:t>Offering</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5"/>
              </w:rPr>
              <w:t>Pro forma as adjusted net tangible book value per ADS after the Underwritten Offering</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8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Dilution per ADS to new investors participating in the Underwritten Offering</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88.23</w:t>
            </w:r>
          </w:p>
        </w:tc>
      </w:tr>
      <w:tr>
        <w:trPr>
          <w:trHeight w:val="350"/>
        </w:trPr>
        <w:tc>
          <w:tcPr>
            <w:tcW w:w="7480" w:type="dxa"/>
            <w:vAlign w:val="bottom"/>
            <w:gridSpan w:val="2"/>
          </w:tcPr>
          <w:p>
            <w:pPr>
              <w:jc w:val="right"/>
              <w:ind w:right="2230"/>
              <w:spacing w:after="0"/>
              <w:rPr>
                <w:sz w:val="20"/>
                <w:szCs w:val="20"/>
                <w:color w:val="auto"/>
              </w:rPr>
            </w:pPr>
            <w:r>
              <w:rPr>
                <w:rFonts w:ascii="Arial" w:cs="Arial" w:eastAsia="Arial" w:hAnsi="Arial"/>
                <w:sz w:val="18"/>
                <w:szCs w:val="18"/>
                <w:color w:val="auto"/>
              </w:rPr>
              <w:t>37</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If the Rights Offering is fully subscribed (excluding ordinary shares underlying rights offered to holders that have irrevocably agreed not to transfer or exercise their rights), our pro forma as adjusted net tangible book value per ordinary share would be €4.89 ($5.43) (equivalent to $5.43 per ADS), representing an immediate increase in pro forma as adjusted net tangible book value to existing shareholders of €2.34 ($2.60) (equivalent to $2.60 per ADS) per ordinary share and immediate dilution of $87.57 per ADS to new investors, after deducting underwriting discounts and commissions, fees and estimated offering expenses payable by us.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on a pro forma as adjusted basis as of March 31, 2020, after giving effect to (i) the issuance of 1,935,488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representing our ordinary shares in connection with our acquisition of Neon, (ii) the issuance of 1,580,777 of our ordinary shares in a private placement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Fosun Pharma for proceeds of €45.6 million ($50.0 million, using the exchange rate then in effect as published by the German Central Bank</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the issuance of 2,377,446 of our ordinary shares in a private placement to Pfizer for proceeds of €103.9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($113.0 million, using the exchange rate then in effect as published by the German Central Bank (</w:t>
      </w:r>
      <w:r>
        <w:rPr>
          <w:rFonts w:ascii="Arial" w:cs="Arial" w:eastAsia="Arial" w:hAnsi="Arial"/>
          <w:sz w:val="16"/>
          <w:szCs w:val="16"/>
          <w:i w:val="1"/>
          <w:iCs w:val="1"/>
          <w:color w:val="auto"/>
        </w:rPr>
        <w:t>Deutsche Bundesbank</w:t>
      </w:r>
      <w:r>
        <w:rPr>
          <w:rFonts w:ascii="Arial" w:cs="Arial" w:eastAsia="Arial" w:hAnsi="Arial"/>
          <w:sz w:val="16"/>
          <w:szCs w:val="16"/>
          <w:color w:val="auto"/>
        </w:rPr>
        <w:t>)), the number of ordinary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owned by existing shareholders and to be owned by new investors purchasing ADSs in the Underwritten Offering, the total consideration paid by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existing shareholders and new investors purchasing ADSs in the Underwritten Offering, the average price per ordinary share paid by our existing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and the average price per ADS to be paid by new investors purchasing ADSs in the Underwritten Offering. The calculation below is based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the public offering price of $93.00, before deducting underwriting discounts and commissions and estimated offering expenses payable by us: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9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Purchased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9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2"/>
                <w:szCs w:val="12"/>
                <w:color w:val="auto"/>
              </w:rPr>
            </w:pPr>
          </w:p>
        </w:tc>
        <w:tc>
          <w:tcPr>
            <w:tcW w:w="8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9"/>
              </w:rPr>
              <w:t>Per ADS</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232,673,455</w:t>
            </w:r>
          </w:p>
        </w:tc>
        <w:tc>
          <w:tcPr>
            <w:tcW w:w="2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97.69%</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1,294,746,948</w:t>
            </w:r>
          </w:p>
        </w:tc>
        <w:tc>
          <w:tcPr>
            <w:tcW w:w="26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71.68%</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Investors participating in the Underwritten Offering</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5,500,000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511,500,000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93.00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238,173,455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1,806,246,948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number of our ordinary shares issued and outstanding actual, is based on 226,779,744 ordinary shares outstanding as of March 31, 2020 and excludes:</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16,338,305 ordinary shares available for issuance upon the exercise of options outstanding as of March 31, 2020;</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254,065 ordinary shares available for issuance upon the exercise of options expected to be granted in 2021 and 2022 under our long-term incentive program as of March 31, 2020;</w:t>
      </w:r>
    </w:p>
    <w:p>
      <w:pPr>
        <w:spacing w:after="0" w:line="75" w:lineRule="exact"/>
        <w:rPr>
          <w:rFonts w:ascii="Arial" w:cs="Arial" w:eastAsia="Arial" w:hAnsi="Arial"/>
          <w:sz w:val="18"/>
          <w:szCs w:val="18"/>
          <w:color w:val="auto"/>
        </w:rPr>
      </w:pPr>
    </w:p>
    <w:p>
      <w:pPr>
        <w:ind w:left="1080" w:right="28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5,282,436 ordinary shares available for future issuance under our Employee Stock Ownership Plan or any future share option plan as of March 31, 2020 (after taking into account the issuance of options expected to be granted in 2021 and 2022);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5,524,506 ordinary shares held in treasury.</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following tables present selected consolidated financial data as of December 31, 2019, for the years ended December 31, 2019, 2018 and 2017, as of March 31, 2020 and for the three months ended March 31, 2020 and 2019. We derived the selected consolidated statements of operations for the years ended December 31, 2019, 2018 and 2017 and the selected consolidated statement of financial position data as of December 31, 2019 from our audited consolidated financial statements incorporated by reference herein. The selected consolidated statements of operations data for the three months ended March 31, 2020 and 2019 and the selected consolidated statement of financial position data as of March 31, 2020 have been derived from our unaudited interim condensed consolidated financial statements incorporated by reference herein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16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selected consolidated financial data below should be read together with our consolidated financial statements and related notes, our unaudited interim condensed consolidated financial statements and the section titled “Management’s Discussion and Analysis of Financial Condition and Results of Operations” in our Forms 20-F and 6-K incorporated by reference herein, as well as the section of this prospectus titled “Capitalization.” Our historical results for any prior period are not necessarily indicative of results to be expected in any future period, and the results for the three months ended March 31, 2020 are not necessarily indicative of the results to be expected for the full year ended December 31, 2020.</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2"/>
              </w:rPr>
              <w:t>For the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2"/>
              </w:rPr>
              <w:t>For the 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21"/>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1820" w:type="dxa"/>
            <w:vAlign w:val="bottom"/>
            <w:gridSpan w:val="2"/>
          </w:tcPr>
          <w:p>
            <w:pPr>
              <w:ind w:left="17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27,663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26,154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3"/>
              <w:spacing w:after="0"/>
              <w:rPr>
                <w:sz w:val="20"/>
                <w:szCs w:val="20"/>
                <w:color w:val="auto"/>
              </w:rPr>
            </w:pPr>
            <w:r>
              <w:rPr>
                <w:rFonts w:ascii="Arial" w:cs="Arial" w:eastAsia="Arial" w:hAnsi="Arial"/>
                <w:sz w:val="18"/>
                <w:szCs w:val="18"/>
                <w:color w:val="auto"/>
                <w:w w:val="98"/>
              </w:rPr>
              <w:t>108,589</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127,575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61,598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(5,842)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(17,361)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21,821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22,949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113,885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(65,122)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(57,241)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90"/>
              </w:rPr>
              <w:t>(226,466)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0"/>
              </w:rPr>
              <w:t>(143,040)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(85,496)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8"/>
                <w:szCs w:val="18"/>
                <w:color w:val="auto"/>
              </w:rPr>
              <w:t>(2,718)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(15,815)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(45,547)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(26,334)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3"/>
              <w:spacing w:after="0"/>
              <w:rPr>
                <w:sz w:val="20"/>
                <w:szCs w:val="20"/>
                <w:color w:val="auto"/>
              </w:rPr>
            </w:pPr>
            <w:r>
              <w:rPr>
                <w:rFonts w:ascii="Arial" w:cs="Arial" w:eastAsia="Arial" w:hAnsi="Arial"/>
                <w:sz w:val="18"/>
                <w:szCs w:val="18"/>
                <w:color w:val="auto"/>
              </w:rPr>
              <w:t>2,724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5,396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(59,277</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(43,835</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(181,518</w:t>
            </w:r>
          </w:p>
        </w:tc>
        <w:tc>
          <w:tcPr>
            <w:tcW w:w="140" w:type="dxa"/>
            <w:vAlign w:val="bottom"/>
          </w:tcPr>
          <w:p>
            <w:pPr>
              <w:jc w:val="right"/>
              <w:ind w:right="3"/>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(53,854</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(61,277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4,122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8,046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Finance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related to lease liability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89"/>
              </w:rPr>
              <w:t>(53,378)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(40,756)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w w:val="90"/>
              </w:rPr>
              <w:t>(179,440)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(47,662)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(85,905)</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89"/>
              </w:rPr>
              <w:t>(53,386)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(40,762)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w w:val="90"/>
              </w:rPr>
              <w:t>(179,172)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(48,262)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(85,950)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Loss attributable to equity holders of the parent</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(53,386)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(40,646)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(179,056</w:t>
            </w:r>
          </w:p>
        </w:tc>
        <w:tc>
          <w:tcPr>
            <w:tcW w:w="140" w:type="dxa"/>
            <w:vAlign w:val="bottom"/>
          </w:tcPr>
          <w:p>
            <w:pPr>
              <w:jc w:val="right"/>
              <w:ind w:right="3"/>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(85,653)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(0.24</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(0.85</w:t>
            </w:r>
          </w:p>
        </w:tc>
        <w:tc>
          <w:tcPr>
            <w:tcW w:w="140" w:type="dxa"/>
            <w:vAlign w:val="bottom"/>
          </w:tcPr>
          <w:p>
            <w:pPr>
              <w:jc w:val="right"/>
              <w:ind w:right="3"/>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720" w:type="dxa"/>
            <w:vAlign w:val="bottom"/>
            <w:vMerge w:val="restart"/>
          </w:tcPr>
          <w:p>
            <w:pPr>
              <w:jc w:val="right"/>
              <w:ind w:right="4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gridSpan w:val="2"/>
          </w:tcPr>
          <w:p>
            <w:pPr>
              <w:jc w:val="center"/>
              <w:ind w:left="2173"/>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 of financial position:</w:t>
            </w:r>
          </w:p>
        </w:tc>
        <w:tc>
          <w:tcPr>
            <w:tcW w:w="2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€ 451,597</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519,149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732,208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797,647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Total liabilities</w:t>
            </w:r>
          </w:p>
        </w:tc>
        <w:tc>
          <w:tcPr>
            <w:tcW w:w="3140" w:type="dxa"/>
            <w:vAlign w:val="bottom"/>
            <w:gridSpan w:val="3"/>
          </w:tcPr>
          <w:p>
            <w:pPr>
              <w:jc w:val="right"/>
              <w:ind w:right="140"/>
              <w:spacing w:after="0"/>
              <w:rPr>
                <w:sz w:val="20"/>
                <w:szCs w:val="20"/>
                <w:color w:val="auto"/>
              </w:rPr>
            </w:pPr>
            <w:r>
              <w:rPr>
                <w:rFonts w:ascii="Arial" w:cs="Arial" w:eastAsia="Arial" w:hAnsi="Arial"/>
                <w:sz w:val="18"/>
                <w:szCs w:val="18"/>
                <w:color w:val="auto"/>
              </w:rPr>
              <w:t>284,078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304,155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232,304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232,304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Accumulated losses</w:t>
            </w:r>
          </w:p>
        </w:tc>
        <w:tc>
          <w:tcPr>
            <w:tcW w:w="3140" w:type="dxa"/>
            <w:vAlign w:val="bottom"/>
            <w:gridSpan w:val="3"/>
          </w:tcPr>
          <w:p>
            <w:pPr>
              <w:jc w:val="right"/>
              <w:ind w:right="80"/>
              <w:spacing w:after="0"/>
              <w:rPr>
                <w:sz w:val="20"/>
                <w:szCs w:val="20"/>
                <w:color w:val="auto"/>
              </w:rPr>
            </w:pPr>
            <w:r>
              <w:rPr>
                <w:rFonts w:ascii="Arial" w:cs="Arial" w:eastAsia="Arial" w:hAnsi="Arial"/>
                <w:sz w:val="18"/>
                <w:szCs w:val="18"/>
                <w:color w:val="auto"/>
              </w:rPr>
              <w:t>(478,213)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(424,827)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€ 448,130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493,492</w:t>
            </w: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2260" w:type="dxa"/>
            <w:vAlign w:val="bottom"/>
          </w:tcPr>
          <w:p>
            <w:pPr>
              <w:jc w:val="right"/>
              <w:ind w:right="1653"/>
              <w:spacing w:after="0"/>
              <w:rPr>
                <w:sz w:val="20"/>
                <w:szCs w:val="20"/>
                <w:color w:val="auto"/>
              </w:rPr>
            </w:pPr>
            <w:r>
              <w:rPr>
                <w:rFonts w:ascii="Arial" w:cs="Arial" w:eastAsia="Arial" w:hAnsi="Arial"/>
                <w:sz w:val="18"/>
                <w:szCs w:val="18"/>
                <w:color w:val="auto"/>
              </w:rPr>
              <w:t>40</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May 6, 2020, BioNTech SE, or BioNTech, announced the closing of the Neon Therapeutics, Inc., or Neon, acquisition. The merger agreement was first announced on January 16, 2020. Based on the acquisition date share price, the implied aggregate value of the merger consideration was approximately $97.1 million (€89.9 million using the exchange rate as of closing) financed by issuing new ordinary shares as a stock transaction and including de minimis cash consideration which was paid to settle Neon’s outstanding stock options.</w:t>
      </w:r>
    </w:p>
    <w:p>
      <w:pPr>
        <w:spacing w:after="0" w:line="17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following unaudited pro forma condensed combined financial information are based on BioNTech’s historical consolidated financial statements prepared in accordance with International Financial Reporting Standards as issued by the IASB, or IFRS, and Neon’s historical consolidated financial statements as adjusted to give effect to our acquisition of Neon. As Neon prepared its financial statements in accordance with U.S. generally accepted accounting principles, or U.S. GAAP, and applied U.S. dollars as its reporting currency, adjustments have been made to convert Neon’s financial statements to IFRS and its reporting currency to Euros. Please see Notes 2 and 3 to the unaudited pro forma condensed combined financial information for a discussion of the adjustments made to convert Neon’s financial information from U.S. GAAP to IFRS.</w:t>
      </w:r>
    </w:p>
    <w:p>
      <w:pPr>
        <w:spacing w:after="0" w:line="164"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2019 and the three months ended March 31, 2020 gives effect to this transaction as if it had occurred on January 1, 2019. The unaudited pro forma condensed combined statement of financial position as of March 31, 2020 gives effect to this transaction as if it had occurred on March 31, 2020.</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includes the latest estimates of the fair value of Neon’s assets to be acquired and liabilities to be assumed and the related allocations of the purchase price using the factual circumstances as of the time of closing. These figures are applied to the unaudited condensed combined statement of financial position as of March 31, 2020. As the detailed valuation studies are still ongoing, these estimates and assumptions are subject to change.</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indicated in Note 5 to the unaudited pro forma condensed combined financial information, BioNTech has made certain adjustments to adjust the historical book values of the assets and liabilities of Neon to reflect preliminary estimates of the fair values necessary to prepare the unaudited pro forma condensed combined financial information, with the excess of the estimated purchase price over the net assets of Neon, as adjusted to reflect estimated fair values, recorded as goodwill.</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Additionally, as indicated in Note 2 to the unaudited pro forma condensed combined financial information, estimated effects related to the application of IFRS have been based on preliminary assessments and as indicated in Note 3 to the unaudited pro forma condensed combined financial information, the reporting currency has been applied based on a simplified method. Actual results are expected to differ from this unaudited pro forma condensed combined financial information once BioNTech has completed the valuation studies necessary to finalize the required purchase price allocation and finalized conforming accounting changes for Neon. Such differences may be material.</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assumptions and estimates underlying the unaudited adjustments to the pro forma condensed combined financial information are described in the accompanying notes, which should be read together with the pro forma condensed combined financial information. The unaudited pro forma condensed combined financial information should be read together with:</w:t>
      </w:r>
    </w:p>
    <w:p>
      <w:pPr>
        <w:spacing w:after="0" w:line="89" w:lineRule="exact"/>
        <w:rPr>
          <w:sz w:val="20"/>
          <w:szCs w:val="20"/>
          <w:color w:val="auto"/>
        </w:rPr>
      </w:pPr>
    </w:p>
    <w:p>
      <w:pPr>
        <w:ind w:left="1080" w:right="4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BioNTech’s audited consolidated financial statements and related notes incorporated by reference in this registration statement as of December 31, 2019 and 2018 and for the years ended December 31, 2019, 2018 and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9"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BioNTech’s unaudited interim condensed consolidated financial statements and related notes incorporated by reference in this registration statement as of and for the three months ended March 31, 2020 and for the three months ended March 31, 2019;</w:t>
      </w:r>
    </w:p>
    <w:p>
      <w:pPr>
        <w:spacing w:after="0" w:line="51"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Neon’s audited consolidated financial statements and related notes as of December 31, 2019 and 2018 and for the years then ended incorporated by reference in this registration statement; and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Neon’s unaudited interim condensed consolidated financial statements and related notes as of March 31, 2020 and for the three months ended March 31, 2020 and 2019 incorporated by reference in this registration statement.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unaudited pro forma condensed combined financial information does not include the realization of any future cost savings or restructuring or integration charges that are expected to result from the Merger.</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is not intended to represent or be indicative of the consolidated results of operations and financial condition of the consolidated company that would have been reported had the acquisition been completed as of the dates presented, and should not be taken as being representative of the future consolidated results of operations or financial condition of the consolidated company.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320" w:top="459" w:right="5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of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BioNTech</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Neon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Neon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Neon</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SE</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IFRS</w:t>
            </w:r>
          </w:p>
        </w:tc>
        <w:tc>
          <w:tcPr>
            <w:tcW w:w="1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IFRS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US GAAP</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US GAAP</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Notes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EUR</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USD</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300" w:type="dxa"/>
            <w:vAlign w:val="bottom"/>
            <w:gridSpan w:val="2"/>
            <w:vMerge w:val="continue"/>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93,932</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83,618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a), 5 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177,550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96,290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6,694</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6,110</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 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101,918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49,131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6,597</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 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56,018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471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assets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239,353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14,393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13,137</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83,136</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335,916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Inventories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9,629</w:t>
            </w:r>
          </w:p>
        </w:tc>
        <w:tc>
          <w:tcPr>
            <w:tcW w:w="220" w:type="dxa"/>
            <w:vAlign w:val="bottom"/>
          </w:tcPr>
          <w:p>
            <w:pPr>
              <w:spacing w:after="0"/>
              <w:rPr>
                <w:sz w:val="18"/>
                <w:szCs w:val="18"/>
                <w:color w:val="auto"/>
              </w:rPr>
            </w:pPr>
          </w:p>
        </w:tc>
        <w:tc>
          <w:tcPr>
            <w:tcW w:w="116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10,310</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Deferred expenses and other current assets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21,319</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1,962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23,110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451,597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15,047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13,734</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465,331</w:t>
            </w:r>
          </w:p>
        </w:tc>
        <w:tc>
          <w:tcPr>
            <w:tcW w:w="0" w:type="dxa"/>
            <w:vAlign w:val="bottom"/>
          </w:tcPr>
          <w:p>
            <w:pPr>
              <w:spacing w:after="0"/>
              <w:rPr>
                <w:sz w:val="1"/>
                <w:szCs w:val="1"/>
                <w:color w:val="auto"/>
              </w:rPr>
            </w:pPr>
          </w:p>
        </w:tc>
      </w:tr>
      <w:tr>
        <w:trPr>
          <w:trHeight w:val="223"/>
        </w:trPr>
        <w:tc>
          <w:tcPr>
            <w:tcW w:w="37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732,208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290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83,136</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844,296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448,130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14,431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13,172</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74,868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 a), 5 a), 5 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536,460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Contract liabilities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75,187</w:t>
            </w:r>
          </w:p>
        </w:tc>
        <w:tc>
          <w:tcPr>
            <w:tcW w:w="116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75,187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b)</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66,848</w:t>
            </w:r>
          </w:p>
        </w:tc>
        <w:tc>
          <w:tcPr>
            <w:tcW w:w="1160" w:type="dxa"/>
            <w:vAlign w:val="bottom"/>
            <w:gridSpan w:val="2"/>
          </w:tcPr>
          <w:p>
            <w:pPr>
              <w:jc w:val="center"/>
              <w:ind w:left="114"/>
              <w:spacing w:after="0"/>
              <w:rPr>
                <w:sz w:val="20"/>
                <w:szCs w:val="20"/>
                <w:color w:val="auto"/>
              </w:rPr>
            </w:pPr>
            <w:r>
              <w:rPr>
                <w:rFonts w:ascii="Arial" w:cs="Arial" w:eastAsia="Arial" w:hAnsi="Arial"/>
                <w:sz w:val="18"/>
                <w:szCs w:val="18"/>
                <w:color w:val="auto"/>
                <w:w w:val="89"/>
              </w:rPr>
              <w:t>6,204</w:t>
            </w:r>
            <w:r>
              <w:rPr>
                <w:rFonts w:ascii="Arial" w:cs="Arial" w:eastAsia="Arial" w:hAnsi="Arial"/>
                <w:sz w:val="15"/>
                <w:szCs w:val="15"/>
                <w:color w:val="auto"/>
                <w:w w:val="89"/>
              </w:rPr>
              <w:t>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5,663</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72,511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142,035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5,663</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7,931</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155,629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Trade payables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19,417</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3,043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2,777</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22,194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94,824</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27,802</w:t>
            </w:r>
          </w:p>
        </w:tc>
        <w:tc>
          <w:tcPr>
            <w:tcW w:w="1160" w:type="dxa"/>
            <w:vAlign w:val="bottom"/>
            <w:gridSpan w:val="2"/>
          </w:tcPr>
          <w:p>
            <w:pPr>
              <w:jc w:val="center"/>
              <w:ind w:left="114"/>
              <w:spacing w:after="0"/>
              <w:rPr>
                <w:sz w:val="20"/>
                <w:szCs w:val="20"/>
                <w:color w:val="auto"/>
              </w:rPr>
            </w:pPr>
            <w:r>
              <w:rPr>
                <w:rFonts w:ascii="Arial" w:cs="Arial" w:eastAsia="Arial" w:hAnsi="Arial"/>
                <w:sz w:val="18"/>
                <w:szCs w:val="18"/>
                <w:color w:val="auto"/>
                <w:w w:val="89"/>
              </w:rPr>
              <w:t>7,724</w:t>
            </w:r>
            <w:r>
              <w:rPr>
                <w:rFonts w:ascii="Arial" w:cs="Arial" w:eastAsia="Arial" w:hAnsi="Arial"/>
                <w:sz w:val="15"/>
                <w:szCs w:val="15"/>
                <w:color w:val="auto"/>
                <w:w w:val="89"/>
              </w:rPr>
              <w:t>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7,050</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337</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 c)</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284,078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16,971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15,490</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8,268</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307,836</w:t>
            </w:r>
          </w:p>
        </w:tc>
        <w:tc>
          <w:tcPr>
            <w:tcW w:w="0" w:type="dxa"/>
            <w:vAlign w:val="bottom"/>
          </w:tcPr>
          <w:p>
            <w:pPr>
              <w:spacing w:after="0"/>
              <w:rPr>
                <w:sz w:val="1"/>
                <w:szCs w:val="1"/>
                <w:color w:val="auto"/>
              </w:rPr>
            </w:pPr>
          </w:p>
        </w:tc>
      </w:tr>
      <w:tr>
        <w:trPr>
          <w:trHeight w:val="223"/>
        </w:trPr>
        <w:tc>
          <w:tcPr>
            <w:tcW w:w="372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732,208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290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83,136</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844,296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Please see Note 3 to the unaudited pro forma condensed combined financial information.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operating lease liabilities of $6,200 and other liabilities of $4.</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accrued expenses of $6,437 and operating lease liabilities of $1,287.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for per share information)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BioNTech</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Neon</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Neon</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SE</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Inc.</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110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IFRS</w:t>
            </w:r>
          </w:p>
        </w:tc>
        <w:tc>
          <w:tcPr>
            <w:tcW w:w="10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IFRS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US GAAP</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US GAAP</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1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EUR</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USD</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100" w:type="dxa"/>
            <w:vAlign w:val="bottom"/>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108,589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108,589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Cost of sales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(17,361)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(226,466)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(53,768)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a), 2 b)</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(281,577)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(2,718)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(45,547)</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(19,286)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a), 2 b)</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(65,548)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2,724</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366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(181,518)</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(81,138)</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(73,054)</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(256,630)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 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tax</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(179,440)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(79,776)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(71,828)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(253,986)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for the period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(179,172)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(79,776)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(71,828)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(253,718)</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Loss for the period attributable to</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(179,056)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(79,776)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(71,828)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(253,602)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(0.85)</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213,434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40" w:right="4200" w:hanging="5424"/>
        <w:spacing w:after="0" w:line="449" w:lineRule="auto"/>
        <w:tabs>
          <w:tab w:leader="none" w:pos="5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Please see Note 3 to the unaudited pro forma condensed combined financial information. 44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three months ended March 31, 2020 (in thousands, except for per share information)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BioNTech</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Neon</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Neon</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Inc.</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Inc.</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IFRS</w:t>
            </w:r>
          </w:p>
        </w:tc>
        <w:tc>
          <w:tcPr>
            <w:tcW w:w="10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IFRS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US GAAP</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US GAAP</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Notes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USD</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w:t>
            </w:r>
            <w:r>
              <w:rPr>
                <w:rFonts w:ascii="Arial" w:cs="Arial" w:eastAsia="Arial" w:hAnsi="Arial"/>
                <w:sz w:val="12"/>
                <w:szCs w:val="12"/>
                <w:b w:val="1"/>
                <w:bCs w:val="1"/>
                <w:color w:val="auto"/>
              </w:rPr>
              <w:t>1</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80" w:type="dxa"/>
            <w:vAlign w:val="bottom"/>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27,663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 of sales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(5,842)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(65,122)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(8,566)</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407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a), 2 b)</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(73,560)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(6,548)</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518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a), 2 b)</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(21,845)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operating income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Operating (loss) income</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(59,277)</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(16,666)</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280" w:type="dxa"/>
            <w:vAlign w:val="bottom"/>
          </w:tcPr>
          <w:p>
            <w:pPr>
              <w:spacing w:after="0"/>
              <w:rPr>
                <w:sz w:val="19"/>
                <w:szCs w:val="19"/>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6"/>
              </w:rPr>
              <w:t>925</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(73,745)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5,899</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 a)</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income before tax</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(15,052)</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758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(67,951)</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 common</w:t>
            </w: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(53,386)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(15,052)</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758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0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(67,959)</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226,779</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228,714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Please see Note 3 to the unaudited pro forma condensed combined financial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31"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120" w:right="500" w:firstLine="440"/>
        <w:spacing w:after="0" w:line="291" w:lineRule="auto"/>
        <w:rPr>
          <w:sz w:val="20"/>
          <w:szCs w:val="20"/>
          <w:color w:val="auto"/>
        </w:rPr>
      </w:pPr>
      <w:r>
        <w:rPr>
          <w:rFonts w:ascii="Arial" w:cs="Arial" w:eastAsia="Arial" w:hAnsi="Arial"/>
          <w:sz w:val="16"/>
          <w:szCs w:val="16"/>
          <w:color w:val="auto"/>
        </w:rPr>
        <w:t>The historical consolidated financial statements of BioNTech and Neon have been adjusted in the unaudited pro forma condensed combined financial information to give effect to pro forma events that are (1) directly attributable to the business combination, (2) factually supportable and</w:t>
      </w:r>
    </w:p>
    <w:p>
      <w:pPr>
        <w:ind w:left="120" w:right="40" w:hanging="4"/>
        <w:spacing w:after="0" w:line="253"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the unaudited pro forma condensed combined statements of operations, expected to have a continuing impact on the combined results following the business combination. The business combination was accounted for under the acquisition method of accounting in accordance with IFRS 3, Business Combinations. As the acquirer for accounting purposes, BioNTech has performed preliminary estimates of the fair value of Neon’s assets acquired and liabilities assumed and performed a preliminary conversion to conform the U.S. GAAP accounting policies of Neon to its own accounting policies under IFRS.</w:t>
      </w:r>
    </w:p>
    <w:p>
      <w:pPr>
        <w:spacing w:after="0" w:line="335"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policy conformity changes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historical financial information of Neon was prepared in accordance with U.S. GAAP. The following preliminary adjustments convert Neon’s financial information from U.S. GAAP to IFRS and align Neon’s accounting policies to those applied by BioNTech.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Neon adopted ASC 842 as of January 1, 2019 for lease accounting. For the year ended December 31, 2019 and the three months ended March 31, 2020, BioNTech applied IFRS 16 for lease accounting. The following adjustments reflect as if Neon had adopted IFRS 16 as of January 1, 2019:</w:t>
      </w:r>
    </w:p>
    <w:p>
      <w:pPr>
        <w:spacing w:after="0" w:line="89"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Decrease in research and development expenses of k€349 and decrease of general and administrative expenses of k€78 and increase of finance expense of k€660 the year ended December 31, 2019, respectively, due to increased depreciation and reclassification of operating lease interest expense into finance expense.</w:t>
      </w:r>
    </w:p>
    <w:p>
      <w:pPr>
        <w:spacing w:after="0" w:line="89" w:lineRule="exact"/>
        <w:rPr>
          <w:rFonts w:ascii="Arial" w:cs="Arial" w:eastAsia="Arial" w:hAnsi="Arial"/>
          <w:sz w:val="18"/>
          <w:szCs w:val="18"/>
          <w:color w:val="auto"/>
        </w:rPr>
      </w:pPr>
    </w:p>
    <w:p>
      <w:pPr>
        <w:ind w:left="1540" w:right="40" w:hanging="331"/>
        <w:spacing w:after="0" w:line="263"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Decrease in research and development expenses of k€99 and decrease of general and administrative expenses of k€22 and increase of finance expense of k€167 the three months ended March 31, 2020, respectively, due to increased depreciation and reclassification of operating lease interest expense into finance expense.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Increase in right-of-use assets and total shareholder’s equity of k€290 as of March 31, 2020.</w:t>
      </w:r>
    </w:p>
    <w:p>
      <w:pPr>
        <w:spacing w:after="0" w:line="130" w:lineRule="exact"/>
        <w:rPr>
          <w:rFonts w:ascii="Arial" w:cs="Arial" w:eastAsia="Arial" w:hAnsi="Arial"/>
          <w:sz w:val="18"/>
          <w:szCs w:val="18"/>
          <w:color w:val="auto"/>
        </w:rPr>
      </w:pPr>
    </w:p>
    <w:p>
      <w:pPr>
        <w:ind w:left="1080" w:right="420" w:hanging="532"/>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adjustments reflect the change from straight-line method to the accelerated method of recognizing stock compensation expense per IFRS 2 and the reversal of mark-to-market expense for stock options granted to non-employees:</w:t>
      </w:r>
    </w:p>
    <w:p>
      <w:pPr>
        <w:spacing w:after="0" w:line="51" w:lineRule="exact"/>
        <w:rPr>
          <w:rFonts w:ascii="Arial" w:cs="Arial" w:eastAsia="Arial" w:hAnsi="Arial"/>
          <w:sz w:val="17"/>
          <w:szCs w:val="17"/>
          <w:color w:val="auto"/>
        </w:rPr>
      </w:pPr>
    </w:p>
    <w:p>
      <w:pPr>
        <w:ind w:left="1540" w:right="140" w:hanging="331"/>
        <w:spacing w:after="0" w:line="277"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Increase in research and development expenses of k€575 and increase in general and administrative expenses of k€793 for the year ended December 31, 2019.</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Decrease in research and development expenses of k€308 and decrease in general and administrative expenses of k€496 for the three months ended March 31, 2020.</w:t>
      </w:r>
    </w:p>
    <w:p>
      <w:pPr>
        <w:spacing w:after="0" w:line="315"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historical consolidated financial statements of Neon were presented in U.S. dollars. The historical financial information was translated from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dollars to Euro using the following historical exchange rates: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 / €</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exchange rate for the year ended December 31, 2019</w:t>
            </w: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5"/>
              </w:rPr>
              <w:t>1.11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Average exchange rate for the three months ended March 31, 2020</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1.10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Period end exchange rate as of March 31, 2020</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Exchange rate as of closing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1.08</w:t>
            </w:r>
          </w:p>
        </w:tc>
      </w:tr>
    </w:tbl>
    <w:p>
      <w:pPr>
        <w:spacing w:after="0" w:line="332"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transaction</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BioNTech completed the acquisition of Neon for 0.063 new ADSs representing new ordinary shares of BioNTech in exchange for each outstanding share of Neon common stock and settled Neon’s outstanding stock options in cash.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BioNTech has performed a preliminary valuation analysis of the fair market value of Neon’s assets and liabilities. The following table summarizes the preliminary purchase price allocation as of March 31, 2020 including the consideration based on factual circumstances as of closing date (in thousands). The total consideration was calculated based on the new shares issued as of closing, and included the acquisition date share price as well as a cash consideration which will be made to settle Neon’s outstanding stock options. The USD consideration is translated into Euro as of March 31, 2020 using the period end exchange rate as of March 31, 2020.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88,667</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5,628</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Right-of-use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29,032</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13,734</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(5,663)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(2,777)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(7,050)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(7,931)</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54,104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This preliminary purchase price allocation has been used to prepare pro forma adjustments in the unaudited pro forma condensed combined statement of financial position and statement of operations. The final purchase price allocation will be determined when BioNTech has completed the detailed valuations and necessary calculations. The final allocation could differ materially from the preliminary allocation used in the pro forma adjustments. The final allocation may include material changes in allocations to intangible assets such as licenses, technology and customer relationships as well as goodwill and other changes to assets and liabilities.</w:t>
      </w:r>
    </w:p>
    <w:p>
      <w:pPr>
        <w:spacing w:after="0" w:line="332"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pro forma adjustments are based on BioNTech’s preliminary estimates and assumptions that are subject to change. The following adjustments have been reflected in the unaudited pro forma condensed combined financial information:</w:t>
      </w:r>
    </w:p>
    <w:p>
      <w:pPr>
        <w:spacing w:after="0" w:line="76" w:lineRule="exact"/>
        <w:rPr>
          <w:sz w:val="20"/>
          <w:szCs w:val="20"/>
          <w:color w:val="auto"/>
        </w:rPr>
      </w:pPr>
    </w:p>
    <w:p>
      <w:pPr>
        <w:ind w:left="1080" w:hanging="532"/>
        <w:spacing w:after="0" w:line="288"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Reflects the adjustment of intangible assets acquired by BioNTech to their estimated fair values. As part of the preliminary valuation analysis, BioNTech identified intangible assets in form of in-process research and development projects. The fair value of identifiable intangible assets is determined primarily using the income method approach. Since all information required to perform a detailed valuation analysis of Neon’s intangible assets could not be obtained as of the date of this filing, for purposes of these unaudited pro forma condensed combined financial information, BioNTech used certain assumptions based on publicly available data for the industry. Amortization for the in-process research and development in the amounts of k€1,117 for the year ended December 31, 2019 and k€279 for the three months ended March 31, 2020 has been reflected in the unaudited pro forma condensed combined statements of operations. These preliminary estimates of fair value will likely differ from final amounts BioNTech will calculate after completing a detailed valuation analysis, and the difference could have a material impact on the accompanying unaudited pro forma condensed combined financial information. A change in the valuation of intangible assets would correspond to an increase or decrease in the balance of goodwill.</w:t>
      </w:r>
    </w:p>
    <w:p>
      <w:pPr>
        <w:spacing w:after="0" w:line="73"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Adjusts the deferred tax liabilities resulting from the acquisition. The estimated increase in deferred tax liabilities to k€7,931 stems primarily from the fair value adjustments for non-deductible intangible assets based on an estimated tax rate of 27.32%. This estimate of deferred income tax balances is preliminary and subject to change based on management’s final determination of the fair value of assets acquired and liabilities assumed by jurisdiction.</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cash consideration which will be made to settle Neon’s outstanding stock options.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elimination of the historical equity of Neon and the issuance of ordinary shares to finance the acquisition,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equity proceeds from issuance of 0.063 American Depositary Shares of the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per share of Neon and cash settlement of Neon’s outstanding stock</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€ 88,330</w:t>
            </w:r>
          </w:p>
        </w:tc>
      </w:tr>
      <w:tr>
        <w:trPr>
          <w:trHeight w:val="202"/>
        </w:trPr>
        <w:tc>
          <w:tcPr>
            <w:tcW w:w="20" w:type="dxa"/>
            <w:vAlign w:val="bottom"/>
          </w:tcPr>
          <w:p>
            <w:pPr>
              <w:spacing w:after="0"/>
              <w:rPr>
                <w:sz w:val="17"/>
                <w:szCs w:val="17"/>
                <w:color w:val="auto"/>
              </w:rPr>
            </w:pPr>
          </w:p>
        </w:tc>
        <w:tc>
          <w:tcPr>
            <w:tcW w:w="6700" w:type="dxa"/>
            <w:vAlign w:val="bottom"/>
          </w:tcPr>
          <w:p>
            <w:pPr>
              <w:spacing w:after="0" w:line="201" w:lineRule="exact"/>
              <w:rPr>
                <w:sz w:val="20"/>
                <w:szCs w:val="20"/>
                <w:color w:val="auto"/>
              </w:rPr>
            </w:pPr>
            <w:r>
              <w:rPr>
                <w:rFonts w:ascii="Arial" w:cs="Arial" w:eastAsia="Arial" w:hAnsi="Arial"/>
                <w:sz w:val="18"/>
                <w:szCs w:val="18"/>
                <w:color w:val="auto"/>
                <w:w w:val="99"/>
              </w:rPr>
              <w:t>Less: historical Neon shareholders’ equity converted into Euro and IFRS adjusted as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of March 31, 2020</w:t>
            </w:r>
          </w:p>
        </w:tc>
        <w:tc>
          <w:tcPr>
            <w:tcW w:w="760" w:type="dxa"/>
            <w:vAlign w:val="bottom"/>
            <w:gridSpan w:val="2"/>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(13,462)</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adjustment to shareholders’ equity</w:t>
            </w: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€ 74,868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adjustment reclassifies software assets of k€482 from property, plant and equipment to intangibles to conform the presentation of the balance of BioNTech’s presentation.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320" w:top="459" w:right="6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immunotherapies for cancer and other diseases. We leverage powerful new therapeutic mechanisms and exploit a diverse array of biological targets to harness the power of each patient’s immune system to address the unique molecular signature of each patient’s underlying disease. The breadth of our immunotherapy technologies and expertise has also enabled us to develop therapies to address a range of rare and infectious diseases, and we have recently rapidly mobilized these with the aim of addressing the COVID-19 pandemic. We believe we are uniquely positioned to develop and commercialize the next generation of immunotherapies with the potential to significantly improve clinical outcomes for patients and usher in a new era of individualized medicine.</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and our collaborators have advanced a development pipeline of over 20 product candidates, of which 12 have entered into 13 ongoing clinical trials. While we believe our approach is broadly applicable across a number of therapeutic areas, our most advanced programs are focused on oncology, where we have treated over 500 patients across 17 tumor types to date. Our immunotherapy drug classes consist of messenger ribonucleic acid, or mRNA, therapeutics, cell therapies, antibodies and small molecule immunomodulators. Our product candidates span oncology, infectious diseases and rare diseases.</w:t>
      </w:r>
    </w:p>
    <w:p>
      <w:pPr>
        <w:spacing w:after="0" w:line="188"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We have assembled an exceptional team of over 1,400 employees and have established relationships with seven pharmaceutical collaborators, including Genentech, Inc., or Genentech, Sanofi S.A., or Sanofi, Genmab A/S, or Genmab, Genevant Sciences GmbH, or Genevant, Bayer AG, or Bayer, Pfizer Inc., or Pfizer, and Shanghai Fosun Pharmaceutical (Group) Co., Ltd., or Fosun Pharma. We have built out comprehensive, highly automated, on-demand in-house manufacturing capabilities that complement the development of our individualized immunotherapies.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immunotherapy product candidates span the following four distinct drug classes:</w:t>
      </w:r>
    </w:p>
    <w:p>
      <w:pPr>
        <w:spacing w:after="0" w:line="127" w:lineRule="exact"/>
        <w:rPr>
          <w:sz w:val="20"/>
          <w:szCs w:val="20"/>
          <w:color w:val="auto"/>
        </w:rPr>
      </w:pPr>
    </w:p>
    <w:p>
      <w:pPr>
        <w:ind w:left="1080" w:right="200" w:hanging="424"/>
        <w:spacing w:after="0" w:line="285"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mRNA Therapeutics. </w:t>
      </w:r>
      <w:r>
        <w:rPr>
          <w:rFonts w:ascii="Arial" w:cs="Arial" w:eastAsia="Arial" w:hAnsi="Arial"/>
          <w:sz w:val="16"/>
          <w:szCs w:val="16"/>
          <w:color w:val="auto"/>
        </w:rPr>
        <w:t>We are utilizing messenger ribonucleic acid, or mRNA, to deliver genetic information to cells, where it is used to</w:t>
      </w:r>
      <w:r>
        <w:rPr>
          <w:rFonts w:ascii="Arial" w:cs="Arial" w:eastAsia="Arial" w:hAnsi="Arial"/>
          <w:sz w:val="16"/>
          <w:szCs w:val="16"/>
          <w:b w:val="1"/>
          <w:bCs w:val="1"/>
          <w:color w:val="auto"/>
        </w:rPr>
        <w:t xml:space="preserve"> </w:t>
      </w:r>
      <w:r>
        <w:rPr>
          <w:rFonts w:ascii="Arial" w:cs="Arial" w:eastAsia="Arial" w:hAnsi="Arial"/>
          <w:sz w:val="16"/>
          <w:szCs w:val="16"/>
          <w:color w:val="auto"/>
        </w:rPr>
        <w:t>express proteins for therapeutic effect. We are developing a portfolio of immunotherapies that utilize four different mRNA formats and three different formulations to derive five distinct platforms for the treatment of cancer. Three of these platforms are currently in human testing: (i) our off-the-shelf shared antigen immunotherapy, or FixVac; (ii) our individualized neoantigen specific immunotherapy, or iNeST, in collaboration with Genentech; and (iii) our intratumoral immunotherapy, in collaboration with Sanofi. In addition, we are developing two platforms in which we use mRNA to express directly in the patient either (a) particular antibodies, or RiboMabs, or</w:t>
      </w:r>
    </w:p>
    <w:p>
      <w:pPr>
        <w:spacing w:after="0" w:line="3" w:lineRule="exact"/>
        <w:rPr>
          <w:rFonts w:ascii="Arial" w:cs="Arial" w:eastAsia="Arial" w:hAnsi="Arial"/>
          <w:sz w:val="16"/>
          <w:szCs w:val="16"/>
          <w:color w:val="auto"/>
        </w:rPr>
      </w:pPr>
    </w:p>
    <w:p>
      <w:pPr>
        <w:ind w:left="1080" w:right="60"/>
        <w:spacing w:after="0" w:line="323" w:lineRule="auto"/>
        <w:rPr>
          <w:rFonts w:ascii="Arial" w:cs="Arial" w:eastAsia="Arial" w:hAnsi="Arial"/>
          <w:sz w:val="16"/>
          <w:szCs w:val="16"/>
          <w:color w:val="auto"/>
        </w:rPr>
      </w:pPr>
      <w:r>
        <w:rPr>
          <w:rFonts w:ascii="Arial" w:cs="Arial" w:eastAsia="Arial" w:hAnsi="Arial"/>
          <w:sz w:val="16"/>
          <w:szCs w:val="16"/>
          <w:color w:val="auto"/>
        </w:rPr>
        <w:t>(b) specific cytokines, or RiboCytokines. In collaboration with Pfizer, the University of Pennsylvania, Genevant and Fosun Pharma we are also leveraging our mRNA technology beyond oncology to address COVID-19, influenza, other infectious diseases and rare diseases.</w:t>
      </w:r>
    </w:p>
    <w:p>
      <w:pPr>
        <w:spacing w:after="0" w:line="39" w:lineRule="exact"/>
        <w:rPr>
          <w:rFonts w:ascii="Arial" w:cs="Arial" w:eastAsia="Arial" w:hAnsi="Arial"/>
          <w:sz w:val="16"/>
          <w:szCs w:val="16"/>
          <w:color w:val="auto"/>
        </w:rPr>
      </w:pPr>
    </w:p>
    <w:p>
      <w:pPr>
        <w:ind w:left="1080" w:right="20" w:hanging="424"/>
        <w:spacing w:after="0" w:line="261"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Cell Therapies. </w:t>
      </w:r>
      <w:r>
        <w:rPr>
          <w:rFonts w:ascii="Arial" w:cs="Arial" w:eastAsia="Arial" w:hAnsi="Arial"/>
          <w:sz w:val="18"/>
          <w:szCs w:val="18"/>
          <w:color w:val="auto"/>
        </w:rPr>
        <w:t>We are developing a range of cell therapies, including chimeric antigen receptor, or CAR, T cells, neoantigen-based T cell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therapies and T cell receptor, or TCR, therapies, in which the patient’s T cells are modified or primed to target cancer-specific antigens We are also combining our mRNA FixVac platform with our first CAR-T product candidates, using “CARVac” immune boosters to enhance the persistence of CAR-T cells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080" w:right="140" w:hanging="424"/>
        <w:spacing w:after="0" w:line="26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in collaboration with Genmab, next-generation bispecific antibodies that are designed to target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checkpoints that modulate the patient’s immune response to cancer. We are also exploring additional targeted cancer antibody approaches utilizing our in-house and recently acquired antibody capabilities.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080" w:right="360" w:hanging="424"/>
        <w:spacing w:after="0" w:line="26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patterns of immunomodulation. We are developing a small molecule toll-like receptor 7, or TLR7, immunomodulator for the treatment of solid tumors.</w:t>
      </w:r>
    </w:p>
    <w:p>
      <w:pPr>
        <w:spacing w:after="0" w:line="18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have leveraged these four drug classes to build a robust pipeline of product candidates. Our pipeline includes 12 product candidates in 13 ongoing clinical trials. Our most advanced programs are focused on oncology, where we have to-date treated over 500 patients across 17 solid tumor types. We also are developing more than 10 additional preclinical programs and expect to initiate clinical testing with several of them in the near future. We are targeting the advancement of up to three product candidates into the clinic in 2020, with clinical data updates for up to four additional programs expected by the end of 2020. In our Phase 1 trials, we have observed antigen-specific immune responses in over 90% of advanced melanoma patients treated with BNT111, our lead FixVac off-the-shelf product candidate, as a single agent. In addition, we have observed single-agent antigen-specific immune responses in patients treated with BNT121, the precursor to RO7198457 (BNT122), our lead iNeST product candidate. In both trials, we have observed durable objective responses (reduction in tumor volume) in both the monotherapy and checkpoint-combination settings.</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believe our technology and expertise is broadly applicable across a number of therapeutic areas, such as infectious diseases and rare diseases. In April 2020, we initiated a first-in-human clinical trial program for our BNT162 vaccine program to prevent COVID-19, which includes four vaccine candidate variants based on three distinct mRNA formats. We are co-developing BNT162 with Pfizer worldwide (ex-China) and with Fosun Pharma in China. We initiated the BNT162 program in late January 2020 in response to the global COVID-19 pandemic, and initiated human testing following preclinical studies and within approximately three months of initiating the research program. On July 1 and July 20, 2020, we and Pfizer announced preliminary data from our Phase 1/2 clinical trials of BNT162. Our ability to rapidly design and test multiple vaccine variants leveraged our deep experience with mRNA vaccines and our prior preclinical work in the infectious disease field.</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established multiple collaborations to advance our science and development capabilities and provide capital, most of which has been non-dilutive. We have entered into selective collaborations with leading pharmaceutical companies where a collaborator may bring incremental expertise or resources that we currently do not possess in-house. To date, we have formed relationships with seven pharmaceutical companies, which comprise Genentech, Sanofi, Genmab, Genevant, Bayer, Pfizer and Fosun Pharma. We have entered into some of these collaborations in order to advance our technologies and business outside of our initial focus on cancer. We are collaborating with Pfizer to develop an influenza vaccine and with Pfizer and Fosun Pharma to develop a COVID-19 vaccine, each utilizing our mRNA-based immunotherapy technology. We also have a collaboration with Genevant to develop protein replacement therapies in up to five rare disease indications. Furthermore, we are collaborating with the University of Pennsylvania, or Penn, to develop mRNA-based vaccines in up to 10 additional infectious disease indications. We have a relationship with Translational Oncology at the University Medical Center of the Johannes Gutenberg University Mainz (Translationale Onkologie an der Universitätsmedizin der Johannes Gutenberg Universität Mainz gemeinnützige GmbH), or TRON, to further our immunotherapy research.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ability to develop, control and optimize the manufacturing process is a core strategic pillar and competitive advantage across our portfolio, in particular for our individualized product candidates. We operate three Good Manufacturing Practice, or GMP, certified manufacturing facilities in Germany, where we manufacture mRNA therapeutics and cell therapies for our own pipeline and for external customers. We operate a fourth manufacturing facility in Germany where we manufacture custom peptides to support our extensive immunomonitoring activities within our development programs. We have collaborated with Siemens AG, or Siemens, to develop efficient, semi-automated processes to produce our individualized mRNA immunotherapies on demand.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Team</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team combines proven biotechnology entrepreneurs, world-renowned immunologists and sophisticated biopharma investors. We were founded in 2008 by our scientific founders, Prof. Ugur Sahin, M.D., Prof. Christoph Huber, M.D. and Özlem Türeci, M.D., with a seed investment of €150 million from the Strüngmann family, through its investment vehicle AT Impf, and MIG Fonds, or MIG. Andreas and Thomas Strüngmann are serial entrepreneurs, having co-founded Hexal AG, a German pharmaceutical firm, which they built and sold to Novartis, along with their majority stake in Eon Labs, Inc., a U.S. public pharmaceutical firm, for a combined €5.6 billion (at the time, $8.3 billion). After selling Hexal, they founded a family office focused on healthcare. The Strüngmann family office and MIG have invested in, helped build and sold, either on their own or together, a number of biotechnology and healthcare companies, such as SuppreMol, Ganymed AG, or Ganymed, CorImmun, Sivantos (former Siemens hearing aid business), Press Ganey (surgery survey company) and Apceth (cell therapy manufacturing company). Helmut Jeggle and Michael Motschmann, on behalf of the Strüngmann family and MIG, respectively, along with Dr. Huber, were founding members of our Supervisory Board.</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BioNTech has been supported since its inception by Prof. Rolf Zinkernagel, M.D., Ph.D. and Prof. Hans Hengartner, Ph.D., who serve on our Scientific Advisory Board. Dr. Zinkernagel is a Professor Emeritus at the University of Zurich, University Hospital, and former head of the Institute of Experimental Immunology in Zurich. Prof. Zinkernagel was awarded the Nobel Prize in 1996 for the discovery of how the immune system recognizes virus-infected cells. Prof. Hengartner is a world-renowned immunologist and Professor Emeritus at the Federal Institute of Technology ETH Zurich and the University of Zurich.</w:t>
      </w:r>
    </w:p>
    <w:p>
      <w:pPr>
        <w:spacing w:after="0" w:line="188"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At the time of BioNTech’s founding, Dr. Sahin and Dr. Türeci were the Chief Scientific Officer and the Chief Medical Officer, respectively, of Ganymed, a private biotechnology company that was founded in 2001 and was focused on developing a monoclonal antibody targeting CLDN18.2 (zolbetuximab). The Strüngmann family office and MIG were majority investors in Ganymed. When Dr. Sahin became Chief Executive Officer of BioNTech, he stepped down from the management board of Ganymed and became the chair of its Scientific Advisory Board. Dr. Türeci continued to lead Ganymed as its Chief Executive Officer until it was sold to Astellas Pharma Inc. in 2016 for up to $1.4 billion.</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initial group of scientific founders have been joined by experienced pharmaceutical executives, immunologists and biotechnology specialty investors. Sean Marett, our Chief Business Officer and Chief Commercial Officer, led the business development teams at Evotec, and previously was an executive at GlaxoSmithKline in the United States. Dr. Sierk Poetting, our Chief Financial Officer and Chief Operating Officer, joined us from Sandoz, where he served as the Chief Financial Officer in North America. Ryan Richardson, our Chief Strategy Officer, joined BioNTech from J.P. Morgan Securities LLC, where he served as Executive Director, Healthcare Investment Banking. We have also attracted talented scientists such as Katalin Karikó, our Senior Vice President &amp; Head of RNA Protein Replacement, who has more than 30 years of experience working with RNA, has published more than 70 peer-reviewed papers and is co-inventor on mRNA-related patents, including a foundational patent relating to modified mRNA.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 of Product Candidates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advancing a deep and broad portfolio of product candidates derived from our four drug classes focused on the treatment of cancer, infectious and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134620</wp:posOffset>
            </wp:positionV>
            <wp:extent cx="4560570" cy="5915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6057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480"/>
          </w:cols>
          <w:pgMar w:left="320" w:top="459" w:right="10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5"/>
          <w:szCs w:val="15"/>
          <w:b w:val="1"/>
          <w:bCs w:val="1"/>
          <w:i w:val="1"/>
          <w:iCs w:val="1"/>
          <w:color w:val="auto"/>
        </w:rPr>
        <w:t>Oncology</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i w:val="1"/>
          <w:iCs w:val="1"/>
          <w:color w:val="auto"/>
        </w:rPr>
        <w:t xml:space="preserve">FixVac. </w:t>
      </w:r>
      <w:r>
        <w:rPr>
          <w:rFonts w:ascii="Arial" w:cs="Arial" w:eastAsia="Arial" w:hAnsi="Arial"/>
          <w:sz w:val="18"/>
          <w:szCs w:val="18"/>
          <w:color w:val="auto"/>
        </w:rPr>
        <w:t>Our FixVac product candidates contain selected combinations of pharmacologically optimized uridine mRNA encoding known cancer-specific shared antigens. They feature our proprietary immunogenic mRNA backbone and proprietary RNA-lipoplex, or RNA-LPX, delivery formulation, designed to enhance stability and translation, target dendritic cells and trigger both innate and adaptive immune responses. We and investigators are currently evaluating five FixVac product candidates in clinical trials, including BNT111 in a Phase 1 trial in advanced melanoma, BNT112 in a Phase 1/2 trial in prostate cancer, BNT113 in a Phase 1 trial in HPV+ head and neck cancers, BNT114 in a Phase 1 trial in triple negative breast cancer and BNT115 in a Phase 1 trial in ovarian cancer.</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of the July 2019 interim cut-off, 95 patients with metastatic melanoma had been dosed at least once in our Phase 1 clinical trial of BNT111. Forty-two of these patients had macroscopic tumor lesions at the time they were enrolled, and these patients were evaluated for preliminary clinical activity, with 25 receiving BNT111 as a monotherapy and 17 receiving BNT in combination with a checkpoint inhibitor. Three of the 25 patients who received BNT111 as a monotherapy demonstrated a partial response, one patient had a metabolic complete response as measured by FGD-PET imaging and seven had stable disease following treatment. Six of the 17 patients who received BNT111 in combination with a checkpoint inhibitor demonstrated a partial response and two had stable disease following treatment. We intend to publish a peer-reviewed article with additional data from our ongoing trial of BNT111 in melanoma in 2020.</w:t>
      </w:r>
    </w:p>
    <w:p>
      <w:pPr>
        <w:spacing w:after="0" w:line="19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expect to initiate a Phase 2 trial with registrational potential for BNT111 in metastatic melanoma in the second half of 2020. We enrolled the first patient in a Phase 1/2 trial for BNT112, our FixVac product candidate targeting prostate cancer, in the second half of 2019. In addition, we are planning to initiate a Phase 2 trial with registrational potential for BNT113 in HPV+ head and neck cancers by the end of 2020.</w:t>
      </w:r>
    </w:p>
    <w:p>
      <w:pPr>
        <w:spacing w:after="0" w:line="16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 xml:space="preserve">Individualized neoantigen specific immunotherapy (iNeST). </w:t>
      </w:r>
      <w:r>
        <w:rPr>
          <w:rFonts w:ascii="Arial" w:cs="Arial" w:eastAsia="Arial" w:hAnsi="Arial"/>
          <w:sz w:val="16"/>
          <w:szCs w:val="16"/>
          <w:color w:val="auto"/>
        </w:rPr>
        <w:t>Our iNeST immunotherapies contain unmodified, pharmacologically optimized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mRNA encoding up to 20 patient-specific neoantigens and also feature our proprietary RNA-LPX formulation. We are conducting, in collaboration with Genentech, multiple clinical trials of our iNeST product candidate, RO7198457 (BNT122). The iNeST Phase 1a (monotherapy)/1b (in combination with atezolizumab) trial is a non-registrational, signal seeking study recruiting mostly patients with late stage advanced cancers, including patients that failed multiple lines of prior treatment. We believe that iNeST is particularly well suited for patients with a lower tumor burden. This positioning is supported by clinical activity shown in our previously reported Phase 1 trial, in which BNT121 was administered intranodally in 13 patients with metastatic melanoma. In this trial, as of October 2019 we have observed stable, progression-free survival in nine patients for up to 60 months following surgery and treatment with BNT121. In addition, three out of five patients had an objective response, two patients received iNeST alone and the third patient also received checkpoint immunotherapy. We also observed a significant decrease in the cumulative recurrence rate post-treatment as compared to pre-treatment. Based on these findings, we, in collaboration with Genentech, initiated a randomized iNeST Phase 2 trial in first-line metastatic melanoma in combination with pembrolizumab. In June 2020, we reported data from a monotherapy dose-finding cohort of our RO7198457 (BNT122) Phase 1 trial in multiple solid tumors, which showed that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 cell responses were detected in approximately 86% of patients treated with RO7198457 (BNT122) as a monotherapy and later in June 2020 we provided a data update for an additional cohort in combination with atezolizumab. We and Genentech expect to provide an enrollment update from our RO7198457 (BNT122) Phase 2 trial in first-line melanoma in the second half of 2020. We expect this enrollment update to include an update on the ongoing study, including patient enrollment numbers, with efficacy and safety data expected in an interim update in the second half of 2021. We and Genentech plan to initiate two additional clinical trials for RO7198457 (BNT122) in 2020 in adjuvant NSCLC and adjuvant colorectal cancer.</w:t>
      </w:r>
    </w:p>
    <w:p>
      <w:pPr>
        <w:spacing w:after="0" w:line="17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mRNA intratumoral immunotherapy. </w:t>
      </w:r>
      <w:r>
        <w:rPr>
          <w:rFonts w:ascii="Arial" w:cs="Arial" w:eastAsia="Arial" w:hAnsi="Arial"/>
          <w:sz w:val="18"/>
          <w:szCs w:val="18"/>
          <w:color w:val="auto"/>
        </w:rPr>
        <w:t>In collaboration with Sanofi, we are conducting a Phase 1 trial of SAR441000 (BNT131), our first mRNA-based intratumoral immunotherapy, as a monotherapy and in combination with cemiplimab in patients with solid tumors. SAR441000 (BNT131) consists of a modified mRNA that encodes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 xml:space="preserve">the IL-12sc, IL-15sushi, GM-CSF and IFN-a cytokines. SAR441000 (BNT131) is designed to be administered directly into the tumor in order to alter the tumor </w:t>
      </w:r>
      <w:r>
        <w:rPr>
          <w:rFonts w:ascii="Arial" w:cs="Arial" w:eastAsia="Arial" w:hAnsi="Arial"/>
          <w:sz w:val="18"/>
          <w:szCs w:val="18"/>
          <w:i w:val="1"/>
          <w:iCs w:val="1"/>
          <w:color w:val="auto"/>
        </w:rPr>
        <w:t>microenvironment</w:t>
      </w:r>
      <w:r>
        <w:rPr>
          <w:rFonts w:ascii="Arial" w:cs="Arial" w:eastAsia="Arial" w:hAnsi="Arial"/>
          <w:sz w:val="18"/>
          <w:szCs w:val="18"/>
          <w:color w:val="auto"/>
        </w:rPr>
        <w:t xml:space="preserve"> and enhance the immune system’s ability to recognize and fight cancer within the tumor (proximal) as well as in other untreated locations (distal).</w:t>
      </w:r>
    </w:p>
    <w:p>
      <w:pPr>
        <w:spacing w:after="0" w:line="184"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i w:val="1"/>
          <w:iCs w:val="1"/>
          <w:color w:val="auto"/>
        </w:rPr>
        <w:t xml:space="preserve">CLDN6 CAR-T cell immunotherapy. </w:t>
      </w:r>
      <w:r>
        <w:rPr>
          <w:rFonts w:ascii="Arial" w:cs="Arial" w:eastAsia="Arial" w:hAnsi="Arial"/>
          <w:sz w:val="17"/>
          <w:szCs w:val="17"/>
          <w:color w:val="auto"/>
        </w:rPr>
        <w:t>We are developing a proprietary chimeric antigen receptor T cell, or CAR-T, product candidate, BNT211,</w:t>
      </w:r>
      <w:r>
        <w:rPr>
          <w:rFonts w:ascii="Arial" w:cs="Arial" w:eastAsia="Arial" w:hAnsi="Arial"/>
          <w:sz w:val="17"/>
          <w:szCs w:val="17"/>
          <w:i w:val="1"/>
          <w:iCs w:val="1"/>
          <w:color w:val="auto"/>
        </w:rPr>
        <w:t xml:space="preserve"> </w:t>
      </w:r>
      <w:r>
        <w:rPr>
          <w:rFonts w:ascii="Arial" w:cs="Arial" w:eastAsia="Arial" w:hAnsi="Arial"/>
          <w:sz w:val="17"/>
          <w:szCs w:val="17"/>
          <w:color w:val="auto"/>
        </w:rPr>
        <w:t>targeting Claudin-6, or CLDN6, a novel solid tumor-specific antigen. We developed BNT211 utilizing our target discovery engine, and we plan to administer it along with a CARVac “primer” to boost the immune response and promote CAR-T cell persistence. We expect to initiate a Phase 1/2 clinical trial for BNT211 in patients with advanced CLDN6 + solid tumors in the second half of 2020.</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 xml:space="preserve">Neoantigen-based T cell therapies. </w:t>
      </w:r>
      <w:r>
        <w:rPr>
          <w:rFonts w:ascii="Arial" w:cs="Arial" w:eastAsia="Arial" w:hAnsi="Arial"/>
          <w:sz w:val="18"/>
          <w:szCs w:val="18"/>
          <w:color w:val="auto"/>
        </w:rPr>
        <w:t>We recently acquired a neoantigen-based T cell platform. Our lead product candidate under this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NEO-PTC-01 (BNT221), is a personalized neoantigen-targeted adoptive T cell therapy candidate consisting of multiple T cell populations targeting the most therapeutically relevant neoantigens from each patient’s tumor. We expect to initiate a Phase 1 clinical trial in NEO-PTC-01 (BNT221) in metastatic melanoma in the second half of 2020.</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Next-generation checkpoint immunomodulators. </w:t>
      </w:r>
      <w:r>
        <w:rPr>
          <w:rFonts w:ascii="Arial" w:cs="Arial" w:eastAsia="Arial" w:hAnsi="Arial"/>
          <w:sz w:val="17"/>
          <w:szCs w:val="17"/>
          <w:color w:val="auto"/>
        </w:rPr>
        <w:t>We are developing, in collaboration with Genmab, novel next-generation bispecific antibodies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designed for conditional activation of immunostimulatory checkpoint molecules. Our first bispecific candidates are GEN1046 (BNT311), which targets PD-L1 in conjunction with 4-1BB, and GEN1042 (BNT312), which targets CD40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 We have initiated Phase 1/2a trials of GEN1046 (BNT311) and GEN1042 (BNT312) in solid tumors. We expect to report interim data on GEN1046 (BNT311) in 2H 2020.</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Targeted Cancer Antibodies. </w:t>
      </w:r>
      <w:r>
        <w:rPr>
          <w:rFonts w:ascii="Arial" w:cs="Arial" w:eastAsia="Arial" w:hAnsi="Arial"/>
          <w:sz w:val="18"/>
          <w:szCs w:val="18"/>
          <w:color w:val="auto"/>
        </w:rPr>
        <w:t>In May 2019, we acquired an antibody with a novel mode of action, MVT-5873 (BNT321). BNT321 is a fully human</w:t>
      </w:r>
      <w:r>
        <w:rPr>
          <w:rFonts w:ascii="Arial" w:cs="Arial" w:eastAsia="Arial" w:hAnsi="Arial"/>
          <w:sz w:val="18"/>
          <w:szCs w:val="18"/>
          <w:i w:val="1"/>
          <w:iCs w:val="1"/>
          <w:color w:val="auto"/>
        </w:rPr>
        <w:t xml:space="preserve"> </w:t>
      </w:r>
      <w:r>
        <w:rPr>
          <w:rFonts w:ascii="Arial" w:cs="Arial" w:eastAsia="Arial" w:hAnsi="Arial"/>
          <w:sz w:val="18"/>
          <w:szCs w:val="18"/>
          <w:color w:val="auto"/>
        </w:rPr>
        <w:t>IgG1 monoclonal antibody targeting sialyl Lewis A (sLea), a novel epitope expressed specifically in pancreatic and other solid tumors. MVT-5873 (BNT321) is currently in Phase 1 clinical development in pancreatic cancer, which we resumed in December 2019 upon the enrollment of the first patient. Positive interim data were announced in February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have several other cancer immunotherapy programs in development, including:</w:t>
      </w:r>
    </w:p>
    <w:p>
      <w:pPr>
        <w:spacing w:after="0" w:line="131" w:lineRule="exact"/>
        <w:rPr>
          <w:sz w:val="20"/>
          <w:szCs w:val="20"/>
          <w:color w:val="auto"/>
        </w:rPr>
      </w:pPr>
    </w:p>
    <w:p>
      <w:pPr>
        <w:ind w:left="1080" w:right="200" w:hanging="424"/>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RiboMabs: </w:t>
      </w:r>
      <w:r>
        <w:rPr>
          <w:rFonts w:ascii="Arial" w:cs="Arial" w:eastAsia="Arial" w:hAnsi="Arial"/>
          <w:sz w:val="17"/>
          <w:szCs w:val="17"/>
          <w:color w:val="auto"/>
        </w:rPr>
        <w:t>novel classes of mRNA-based therapeutics that are designed to encode antibodies directly in the patient’s body. We expect to</w:t>
      </w:r>
      <w:r>
        <w:rPr>
          <w:rFonts w:ascii="Arial" w:cs="Arial" w:eastAsia="Arial" w:hAnsi="Arial"/>
          <w:sz w:val="17"/>
          <w:szCs w:val="17"/>
          <w:i w:val="1"/>
          <w:iCs w:val="1"/>
          <w:color w:val="auto"/>
        </w:rPr>
        <w:t xml:space="preserve"> </w:t>
      </w:r>
      <w:r>
        <w:rPr>
          <w:rFonts w:ascii="Arial" w:cs="Arial" w:eastAsia="Arial" w:hAnsi="Arial"/>
          <w:sz w:val="17"/>
          <w:szCs w:val="17"/>
          <w:color w:val="auto"/>
        </w:rPr>
        <w:t>initiate Phase 1 clinical trials for our first two RiboMab product candidates, BNT141 and BNT142, in the first half of 2021.</w:t>
      </w:r>
    </w:p>
    <w:p>
      <w:pPr>
        <w:spacing w:after="0" w:line="51" w:lineRule="exact"/>
        <w:rPr>
          <w:rFonts w:ascii="Arial" w:cs="Arial" w:eastAsia="Arial" w:hAnsi="Arial"/>
          <w:sz w:val="17"/>
          <w:szCs w:val="17"/>
          <w:color w:val="auto"/>
        </w:rPr>
      </w:pPr>
    </w:p>
    <w:p>
      <w:pPr>
        <w:jc w:val="both"/>
        <w:ind w:left="1080" w:right="1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RiboCytokines</w:t>
      </w:r>
      <w:r>
        <w:rPr>
          <w:rFonts w:ascii="Arial" w:cs="Arial" w:eastAsia="Arial" w:hAnsi="Arial"/>
          <w:sz w:val="18"/>
          <w:szCs w:val="18"/>
          <w:color w:val="auto"/>
        </w:rPr>
        <w:t>: novel classes of mRNA-based therapeutics that are designed to encode cytokines directly in the patient’s body.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to initiate Phase 1 clinical trials for our first RiboCytokine product candidates, BNT151 and BNT152/BNT153 (combination), in the first half of 2021.</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TCR therapy</w:t>
      </w:r>
      <w:r>
        <w:rPr>
          <w:rFonts w:ascii="Arial" w:cs="Arial" w:eastAsia="Arial" w:hAnsi="Arial"/>
          <w:sz w:val="18"/>
          <w:szCs w:val="18"/>
          <w:color w:val="auto"/>
        </w:rPr>
        <w:t>: T cells with engineered TCRs that are designed to specifically target cancer cells.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Precision T cell therapy: </w:t>
      </w:r>
      <w:r>
        <w:rPr>
          <w:rFonts w:ascii="Arial" w:cs="Arial" w:eastAsia="Arial" w:hAnsi="Arial"/>
          <w:sz w:val="17"/>
          <w:szCs w:val="17"/>
          <w:color w:val="auto"/>
        </w:rPr>
        <w:t>Autologous, non-engineered T cells targeting shared RAS neoantigens prevalent across many solid tumors.</w:t>
      </w:r>
    </w:p>
    <w:p>
      <w:pPr>
        <w:spacing w:after="0" w:line="142" w:lineRule="exact"/>
        <w:rPr>
          <w:rFonts w:ascii="Arial" w:cs="Arial" w:eastAsia="Arial" w:hAnsi="Arial"/>
          <w:sz w:val="17"/>
          <w:szCs w:val="17"/>
          <w:color w:val="auto"/>
        </w:rPr>
      </w:pPr>
    </w:p>
    <w:p>
      <w:pPr>
        <w:ind w:left="1080" w:right="60" w:hanging="424"/>
        <w:spacing w:after="0" w:line="286"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Small molecule immunomodulators: </w:t>
      </w:r>
      <w:r>
        <w:rPr>
          <w:rFonts w:ascii="Arial" w:cs="Arial" w:eastAsia="Arial" w:hAnsi="Arial"/>
          <w:sz w:val="17"/>
          <w:szCs w:val="17"/>
          <w:color w:val="auto"/>
        </w:rPr>
        <w:t>novel intratumoral agents that trigger inflammation and improvement of antigen presentation by</w:t>
      </w:r>
      <w:r>
        <w:rPr>
          <w:rFonts w:ascii="Arial" w:cs="Arial" w:eastAsia="Arial" w:hAnsi="Arial"/>
          <w:sz w:val="17"/>
          <w:szCs w:val="17"/>
          <w:i w:val="1"/>
          <w:iCs w:val="1"/>
          <w:color w:val="auto"/>
        </w:rPr>
        <w:t xml:space="preserve"> </w:t>
      </w:r>
      <w:r>
        <w:rPr>
          <w:rFonts w:ascii="Arial" w:cs="Arial" w:eastAsia="Arial" w:hAnsi="Arial"/>
          <w:sz w:val="17"/>
          <w:szCs w:val="17"/>
          <w:color w:val="auto"/>
        </w:rPr>
        <w:t>antigen-presenting cells. We filed an IND for our first small molecule immunomodulator product candidate, BNT411, in the fourth quarter of 2019 and dosed the first patient in our Phase 1 clinical trial for BNT411 in solid tumors in July 2020.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Infectious Disease Immunotherapies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have collaborated with third parties to exploit the immunotherapeutic properties of our mRNA drug class for the treatment and prevention of infectious diseases. Notably, we have recently started development of four vaccine candidate variants for the prevention of COVID-19. We expect to advance our flu vaccine into the clinic by the end of 2021, and our first programs under our Penn collaboration into the clinic by the first half of 2021.</w:t>
      </w:r>
    </w:p>
    <w:p>
      <w:pPr>
        <w:spacing w:after="0" w:line="54" w:lineRule="exact"/>
        <w:rPr>
          <w:sz w:val="20"/>
          <w:szCs w:val="20"/>
          <w:color w:val="auto"/>
        </w:rPr>
      </w:pPr>
    </w:p>
    <w:p>
      <w:pPr>
        <w:ind w:left="1080" w:hanging="424"/>
        <w:spacing w:after="0" w:line="287"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COVID-19 vaccine: </w:t>
      </w:r>
      <w:r>
        <w:rPr>
          <w:rFonts w:ascii="Arial" w:cs="Arial" w:eastAsia="Arial" w:hAnsi="Arial"/>
          <w:sz w:val="16"/>
          <w:szCs w:val="16"/>
          <w:color w:val="auto"/>
        </w:rPr>
        <w:t>In response to the COVID-19 pandemic, we are developing a vaccine candidate based on mRNA technology to induce</w:t>
      </w:r>
      <w:r>
        <w:rPr>
          <w:rFonts w:ascii="Arial" w:cs="Arial" w:eastAsia="Arial" w:hAnsi="Arial"/>
          <w:sz w:val="16"/>
          <w:szCs w:val="16"/>
          <w:i w:val="1"/>
          <w:iCs w:val="1"/>
          <w:color w:val="auto"/>
        </w:rPr>
        <w:t xml:space="preserve"> </w:t>
      </w:r>
      <w:r>
        <w:rPr>
          <w:rFonts w:ascii="Arial" w:cs="Arial" w:eastAsia="Arial" w:hAnsi="Arial"/>
          <w:sz w:val="16"/>
          <w:szCs w:val="16"/>
          <w:color w:val="auto"/>
        </w:rPr>
        <w:t>immunity and prevent COVID-19 in response to the growing global health threat posed by the disease. Building on our existing collaboration with Pfizer, in April 2020, we announced that we and Pfizer had entered into a collaboration agreement to co-develop our potential first-in-class COVID-19 mRNA vaccine program, BNT162, aimed at preventing COVID-19. We and Pfizer are jointly conducting clinical trials for four COVID-19 vaccine candidate variants initially in the United States and Europe across multiple sites. If a vaccine candidate is approved, we and Pfizer will also work jointly to commercialize the vaccine worldwide (excluding China which is covered by a collaboration with Fosun Pharma). If the vaccine candidate is approved, we and Pfizer expect to manufacture up to 100 million doses by the end of 2020 and potentially more than 1.3 billion doses by the end of 2021. In March 2020, we entered into a strategic alliance with Fosun Pharma to co-develop a COVID-19 vaccine in China. Upon regulatory approval, Fosun Pharma will commercialize the vaccine in China, while we retained the full rights to develop and commercialize the vaccine in the rest of the world (jointly with Pfizer). On July 1 and July 20, 2020, we and Pfizer announced preliminary data from our Phase 1/2 clinical trials of BNT162.</w:t>
      </w:r>
    </w:p>
    <w:p>
      <w:pPr>
        <w:spacing w:after="0" w:line="77"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Flu vaccine: </w:t>
      </w:r>
      <w:r>
        <w:rPr>
          <w:rFonts w:ascii="Arial" w:cs="Arial" w:eastAsia="Arial" w:hAnsi="Arial"/>
          <w:sz w:val="18"/>
          <w:szCs w:val="18"/>
          <w:color w:val="auto"/>
        </w:rPr>
        <w:t>In August 2018, we entered into a collaboration with Pfizer to develop mRNA-based immunotherapies for the prevention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influenza, product candidate BNT161.</w:t>
      </w:r>
    </w:p>
    <w:p>
      <w:pPr>
        <w:spacing w:after="0" w:line="75" w:lineRule="exact"/>
        <w:rPr>
          <w:rFonts w:ascii="Arial" w:cs="Arial" w:eastAsia="Arial" w:hAnsi="Arial"/>
          <w:sz w:val="18"/>
          <w:szCs w:val="18"/>
          <w:color w:val="auto"/>
        </w:rPr>
      </w:pPr>
    </w:p>
    <w:p>
      <w:pPr>
        <w:ind w:left="1080" w:right="360" w:hanging="424"/>
        <w:spacing w:after="0" w:line="30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Infectious diseases: </w:t>
      </w:r>
      <w:r>
        <w:rPr>
          <w:rFonts w:ascii="Arial" w:cs="Arial" w:eastAsia="Arial" w:hAnsi="Arial"/>
          <w:sz w:val="16"/>
          <w:szCs w:val="16"/>
          <w:color w:val="auto"/>
        </w:rPr>
        <w:t>In October 2018, we entered into a research collaboration with Penn, under which we have the exclusive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and commercialize mRNA immunotherapies for the treatment of up to 10 infectious disease indications. 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265"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Rare Disease Protein Replacement Therapies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collaborating with Genevant in order to capitalize on opportunities for our mRNA technology in rare disease indications potentially featuring expedited paths to market. We are combining our mRNA technology with Genevant’s lipid nanoparticle, or LNP, delivery technology to create up to five mRNA protein replacement therapies for the treatment of rare diseases with high unmet medical needs. We expect our first compound to enter the clinic in the second half of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II. Our Strengths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are developing a broad portfolio of technologies and product candidates that we believe position us at the forefront of the next generation of targeted, specific immunotherapies. Our key strengths include:</w:t>
      </w:r>
    </w:p>
    <w:p>
      <w:pPr>
        <w:spacing w:after="0" w:line="27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We are a next-generation immunotherapy powerhouse pioneering individualized immunotherapies to address the shortcomings of existing treatments for cancer and other indications with significant unmet need.</w:t>
      </w:r>
    </w:p>
    <w:p>
      <w:pPr>
        <w:spacing w:after="0" w:line="76" w:lineRule="exact"/>
        <w:rPr>
          <w:sz w:val="20"/>
          <w:szCs w:val="20"/>
          <w:color w:val="auto"/>
        </w:rPr>
      </w:pPr>
    </w:p>
    <w:p>
      <w:pPr>
        <w:ind w:left="1080" w:right="4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established leadership and expertise in immunology and oncology. Through 11 years of rigorous scientific investigation and clinical translation, we have developed a portfolio of disruptive immunotherapy technologies designed to address the challenges of disease heterogeneity and patient variability.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1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team has consistently been first-movers and has published over 150 scientific papers in leading peer-reviewed journals. We were the first to develop an intravenously delivered mRNA-based human therapeutic, the first to advance an individualized mRNA-based cancer immunotherapy into clinical trials, and the first to establish scaled in-house manufacturing for such a product candidate.</w:t>
      </w:r>
    </w:p>
    <w:p>
      <w:pPr>
        <w:spacing w:after="0" w:line="54" w:lineRule="exact"/>
        <w:rPr>
          <w:rFonts w:ascii="Arial" w:cs="Arial" w:eastAsia="Arial" w:hAnsi="Arial"/>
          <w:sz w:val="16"/>
          <w:szCs w:val="16"/>
          <w:color w:val="auto"/>
        </w:rPr>
      </w:pPr>
    </w:p>
    <w:p>
      <w:pPr>
        <w:jc w:val="both"/>
        <w:ind w:left="1080" w:right="420" w:hanging="424"/>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Since our founding in 2008, we have advanced four of our therapeutic platforms into human clinical trials, generated promising early evidence of clinical activity in several cancer types, raised $1.6 billion of capital from renowned global biopharmaceutical investors, formed collaborations with seven leading pharmaceutical companies, and acquired complementary assets ranging from research and manufacturing units to clinical programs.</w:t>
      </w:r>
    </w:p>
    <w:p>
      <w:pPr>
        <w:spacing w:after="0" w:line="9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efforts are driven by a group of over 1,400 employees including over 600 in research and development, overseen by our founders who are internationally recognized thought leaders in their disciplines.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developing product candidates addressing highly specific immuno-oncology targets, employing a technology-agnostic approach.</w:t>
      </w:r>
    </w:p>
    <w:p>
      <w:pPr>
        <w:spacing w:after="0" w:line="154" w:lineRule="exact"/>
        <w:rPr>
          <w:sz w:val="20"/>
          <w:szCs w:val="20"/>
          <w:color w:val="auto"/>
        </w:rPr>
      </w:pPr>
    </w:p>
    <w:p>
      <w:pPr>
        <w:ind w:left="1080" w:hanging="424"/>
        <w:spacing w:after="0" w:line="286"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portfolio includes four drug classes, spanning mRNA therapeutics, cell therapies, antibodies and small molecule immunomodulators, which can be used alone or in combination to enhance therapeutic effect and produce potentially synergistic effects, as demonstrated in our combination of our BNT211 CAR-T product candidate with a CARVac immune primer.</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oncology pipeline includes 11 product candidates in 12 ongoing clinical trials, and more than 10 preclinical programs.</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developed significant expertise in the selection of optimal combinations of targets for the specific and individualized treatment of particular cancers. We have assembled libraries of more than 200 proprietary or known shared antigens and have developed predictive algorithms capable of efficiently identifying multiple neoantigens on an individualized basis for any patient. We further enhanced these capabilities with our acquisition of Neon.</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approach enables real-time monitoring of therapeutic effect on the immune system in a feedback loop of biological surveillance that we believe has the potential to further enhance the success of individualized immunotherapy approaches.</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tested our lead mRNA candidates in over 500 patients and have already demonstrated signs of single-agent clinical activity in our two lead programs.</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most advanced programs are focused on oncology where we have to-date dosed over 500 patients across 17 solid tumor types.</w:t>
      </w:r>
    </w:p>
    <w:p>
      <w:pPr>
        <w:spacing w:after="0" w:line="142" w:lineRule="exact"/>
        <w:rPr>
          <w:rFonts w:ascii="Arial" w:cs="Arial" w:eastAsia="Arial" w:hAnsi="Arial"/>
          <w:sz w:val="17"/>
          <w:szCs w:val="17"/>
          <w:color w:val="auto"/>
        </w:rPr>
      </w:pPr>
    </w:p>
    <w:p>
      <w:pPr>
        <w:ind w:left="1080" w:hanging="424"/>
        <w:spacing w:after="0" w:line="271"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In our Phase 1 trials, we observed single-agent antigen specific immune responses in over 90% of advanced melanoma patients treated with BNT111, our lead off-the-shelf immunotherapy product candidate leveraging our wholly owned FixVac platform. In addition, we observed single-agent antigen-specific immune responses in patients treated with BNT121, the precursor to our lead individualized neoantigen specific immunotherapy product candidate derived from our iNeST platform. In June 2020, we reported data from a monotherapy dose-finding cohort of our RO7198457 (BNT122) Phase 1 trial in multiple solid tumors, which showed that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 cell responses were detected in approximately 86% of patients treated with RO7198457 (BNT122) as a monotherapy and later in June 2020 we provided a data update for an additional cohort in combination with atezolizumab. For both candidates, we have observed durable objective responses in both the monotherapy and checkpoint combination settings.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developed a very broad and advanced mRNA therapeutic portfolio for the treatment of cancer.</w:t>
      </w:r>
    </w:p>
    <w:p>
      <w:pPr>
        <w:spacing w:after="0" w:line="131" w:lineRule="exact"/>
        <w:rPr>
          <w:sz w:val="20"/>
          <w:szCs w:val="20"/>
          <w:color w:val="auto"/>
        </w:rPr>
      </w:pPr>
    </w:p>
    <w:p>
      <w:pPr>
        <w:ind w:left="1080" w:right="3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over a decade of experience pioneering the use of mRNA as a drug class, yielding five distinct mRNA platforms in oncology, each with the potential to generate multiple first-in-class product candidates.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developed four distinct mRNA formats, each tailored to specific therapeutic applications. We have also developed and optimized multiple delivery formulations for our mRNA product candidates, including our proprietary non-viral RNA-LPX, to deliver our mRNA systemically and target it to relevant organs in the body.</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combination of these platforms, formats and delivery formulations is designed to address a wide range of disease targets, and tailor drug products for systemic or intratumoral delivery, as well as directly encode mAbs or cytokines in vivo.</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broad mRNA expertise is a core strategic asset of our company. It is protected by a global patent portfolio and our proprietary technical knowledge and trade secrets.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a deep, diversified pipeline and expect data updates for up to four oncology programs and one in infectious disease by the end of 2020.</w:t>
      </w:r>
    </w:p>
    <w:p>
      <w:pPr>
        <w:spacing w:after="0" w:line="165" w:lineRule="exact"/>
        <w:rPr>
          <w:sz w:val="20"/>
          <w:szCs w:val="20"/>
          <w:color w:val="auto"/>
        </w:rPr>
      </w:pPr>
    </w:p>
    <w:p>
      <w:pPr>
        <w:ind w:left="1080" w:right="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already advanced our portfolio to a critical stage of maturity with multiple programs progressing in parallel. We expect numerous near-term product candidate development updates, including: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data updates in up to five clinical programs by the end of 2020;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advancement of up to three product candidates into the clinic in 2020.</w:t>
      </w:r>
    </w:p>
    <w:p>
      <w:pPr>
        <w:spacing w:after="0" w:line="13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preclinical oncology pipeline is progressing rapidly. We initiated clinical trials for both of our lead checkpoint immunomodulator antibody product candidates in 2019, and enrolled the first patients in clinical trials of BNT112 and BNT321 (MVT-5873). We initiated clinical trials for BNT162 for COVID-19 in the first half of 2020 and for our small molecule product candidate, BNT411, in July 2020. We expect to initiate clinical trials for our lead CAR-T product candidate, BNT211, and our recently acquired adoptive T cell therapy product candidate, NEO-PTC-01 (BNT221) in the second half of 2020. We also expect to initiate clinical trials for our RiboMab and RiboCytokine product candidates in the first half of 2021.</w:t>
      </w:r>
    </w:p>
    <w:p>
      <w:pPr>
        <w:spacing w:after="0" w:line="97"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initiated clinical trials for BNT162 for COVID-19 in the first half of 2020. We expect to report our target indications and first product candidates for our infectious and rare disease platforms in 2020.</w:t>
      </w:r>
    </w:p>
    <w:p>
      <w:pPr>
        <w:spacing w:after="0" w:line="278"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have formed multiple collaborations with leading pharmaceutical companies and have retained significant development, commercial and financial rights across our portfolio.</w:t>
      </w:r>
    </w:p>
    <w:p>
      <w:pPr>
        <w:spacing w:after="0" w:line="76" w:lineRule="exact"/>
        <w:rPr>
          <w:sz w:val="20"/>
          <w:szCs w:val="20"/>
          <w:color w:val="auto"/>
        </w:rPr>
      </w:pPr>
    </w:p>
    <w:p>
      <w:pPr>
        <w:ind w:left="1080" w:right="260" w:hanging="424"/>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have chosen to form collaborations in oncology to rapidly advance our science and enhance our development capabilities, bring our potentially disruptive therapies to patients more quickly and provide capital, most of which has been non-dilutive.</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are currently collaborating with three pharmaceutical companies with expertise in oncology, Genentech, Sanofi and Genmab, and have retained significant rights in each of our collaborations.</w:t>
      </w:r>
    </w:p>
    <w:p>
      <w:pPr>
        <w:spacing w:after="0" w:line="75"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we have formed collaborations with leading pharmaceutical companies to broaden our footprint beyond oncology. We have collaborations with Pfizer focused on influenza and COVID-19, and Fosun Pharma for COVID-19. We are collaborating with Penn to develop mRNA-based immunotherapies for up to 10 additional infectious disease indications. We have also formed a collaboration with Genevant for up to five rare disease indications.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have retained worldwide rights to all product candidates under our FixVac, RiboMabs, RiboCytokines and CAR-T platforms.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created a vertically integrated business with comprehensive in-house manufacturing capabilities.</w:t>
      </w:r>
    </w:p>
    <w:p>
      <w:pPr>
        <w:spacing w:after="0" w:line="131" w:lineRule="exact"/>
        <w:rPr>
          <w:sz w:val="20"/>
          <w:szCs w:val="20"/>
          <w:color w:val="auto"/>
        </w:rPr>
      </w:pPr>
    </w:p>
    <w:p>
      <w:pPr>
        <w:ind w:left="1080" w:right="4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believe that to successfully bring individualized immunotherapies to patients, it is critical to control the manufacturing and supply processes. We therefore have chosen to invest early in scaling our in-house capabilities.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currently operate four manufacturing facilities in Germany spanning mRNA and peptide production, viral vectors and engineered T cells, and we continue to invest significant human and financial capital into these activities.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collaboration with Siemens, we are optimizing our iNeST production process, reducing turnaround time from over three months to less than six weeks currently, with the goal of delivering on-demand commercial supply.</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Company’s scientific DNA, which is the foundation of the BioNTech approach, has attracted a talented team from over 50 countries around the world.</w:t>
      </w:r>
    </w:p>
    <w:p>
      <w:pPr>
        <w:spacing w:after="0" w:line="76" w:lineRule="exact"/>
        <w:rPr>
          <w:sz w:val="20"/>
          <w:szCs w:val="20"/>
          <w:color w:val="auto"/>
        </w:rPr>
      </w:pPr>
    </w:p>
    <w:p>
      <w:pPr>
        <w:ind w:left="1080" w:hanging="424"/>
        <w:spacing w:after="0" w:line="275" w:lineRule="auto"/>
        <w:tabs>
          <w:tab w:leader="none" w:pos="10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Prof. Ugur Sahin, M.D., our co-founder and Chief Executive Officer, and Özlem Türeci, M.D., our Chief Medical Officer, are physicians, scientists and innovators. They have made groundbreaking scientific and technological contributions in the field of personalized cancer immunotherapy and are co-inventors on more than 100 patents. Their daily work is motivated by their experience as researchers and cancer physicians aiming to exploit scientific insights and drive technological progress to develop commercially viable products that could help individual patients, an attitude and culture that has become the DNA of BioNTech.</w:t>
      </w:r>
    </w:p>
    <w:p>
      <w:pPr>
        <w:spacing w:after="0" w:line="81" w:lineRule="exact"/>
        <w:rPr>
          <w:rFonts w:ascii="Arial" w:cs="Arial" w:eastAsia="Arial" w:hAnsi="Arial"/>
          <w:sz w:val="17"/>
          <w:szCs w:val="17"/>
          <w:color w:val="auto"/>
        </w:rPr>
      </w:pPr>
    </w:p>
    <w:p>
      <w:pPr>
        <w:ind w:left="1080" w:right="360" w:hanging="424"/>
        <w:spacing w:after="0" w:line="277"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Our DNA, with a deep culture of intellectual curiosity and innovation, has made us a destination of choice for scientific pioneers. This culture has attracted an exceptionally talented team from over 50 countries around the world.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We have participated in nearly 300 scientific publications, of which over 100 are in leading peer-reviewed journals.</w:t>
      </w:r>
    </w:p>
    <w:p>
      <w:pPr>
        <w:spacing w:after="0" w:line="32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b w:val="1"/>
          <w:bCs w:val="1"/>
          <w:color w:val="auto"/>
        </w:rPr>
        <w:t>III. Our Strategy</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vision is to harness the power of the human immune system to develop truly individualized and patient-centric therapies for cancer and other serious diseases. We aim to rapidly develop, manufacture and, if approved, commercialize a portfolio of novel immunotherapies, including both off-the-shelf drugs and individualized treatments. The key elements of our strategy to achieve this vision are as follows:</w:t>
      </w:r>
    </w:p>
    <w:p>
      <w:pPr>
        <w:spacing w:after="0" w:line="27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Rapidly advance our potential first-in-class product candidates derived from our FixVac and iNeST platforms toward market approvals in oncology, either on our own or with our collaborators.</w:t>
      </w:r>
    </w:p>
    <w:p>
      <w:pPr>
        <w:spacing w:after="0" w:line="76" w:lineRule="exact"/>
        <w:rPr>
          <w:sz w:val="20"/>
          <w:szCs w:val="20"/>
          <w:color w:val="auto"/>
        </w:rPr>
      </w:pPr>
    </w:p>
    <w:p>
      <w:pPr>
        <w:jc w:val="both"/>
        <w:ind w:left="1080" w:right="14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investigators are conducting five Phase 1 clinical trials with our wholly owned off-the-shelf FixVac mRNA immunotherapy. Our most advanced current FixVac product candidate, BNT111, is currently being evaluated in 115 patients with advanced melanoma, and we expect to initiate a Phase 2 trial with registrational potential in the second half of 2020.</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also advancing, in collaboration with Genentech, our iNeST individualized neoantigen specific mRNA immunotherapy in two clinical trials, targeting more than eight tumor types, and have two additional clinical trials planned for 2020. Our most advanced iNeST program is a Phase 2 trial of our product candidate, RO7198457 (BNT122), in 132 patients with metastatic melanoma, evaluating iNeST in combination with pembrolizumab as a first-line therapy.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believe both FixVac and iNeST have therapeutic potential in a wide variety of solid tumors. We have identified significant market opportunities in additional indications and plan to pursue potentially expedited routes to market approval.</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Progress additional product candidates through clinical development, leveraging our multiple drug classes and the synergies between them in order to expand our oncology pipeline.</w:t>
      </w:r>
    </w:p>
    <w:p>
      <w:pPr>
        <w:spacing w:after="0" w:line="76" w:lineRule="exact"/>
        <w:rPr>
          <w:sz w:val="20"/>
          <w:szCs w:val="20"/>
          <w:color w:val="auto"/>
        </w:rPr>
      </w:pPr>
    </w:p>
    <w:p>
      <w:pPr>
        <w:ind w:left="1080" w:right="6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to FixVac and iNeST, we are also conducting a Phase 1 clinical trial of our intratumoral immunotherapy product candidate SAR441000 (BNT131) in collaboration with Sanofi, as a monotherapy in patients with advanced melanoma and as a combination therapy with an anti-PD-1/PD-L1 checkpoint inhibitor in patients with certain solid tumors.</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Beyond mRNA, we plan to rapidly advance other product candidates from our immunotherapy drug classes into clinical proof-of-concept studies in solid tumor indications.</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collaboration with Genmab, we have initiated Phase 1/2a clinical trials for our product candidates GEN1046 (BNT311) and GEN1042 (BNT312) in solid tumors. These product candidates are based on our novel checkpoint immunomodulator bispecific monoclonal antibodies, which we believe have potential in a broad range of cancers.</w:t>
      </w:r>
    </w:p>
    <w:p>
      <w:pPr>
        <w:spacing w:after="0" w:line="89"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also initiated a Phase 1 clinical trial for our small molecule product candidate, BNT411, in solid tumors and plan to initiate a Phase 1/2 clinical trial for our wholly owned CAR-T product candidate, BNT211, in multiple solid tumors, targeting a novel solid-tumor specific antigen, CLDN6, and a Phase 1 clinical trial for our recently acquired adoptive T cell therapy product candidate, NEO-PTC-01 (BNT221) in the second half of 2020.</w:t>
      </w:r>
    </w:p>
    <w:p>
      <w:pPr>
        <w:spacing w:after="0" w:line="29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Maximize the potential and leverage the broad applicability of our mRNA drug class in additional therapeutic areas beyond cancer, including through selective collaborations.</w:t>
      </w:r>
    </w:p>
    <w:p>
      <w:pPr>
        <w:spacing w:after="0" w:line="76" w:lineRule="exact"/>
        <w:rPr>
          <w:sz w:val="20"/>
          <w:szCs w:val="20"/>
          <w:color w:val="auto"/>
        </w:rPr>
      </w:pPr>
    </w:p>
    <w:p>
      <w:pPr>
        <w:ind w:left="1080" w:right="2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Beyond oncology, we intend to leverage our mRNA technology to direct the immune system to fight a range of infectious diseases and address missing or defective proteins in certain rare diseases.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collaborations with Pfizer in influenza and COVID-19, Fosun Pharma in COVID-19 and with Genevant in rare diseases underscore the potential of our approach. We intend to continue to seek value-adding collaborations with leading industry players who contribute their competencies and know-how to complement our powerful suite of technologies to address challenging diseases outside of our core therapeutic focus on oncology.</w:t>
      </w:r>
    </w:p>
    <w:p>
      <w:pPr>
        <w:spacing w:after="0" w:line="29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Strengthen our position as a leader in the highly automated, on-demand manufacturing of individualized therapies with the goal of delivering our therapies globally.</w:t>
      </w:r>
    </w:p>
    <w:p>
      <w:pPr>
        <w:spacing w:after="0" w:line="76" w:lineRule="exact"/>
        <w:rPr>
          <w:sz w:val="20"/>
          <w:szCs w:val="20"/>
          <w:color w:val="auto"/>
        </w:rPr>
      </w:pPr>
    </w:p>
    <w:p>
      <w:pPr>
        <w:ind w:left="1080" w:right="14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will continue to invest to reduce cycle times and increase the automation of our processes, and to expand our manufacturing capacity across all platforms to support the efficient progression of our product candidates into late-stage clinical trials and commercialization.</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continue to invest in and scale up our advanced, in-house GMP manufacturing capabilities and capacity across mRNA and cell therapy production.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Establish a commercial organization to bring our portfolio of cancer and infectious disease immunotherapies to patients.</w:t>
      </w:r>
    </w:p>
    <w:p>
      <w:pPr>
        <w:spacing w:after="0" w:line="131" w:lineRule="exact"/>
        <w:rPr>
          <w:sz w:val="20"/>
          <w:szCs w:val="20"/>
          <w:color w:val="auto"/>
        </w:rPr>
      </w:pPr>
    </w:p>
    <w:p>
      <w:pPr>
        <w:ind w:left="1080" w:right="140" w:hanging="424"/>
        <w:spacing w:after="0" w:line="308"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believe that developing our own commercial infrastructure will be key to maximizing the value of our programs. We intend to jointly participate in the commercialization of our collaborative programs where we retain significant commercial rights.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expanded our footprint in the United States, and continued to do so with the acquisition of Neon, creating a U.S. research and development hub.</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Expand our current technology suite by continuing to develop existing and new drug classes and platforms, and selectively in-licensing technologies that are complementary to our existing pipeline.</w:t>
      </w:r>
    </w:p>
    <w:p>
      <w:pPr>
        <w:spacing w:after="0" w:line="76" w:lineRule="exact"/>
        <w:rPr>
          <w:sz w:val="20"/>
          <w:szCs w:val="20"/>
          <w:color w:val="auto"/>
        </w:rPr>
      </w:pPr>
    </w:p>
    <w:p>
      <w:pPr>
        <w:ind w:left="1080" w:right="46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our understanding of immunology and oncology evolves, we plan to continue developing existing as well as new drug classes and platforms that are consistent with our strategy, with particular focus on those that can benefit from our in-house expertise.</w:t>
      </w:r>
    </w:p>
    <w:p>
      <w:pPr>
        <w:spacing w:after="0" w:line="29" w:lineRule="exact"/>
        <w:rPr>
          <w:rFonts w:ascii="Arial" w:cs="Arial" w:eastAsia="Arial" w:hAnsi="Arial"/>
          <w:sz w:val="16"/>
          <w:szCs w:val="16"/>
          <w:color w:val="auto"/>
        </w:rPr>
      </w:pPr>
    </w:p>
    <w:p>
      <w:pPr>
        <w:jc w:val="both"/>
        <w:ind w:left="1080" w:right="28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evidenced by our recent acquisition of Neon, we also continuously assess the external environment for novel drug classes, platforms and product candidates that can further expand and improve our pipeline of innovative immunotherapeutics, and help us to execute our strategy.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Maintain our culture of scientific excellence to continue to drive future innovation.</w:t>
      </w:r>
    </w:p>
    <w:p>
      <w:pPr>
        <w:spacing w:after="0" w:line="131" w:lineRule="exact"/>
        <w:rPr>
          <w:sz w:val="20"/>
          <w:szCs w:val="20"/>
          <w:color w:val="auto"/>
        </w:rPr>
      </w:pPr>
    </w:p>
    <w:p>
      <w:pPr>
        <w:ind w:left="1080" w:right="4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committed to maintaining close ties to the scientific and academic community by fostering our many long-standing university relationships.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also intend to continue our leadership in the Association for Cancer Immunotherapy, or CIMT, which provides us potential new sources of innovation and academic collaboration opportunities.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IV. Immunotherapy in Cancer</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immune system has evolved over hundreds of millions of years to identify and eradicate what is foreign to the body with a high level of efficiency. The immune system’s efficacy is attributable to approximately one trillion highly diversified immune cells that constantly travel throughout the body and interact in a coordinated manner. They are able to detect and eliminate diseased cells and pathogens with high precision by relying on a broad range of immune recognition receptors. Their powerful mechanisms both synergize and regulate each other.</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goal of immunotherapy in the field of oncology is to harness the power of the immune system to recognize malignant cells as “foreign,” overcome immune evasion mechanisms employed by cancers, eradicate cancer cells and thereby eliminate tumors.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Immunotherapy approaches in cancer have a long history. Recent years have seen an acceleration of scientific advancements and clinical breakthroughs in this field. The introduction over the last decade of checkpoint inhibitors such as Yervoy, Opdivo, Keytruda and Tecentriq, and CAR-T therapies such as Yescarta and Kymriah has demonstrated that even leveraging one single mechanism to harness the immune system may result in unprecedented, significantly improved clinical outcomes for a subset of patients.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While these first-generation immunotherapies have ignited the paradigm shift toward immuno-oncology, they also have limitations. For example, less than 40% of patients respond to checkpoint inhibitors, while CAR-T therapies have been primarily limited to blood cancers in subsets of patients, and have been hampered by toxicities.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Realizing the full potential of immunotherapy is the objective of the next generation of immuno-oncology drugs to be developed.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 Challenges and Opportunities of Cancer Therapies</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Cancer results from an accumulation of abnormalities, known as somatic mutations, in the genome of cells over time leading to malignant transformation, combined with a failure by the immune system to detect and eradicate such transformed cells. Due to their random nature, the vast majority of these aberrations are unique to the individual patient.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consequence, heterogeneity is an intrinsic hallmark of cancer, posing a key challenge for cancer therapy:</w:t>
      </w:r>
    </w:p>
    <w:p>
      <w:pPr>
        <w:spacing w:after="0" w:line="127" w:lineRule="exact"/>
        <w:rPr>
          <w:sz w:val="20"/>
          <w:szCs w:val="20"/>
          <w:color w:val="auto"/>
        </w:rPr>
      </w:pPr>
    </w:p>
    <w:p>
      <w:pPr>
        <w:ind w:left="1080" w:right="80" w:hanging="424"/>
        <w:spacing w:after="0" w:line="26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Interindividual tumor heterogeneity. </w:t>
      </w:r>
      <w:r>
        <w:rPr>
          <w:rFonts w:ascii="Arial" w:cs="Arial" w:eastAsia="Arial" w:hAnsi="Arial"/>
          <w:sz w:val="18"/>
          <w:szCs w:val="18"/>
          <w:color w:val="auto"/>
        </w:rPr>
        <w:t>Tumors, even within the same cancer type, differ at the molecular level. For example, two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same type of cancer usually share less than five percent of their mutations. As a result, patients often respond very differently to the same drug.</w:t>
      </w:r>
    </w:p>
    <w:p>
      <w:pPr>
        <w:spacing w:after="0" w:line="81" w:lineRule="exact"/>
        <w:rPr>
          <w:rFonts w:ascii="Arial" w:cs="Arial" w:eastAsia="Arial" w:hAnsi="Arial"/>
          <w:sz w:val="18"/>
          <w:szCs w:val="18"/>
          <w:color w:val="auto"/>
        </w:rPr>
      </w:pPr>
    </w:p>
    <w:p>
      <w:pPr>
        <w:jc w:val="both"/>
        <w:ind w:left="1080" w:hanging="424"/>
        <w:spacing w:after="0" w:line="28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Intratumor heterogeneity. </w:t>
      </w:r>
      <w:r>
        <w:rPr>
          <w:rFonts w:ascii="Arial" w:cs="Arial" w:eastAsia="Arial" w:hAnsi="Arial"/>
          <w:sz w:val="17"/>
          <w:szCs w:val="17"/>
          <w:color w:val="auto"/>
        </w:rPr>
        <w:t>Within the same patient, cancer also evolves over time so that different tumor cell clones co-exist,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known as clonal evolution. As a result, a patient’s cancer may be intra-tumorally as well as inter-tumorally heterogeneous. Therapies might target only a subfraction of tumor cell clones. This can lead to immune escape and therapy failure.</w:t>
      </w:r>
    </w:p>
    <w:p>
      <w:pPr>
        <w:spacing w:after="0" w:line="63" w:lineRule="exact"/>
        <w:rPr>
          <w:rFonts w:ascii="Arial" w:cs="Arial" w:eastAsia="Arial" w:hAnsi="Arial"/>
          <w:sz w:val="17"/>
          <w:szCs w:val="17"/>
          <w:color w:val="auto"/>
        </w:rPr>
      </w:pPr>
    </w:p>
    <w:p>
      <w:pPr>
        <w:ind w:left="1080" w:right="380" w:hanging="424"/>
        <w:spacing w:after="0" w:line="26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Cancer evolution and immune escapes</w:t>
      </w:r>
      <w:r>
        <w:rPr>
          <w:rFonts w:ascii="Arial" w:cs="Arial" w:eastAsia="Arial" w:hAnsi="Arial"/>
          <w:sz w:val="18"/>
          <w:szCs w:val="18"/>
          <w:color w:val="auto"/>
        </w:rPr>
        <w:t>. Cancer cells can adapt to therapeutic pressure, which results in treatment resistance.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immunotherapy, tumor cell clones may evolve that no longer express T cell recognized antigens or have defects in their antigen presentation machinery.</w:t>
      </w:r>
    </w:p>
    <w:p>
      <w:pPr>
        <w:spacing w:after="0" w:line="81" w:lineRule="exact"/>
        <w:rPr>
          <w:rFonts w:ascii="Arial" w:cs="Arial" w:eastAsia="Arial" w:hAnsi="Arial"/>
          <w:sz w:val="18"/>
          <w:szCs w:val="18"/>
          <w:color w:val="auto"/>
        </w:rPr>
      </w:pPr>
    </w:p>
    <w:p>
      <w:pPr>
        <w:ind w:left="1080" w:right="880" w:hanging="424"/>
        <w:spacing w:after="0" w:line="282"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Tumor microenvironment</w:t>
      </w:r>
      <w:r>
        <w:rPr>
          <w:rFonts w:ascii="Arial" w:cs="Arial" w:eastAsia="Arial" w:hAnsi="Arial"/>
          <w:sz w:val="18"/>
          <w:szCs w:val="18"/>
          <w:color w:val="auto"/>
        </w:rPr>
        <w:t>. Tumors induce various forms of immunosuppressive microenvironments that prevent T cells from</w:t>
      </w:r>
      <w:r>
        <w:rPr>
          <w:rFonts w:ascii="Arial" w:cs="Arial" w:eastAsia="Arial" w:hAnsi="Arial"/>
          <w:sz w:val="18"/>
          <w:szCs w:val="18"/>
          <w:b w:val="1"/>
          <w:bCs w:val="1"/>
          <w:color w:val="auto"/>
        </w:rPr>
        <w:t xml:space="preserve"> </w:t>
      </w:r>
      <w:r>
        <w:rPr>
          <w:rFonts w:ascii="Arial" w:cs="Arial" w:eastAsia="Arial" w:hAnsi="Arial"/>
          <w:sz w:val="18"/>
          <w:szCs w:val="18"/>
          <w:color w:val="auto"/>
        </w:rPr>
        <w:t>proliferating and executing their anti-tumor effector function.</w:t>
      </w:r>
    </w:p>
    <w:p>
      <w:pPr>
        <w:spacing w:after="0" w:line="67" w:lineRule="exact"/>
        <w:rPr>
          <w:rFonts w:ascii="Arial" w:cs="Arial" w:eastAsia="Arial" w:hAnsi="Arial"/>
          <w:sz w:val="18"/>
          <w:szCs w:val="18"/>
          <w:color w:val="auto"/>
        </w:rPr>
      </w:pPr>
    </w:p>
    <w:p>
      <w:pPr>
        <w:jc w:val="both"/>
        <w:ind w:left="1080" w:right="80" w:hanging="424"/>
        <w:spacing w:after="0" w:line="281"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Host, environment and immune system</w:t>
      </w:r>
      <w:r>
        <w:rPr>
          <w:rFonts w:ascii="Arial" w:cs="Arial" w:eastAsia="Arial" w:hAnsi="Arial"/>
          <w:sz w:val="17"/>
          <w:szCs w:val="17"/>
          <w:color w:val="auto"/>
        </w:rPr>
        <w:t>. The functional state of each patient’s immune system is dependent on the patient’s age, genetic</w:t>
      </w:r>
      <w:r>
        <w:rPr>
          <w:rFonts w:ascii="Arial" w:cs="Arial" w:eastAsia="Arial" w:hAnsi="Arial"/>
          <w:sz w:val="17"/>
          <w:szCs w:val="17"/>
          <w:b w:val="1"/>
          <w:bCs w:val="1"/>
          <w:color w:val="auto"/>
        </w:rPr>
        <w:t xml:space="preserve"> </w:t>
      </w:r>
      <w:r>
        <w:rPr>
          <w:rFonts w:ascii="Arial" w:cs="Arial" w:eastAsia="Arial" w:hAnsi="Arial"/>
          <w:sz w:val="17"/>
          <w:szCs w:val="17"/>
          <w:color w:val="auto"/>
        </w:rPr>
        <w:t>makeup and environmental exposures. For example, the HLA haplotype, or the genetic makeup that encodes the major histocompatibility complex, is highly individual and decisive for which epitopes of an antigen are presented to T cells. Whereas a given tumor antigen might be a good target in one patient, a second patient might not be able to respond to it at all.</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graphic below depicts the interaction between three key factors influencing the patient unique tumor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520700</wp:posOffset>
            </wp:positionV>
            <wp:extent cx="6995160" cy="5220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522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160"/>
        <w:spacing w:after="0" w:line="258" w:lineRule="auto"/>
        <w:rPr>
          <w:sz w:val="20"/>
          <w:szCs w:val="20"/>
          <w:color w:val="auto"/>
        </w:rPr>
      </w:pPr>
      <w:r>
        <w:rPr>
          <w:rFonts w:ascii="Arial" w:cs="Arial" w:eastAsia="Arial" w:hAnsi="Arial"/>
          <w:sz w:val="14"/>
          <w:szCs w:val="14"/>
          <w:b w:val="1"/>
          <w:bCs w:val="1"/>
          <w:color w:val="auto"/>
        </w:rPr>
        <w:t xml:space="preserve">Interindividual heterogeneity of patients. </w:t>
      </w:r>
      <w:r>
        <w:rPr>
          <w:rFonts w:ascii="Arial" w:cs="Arial" w:eastAsia="Arial" w:hAnsi="Arial"/>
          <w:sz w:val="14"/>
          <w:szCs w:val="14"/>
          <w:color w:val="auto"/>
        </w:rPr>
        <w:t>The interaction between cancer and immune system is shaped by various host, tumor and environmental factors. The complex interplay of these</w:t>
      </w:r>
      <w:r>
        <w:rPr>
          <w:rFonts w:ascii="Arial" w:cs="Arial" w:eastAsia="Arial" w:hAnsi="Arial"/>
          <w:sz w:val="14"/>
          <w:szCs w:val="14"/>
          <w:b w:val="1"/>
          <w:bCs w:val="1"/>
          <w:color w:val="auto"/>
        </w:rPr>
        <w:t xml:space="preserve"> </w:t>
      </w:r>
      <w:r>
        <w:rPr>
          <w:rFonts w:ascii="Arial" w:cs="Arial" w:eastAsia="Arial" w:hAnsi="Arial"/>
          <w:sz w:val="14"/>
          <w:szCs w:val="14"/>
          <w:color w:val="auto"/>
        </w:rPr>
        <w:t>sources of interpatient heterogeneity affects both the course of disease and the efficacy of immunotherapy.</w:t>
      </w:r>
    </w:p>
    <w:p>
      <w:pPr>
        <w:spacing w:after="0" w:line="17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Together, these factors make cancer an extremely complex and heterogeneous disease. As a consequence, in the majority of cancer types, less than 40% of treated individuals benefit from highly potent approved therapies, and responses are often not durable. While these hallmarks of cancer are a challenge for cancer therapy, they also present opportunities for immunotherapy. These interconnected layers of complexity and variability require a deep understanding of an individual cancer and call for a patient-centric approach in order to find an optimal treatment.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Transformation of Cancer Therapies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the recent convergence of breakthrough technologies in life sciences has enabled innovative concepts to address the immunobiology of cancer at its core. One of these breakthroughs has been the establishment of cancer immunotherapy in the armamentarium of cancer treatments. Another has been the emerging progress towards individualized medicine. Technologies such as next-generation sequencing, or NGS, have confirmed beyond doubt the problematic diversity of tumors on the inter-patient level. At the same time, NGS enables fast, cost-efficient and precise high-resolution mapping of each patient’s individual disease. We believe the application of these breakthrough technologies has the potential to change drug development and profoundly alter the oncology treatment landscape.</w:t>
      </w:r>
    </w:p>
    <w:p>
      <w:pPr>
        <w:sectPr>
          <w:pgSz w:w="11900" w:h="16838" w:orient="portrait"/>
          <w:cols w:equalWidth="0" w:num="1">
            <w:col w:w="11120"/>
          </w:cols>
          <w:pgMar w:left="320" w:top="459"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20"/>
          </w:cols>
          <w:pgMar w:left="320" w:top="459" w:right="45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440"/>
        <w:spacing w:after="0" w:line="286" w:lineRule="auto"/>
        <w:rPr>
          <w:sz w:val="20"/>
          <w:szCs w:val="20"/>
          <w:color w:val="auto"/>
        </w:rPr>
      </w:pPr>
      <w:r>
        <w:rPr>
          <w:rFonts w:ascii="Arial" w:cs="Arial" w:eastAsia="Arial" w:hAnsi="Arial"/>
          <w:sz w:val="17"/>
          <w:szCs w:val="17"/>
          <w:color w:val="auto"/>
        </w:rPr>
        <w:t>The ability to translate a comprehensive molecular map of an individual tumor into treatment decisions, and make individually tailored therapeutics available, have become the focus of the next generation of cancer therapy. The technology necessary for leapfrog advancements in oncology now exists, but to realize its potential, a radical paradigm shift is required in drug development.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 The BioNTech Approach</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oncology, we are focused on bringing cancer immunotherapy into the next generation. We believe that we can accomplish this by applying the following principles:</w:t>
      </w:r>
    </w:p>
    <w:p>
      <w:pPr>
        <w:spacing w:after="0" w:line="72" w:lineRule="exact"/>
        <w:rPr>
          <w:sz w:val="20"/>
          <w:szCs w:val="20"/>
          <w:color w:val="auto"/>
        </w:rPr>
      </w:pPr>
    </w:p>
    <w:p>
      <w:pPr>
        <w:ind w:left="1080" w:right="220" w:hanging="424"/>
        <w:spacing w:after="0" w:line="266"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Exploiting the full potential of the immune system. </w:t>
      </w:r>
      <w:r>
        <w:rPr>
          <w:rFonts w:ascii="Arial" w:cs="Arial" w:eastAsia="Arial" w:hAnsi="Arial"/>
          <w:sz w:val="18"/>
          <w:szCs w:val="18"/>
          <w:color w:val="auto"/>
        </w:rPr>
        <w:t>Our broad pipeline includes mRNA-based immune activators, antigen-targeting T</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antibodies, and defined immunomodulators of various immune cell mechanisms. This portfolio is designed to mirror the evolution of the immune system to rely on multiple complementary pathways.</w:t>
      </w:r>
    </w:p>
    <w:p>
      <w:pPr>
        <w:spacing w:after="0" w:line="81" w:lineRule="exact"/>
        <w:rPr>
          <w:rFonts w:ascii="Arial" w:cs="Arial" w:eastAsia="Arial" w:hAnsi="Arial"/>
          <w:sz w:val="18"/>
          <w:szCs w:val="18"/>
          <w:color w:val="auto"/>
        </w:rPr>
      </w:pPr>
    </w:p>
    <w:p>
      <w:pPr>
        <w:ind w:left="1080" w:right="260" w:hanging="424"/>
        <w:spacing w:after="0" w:line="26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Broadening the universe of patients benefiting from cancer immunotherapy. </w:t>
      </w:r>
      <w:r>
        <w:rPr>
          <w:rFonts w:ascii="Arial" w:cs="Arial" w:eastAsia="Arial" w:hAnsi="Arial"/>
          <w:sz w:val="18"/>
          <w:szCs w:val="18"/>
          <w:color w:val="auto"/>
        </w:rPr>
        <w:t>We discover and exploit novel targets and target</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combinations. Our aim is to extend the utility of immunotherapy to patient populations that are not currently amenable or do not benefit from the targets of current immunotherapies. One example is patients with low mutational load tumors, such as pancreatic and prostate cancer, which we address with tumor-associated antigens.</w:t>
      </w:r>
    </w:p>
    <w:p>
      <w:pPr>
        <w:spacing w:after="0" w:line="85" w:lineRule="exact"/>
        <w:rPr>
          <w:rFonts w:ascii="Arial" w:cs="Arial" w:eastAsia="Arial" w:hAnsi="Arial"/>
          <w:sz w:val="18"/>
          <w:szCs w:val="18"/>
          <w:color w:val="auto"/>
        </w:rPr>
      </w:pPr>
    </w:p>
    <w:p>
      <w:pPr>
        <w:ind w:left="1080" w:right="100" w:hanging="424"/>
        <w:spacing w:after="0" w:line="28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Improving the success rate. </w:t>
      </w:r>
      <w:r>
        <w:rPr>
          <w:rFonts w:ascii="Arial" w:cs="Arial" w:eastAsia="Arial" w:hAnsi="Arial"/>
          <w:sz w:val="17"/>
          <w:szCs w:val="17"/>
          <w:color w:val="auto"/>
        </w:rPr>
        <w:t>We engineer and develop highly potent drug candidates designed to achieve precision for the specific target.</w:t>
      </w:r>
      <w:r>
        <w:rPr>
          <w:rFonts w:ascii="Arial" w:cs="Arial" w:eastAsia="Arial" w:hAnsi="Arial"/>
          <w:sz w:val="17"/>
          <w:szCs w:val="17"/>
          <w:b w:val="1"/>
          <w:bCs w:val="1"/>
          <w:color w:val="auto"/>
        </w:rPr>
        <w:t xml:space="preserve"> </w:t>
      </w:r>
      <w:r>
        <w:rPr>
          <w:rFonts w:ascii="Arial" w:cs="Arial" w:eastAsia="Arial" w:hAnsi="Arial"/>
          <w:sz w:val="17"/>
          <w:szCs w:val="17"/>
          <w:color w:val="auto"/>
        </w:rPr>
        <w:t>We further augment activity and counteract resistance mechanisms by combining compounds with non-overlapping, synergistic mechanisms of action, such as combining our FixVac immunotherapy (CARVac) with our novel CAR-T therapies.</w:t>
      </w:r>
    </w:p>
    <w:p>
      <w:pPr>
        <w:spacing w:after="0" w:line="63" w:lineRule="exact"/>
        <w:rPr>
          <w:rFonts w:ascii="Arial" w:cs="Arial" w:eastAsia="Arial" w:hAnsi="Arial"/>
          <w:sz w:val="17"/>
          <w:szCs w:val="17"/>
          <w:color w:val="auto"/>
        </w:rPr>
      </w:pPr>
    </w:p>
    <w:p>
      <w:pPr>
        <w:ind w:left="1080" w:hanging="424"/>
        <w:spacing w:after="0" w:line="28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Focusing on curative approaches. </w:t>
      </w:r>
      <w:r>
        <w:rPr>
          <w:rFonts w:ascii="Arial" w:cs="Arial" w:eastAsia="Arial" w:hAnsi="Arial"/>
          <w:sz w:val="17"/>
          <w:szCs w:val="17"/>
          <w:color w:val="auto"/>
        </w:rPr>
        <w:t>The root cause of recurrence or for lack of tumor eradication is interindividual variability and cancer</w:t>
      </w:r>
      <w:r>
        <w:rPr>
          <w:rFonts w:ascii="Arial" w:cs="Arial" w:eastAsia="Arial" w:hAnsi="Arial"/>
          <w:sz w:val="17"/>
          <w:szCs w:val="17"/>
          <w:b w:val="1"/>
          <w:bCs w:val="1"/>
          <w:color w:val="auto"/>
        </w:rPr>
        <w:t xml:space="preserve"> </w:t>
      </w:r>
      <w:r>
        <w:rPr>
          <w:rFonts w:ascii="Arial" w:cs="Arial" w:eastAsia="Arial" w:hAnsi="Arial"/>
          <w:sz w:val="17"/>
          <w:szCs w:val="17"/>
          <w:color w:val="auto"/>
        </w:rPr>
        <w:t>heterogeneity. Addressing this biological reality is one of the mandatory design aspects of the product candidates we develop. For example, each of our cancer immunotherapies incorporates multiple targets in order to account for this variability.</w:t>
      </w:r>
    </w:p>
    <w:p>
      <w:pPr>
        <w:spacing w:after="0" w:line="162"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We have applied these four guiding principles to a broad suite of therapeutic platforms optimized for a distinct mode of action, high precision targeting, high potency and efficacy. We expect each platform to yield a pipeline of drug candidates for further development.</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believe this technology-agnostic range of platforms and product candidates positions us to remain at the forefront of the shift toward an individually tailored, patient-centric therapeutic approach in oncology.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Similarly, in infectious disease, we are deploying our full suite of technologies and immunotherapeutic understanding to develop mRNA vaccines against emerging infectious diseases, such as COVID-19, in a manner that is designed to be faster and more easily scalable, and with more flexible constructs, than traditional vaccine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Patient-Centric Approach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the next generation of cancer immunotherapy will start from the perspective of the molecular changes that have occurred in an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individual patient, and then will provide a specific therapy for that patient. We believe that BioNTech is ideally positioned to drive this transformation.</w:t>
      </w:r>
    </w:p>
    <w:p>
      <w:pPr>
        <w:spacing w:after="0" w:line="23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patient-centric approach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very beginning onwards, we have been developing the novel technologies needed to match the identified targets to the optimal individualized treatment approach.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patient-centric approach is illustrated and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5700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570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 xml:space="preserve">Our patient-centric approach. </w:t>
      </w:r>
      <w:r>
        <w:rPr>
          <w:rFonts w:ascii="Arial" w:cs="Arial" w:eastAsia="Arial" w:hAnsi="Arial"/>
          <w:sz w:val="14"/>
          <w:szCs w:val="14"/>
          <w:color w:val="auto"/>
        </w:rPr>
        <w:t>Utilizing patient profiling, diagnostics and bioinformatics, we select from our suite of drug classes to provide optimal individualized treatment. Our treatments</w:t>
      </w:r>
      <w:r>
        <w:rPr>
          <w:rFonts w:ascii="Arial" w:cs="Arial" w:eastAsia="Arial" w:hAnsi="Arial"/>
          <w:sz w:val="14"/>
          <w:szCs w:val="14"/>
          <w:b w:val="1"/>
          <w:bCs w:val="1"/>
          <w:color w:val="auto"/>
        </w:rPr>
        <w:t xml:space="preserve"> </w:t>
      </w:r>
      <w:r>
        <w:rPr>
          <w:rFonts w:ascii="Arial" w:cs="Arial" w:eastAsia="Arial" w:hAnsi="Arial"/>
          <w:sz w:val="14"/>
          <w:szCs w:val="14"/>
          <w:color w:val="auto"/>
        </w:rPr>
        <w:t>include off-the-shelf drugs as well as highly tailored immunotherapies that are produced on-demand for the individual patient.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Utilizing this approach:</w:t>
      </w:r>
    </w:p>
    <w:p>
      <w:pPr>
        <w:spacing w:after="0" w:line="131" w:lineRule="exact"/>
        <w:rPr>
          <w:sz w:val="20"/>
          <w:szCs w:val="20"/>
          <w:color w:val="auto"/>
        </w:rPr>
      </w:pPr>
    </w:p>
    <w:p>
      <w:pPr>
        <w:ind w:left="540" w:right="280" w:hanging="424"/>
        <w:spacing w:after="0" w:line="286"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develop and leverage our competencies in target discovery, biomarker science and computational medicine to thoroughly profile a patient’s tumor sample and immune cells for the selection of suitable targets and treatments. Combined with our deep domain expertise in immuno-oncology and product vision, we are able to use this data to develop next-generation product candidates.</w:t>
      </w:r>
    </w:p>
    <w:p>
      <w:pPr>
        <w:spacing w:after="0" w:line="192" w:lineRule="exact"/>
        <w:rPr>
          <w:rFonts w:ascii="Arial" w:cs="Arial" w:eastAsia="Arial" w:hAnsi="Arial"/>
          <w:sz w:val="17"/>
          <w:szCs w:val="17"/>
          <w:color w:val="auto"/>
        </w:rPr>
      </w:pPr>
    </w:p>
    <w:p>
      <w:pPr>
        <w:ind w:left="540" w:right="100" w:hanging="424"/>
        <w:spacing w:after="0" w:line="286"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have developed and are iteratively optimizing next-generation therapeutic platforms leveraging four drug classes. Each therapeutic platform bundles innovations designed to deliver a distinct mode of action with high-precision targeting, high potency and efficacy. Each platform is being developed to provide a pipeline of drug candidates with complementary and potentially synergistic modes of action.</w:t>
      </w:r>
    </w:p>
    <w:p>
      <w:pPr>
        <w:spacing w:after="0" w:line="192" w:lineRule="exact"/>
        <w:rPr>
          <w:rFonts w:ascii="Arial" w:cs="Arial" w:eastAsia="Arial" w:hAnsi="Arial"/>
          <w:sz w:val="17"/>
          <w:szCs w:val="17"/>
          <w:color w:val="auto"/>
        </w:rPr>
      </w:pPr>
    </w:p>
    <w:p>
      <w:pPr>
        <w:ind w:left="540" w:right="100" w:hanging="424"/>
        <w:spacing w:after="0" w:line="26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drug platforms are highly versatile and support the fast development of scalable manufacturing processes. We develop and establish highly digitalized and automated manufacturing technologies and quality controlled processes enabling fast delivery of customized therapies comprising off-the-shelf drugs, on-demand immunotherapies, and combinations thereof.</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20"/>
          </w:cols>
          <w:pgMar w:left="320" w:top="459" w:right="4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We invest in innovation whenever we encounter technology barriers which may constrain clinical success. We are technology-agnostic and we seek to utilize the technology that is most suited for the respective purpose. By focusing on the three pillars discussed above over the last decade, we have integrated all of the building blocks of immunotherapy under one roof, enabling an approach with the potential to optimize patient outcomes.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 and Potentially Synergistic Suite of Platforms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believe the depth and breadth of our understanding of immune system and cancer biology allows us to create an extensive pipeline of specific and potentially efficacious product candidates. We are exploiting a comprehensive repertoire of known and proprietary therapeutically relevant immuno-oncology targets and are developing a diverse spectrum of immunotherapeutic approaches,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2025650</wp:posOffset>
            </wp:positionV>
            <wp:extent cx="6995160" cy="213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believe that harnessing complementary, potentially synergistic modes of action increases the likelihood of therapeutic success, reduces the risk of emergence of secondary resistance mechanisms, and also unlocks a larger potential market. Critically, this approach allows us to pursue a technology agnostic approach, providing the most appropriate therapeutic platform or a combination thereof for the intended patient and purpose.</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For example, we believe our neoantigen immunotherapies are particularly well-suited to treat high mutation load cancers in the adjuvant setting to prevent the tumor from spreading or recurring following initial treatment such as surgery. In this setting, tumor volumes tend to be low and there remains the potential for strong T cell responses since the patient’s immune system has not been weakened by prior lines of treatment, and checkpoint inhibition alone often offers a poor risk-benefit profile or low response rate. Similarly, we believe our FixVac, CAR-T, neoantigen-targeted T cell and next-generation checkpoint immunomodulator platforms may have especially strong potential in lower mutation burden tumors such as ovarian or prostate cancers, which comprise a significant proportion of tumors and often also have a poor response to checkpoint inhibition. Likewise, we believe that monoclonal targeted cancer antibodies and CAR-T cell therapies are particularly well-suited for tumors that have defects in their antigen-presentation machinery.</w:t>
      </w:r>
    </w:p>
    <w:p>
      <w:pPr>
        <w:sectPr>
          <w:pgSz w:w="11900" w:h="16838" w:orient="portrait"/>
          <w:cols w:equalWidth="0" w:num="1">
            <w:col w:w="11100"/>
          </w:cols>
          <w:pgMar w:left="320" w:top="459" w:right="479" w:bottom="655" w:gutter="0" w:footer="0" w:header="0"/>
        </w:sectPr>
      </w:pP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00"/>
          </w:cols>
          <w:pgMar w:left="320" w:top="459" w:right="479" w:bottom="655" w:gutter="0" w:footer="0" w:header="0"/>
          <w:type w:val="continuous"/>
        </w:sectPr>
      </w:pPr>
    </w:p>
    <w:bookmarkStart w:id="71" w:name="page72"/>
    <w:bookmarkEnd w:id="71"/>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We believe our breadth of our technology positions us to combine modes of action in a coordinated way to treat cancer in a more efficacious manner than current existing therapies. We further believe that our patient-centric approach and our broad, potentially synergistic portfolio of drug platforms place us at the forefront of the paradigm shift toward individualized immunotherapies.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1331595</wp:posOffset>
            </wp:positionV>
            <wp:extent cx="6995160" cy="3514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Diversity of cancer patient populations, challenges and our therapeutic strategies. </w:t>
      </w:r>
      <w:r>
        <w:rPr>
          <w:rFonts w:ascii="Arial" w:cs="Arial" w:eastAsia="Arial" w:hAnsi="Arial"/>
          <w:sz w:val="13"/>
          <w:szCs w:val="13"/>
          <w:color w:val="auto"/>
        </w:rPr>
        <w:t>We believe our diversified portfolio allows us to potentially address a large share of cancer patients.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Abbreviations: B2M, beta-2 microglobulin, a component of MHC.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 Selection of Therapeutic Targets and Therapies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Immunotherapy targets can be categorized as </w:t>
      </w:r>
      <w:r>
        <w:rPr>
          <w:rFonts w:ascii="Arial" w:cs="Arial" w:eastAsia="Arial" w:hAnsi="Arial"/>
          <w:sz w:val="18"/>
          <w:szCs w:val="18"/>
          <w:i w:val="1"/>
          <w:iCs w:val="1"/>
          <w:color w:val="auto"/>
        </w:rPr>
        <w:t>antigens</w:t>
      </w:r>
      <w:r>
        <w:rPr>
          <w:rFonts w:ascii="Arial" w:cs="Arial" w:eastAsia="Arial" w:hAnsi="Arial"/>
          <w:sz w:val="18"/>
          <w:szCs w:val="18"/>
          <w:color w:val="auto"/>
        </w:rPr>
        <w:t xml:space="preserve"> for targeted immunotherapy with antibody- or T cell-based effector mechanisms and </w:t>
      </w:r>
      <w:r>
        <w:rPr>
          <w:rFonts w:ascii="Arial" w:cs="Arial" w:eastAsia="Arial" w:hAnsi="Arial"/>
          <w:sz w:val="18"/>
          <w:szCs w:val="18"/>
          <w:i w:val="1"/>
          <w:iCs w:val="1"/>
          <w:color w:val="auto"/>
        </w:rPr>
        <w:t xml:space="preserve">immunomodulatory targets </w:t>
      </w:r>
      <w:r>
        <w:rPr>
          <w:rFonts w:ascii="Arial" w:cs="Arial" w:eastAsia="Arial" w:hAnsi="Arial"/>
          <w:sz w:val="18"/>
          <w:szCs w:val="18"/>
          <w:color w:val="auto"/>
        </w:rPr>
        <w:t>to be exploited to improve the anti-tumoral function of immune cells.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Targeting Cancer Antigens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order to address the broadest possible number of patients, our therapeutically targeted cancer antigen library comprises tumor associated antigens, viral neoantigens and mutant neoantigens: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Tumor Associated Antigens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Tumor associated antigens, or TAAs, are cancer selective targets that typically have a highly restricted expression pattern in normal tissues but are frequently expressed in a wide range of human cancers. Over the last 15 years, we have built up a database of approximately 200 cancer-selective antigens, including proprietary disease targets that could be used as targets for immunotherapy-based approaches.</w:t>
      </w:r>
    </w:p>
    <w:p>
      <w:pPr>
        <w:spacing w:after="0" w:line="71" w:lineRule="exact"/>
        <w:rPr>
          <w:sz w:val="20"/>
          <w:szCs w:val="20"/>
          <w:color w:val="auto"/>
        </w:rPr>
      </w:pPr>
    </w:p>
    <w:p>
      <w:pPr>
        <w:ind w:left="1080" w:right="220" w:hanging="424"/>
        <w:spacing w:after="0" w:line="31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Cancer-Germline and Cancer-Embryo-Fetal Antigens, which are normally expressed during embryonal development and silenced after birth or restricted to germline cells. These antigens are aberrantly expressed in a variety of human malignancies and are generally not expressed in healthy tissue, making them particularly suitable for our FixVac-, antibody- and CAR-T cell-based therapeutic approaches.</w:t>
      </w:r>
    </w:p>
    <w:p>
      <w:pPr>
        <w:spacing w:after="0" w:line="54"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Differentiation antigens, which are normally expressed in a highly tissue-specific manner in normal tissues (</w:t>
      </w:r>
      <w:r>
        <w:rPr>
          <w:rFonts w:ascii="Arial" w:cs="Arial" w:eastAsia="Arial" w:hAnsi="Arial"/>
          <w:sz w:val="18"/>
          <w:szCs w:val="18"/>
          <w:i w:val="1"/>
          <w:iCs w:val="1"/>
          <w:color w:val="auto"/>
        </w:rPr>
        <w:t>e.g.</w:t>
      </w:r>
      <w:r>
        <w:rPr>
          <w:rFonts w:ascii="Arial" w:cs="Arial" w:eastAsia="Arial" w:hAnsi="Arial"/>
          <w:sz w:val="18"/>
          <w:szCs w:val="18"/>
          <w:color w:val="auto"/>
        </w:rPr>
        <w:t>, on melanocytes or on prostate cells) but are also present in a high proportion of tumors derived from these tissues, are well-suited for therapeutic targeting with FixVac and antibody approaches.</w:t>
      </w:r>
    </w:p>
    <w:p>
      <w:pPr>
        <w:sectPr>
          <w:pgSz w:w="11900" w:h="16923" w:orient="portrait"/>
          <w:cols w:equalWidth="0" w:num="1">
            <w:col w:w="11080"/>
          </w:cols>
          <w:pgMar w:left="320" w:top="459" w:right="499" w:bottom="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019"/>
          </w:cols>
          <w:pgMar w:left="1440" w:top="274"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Tumor-associated carbohydrate antigens are carbohydrate-based cell surface tumor antigens generated by cancer cell-specific aberrant glycosylation that enable the development of antibody and CAR-T cell therapies.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Viral Neoantigens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Viral oncoproteins, or viral neoantigens, are virus-derived proteins that drive the oncogenic transformation of infected cells by viruses that can cause cancer. Examples are the E6 and E7 oncoproteins from human papilloma virus, or HPV. Viral oncoproteins are commonly acknowledged as safe and promising targets for immunotherapy as they are (i) absent from any non-infected tissue, (ii) highly immunogenic since they are not prone to central tolerance mechanisms and (iii) not subject to immune escape by gene silencing as they are crucial to maintaining the transformed state of the tumor cells. We leverage viral neoantigens as targets for our BNT113 FixVac program in HPV16+ head and neck cancer.</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3. Mutant Neoantigens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Somatic mutations, or mutations of non-germline cells, are a hallmark of cancer. Driver mutations promote the oncogenic process, whereas passenger mutations are considered as functionally irrelevant. Both types of mutations, however, can alter the sequence of proteins and create new epitopes which are processed and presented on specialized major histocompatibility complex, or MHC, molecules. Mutated epitopes that are recognized by T cells are called neoepitopes and the sequence-altered proteins they are derived from are neoantigens. They are promising targets for cancer immunotherapy as (i) activation of the immune system against such antigens is highly specific (they are only expressed on cancer cells) and (ii) mutant neoantigens are exempt from central tolerance and thus T cell affinity for neoantigens may be significantly superior. We utilize individualized mutant neoantigens as targets for our iNeST product candidates.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Immunomodulatory Targets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activity of immune cells can be controlled or manipulated by the targeting of receptors that control key biological processes in these cells, known as immunomodulation. Immunomodulatory targeting strategies include:</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Checkpoint Inhibition</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Checkpoint inhibition is a therapeutic approach by which T cell function is stimulated with mAbs that block their inhibitory receptors, which can be exploited by cancer cells to shut down T cell activity. Examples of checkpoint targets are PD-1, PD-L1, CTLA-4, TIGIT, LAG3 and many others. The concept is known as “releasing the brakes” and has been shown to be therapeutically effective in tumors with strong pre-existing immune cell infiltration. Our GEN1046 (BNT311) product candidate is a next-generation bispecific checkpoint immunomodulator, with one arm targeting PD-L1.</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Immunostimulation</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Immunostimulatory approaches are directed against receptors known to directly activate immune cells. Examples of these targets include co-stimulatory molecules such as CD40 and 4-1BB or cytokine receptors such as IL-2R, IL-7R and IL-12R. Immunostimulatory approaches provide a powerful opportunity to enhance immune activation, even in types of cancer that are not responsive to checkpoint inhibition due to lack of immune cell infiltration. However, this approach is often limited by a narrow therapeutic window associated with dose-limiting toxicity.</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that both concepts can be combined in a potentially synergistic and safe fashion by developing precisely engineered molecules, such as our BNT151 RiboCytokine program or GEN1042 (BNT312), our next-generation bispecific checkpoint immunomodulator targeting both CD40 and 4-1BB.</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Our Computational Approach to Individualized Immunotherapy</w:t>
      </w:r>
    </w:p>
    <w:p>
      <w:pPr>
        <w:spacing w:after="0" w:line="121" w:lineRule="exact"/>
        <w:rPr>
          <w:sz w:val="20"/>
          <w:szCs w:val="20"/>
          <w:color w:val="auto"/>
        </w:rPr>
      </w:pPr>
    </w:p>
    <w:p>
      <w:pPr>
        <w:jc w:val="both"/>
        <w:ind w:left="120" w:right="660" w:firstLine="440"/>
        <w:spacing w:after="0" w:line="342" w:lineRule="auto"/>
        <w:rPr>
          <w:sz w:val="20"/>
          <w:szCs w:val="20"/>
          <w:color w:val="auto"/>
        </w:rPr>
      </w:pPr>
      <w:r>
        <w:rPr>
          <w:rFonts w:ascii="Arial" w:cs="Arial" w:eastAsia="Arial" w:hAnsi="Arial"/>
          <w:sz w:val="16"/>
          <w:szCs w:val="16"/>
          <w:color w:val="auto"/>
        </w:rPr>
        <w:t>Bioinformatics are critical in the production of individualized therapies. We have accumulated a high level of experience in bioinformatic approaches to mutation detection, cancer genomics and immunotherapy through our ongoing research and preclinical studies and clinical trials.</w:t>
      </w:r>
    </w:p>
    <w:p>
      <w:pPr>
        <w:spacing w:after="0" w:line="12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validated patient-centric bioinformatic process, as illustrated below, allows the application of complex algorithms to the patient’s data in the context of drug manufacturing. Our bioinformatics processes are robust and scalable, incorporating our experience handling genomic data in a high-throughput environment, as we target making on-demand production of individualized immunotherapies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2179955</wp:posOffset>
            </wp:positionV>
            <wp:extent cx="6995160" cy="1817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From Patient to Analysis. </w:t>
      </w:r>
      <w:r>
        <w:rPr>
          <w:rFonts w:ascii="Arial" w:cs="Arial" w:eastAsia="Arial" w:hAnsi="Arial"/>
          <w:sz w:val="14"/>
          <w:szCs w:val="14"/>
          <w:color w:val="auto"/>
        </w:rPr>
        <w:t>Our bioinformatic process for the selection of neoepitopes.</w:t>
      </w:r>
    </w:p>
    <w:p>
      <w:pPr>
        <w:spacing w:after="0" w:line="32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Sequencing</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We sequence the patient’s tumor and healthy tissue samples using NGS technology. Comparison of the patient’s sequenced tumor and healthy samples provides us with the data from which we can identify targets for the design of individualized cancer immunotherapies. This is a multi-step process in which mutation detection and neoantigen prediction are particularly important.</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Mutation Detection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Mutation detection, which defines which tumor-specific mutations are present in any cancer, is the starting point for defining targets for individualized immunotherapy. Determining mutations from NGS data with high precision and sensitivity is challenging because numerous factors can lead to false positives, which can mask mutations. Despite advances in the field, commonly used mutation detection algorithms still exhibit high false positive mutation detections. In order to address these challenges, we have exclusively licensed a technology from TRON that combines tumor modeling with mutation detection, called MyMUT. MyMUT is a next-generation mutation detection system, which we believe has the following key characteristics:</w:t>
      </w:r>
    </w:p>
    <w:p>
      <w:pPr>
        <w:sectPr>
          <w:pgSz w:w="11900" w:h="16838" w:orient="portrait"/>
          <w:cols w:equalWidth="0" w:num="1">
            <w:col w:w="11120"/>
          </w:cols>
          <w:pgMar w:left="320" w:top="459" w:right="459" w:bottom="492" w:gutter="0" w:footer="0" w:header="0"/>
        </w:sectPr>
      </w:pPr>
    </w:p>
    <w:bookmarkStart w:id="75" w:name="page76"/>
    <w:bookmarkEnd w:id="75"/>
    <w:p>
      <w:pPr>
        <w:ind w:left="424" w:right="280" w:hanging="424"/>
        <w:spacing w:after="0" w:line="298" w:lineRule="auto"/>
        <w:tabs>
          <w:tab w:leader="none" w:pos="424"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High specificity and robustness. </w:t>
      </w:r>
      <w:r>
        <w:rPr>
          <w:rFonts w:ascii="Arial" w:cs="Arial" w:eastAsia="Arial" w:hAnsi="Arial"/>
          <w:sz w:val="16"/>
          <w:szCs w:val="16"/>
          <w:color w:val="auto"/>
        </w:rPr>
        <w:t>By combining tumor modeling, sophisticated statistical and genomic filters, and replicate sampling,</w:t>
      </w:r>
      <w:r>
        <w:rPr>
          <w:rFonts w:ascii="Arial" w:cs="Arial" w:eastAsia="Arial" w:hAnsi="Arial"/>
          <w:sz w:val="16"/>
          <w:szCs w:val="16"/>
          <w:b w:val="1"/>
          <w:bCs w:val="1"/>
          <w:color w:val="auto"/>
        </w:rPr>
        <w:t xml:space="preserve"> </w:t>
      </w:r>
      <w:r>
        <w:rPr>
          <w:rFonts w:ascii="Arial" w:cs="Arial" w:eastAsia="Arial" w:hAnsi="Arial"/>
          <w:sz w:val="16"/>
          <w:szCs w:val="16"/>
          <w:color w:val="auto"/>
        </w:rPr>
        <w:t>MyMUT achieves clinical precision in detecting mutations with comparable sensitivity to state-of-the-art mutation detection systems. Higher specificity translates to potentially more effective immunotherapies, with faster and cheaper production. MyMUT is designed to deliver uniform performance for all patients regardless of tumor complexity, mutation burden or sample purity. MyMUT’s performance with low mutation tumors also allows us to offer individualized immunotherapies to patients with low tumor mutation burdens.</w:t>
      </w:r>
    </w:p>
    <w:p>
      <w:pPr>
        <w:spacing w:after="0" w:line="59" w:lineRule="exact"/>
        <w:rPr>
          <w:rFonts w:ascii="Arial" w:cs="Arial" w:eastAsia="Arial" w:hAnsi="Arial"/>
          <w:sz w:val="16"/>
          <w:szCs w:val="16"/>
          <w:color w:val="auto"/>
        </w:rPr>
      </w:pPr>
    </w:p>
    <w:p>
      <w:pPr>
        <w:jc w:val="both"/>
        <w:ind w:left="424" w:hanging="424"/>
        <w:spacing w:after="0" w:line="266" w:lineRule="auto"/>
        <w:tabs>
          <w:tab w:leader="none" w:pos="424"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Intratumor heterogeneity. </w:t>
      </w:r>
      <w:r>
        <w:rPr>
          <w:rFonts w:ascii="Arial" w:cs="Arial" w:eastAsia="Arial" w:hAnsi="Arial"/>
          <w:sz w:val="18"/>
          <w:szCs w:val="18"/>
          <w:color w:val="auto"/>
        </w:rPr>
        <w:t>By performing tumor modeling, MyMUT can also identify clonal and subclonal mutations with high 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prioritize the former in neoantigen-directed immunotherapies and address intratumoral heterogeneity by targeting mutations that are common in a higher proportion of cancer cells within a tumor.</w:t>
      </w:r>
    </w:p>
    <w:p>
      <w:pPr>
        <w:spacing w:after="0" w:line="112"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464"/>
          </w:cols>
          <w:pgMar w:left="976" w:top="121"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740" w:hanging="424"/>
        <w:spacing w:after="0" w:line="282"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Quality control (QC). </w:t>
      </w:r>
      <w:r>
        <w:rPr>
          <w:rFonts w:ascii="Arial" w:cs="Arial" w:eastAsia="Arial" w:hAnsi="Arial"/>
          <w:sz w:val="18"/>
          <w:szCs w:val="18"/>
          <w:color w:val="auto"/>
        </w:rPr>
        <w:t>By analyzing the genomic properties of sequenced samples, MyMUT can detect errors that pass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sequencing QC, ensuring the quality and safety of individualized immunotherapies.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3. Neoepitope Selection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Only a portion of mutated peptides (neoepitopes) are suitable for raising an immune response </w:t>
      </w:r>
      <w:r>
        <w:rPr>
          <w:rFonts w:ascii="Arial" w:cs="Arial" w:eastAsia="Arial" w:hAnsi="Arial"/>
          <w:sz w:val="17"/>
          <w:szCs w:val="17"/>
          <w:i w:val="1"/>
          <w:iCs w:val="1"/>
          <w:color w:val="auto"/>
        </w:rPr>
        <w:t>in vivo</w:t>
      </w:r>
      <w:r>
        <w:rPr>
          <w:rFonts w:ascii="Arial" w:cs="Arial" w:eastAsia="Arial" w:hAnsi="Arial"/>
          <w:sz w:val="17"/>
          <w:szCs w:val="17"/>
          <w:color w:val="auto"/>
        </w:rPr>
        <w:t>. Our approach focuses on evoking responses involving both CD8+ T cells and CD4+ T cells. We do this by discerning the likelihood of presentation of the neoepitope to the T cell receptor as an MHC peptide complex using data from mRNA expression levels and MHC binding affinity predictions, among other factors. For example, in our first individualized neoepitope immunotherapy clinical study, all 13 stage III and IV melanoma patients selected for treatment developed a CD4+ and/or CD8+ T cell response, achieving an overall 60% immune response rate to predicted neoepitopes.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Presentation of a neoepitope on an MHC molecule does not, however, guarantee recognition by T cells, and an integrated view combining several properties impacting immunogenicity is necessary. Our algorithms are continuously being improved and extended with data collections from various sources such as our past and current clinical studies as well as HLA data. By using machine learning approaches applied to these large datasets we aim to further improve prediction of overall presentation of neoepitopes tailored to patients’ specific HLA types. With our acquisition of Neon, we further bolstered our neoepitope selection capabilities with the addition of Neon’s RECON bioinformatics engine. RECON uses a number of inputs from each patient, including DNA sequences from samples of tumor and normal tissue, RNA sequences from tumor samples, and the patient’s specific MHC allele profile. RECON processes data from these inputs using a proprietary combination of algorithms in order to produce a prioritized list of neoantigen-targeting peptides that can be manufactured for use in our product candidates.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VIII. Our mRNA 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92710</wp:posOffset>
            </wp:positionV>
            <wp:extent cx="6998970" cy="1426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8970" cy="142684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At a glance: mRNA as a Therapeutic Drug Class</w:t>
      </w:r>
    </w:p>
    <w:p>
      <w:pPr>
        <w:spacing w:after="0" w:line="135" w:lineRule="exact"/>
        <w:rPr>
          <w:sz w:val="20"/>
          <w:szCs w:val="20"/>
          <w:color w:val="auto"/>
        </w:rPr>
      </w:pPr>
    </w:p>
    <w:p>
      <w:pPr>
        <w:ind w:left="560" w:hanging="323"/>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Natural molecule found universally within cells, with well-characterized properties.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Suitable to encode for antibodies, antigens, cytokines and any other type of protein.</w:t>
      </w:r>
    </w:p>
    <w:p>
      <w:pPr>
        <w:spacing w:after="0" w:line="130" w:lineRule="exact"/>
        <w:rPr>
          <w:rFonts w:ascii="Arial" w:cs="Arial" w:eastAsia="Arial" w:hAnsi="Arial"/>
          <w:sz w:val="18"/>
          <w:szCs w:val="18"/>
          <w:color w:val="auto"/>
        </w:rPr>
      </w:pPr>
    </w:p>
    <w:p>
      <w:pPr>
        <w:ind w:left="560" w:right="220" w:hanging="323"/>
        <w:spacing w:after="0" w:line="277" w:lineRule="auto"/>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Transient, with adaptable activity and half-life. Avoids genomic integration problems sometimes seen in gene therapy, potentially resulting in a better safety profile.</w:t>
      </w:r>
    </w:p>
    <w:p>
      <w:pPr>
        <w:spacing w:after="0" w:line="75" w:lineRule="exact"/>
        <w:rPr>
          <w:rFonts w:ascii="Arial" w:cs="Arial" w:eastAsia="Arial" w:hAnsi="Arial"/>
          <w:sz w:val="18"/>
          <w:szCs w:val="18"/>
          <w:color w:val="auto"/>
        </w:rPr>
      </w:pPr>
    </w:p>
    <w:p>
      <w:pPr>
        <w:ind w:left="560" w:hanging="323"/>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Can be designed and optimized pharmacologically and immunologically, making it suitable for a broad range of applications.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Fast manufacturability, making it a cost-effective and flexible therapeutic to produce.</w:t>
      </w:r>
    </w:p>
    <w:p>
      <w:pPr>
        <w:spacing w:after="0" w:line="293"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Considering that all mRNA is generated with four different building blocks, but with unique sequence order, all therapeutic mRNAs have highly similar compositions, while having the capacity to encode a variety of different proteins. These characteristics allow for rapid development of mRNA therapeutics that are broadly applicable for treatment of many diseases, including cancer, infectious diseases and rare diseases. Our mRNA pipeline addresses all of these therapeutic areas.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General Principles of mRNA Pharmacology</w:t>
      </w:r>
    </w:p>
    <w:p>
      <w:pPr>
        <w:spacing w:after="0" w:line="12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As a drug, manufactured mRNA provides instructions to a target cell to produce a desired therapeutic protein. The mRNA drug will temporarily change the status of the target cell where these instructions are translated into proteins. Based on the information encoded by the mRNA, the proteins will be either secreted or remain intracellular. The mRNA drug will eventually be degraded and eliminated from the body.</w:t>
      </w:r>
    </w:p>
    <w:p>
      <w:pPr>
        <w:spacing w:after="0" w:line="165"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Our mRNA drugs are synthesized from a DNA template. With the exception of the 5’ cap, the template determines all structural elements of the mRNA. The mRNA molecule comprises:</w:t>
      </w:r>
    </w:p>
    <w:p>
      <w:pPr>
        <w:spacing w:after="0" w:line="76"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open reading frame, or ORF, which encodes for the protein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untranslated regions, or UTRs, which flank the ORF;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cap and the poly(A) tail, which are the two terminal structures of the linear mRNA, and are responsible for increased stability and translational efficiency of mRNA.</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mRNA drug needs to be appropriately formulated in order to protect it from breakdown by extracellular RNAses. The formulation is selected based on the intended application and route of delivery. After uptake into the target cell, the mRNA molecules are loaded into ribosomes, where translation into protein takes place. Subsequently, the mRNA is degraded by cellular mechanisms. In case of an immunotherapy application, the protein is degraded into immunogenic epitopes. These are loaded onto specialized molecules, namely MHC I or MHC II. These molecules present the epitopes to immune cells to provoke the desired immune response. In the case of other mRNA applications, the mRNA encodes proteins that are secreted from the cells, such as antibodies, and function extracellularly.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851535</wp:posOffset>
            </wp:positionV>
            <wp:extent cx="6995160" cy="45173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451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General principles of mRNA pharmacology. </w:t>
      </w:r>
      <w:r>
        <w:rPr>
          <w:rFonts w:ascii="Arial" w:cs="Arial" w:eastAsia="Arial" w:hAnsi="Arial"/>
          <w:sz w:val="13"/>
          <w:szCs w:val="13"/>
          <w:color w:val="auto"/>
        </w:rPr>
        <w:t>Step 1: mRNA is either delivered in a buffered solution as naked molecules or formulated as nano-particles to protect degradation by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extracellular enzymes and is taken up by cells. Step 2: Subsequently, mRNA is released from endosomes into the cytoplasm. Step 3: mRNA is translated by the protein synthesis machinery of</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host cells. Step 4: Termination of translation</w:t>
      </w:r>
    </w:p>
    <w:p>
      <w:pPr>
        <w:sectPr>
          <w:pgSz w:w="11900" w:h="16838" w:orient="portrait"/>
          <w:cols w:equalWidth="0" w:num="1">
            <w:col w:w="11100"/>
          </w:cols>
          <w:pgMar w:left="320" w:top="459" w:right="479" w:bottom="385" w:gutter="0" w:footer="0" w:header="0"/>
        </w:sectPr>
      </w:pP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00"/>
          </w:cols>
          <w:pgMar w:left="320" w:top="459" w:right="479" w:bottom="385"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 degradation of mRNA. Step 5: The translated protein product acts in the cell in which it has been generated. Step 6: Alternatively, the protein product is secreted and may act via autocrine,</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paracrine or systemic, body-wide mechanisms. Steps 7 and 8: For vaccine activity, mRNA encoded antigens are degraded into shorter fragments and loaded onto MHC class I and class II</w:t>
      </w:r>
    </w:p>
    <w:p>
      <w:pPr>
        <w:ind w:left="120"/>
        <w:spacing w:after="0"/>
        <w:rPr>
          <w:sz w:val="20"/>
          <w:szCs w:val="20"/>
          <w:color w:val="auto"/>
        </w:rPr>
      </w:pPr>
      <w:r>
        <w:rPr>
          <w:rFonts w:ascii="Arial" w:cs="Arial" w:eastAsia="Arial" w:hAnsi="Arial"/>
          <w:sz w:val="13"/>
          <w:szCs w:val="13"/>
          <w:color w:val="auto"/>
        </w:rPr>
        <w:t>molecules. Step 9: Protein-derived epitopes can then be presented on the cell surface by both MHC class I and MHC class II molecules, enabling stimulation of CD8+ and CD4+ T cells.</w:t>
      </w:r>
    </w:p>
    <w:p>
      <w:pPr>
        <w:spacing w:after="0" w:line="9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structural elements of the mRNA have an impact on its performance. This includes potential immunogenicity, efficacy of translation and stability of the molecule. We leverage our extensive experience to design, synthesize, manufacture and formulate our therapeutic mRNA, and adapt its composition to suit the desired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948690</wp:posOffset>
            </wp:positionV>
            <wp:extent cx="6995160" cy="43116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right="60"/>
        <w:spacing w:after="0" w:line="267" w:lineRule="auto"/>
        <w:rPr>
          <w:sz w:val="20"/>
          <w:szCs w:val="20"/>
          <w:color w:val="auto"/>
        </w:rPr>
      </w:pPr>
      <w:r>
        <w:rPr>
          <w:rFonts w:ascii="Arial" w:cs="Arial" w:eastAsia="Arial" w:hAnsi="Arial"/>
          <w:sz w:val="13"/>
          <w:szCs w:val="13"/>
          <w:b w:val="1"/>
          <w:bCs w:val="1"/>
          <w:color w:val="auto"/>
        </w:rPr>
        <w:t xml:space="preserve">Our strategy for optimizing mRNA potency. </w:t>
      </w:r>
      <w:r>
        <w:rPr>
          <w:rFonts w:ascii="Arial" w:cs="Arial" w:eastAsia="Arial" w:hAnsi="Arial"/>
          <w:sz w:val="13"/>
          <w:szCs w:val="13"/>
          <w:color w:val="auto"/>
        </w:rPr>
        <w:t>The pharmacological properties of mRNA can be improved by biochemical optimization of the molecule for either (i) increasing the half-life</w:t>
      </w:r>
      <w:r>
        <w:rPr>
          <w:rFonts w:ascii="Arial" w:cs="Arial" w:eastAsia="Arial" w:hAnsi="Arial"/>
          <w:sz w:val="13"/>
          <w:szCs w:val="13"/>
          <w:b w:val="1"/>
          <w:bCs w:val="1"/>
          <w:color w:val="auto"/>
        </w:rPr>
        <w:t xml:space="preserve"> </w:t>
      </w:r>
      <w:r>
        <w:rPr>
          <w:rFonts w:ascii="Arial" w:cs="Arial" w:eastAsia="Arial" w:hAnsi="Arial"/>
          <w:sz w:val="13"/>
          <w:szCs w:val="13"/>
          <w:color w:val="auto"/>
        </w:rPr>
        <w:t>of the mRNA, i.e., the mRNA is translated for a longer period of time before it is degraded, which results in sustained protein production after mRNA delivery, or for (ii) increasing the mRNA translation efficiency, i.e., the peak protein production is increased. Our optimization approach relies on combining both strategies in order to maximize the mRNA therapeutic effect.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Our mRNA Backbone Concepts and Technologies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mRNAs all contain basic structural elements, including the 5’ cap, the untranslated regions and the poly(A) tail, in addition to a coding sequence, that are all encoded by our DNA template.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8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cap is added to the 5’ end of the mRNA during its synthesis. Our studies have demonstrated that incorporation of a unique cap analogue into the mRNA helps to achieve superior translational performance by stabilizing the mRNA molecule and directing the immune response. This unique cap analogue is extremely useful for our immunotherapy approaches.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composition and structure of the 5’ and 3’ untranslated regions of the mRNA molecule are important determinants of the intracellular stability of mRNA. As a result of rigorous screening of different mRNA sequences, we identified specific UTRs that promote increased protein translation for long duration.</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have performed extensive research on the structure of the poly(A) tail and the translational performance of mRNA and customized our template design accordingly.</w:t>
      </w:r>
    </w:p>
    <w:p>
      <w:pPr>
        <w:sectPr>
          <w:pgSz w:w="11900" w:h="16838" w:orient="portrait"/>
          <w:cols w:equalWidth="0" w:num="1">
            <w:col w:w="11060"/>
          </w:cols>
          <w:pgMar w:left="320" w:top="459" w:right="519" w:bottom="1440" w:gutter="0" w:footer="0" w:header="0"/>
        </w:sectPr>
      </w:pP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060"/>
          </w:cols>
          <w:pgMar w:left="320" w:top="459" w:right="51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translational performance of mRNA can be increased by removing contaminating double-stranded RNA from the mRNA. We have extensive expertise in different mRNA purification procedures. We have also invented 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We believe these fine tunings of the respective molecules are essential for the purpose-adapted performance of our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5734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360"/>
        <w:spacing w:after="0" w:line="258" w:lineRule="auto"/>
        <w:rPr>
          <w:sz w:val="20"/>
          <w:szCs w:val="20"/>
          <w:color w:val="auto"/>
        </w:rPr>
      </w:pPr>
      <w:r>
        <w:rPr>
          <w:rFonts w:ascii="Arial" w:cs="Arial" w:eastAsia="Arial" w:hAnsi="Arial"/>
          <w:sz w:val="14"/>
          <w:szCs w:val="14"/>
          <w:b w:val="1"/>
          <w:bCs w:val="1"/>
          <w:color w:val="auto"/>
        </w:rPr>
        <w:t xml:space="preserve">Our mRNA formats. </w:t>
      </w:r>
      <w:r>
        <w:rPr>
          <w:rFonts w:ascii="Arial" w:cs="Arial" w:eastAsia="Arial" w:hAnsi="Arial"/>
          <w:sz w:val="14"/>
          <w:szCs w:val="14"/>
          <w:color w:val="auto"/>
        </w:rPr>
        <w:t>As shown above, we have developed four mRNA formats, each optimized for different therapeutic applications. Abbreviations: y, 1-methylpseudouridine; UTR,</w:t>
      </w:r>
      <w:r>
        <w:rPr>
          <w:rFonts w:ascii="Arial" w:cs="Arial" w:eastAsia="Arial" w:hAnsi="Arial"/>
          <w:sz w:val="14"/>
          <w:szCs w:val="14"/>
          <w:b w:val="1"/>
          <w:bCs w:val="1"/>
          <w:color w:val="auto"/>
        </w:rPr>
        <w:t xml:space="preserve"> </w:t>
      </w:r>
      <w:r>
        <w:rPr>
          <w:rFonts w:ascii="Arial" w:cs="Arial" w:eastAsia="Arial" w:hAnsi="Arial"/>
          <w:sz w:val="14"/>
          <w:szCs w:val="14"/>
          <w:color w:val="auto"/>
        </w:rPr>
        <w:t>untranslated region.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mRNA formats include:</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Optimized Uridine mRNA (uRNA)</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nucleotide sequence of mRNA determines the amino acid sequence of the protein. In addition, the nature of nucleosides used for production of mRNA drugs can also influence recognition of the molecule by the immune system. Presence of naturally occurring uridine (U) in our optimized uridine mRNA makes it immunogenic by activating immune sensors. We have further optimized our uridine mRNA for immunogenicity (augmented antigen presentation on MHC I and MHC II) and pharmacological activity (enhanced stability and translational efficiency). Immunogenicity of the mRNA is an added benefit when mRNA is used for</w:t>
      </w:r>
    </w:p>
    <w:p>
      <w:pPr>
        <w:sectPr>
          <w:pgSz w:w="11900" w:h="16838" w:orient="portrait"/>
          <w:cols w:equalWidth="0" w:num="1">
            <w:col w:w="11040"/>
          </w:cols>
          <w:pgMar w:left="320" w:top="459" w:right="539" w:bottom="1440" w:gutter="0" w:footer="0" w:header="0"/>
        </w:sectPr>
      </w:pP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040"/>
          </w:cols>
          <w:pgMar w:left="320" w:top="459" w:right="5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immunotherapy applications, by acting as an immunotherapy adjuvant. This makes our therapeutics for iNeST and FixVac even more potent, and we are additionally using this mRNA format in one of our COVID-19 vaccine candidate variants.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Nucleoside-modified mRNA (modRNA)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Immunogenic reaction against mRNA drugs needs to be avoided in applications where therapeutic proteins are produced, such as in our RiboMab and RiboCytokine platforms. We have profound expertise in incorporating naturally-occurring modified nucleosides into our therapeutic mRNAs. We have demonstrated that the presence of a variety of modified nucleosides in the manufactured mRNA suppresses its intrinsic immune activation, while leading to superior protein production for long duration. Deimmunizing mRNA by incorporating modified nucleosides helps to avoid production of anti-drug antibodies and broaden the therapeutic application of these types of mRNA drugs. We believe this customization has resulted in therapeutic mRNA that is both potent and well tolerated. We are also testing this mRNA format in multiple COVID-19 vaccine candidate variants, including BNT162b1, the vaccine candidate variant for which we and Pfizer announced preliminary data from our Phase 1/2 clinical trials on July 1 and July 20, 2020, and BNT162b2.</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3. Self-amplifying mRNA (saRNA)</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self-amplifying mRNA, or saRNA, drugs use the concept of viral replication, while not being an infectious, disease-causing agent itself. saRNA resembles conventional mRNA encoding the protein of interest, but also encoding a polymerase, called replicase, that multiplies part of the mRNA within the target cell. During self-amplification inside the cell, a double-stranded RNA intermediate is generated, which is recognized by intracellular immune sensors. This makes saRNA a very potent activator of the immune system and therefore an excellent category of immunotherapy. As we have demonstrated, our saRNA ensures high levels of sustained antigen production with a small amount of initial mRNA input. Our scientific team has designed this mRNA technology to act as a potent tool for prophylactic vaccination, with the potential application in infectious diseases with high medical needs. Accordingly, we are testing this mRNA format in one of our COVID-19 vaccine candidate variants.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4. Trans-amplifying mRNA (taRNA)</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have also expanded on our self-amplifying mRNA capabilities, developing a novel mRNA amplification technology by separating the target mRNA to be amplified and the replicase encoding mRNA. This advancement broadens the spectrum of applications by making the development of therapeutic mRNAs even more flexible, as the replicase can amplify mRNA encoding of not only one protein, but several different ones. In the case of vaccines, this allows us to produce the replicase in advance for use with different vaccines. Our trans-amplifying mRNA is a proprietary mRNA format that is particularly well-suited for prophylactic vaccines to prevent infectious diseases.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Our mRNA Delivery Formulation Technologies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deep and broad expertise in the targeted delivery of mRNA therapeutics. We are convinced that our development of suitable delivery formulations in conjunction with our own therapeutic mRNAs is a key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1891665</wp:posOffset>
            </wp:positionV>
            <wp:extent cx="6995160" cy="2400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Our mRNA delivery formulation technologies</w:t>
      </w:r>
      <w:r>
        <w:rPr>
          <w:rFonts w:ascii="Arial" w:cs="Arial" w:eastAsia="Arial" w:hAnsi="Arial"/>
          <w:sz w:val="14"/>
          <w:szCs w:val="14"/>
          <w:color w:val="auto"/>
        </w:rPr>
        <w:t>. We utilize a range of mRNA delivery formulations for different therapeutic needs.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employ multiple mRNA delivery formulations, each designed for different functions and optimized for therapeutic product needs:</w:t>
      </w:r>
    </w:p>
    <w:p>
      <w:pPr>
        <w:spacing w:after="0" w:line="127" w:lineRule="exact"/>
        <w:rPr>
          <w:sz w:val="20"/>
          <w:szCs w:val="20"/>
          <w:color w:val="auto"/>
        </w:rPr>
      </w:pPr>
    </w:p>
    <w:p>
      <w:pPr>
        <w:ind w:left="1080" w:right="20" w:hanging="424"/>
        <w:spacing w:after="0" w:line="28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Lipoplex: </w:t>
      </w:r>
      <w:r>
        <w:rPr>
          <w:rFonts w:ascii="Arial" w:cs="Arial" w:eastAsia="Arial" w:hAnsi="Arial"/>
          <w:sz w:val="17"/>
          <w:szCs w:val="17"/>
          <w:color w:val="auto"/>
        </w:rPr>
        <w:t>Our lipoplex formulation, or LPX, embeds the mRNA between a lipid bilayer, which is used for our FixVac and iNeST</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We use a proprietary size- and charge-based non-viral mRNA lipoplex that was developed to deliver mRNA to dendritic cells in lymphoid compartments such as the spleen for optimal antigen presentation and immune response activation.</w:t>
      </w:r>
    </w:p>
    <w:p>
      <w:pPr>
        <w:spacing w:after="0" w:line="63" w:lineRule="exact"/>
        <w:rPr>
          <w:rFonts w:ascii="Arial" w:cs="Arial" w:eastAsia="Arial" w:hAnsi="Arial"/>
          <w:sz w:val="17"/>
          <w:szCs w:val="17"/>
          <w:color w:val="auto"/>
        </w:rPr>
      </w:pPr>
    </w:p>
    <w:p>
      <w:pPr>
        <w:ind w:left="1080" w:right="20" w:hanging="424"/>
        <w:spacing w:after="0" w:line="28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LNPs: </w:t>
      </w:r>
      <w:r>
        <w:rPr>
          <w:rFonts w:ascii="Arial" w:cs="Arial" w:eastAsia="Arial" w:hAnsi="Arial"/>
          <w:sz w:val="17"/>
          <w:szCs w:val="17"/>
          <w:color w:val="auto"/>
        </w:rPr>
        <w:t>For other applications, we encapsulate our mRNA in lipid nanoparticles, or LNPs. These formulations are suitable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RiboMab, RiboCytokine and rare disease protein replacement platforms. Our LNP formulations can be adjusted according to our needs for delivery to particular target tissues, such as the liver in the case of our rare disease protein replacement platform.</w:t>
      </w:r>
    </w:p>
    <w:p>
      <w:pPr>
        <w:spacing w:after="0" w:line="63" w:lineRule="exact"/>
        <w:rPr>
          <w:rFonts w:ascii="Arial" w:cs="Arial" w:eastAsia="Arial" w:hAnsi="Arial"/>
          <w:sz w:val="17"/>
          <w:szCs w:val="17"/>
          <w:color w:val="auto"/>
        </w:rPr>
      </w:pPr>
    </w:p>
    <w:p>
      <w:pPr>
        <w:ind w:left="1080" w:hanging="424"/>
        <w:spacing w:after="0" w:line="28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Polyplexes: </w:t>
      </w:r>
      <w:r>
        <w:rPr>
          <w:rFonts w:ascii="Arial" w:cs="Arial" w:eastAsia="Arial" w:hAnsi="Arial"/>
          <w:sz w:val="18"/>
          <w:szCs w:val="18"/>
          <w:color w:val="auto"/>
        </w:rPr>
        <w:t>Our portfolio also comprises polyplexes, which are being utilized in certain of our discovery programs, in which the mRNA is</w:t>
      </w:r>
      <w:r>
        <w:rPr>
          <w:rFonts w:ascii="Arial" w:cs="Arial" w:eastAsia="Arial" w:hAnsi="Arial"/>
          <w:sz w:val="18"/>
          <w:szCs w:val="18"/>
          <w:b w:val="1"/>
          <w:bCs w:val="1"/>
          <w:color w:val="auto"/>
        </w:rPr>
        <w:t xml:space="preserve"> </w:t>
      </w:r>
      <w:r>
        <w:rPr>
          <w:rFonts w:ascii="Arial" w:cs="Arial" w:eastAsia="Arial" w:hAnsi="Arial"/>
          <w:sz w:val="18"/>
          <w:szCs w:val="18"/>
          <w:color w:val="auto"/>
        </w:rPr>
        <w:t>bound to a polymer and then forms nanoparticles.</w:t>
      </w:r>
    </w:p>
    <w:p>
      <w:pPr>
        <w:sectPr>
          <w:pgSz w:w="11900" w:h="16838" w:orient="portrait"/>
          <w:cols w:equalWidth="0" w:num="1">
            <w:col w:w="11100"/>
          </w:cols>
          <w:pgMar w:left="320" w:top="459" w:right="479" w:bottom="1440" w:gutter="0" w:footer="0" w:header="0"/>
        </w:sectPr>
      </w:pP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00"/>
          </w:cols>
          <w:pgMar w:left="320" w:top="459" w:right="47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shown in the graphic below, our mRNA platforms utilize our wide range of mRNA formats, mRNA delivery formulations and mRNA delivery routes to optimize and tailor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948690</wp:posOffset>
            </wp:positionV>
            <wp:extent cx="6995160" cy="42945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429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300"/>
        <w:spacing w:after="0" w:line="258" w:lineRule="auto"/>
        <w:rPr>
          <w:sz w:val="20"/>
          <w:szCs w:val="20"/>
          <w:color w:val="auto"/>
        </w:rPr>
      </w:pPr>
      <w:r>
        <w:rPr>
          <w:rFonts w:ascii="Arial" w:cs="Arial" w:eastAsia="Arial" w:hAnsi="Arial"/>
          <w:sz w:val="14"/>
          <w:szCs w:val="14"/>
          <w:b w:val="1"/>
          <w:bCs w:val="1"/>
          <w:color w:val="auto"/>
        </w:rPr>
        <w:t xml:space="preserve">Our therapeutic mRNA technology toolbox. </w:t>
      </w:r>
      <w:r>
        <w:rPr>
          <w:rFonts w:ascii="Arial" w:cs="Arial" w:eastAsia="Arial" w:hAnsi="Arial"/>
          <w:sz w:val="14"/>
          <w:szCs w:val="14"/>
          <w:color w:val="auto"/>
        </w:rPr>
        <w:t>Our product candidates utilize multiple mRNA formats, a broad spectrum of delivery formulations and applications using various delivery</w:t>
      </w:r>
      <w:r>
        <w:rPr>
          <w:rFonts w:ascii="Arial" w:cs="Arial" w:eastAsia="Arial" w:hAnsi="Arial"/>
          <w:sz w:val="14"/>
          <w:szCs w:val="14"/>
          <w:b w:val="1"/>
          <w:bCs w:val="1"/>
          <w:color w:val="auto"/>
        </w:rPr>
        <w:t xml:space="preserve"> </w:t>
      </w:r>
      <w:r>
        <w:rPr>
          <w:rFonts w:ascii="Arial" w:cs="Arial" w:eastAsia="Arial" w:hAnsi="Arial"/>
          <w:sz w:val="14"/>
          <w:szCs w:val="14"/>
          <w:color w:val="auto"/>
        </w:rPr>
        <w:t>routes.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Our mRNA Platforms</w:t>
      </w:r>
    </w:p>
    <w:p>
      <w:pPr>
        <w:spacing w:after="0" w:line="12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are developing multiple mRNA-based therapeutic platforms. These include FixVac, iNeST, mRNA-based intratumoral immunotherapy, RiboMabs and RiboCytokines in the oncology space. In addition, we have implemented mRNA platforms for the development of infectious disease vaccines and protein replacement therapies for rare diseases.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Importantly, each of these platforms enables the development of multiple pharmaceutical product candidates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1300480</wp:posOffset>
            </wp:positionV>
            <wp:extent cx="6995160" cy="3660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right="380"/>
        <w:spacing w:after="0" w:line="258" w:lineRule="auto"/>
        <w:rPr>
          <w:sz w:val="20"/>
          <w:szCs w:val="20"/>
          <w:color w:val="auto"/>
        </w:rPr>
      </w:pPr>
      <w:r>
        <w:rPr>
          <w:rFonts w:ascii="Arial" w:cs="Arial" w:eastAsia="Arial" w:hAnsi="Arial"/>
          <w:sz w:val="14"/>
          <w:szCs w:val="14"/>
          <w:b w:val="1"/>
          <w:bCs w:val="1"/>
          <w:color w:val="auto"/>
        </w:rPr>
        <w:t xml:space="preserve">Our mRNA Platforms. </w:t>
      </w:r>
      <w:r>
        <w:rPr>
          <w:rFonts w:ascii="Arial" w:cs="Arial" w:eastAsia="Arial" w:hAnsi="Arial"/>
          <w:sz w:val="14"/>
          <w:szCs w:val="14"/>
          <w:color w:val="auto"/>
        </w:rPr>
        <w:t>We have multiple mRNA-based platforms utilizing different mRNA formats and delivery formulations, directed at a range of biological targets in oncology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infectious and rare diseases.</w:t>
      </w:r>
    </w:p>
    <w:p>
      <w:pPr>
        <w:spacing w:after="0" w:line="28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Cancer Immunotherapies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goal is to develop safe, potent, efficacious and cost-effective cancer immunotherapies which stimulate and potently expand tumor cell specific CD4+ and CD8+ T cells in cancer patients. Our cancer immunotherapy development integrates our competencies in mRNA backbone optimization, formulation development and immunological research.</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have developed novel immunotherapy approaches to replicate the highly potent and effective natural activation of the immune system in response to a viral infection. Our first generation mRNA cancer immunotherapies were delivered as naked mRNA by ultrasound guided injection into a patient’s lymph node and induced T cell responses and antitumoral activity when targeting mutant neoantigens in advanced melanoma patients. To further improve this potency and antigen specificity we have developed a nano-particulate mRNA lipoplex immunotherapy for intravenous delivery.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RNA-LPX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405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405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 a glance: RNA-LPX Cancer Immunotherapy Technology</w:t>
      </w:r>
    </w:p>
    <w:p>
      <w:pPr>
        <w:spacing w:after="0" w:line="135"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first-in-class clinical intravenous nano-particulate mRNA immunotherapy, allowing systemic delivery.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Strong potency by systemic targeting to dendritic cells in lymphoid tissues.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Universally applicable for all cancer antigens.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Opportunity to deliver multiple antigens in parallel, enabling the induction of poly-specific T cell responses.</w:t>
      </w:r>
    </w:p>
    <w:p>
      <w:pPr>
        <w:spacing w:after="0" w:line="130" w:lineRule="exact"/>
        <w:rPr>
          <w:rFonts w:ascii="Arial" w:cs="Arial" w:eastAsia="Arial" w:hAnsi="Arial"/>
          <w:sz w:val="18"/>
          <w:szCs w:val="18"/>
          <w:color w:val="auto"/>
        </w:rPr>
      </w:pPr>
    </w:p>
    <w:p>
      <w:pPr>
        <w:ind w:left="540" w:right="660" w:hanging="316"/>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Synchronized adjuvant effect mediated by toll-like receptor 7 (TLR7)-triggering and type-I interferon-driven innate and adaptive immune stimulation.</w:t>
      </w:r>
    </w:p>
    <w:p>
      <w:pPr>
        <w:sectPr>
          <w:pgSz w:w="11900" w:h="16838" w:orient="portrait"/>
          <w:cols w:equalWidth="0" w:num="1">
            <w:col w:w="11120"/>
          </w:cols>
          <w:pgMar w:left="320" w:top="459" w:right="459" w:bottom="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9019"/>
          </w:cols>
          <w:pgMar w:left="1440" w:top="125"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6261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330"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Preclinical anti-tumoral activity demonstrated against multiple tumors.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Unprecedented clinical immune responses against shared TAAs.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Beneficial clinical activity demonstrated in advanced melanoma patients.</w:t>
      </w:r>
    </w:p>
    <w:p>
      <w:pPr>
        <w:spacing w:after="0" w:line="279"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To advance from local to systemic dendritic cell, or DC, targeting, we developed an innovative liposome-based RNA-lipoplex formulation, RNA-LPX, that allows for intravenous administration of our mRNA cancer immunotherapies. We have demonstrated in the clinic that systemic DC targeting by mRNA cancer immunotherapies can result in potent activity at very low doses. Consequently, less material is required for treating high patient numbers, making manufacturing more cost-effective.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821690</wp:posOffset>
            </wp:positionV>
            <wp:extent cx="6995160" cy="45605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456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RNA-LPX technology. </w:t>
      </w:r>
      <w:r>
        <w:rPr>
          <w:rFonts w:ascii="Arial" w:cs="Arial" w:eastAsia="Arial" w:hAnsi="Arial"/>
          <w:sz w:val="14"/>
          <w:szCs w:val="14"/>
          <w:color w:val="auto"/>
        </w:rPr>
        <w:t>Our proprietary RNA-LPX formulation is designed to deliver vaccine mRNA precisely into DCs and macrophages in the spleen and other lymphoid</w:t>
      </w:r>
      <w:r>
        <w:rPr>
          <w:rFonts w:ascii="Arial" w:cs="Arial" w:eastAsia="Arial" w:hAnsi="Arial"/>
          <w:sz w:val="14"/>
          <w:szCs w:val="14"/>
          <w:b w:val="1"/>
          <w:bCs w:val="1"/>
          <w:color w:val="auto"/>
        </w:rPr>
        <w:t xml:space="preserve"> </w:t>
      </w:r>
      <w:r>
        <w:rPr>
          <w:rFonts w:ascii="Arial" w:cs="Arial" w:eastAsia="Arial" w:hAnsi="Arial"/>
          <w:sz w:val="14"/>
          <w:szCs w:val="14"/>
          <w:color w:val="auto"/>
        </w:rPr>
        <w:t>compartments. The RNA-LPX has an inherent adjuvant function stimulating the release of cytokines such as IFN-a thereby promoting the activation of DCs and the induction of strong T cell responses. Abbreviations: BM, bone marrow; LN, lymph node; DC, dendritic cell; pDC, plasmacytoid dendritic cell; Mø, macrophage; IFN-a, interferon alpha.</w:t>
      </w:r>
    </w:p>
    <w:p>
      <w:pPr>
        <w:sectPr>
          <w:pgSz w:w="11900" w:h="16838" w:orient="portrait"/>
          <w:cols w:equalWidth="0" w:num="1">
            <w:col w:w="11060"/>
          </w:cols>
          <w:pgMar w:left="320" w:top="459" w:right="519" w:bottom="1440" w:gutter="0" w:footer="0" w:header="0"/>
        </w:sectPr>
      </w:pP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060"/>
          </w:cols>
          <w:pgMar w:left="320" w:top="459" w:right="51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RNA-LPX protects mRNA from degradation outside of the cell and mediates its efficient uptake and expression of encoded antigens in various dendritic cell populations. Our RNA-LPX technology is designed to target a wide variety of antigens and address cancer patients with all possible HLA haplotypes. Utilizing RNA-LPX, we can target fixed groups of known shared antigens with our FixVac platform and a whole new class of patient-specific neoantigen targets with our iNeST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5734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80" w:hanging="533"/>
        <w:spacing w:after="0"/>
        <w:tabs>
          <w:tab w:leader="none" w:pos="208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1778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8970" cy="177863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Our FixVac Platform</w:t>
      </w:r>
    </w:p>
    <w:p>
      <w:pPr>
        <w:spacing w:after="0" w:line="127" w:lineRule="exact"/>
        <w:rPr>
          <w:sz w:val="20"/>
          <w:szCs w:val="20"/>
          <w:color w:val="auto"/>
        </w:rPr>
      </w:pPr>
    </w:p>
    <w:p>
      <w:pPr>
        <w:ind w:left="560" w:right="240" w:hanging="323"/>
        <w:spacing w:after="0" w:line="282" w:lineRule="auto"/>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Cancer immunotherapies targeting shared antigens that we have identified to be frequently expressed across patients with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cancer type.</w:t>
      </w:r>
    </w:p>
    <w:p>
      <w:pPr>
        <w:spacing w:after="0" w:line="67" w:lineRule="exact"/>
        <w:rPr>
          <w:rFonts w:ascii="Arial" w:cs="Arial" w:eastAsia="Arial" w:hAnsi="Arial"/>
          <w:sz w:val="18"/>
          <w:szCs w:val="18"/>
          <w:color w:val="auto"/>
        </w:rPr>
      </w:pPr>
    </w:p>
    <w:p>
      <w:pPr>
        <w:ind w:left="560" w:hanging="323"/>
        <w:spacing w:after="0"/>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BNT111 for metastatic melanoma.</w:t>
      </w:r>
    </w:p>
    <w:p>
      <w:pPr>
        <w:spacing w:after="0" w:line="130" w:lineRule="exact"/>
        <w:rPr>
          <w:rFonts w:ascii="Arial" w:cs="Arial" w:eastAsia="Arial" w:hAnsi="Arial"/>
          <w:sz w:val="18"/>
          <w:szCs w:val="18"/>
          <w:color w:val="auto"/>
        </w:rPr>
      </w:pPr>
    </w:p>
    <w:p>
      <w:pPr>
        <w:ind w:left="560" w:right="140" w:hanging="323"/>
        <w:spacing w:after="0" w:line="282" w:lineRule="auto"/>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Three partial responses, one complete response and seven stable diseases in 25 patients with metastatic lesions at enrollment,</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BNT111 monotherapy.</w:t>
      </w:r>
    </w:p>
    <w:p>
      <w:pPr>
        <w:sectPr>
          <w:pgSz w:w="11900" w:h="16838" w:orient="portrait"/>
          <w:cols w:equalWidth="0" w:num="1">
            <w:col w:w="11020"/>
          </w:cols>
          <w:pgMar w:left="320" w:top="459" w:right="559" w:bottom="1047" w:gutter="0" w:footer="0" w:header="0"/>
        </w:sectPr>
      </w:pP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020"/>
          </w:cols>
          <w:pgMar w:left="320" w:top="459" w:right="559" w:bottom="1047"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Our FixVac approach involves off-the-shelf mRNA immunotherapies targeting cancer cell-specific shared tumor associated antigens for selected patient populations. Our FixVac product candidates target TAAs which are commonly expressed by a significant portion of patients in a given cancer type. We have developed a sophisticated target selection process which enables us to produce poly-specific FixVac immunotherapies that cover up to 95% of patients with a given cancer type. The use of off-the-shelf FixVac immunotherapies allows for large-batch manufacturing and prompt supply to patients with ready-to-use medication, ensuring a straight-forward cost- and time-efficient manufacturing process with favorable logistics.</w:t>
      </w:r>
    </w:p>
    <w:p>
      <w:pPr>
        <w:spacing w:after="0" w:line="16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Besides targeting commonly expressed TAAs, our target selection strategy facilitates the identification of suitable viral oncoproteins for the treatment of virus-induced cancers like HPV+ head and neck cancer. Patient stratification, if needed, can easily be performed at the clinical site or a central lab using standard biotechnological methods, thereby reducing treatment costs. As the viral genome is comparatively small, encoding only for a few proteins, we believe our FixVac approach is ideally suited for the treatment of virus-induced cancers.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FixVac Development Plan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currently have six FixVac programs in development, with five in human trials, including our ongoing Phase 1 trial in advanced melanoma, a Phase 1 trial in HPV+ head and neck cancer and a Phase 1 trial in triple negative breast cancer. We expect to progress our advanced melanoma program into Phase 2 clinical trials with registrational potential in the second half of 2020. We enrolled the first patient in a Phase 1/2 trial in prostate cancer and the first patient was dosed in a Phase 1 ovarian cancer trial in the second half of 2019. In addition, we are planning to initiate a Phase 2 study with registrational potential for FixVac in HPV+ cancers by the end of 2020.</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760" w:type="dxa"/>
            <w:vAlign w:val="bottom"/>
          </w:tcPr>
          <w:p>
            <w:pPr>
              <w:spacing w:after="0"/>
              <w:rPr>
                <w:sz w:val="16"/>
                <w:szCs w:val="16"/>
                <w:color w:val="auto"/>
              </w:rPr>
            </w:pPr>
          </w:p>
        </w:tc>
        <w:tc>
          <w:tcPr>
            <w:tcW w:w="2640" w:type="dxa"/>
            <w:vAlign w:val="bottom"/>
          </w:tcPr>
          <w:p>
            <w:pPr>
              <w:ind w:left="1040"/>
              <w:spacing w:after="0"/>
              <w:rPr>
                <w:sz w:val="20"/>
                <w:szCs w:val="20"/>
                <w:color w:val="auto"/>
              </w:rPr>
            </w:pPr>
            <w:r>
              <w:rPr>
                <w:rFonts w:ascii="Arial" w:cs="Arial" w:eastAsia="Arial" w:hAnsi="Arial"/>
                <w:sz w:val="14"/>
                <w:szCs w:val="14"/>
                <w:b w:val="1"/>
                <w:bCs w:val="1"/>
                <w:color w:val="auto"/>
              </w:rPr>
              <w:t>Antigens</w:t>
            </w:r>
          </w:p>
        </w:tc>
        <w:tc>
          <w:tcPr>
            <w:tcW w:w="200" w:type="dxa"/>
            <w:vAlign w:val="bottom"/>
          </w:tcPr>
          <w:p>
            <w:pPr>
              <w:spacing w:after="0"/>
              <w:rPr>
                <w:sz w:val="16"/>
                <w:szCs w:val="16"/>
                <w:color w:val="auto"/>
              </w:rPr>
            </w:pPr>
          </w:p>
        </w:tc>
        <w:tc>
          <w:tcPr>
            <w:tcW w:w="2800" w:type="dxa"/>
            <w:vAlign w:val="bottom"/>
            <w:gridSpan w:val="2"/>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980" w:type="dxa"/>
            <w:vAlign w:val="bottom"/>
          </w:tcPr>
          <w:p>
            <w:pPr>
              <w:ind w:left="2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BNT111</w:t>
            </w:r>
          </w:p>
        </w:tc>
        <w:tc>
          <w:tcPr>
            <w:tcW w:w="2760" w:type="dxa"/>
            <w:vAlign w:val="bottom"/>
          </w:tcPr>
          <w:p>
            <w:pPr>
              <w:spacing w:after="0"/>
              <w:rPr>
                <w:sz w:val="16"/>
                <w:szCs w:val="16"/>
                <w:color w:val="auto"/>
              </w:rPr>
            </w:pP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Melanoma-specific antigens:</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Phase 1: Advanced melanoma</w:t>
            </w:r>
          </w:p>
        </w:tc>
        <w:tc>
          <w:tcPr>
            <w:tcW w:w="160" w:type="dxa"/>
            <w:vAlign w:val="bottom"/>
          </w:tcPr>
          <w:p>
            <w:pPr>
              <w:spacing w:after="0"/>
              <w:rPr>
                <w:sz w:val="16"/>
                <w:szCs w:val="16"/>
                <w:color w:val="auto"/>
              </w:rPr>
            </w:pPr>
          </w:p>
        </w:tc>
        <w:tc>
          <w:tcPr>
            <w:tcW w:w="1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Report Phase 1 data:</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7"/>
              </w:rPr>
              <w:t>NY-ESO-1, tyrosinase, MAGE-A3</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publication upcoming;</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and TPTE</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initiate Phase 2 trial with</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registrational potential in</w:t>
            </w: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2H 2020</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w w:val="93"/>
              </w:rPr>
              <w:t>BNT112</w:t>
            </w:r>
          </w:p>
        </w:tc>
        <w:tc>
          <w:tcPr>
            <w:tcW w:w="27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Five prostate cancer-specific</w:t>
            </w:r>
          </w:p>
        </w:tc>
        <w:tc>
          <w:tcPr>
            <w:tcW w:w="3000" w:type="dxa"/>
            <w:vAlign w:val="bottom"/>
            <w:gridSpan w:val="3"/>
          </w:tcPr>
          <w:p>
            <w:pPr>
              <w:ind w:left="200"/>
              <w:spacing w:after="0"/>
              <w:rPr>
                <w:sz w:val="20"/>
                <w:szCs w:val="20"/>
                <w:color w:val="auto"/>
              </w:rPr>
            </w:pPr>
            <w:r>
              <w:rPr>
                <w:rFonts w:ascii="Arial" w:cs="Arial" w:eastAsia="Arial" w:hAnsi="Arial"/>
                <w:sz w:val="18"/>
                <w:szCs w:val="18"/>
                <w:color w:val="auto"/>
              </w:rPr>
              <w:t>Phase 1/2: Prostate cancer</w:t>
            </w:r>
          </w:p>
        </w:tc>
        <w:tc>
          <w:tcPr>
            <w:tcW w:w="19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antigens, including PAP and three</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internally identified antigens</w:t>
            </w:r>
          </w:p>
        </w:tc>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BNT113</w:t>
            </w:r>
          </w:p>
        </w:tc>
        <w:tc>
          <w:tcPr>
            <w:tcW w:w="3880" w:type="dxa"/>
            <w:vAlign w:val="bottom"/>
          </w:tcPr>
          <w:p>
            <w:pPr>
              <w:ind w:left="1400"/>
              <w:spacing w:after="0"/>
              <w:rPr>
                <w:sz w:val="20"/>
                <w:szCs w:val="20"/>
                <w:color w:val="auto"/>
              </w:rPr>
            </w:pPr>
            <w:r>
              <w:rPr>
                <w:rFonts w:ascii="Arial" w:cs="Arial" w:eastAsia="Arial" w:hAnsi="Arial"/>
                <w:sz w:val="18"/>
                <w:szCs w:val="18"/>
                <w:color w:val="auto"/>
              </w:rPr>
              <w:t>HPV E6 and E7 oncoproteins</w:t>
            </w:r>
          </w:p>
        </w:tc>
        <w:tc>
          <w:tcPr>
            <w:tcW w:w="2560" w:type="dxa"/>
            <w:vAlign w:val="bottom"/>
          </w:tcPr>
          <w:p>
            <w:pPr>
              <w:ind w:left="360"/>
              <w:spacing w:after="0"/>
              <w:rPr>
                <w:sz w:val="20"/>
                <w:szCs w:val="20"/>
                <w:color w:val="auto"/>
              </w:rPr>
            </w:pPr>
            <w:r>
              <w:rPr>
                <w:rFonts w:ascii="Arial" w:cs="Arial" w:eastAsia="Arial" w:hAnsi="Arial"/>
                <w:sz w:val="18"/>
                <w:szCs w:val="18"/>
                <w:color w:val="auto"/>
                <w:w w:val="88"/>
              </w:rPr>
              <w:t>Phase 1: HPV+ head and neck</w:t>
            </w:r>
          </w:p>
        </w:tc>
      </w:tr>
      <w:tr>
        <w:trPr>
          <w:trHeight w:val="230"/>
        </w:trPr>
        <w:tc>
          <w:tcPr>
            <w:tcW w:w="20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560" w:type="dxa"/>
            <w:vAlign w:val="bottom"/>
          </w:tcPr>
          <w:p>
            <w:pPr>
              <w:ind w:left="360"/>
              <w:spacing w:after="0"/>
              <w:rPr>
                <w:sz w:val="20"/>
                <w:szCs w:val="20"/>
                <w:color w:val="auto"/>
              </w:rPr>
            </w:pPr>
            <w:r>
              <w:rPr>
                <w:rFonts w:ascii="Arial" w:cs="Arial" w:eastAsia="Arial" w:hAnsi="Arial"/>
                <w:sz w:val="18"/>
                <w:szCs w:val="18"/>
                <w:color w:val="auto"/>
              </w:rPr>
              <w:t>cancer (IST)</w:t>
            </w:r>
          </w:p>
        </w:tc>
      </w:tr>
    </w:tbl>
    <w:p>
      <w:pPr>
        <w:spacing w:after="0" w:line="20" w:lineRule="exact"/>
        <w:rPr>
          <w:sz w:val="20"/>
          <w:szCs w:val="20"/>
          <w:color w:val="auto"/>
        </w:rPr>
      </w:pPr>
      <w:r>
        <w:rPr>
          <w:sz w:val="20"/>
          <w:szCs w:val="20"/>
          <w:color w:val="auto"/>
        </w:rPr>
        <w:br w:type="column"/>
      </w:r>
    </w:p>
    <w:p>
      <w:pPr>
        <w:jc w:val="both"/>
        <w:ind w:right="140"/>
        <w:spacing w:after="0" w:line="286" w:lineRule="auto"/>
        <w:rPr>
          <w:sz w:val="20"/>
          <w:szCs w:val="20"/>
          <w:color w:val="auto"/>
        </w:rPr>
      </w:pPr>
      <w:r>
        <w:rPr>
          <w:rFonts w:ascii="Arial" w:cs="Arial" w:eastAsia="Arial" w:hAnsi="Arial"/>
          <w:sz w:val="17"/>
          <w:szCs w:val="17"/>
          <w:color w:val="auto"/>
        </w:rPr>
        <w:t>Initiate Phase 2 trial with registrational potential by end of 2020</w:t>
      </w:r>
    </w:p>
    <w:p>
      <w:pPr>
        <w:spacing w:after="0" w:line="57" w:lineRule="exact"/>
        <w:rPr>
          <w:sz w:val="20"/>
          <w:szCs w:val="20"/>
          <w:color w:val="auto"/>
        </w:rPr>
      </w:pPr>
    </w:p>
    <w:p>
      <w:pPr>
        <w:sectPr>
          <w:pgSz w:w="11900" w:h="16838" w:orient="portrait"/>
          <w:cols w:equalWidth="0" w:num="2">
            <w:col w:w="8560" w:space="600"/>
            <w:col w:w="19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BNT114</w:t>
            </w:r>
          </w:p>
        </w:tc>
        <w:tc>
          <w:tcPr>
            <w:tcW w:w="3980" w:type="dxa"/>
            <w:vAlign w:val="bottom"/>
          </w:tcPr>
          <w:p>
            <w:pPr>
              <w:ind w:left="1400"/>
              <w:spacing w:after="0"/>
              <w:rPr>
                <w:sz w:val="20"/>
                <w:szCs w:val="20"/>
                <w:color w:val="auto"/>
              </w:rPr>
            </w:pPr>
            <w:r>
              <w:rPr>
                <w:rFonts w:ascii="Arial" w:cs="Arial" w:eastAsia="Arial" w:hAnsi="Arial"/>
                <w:sz w:val="18"/>
                <w:szCs w:val="18"/>
                <w:color w:val="auto"/>
              </w:rPr>
              <w:t>Selected breast cancer-specific</w:t>
            </w:r>
          </w:p>
        </w:tc>
        <w:tc>
          <w:tcPr>
            <w:tcW w:w="2220" w:type="dxa"/>
            <w:vAlign w:val="bottom"/>
          </w:tcPr>
          <w:p>
            <w:pPr>
              <w:ind w:left="260"/>
              <w:spacing w:after="0"/>
              <w:rPr>
                <w:sz w:val="20"/>
                <w:szCs w:val="20"/>
                <w:color w:val="auto"/>
              </w:rPr>
            </w:pPr>
            <w:r>
              <w:rPr>
                <w:rFonts w:ascii="Arial" w:cs="Arial" w:eastAsia="Arial" w:hAnsi="Arial"/>
                <w:sz w:val="18"/>
                <w:szCs w:val="18"/>
                <w:color w:val="auto"/>
              </w:rPr>
              <w:t>Phase 1: TNBC</w:t>
            </w:r>
          </w:p>
        </w:tc>
        <w:tc>
          <w:tcPr>
            <w:tcW w:w="2640" w:type="dxa"/>
            <w:vAlign w:val="bottom"/>
          </w:tcPr>
          <w:p>
            <w:pPr>
              <w:ind w:left="840"/>
              <w:spacing w:after="0"/>
              <w:rPr>
                <w:sz w:val="20"/>
                <w:szCs w:val="20"/>
                <w:color w:val="auto"/>
              </w:rPr>
            </w:pPr>
            <w:r>
              <w:rPr>
                <w:rFonts w:ascii="Arial" w:cs="Arial" w:eastAsia="Arial" w:hAnsi="Arial"/>
                <w:sz w:val="18"/>
                <w:szCs w:val="18"/>
                <w:color w:val="auto"/>
                <w:w w:val="88"/>
              </w:rPr>
              <w:t>Report data update in 2H</w:t>
            </w:r>
          </w:p>
        </w:tc>
      </w:tr>
      <w:tr>
        <w:trPr>
          <w:trHeight w:val="230"/>
        </w:trPr>
        <w:tc>
          <w:tcPr>
            <w:tcW w:w="2000" w:type="dxa"/>
            <w:vAlign w:val="bottom"/>
          </w:tcPr>
          <w:p>
            <w:pPr>
              <w:spacing w:after="0"/>
              <w:rPr>
                <w:sz w:val="20"/>
                <w:szCs w:val="20"/>
                <w:color w:val="auto"/>
              </w:rPr>
            </w:pPr>
          </w:p>
        </w:tc>
        <w:tc>
          <w:tcPr>
            <w:tcW w:w="3980" w:type="dxa"/>
            <w:vAlign w:val="bottom"/>
          </w:tcPr>
          <w:p>
            <w:pPr>
              <w:ind w:left="1400"/>
              <w:spacing w:after="0"/>
              <w:rPr>
                <w:sz w:val="20"/>
                <w:szCs w:val="20"/>
                <w:color w:val="auto"/>
              </w:rPr>
            </w:pPr>
            <w:r>
              <w:rPr>
                <w:rFonts w:ascii="Arial" w:cs="Arial" w:eastAsia="Arial" w:hAnsi="Arial"/>
                <w:sz w:val="18"/>
                <w:szCs w:val="18"/>
                <w:color w:val="auto"/>
              </w:rPr>
              <w:t>antigens</w:t>
            </w:r>
          </w:p>
        </w:tc>
        <w:tc>
          <w:tcPr>
            <w:tcW w:w="2220" w:type="dxa"/>
            <w:vAlign w:val="bottom"/>
          </w:tcPr>
          <w:p>
            <w:pPr>
              <w:spacing w:after="0"/>
              <w:rPr>
                <w:sz w:val="20"/>
                <w:szCs w:val="20"/>
                <w:color w:val="auto"/>
              </w:rPr>
            </w:pPr>
          </w:p>
        </w:tc>
        <w:tc>
          <w:tcPr>
            <w:tcW w:w="2640" w:type="dxa"/>
            <w:vAlign w:val="bottom"/>
          </w:tcPr>
          <w:p>
            <w:pPr>
              <w:ind w:left="840"/>
              <w:spacing w:after="0"/>
              <w:rPr>
                <w:sz w:val="20"/>
                <w:szCs w:val="20"/>
                <w:color w:val="auto"/>
              </w:rPr>
            </w:pPr>
            <w:r>
              <w:rPr>
                <w:rFonts w:ascii="Arial" w:cs="Arial" w:eastAsia="Arial" w:hAnsi="Arial"/>
                <w:sz w:val="18"/>
                <w:szCs w:val="18"/>
                <w:color w:val="auto"/>
              </w:rPr>
              <w:t>2020</w:t>
            </w:r>
          </w:p>
        </w:tc>
      </w:tr>
      <w:tr>
        <w:trPr>
          <w:trHeight w:val="310"/>
        </w:trPr>
        <w:tc>
          <w:tcPr>
            <w:tcW w:w="2000" w:type="dxa"/>
            <w:vAlign w:val="bottom"/>
          </w:tcPr>
          <w:p>
            <w:pPr>
              <w:spacing w:after="0"/>
              <w:rPr>
                <w:sz w:val="20"/>
                <w:szCs w:val="20"/>
                <w:color w:val="auto"/>
              </w:rPr>
            </w:pPr>
            <w:r>
              <w:rPr>
                <w:rFonts w:ascii="Arial" w:cs="Arial" w:eastAsia="Arial" w:hAnsi="Arial"/>
                <w:sz w:val="18"/>
                <w:szCs w:val="18"/>
                <w:color w:val="auto"/>
              </w:rPr>
              <w:t>BNT115</w:t>
            </w:r>
          </w:p>
        </w:tc>
        <w:tc>
          <w:tcPr>
            <w:tcW w:w="3980" w:type="dxa"/>
            <w:vAlign w:val="bottom"/>
          </w:tcPr>
          <w:p>
            <w:pPr>
              <w:ind w:left="1400"/>
              <w:spacing w:after="0"/>
              <w:rPr>
                <w:sz w:val="20"/>
                <w:szCs w:val="20"/>
                <w:color w:val="auto"/>
              </w:rPr>
            </w:pPr>
            <w:r>
              <w:rPr>
                <w:rFonts w:ascii="Arial" w:cs="Arial" w:eastAsia="Arial" w:hAnsi="Arial"/>
                <w:sz w:val="18"/>
                <w:szCs w:val="18"/>
                <w:color w:val="auto"/>
                <w:w w:val="98"/>
              </w:rPr>
              <w:t>Selected ovarian cancer-specific</w:t>
            </w:r>
          </w:p>
        </w:tc>
        <w:tc>
          <w:tcPr>
            <w:tcW w:w="2220" w:type="dxa"/>
            <w:vAlign w:val="bottom"/>
          </w:tcPr>
          <w:p>
            <w:pPr>
              <w:ind w:left="260"/>
              <w:spacing w:after="0"/>
              <w:rPr>
                <w:sz w:val="20"/>
                <w:szCs w:val="20"/>
                <w:color w:val="auto"/>
              </w:rPr>
            </w:pPr>
            <w:r>
              <w:rPr>
                <w:rFonts w:ascii="Arial" w:cs="Arial" w:eastAsia="Arial" w:hAnsi="Arial"/>
                <w:sz w:val="18"/>
                <w:szCs w:val="18"/>
                <w:color w:val="auto"/>
              </w:rPr>
              <w:t>Phase 1</w:t>
            </w:r>
          </w:p>
        </w:tc>
        <w:tc>
          <w:tcPr>
            <w:tcW w:w="264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2000" w:type="dxa"/>
            <w:vAlign w:val="bottom"/>
          </w:tcPr>
          <w:p>
            <w:pPr>
              <w:spacing w:after="0"/>
              <w:rPr>
                <w:sz w:val="20"/>
                <w:szCs w:val="20"/>
                <w:color w:val="auto"/>
              </w:rPr>
            </w:pPr>
          </w:p>
        </w:tc>
        <w:tc>
          <w:tcPr>
            <w:tcW w:w="3980" w:type="dxa"/>
            <w:vAlign w:val="bottom"/>
          </w:tcPr>
          <w:p>
            <w:pPr>
              <w:ind w:left="1400"/>
              <w:spacing w:after="0"/>
              <w:rPr>
                <w:sz w:val="20"/>
                <w:szCs w:val="20"/>
                <w:color w:val="auto"/>
              </w:rPr>
            </w:pPr>
            <w:r>
              <w:rPr>
                <w:rFonts w:ascii="Arial" w:cs="Arial" w:eastAsia="Arial" w:hAnsi="Arial"/>
                <w:sz w:val="18"/>
                <w:szCs w:val="18"/>
                <w:color w:val="auto"/>
              </w:rPr>
              <w:t>antigens</w:t>
            </w:r>
          </w:p>
        </w:tc>
        <w:tc>
          <w:tcPr>
            <w:tcW w:w="22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24"/>
        </w:trPr>
        <w:tc>
          <w:tcPr>
            <w:tcW w:w="2000" w:type="dxa"/>
            <w:vAlign w:val="bottom"/>
          </w:tcPr>
          <w:p>
            <w:pPr>
              <w:spacing w:after="0"/>
              <w:rPr>
                <w:sz w:val="20"/>
                <w:szCs w:val="20"/>
                <w:color w:val="auto"/>
              </w:rPr>
            </w:pPr>
            <w:r>
              <w:rPr>
                <w:rFonts w:ascii="Arial" w:cs="Arial" w:eastAsia="Arial" w:hAnsi="Arial"/>
                <w:sz w:val="18"/>
                <w:szCs w:val="18"/>
                <w:color w:val="auto"/>
              </w:rPr>
              <w:t>BNT116</w:t>
            </w:r>
          </w:p>
        </w:tc>
        <w:tc>
          <w:tcPr>
            <w:tcW w:w="3980" w:type="dxa"/>
            <w:vAlign w:val="bottom"/>
          </w:tcPr>
          <w:p>
            <w:pPr>
              <w:ind w:left="1400"/>
              <w:spacing w:after="0"/>
              <w:rPr>
                <w:sz w:val="20"/>
                <w:szCs w:val="20"/>
                <w:color w:val="auto"/>
              </w:rPr>
            </w:pPr>
            <w:r>
              <w:rPr>
                <w:rFonts w:ascii="Arial" w:cs="Arial" w:eastAsia="Arial" w:hAnsi="Arial"/>
                <w:sz w:val="18"/>
                <w:szCs w:val="18"/>
                <w:color w:val="auto"/>
              </w:rPr>
              <w:t>Non-small cell lung cancer</w:t>
            </w:r>
          </w:p>
        </w:tc>
        <w:tc>
          <w:tcPr>
            <w:tcW w:w="2220" w:type="dxa"/>
            <w:vAlign w:val="bottom"/>
          </w:tcPr>
          <w:p>
            <w:pPr>
              <w:ind w:left="260"/>
              <w:spacing w:after="0"/>
              <w:rPr>
                <w:sz w:val="20"/>
                <w:szCs w:val="20"/>
                <w:color w:val="auto"/>
              </w:rPr>
            </w:pPr>
            <w:r>
              <w:rPr>
                <w:rFonts w:ascii="Arial" w:cs="Arial" w:eastAsia="Arial" w:hAnsi="Arial"/>
                <w:sz w:val="18"/>
                <w:szCs w:val="18"/>
                <w:color w:val="auto"/>
              </w:rPr>
              <w:t>Preclinical</w:t>
            </w:r>
          </w:p>
        </w:tc>
        <w:tc>
          <w:tcPr>
            <w:tcW w:w="264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364"/>
        </w:trPr>
        <w:tc>
          <w:tcPr>
            <w:tcW w:w="2000" w:type="dxa"/>
            <w:vAlign w:val="bottom"/>
          </w:tcPr>
          <w:p>
            <w:pPr>
              <w:spacing w:after="0"/>
              <w:rPr>
                <w:sz w:val="24"/>
                <w:szCs w:val="24"/>
                <w:color w:val="auto"/>
              </w:rPr>
            </w:pPr>
          </w:p>
        </w:tc>
        <w:tc>
          <w:tcPr>
            <w:tcW w:w="3980" w:type="dxa"/>
            <w:vAlign w:val="bottom"/>
          </w:tcPr>
          <w:p>
            <w:pPr>
              <w:ind w:left="3420"/>
              <w:spacing w:after="0"/>
              <w:rPr>
                <w:sz w:val="20"/>
                <w:szCs w:val="20"/>
                <w:color w:val="auto"/>
              </w:rPr>
            </w:pPr>
            <w:r>
              <w:rPr>
                <w:rFonts w:ascii="Arial" w:cs="Arial" w:eastAsia="Arial" w:hAnsi="Arial"/>
                <w:sz w:val="18"/>
                <w:szCs w:val="18"/>
                <w:color w:val="auto"/>
              </w:rPr>
              <w:t>80</w:t>
            </w:r>
          </w:p>
        </w:tc>
        <w:tc>
          <w:tcPr>
            <w:tcW w:w="222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20" w:hanging="372"/>
        <w:spacing w:after="0"/>
        <w:tabs>
          <w:tab w:leader="none" w:pos="192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2306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23063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40" w:hanging="316"/>
        <w:spacing w:after="0"/>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Concept: </w:t>
      </w:r>
      <w:r>
        <w:rPr>
          <w:rFonts w:ascii="Arial" w:cs="Arial" w:eastAsia="Arial" w:hAnsi="Arial"/>
          <w:sz w:val="16"/>
          <w:szCs w:val="16"/>
          <w:color w:val="auto"/>
        </w:rPr>
        <w:t>Individualized cancer immunotherapy targeting neoantigens identified on a patient by patient basis and selected for immunogenicity.</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share with Genentech.</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Lead Indication: </w:t>
      </w:r>
      <w:r>
        <w:rPr>
          <w:rFonts w:ascii="Arial" w:cs="Arial" w:eastAsia="Arial" w:hAnsi="Arial"/>
          <w:sz w:val="18"/>
          <w:szCs w:val="18"/>
          <w:color w:val="auto"/>
        </w:rPr>
        <w:t>RO7198457 (BNT122) as a first-line melanoma therapy in combination with pembrolizumab.</w:t>
      </w:r>
    </w:p>
    <w:p>
      <w:pPr>
        <w:spacing w:after="0" w:line="130" w:lineRule="exact"/>
        <w:rPr>
          <w:rFonts w:ascii="Arial" w:cs="Arial" w:eastAsia="Arial" w:hAnsi="Arial"/>
          <w:sz w:val="18"/>
          <w:szCs w:val="18"/>
          <w:color w:val="auto"/>
        </w:rPr>
      </w:pPr>
    </w:p>
    <w:p>
      <w:pPr>
        <w:ind w:left="540" w:hanging="316"/>
        <w:spacing w:after="0" w:line="255"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In a previous Phase 1 trial of BNT121, we observed first-in-human data in 13 patients with metastatic melanoma demonstrating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stable progression-free survival in nine patients for up to 60 months, and additional objective responses in three of five patients with metastatic disease at time of treatment with iNeST, including one patient receiving combination therapy. We also observed a significant decrease in the cumulative recurrence rate post-treatment as compared to pre-treatment. In June 2020, we reported data from a monotherapy dose-finding cohort of our RO7198457 (BNT122) Phase 1 trial in multiple solid tumors, which showed that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 cell responses were detected in approximately 86% of patients treated with RO7198457 (BNT122) as a monotherapy and later in June 2020 we provided a data update for an additional cohort in combination with atezolizumab.</w:t>
      </w:r>
    </w:p>
    <w:p>
      <w:pPr>
        <w:spacing w:after="0" w:line="24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are a pioneer and global leader in developing fully individualized cancer immunotherapies. We have developed a first of its kind, on-demand manufacturing process to treat each individual patient based on the mutation profile of the patient’s tumor. We are investigating this treatment approach in the clinic in collaboration with 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2131695</wp:posOffset>
            </wp:positionV>
            <wp:extent cx="6995160" cy="1937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iNeST process. </w:t>
      </w:r>
      <w:r>
        <w:rPr>
          <w:rFonts w:ascii="Arial" w:cs="Arial" w:eastAsia="Arial" w:hAnsi="Arial"/>
          <w:sz w:val="14"/>
          <w:szCs w:val="14"/>
          <w:color w:val="auto"/>
        </w:rPr>
        <w:t>The figure above depicts our iNeST process for the on-demand production of individualized mRNA cancer immunotherapies.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iNeST process is summarized below:</w:t>
      </w:r>
    </w:p>
    <w:p>
      <w:pPr>
        <w:sectPr>
          <w:pgSz w:w="11900" w:h="16838" w:orient="portrait"/>
          <w:cols w:equalWidth="0" w:num="1">
            <w:col w:w="11100"/>
          </w:cols>
          <w:pgMar w:left="320" w:top="459" w:right="479" w:bottom="119" w:gutter="0" w:footer="0" w:header="0"/>
        </w:sectPr>
      </w:pPr>
    </w:p>
    <w:bookmarkStart w:id="90" w:name="page91"/>
    <w:bookmarkEnd w:id="90"/>
    <w:p>
      <w:pPr>
        <w:ind w:left="424" w:right="20" w:hanging="424"/>
        <w:spacing w:after="0" w:line="263" w:lineRule="auto"/>
        <w:tabs>
          <w:tab w:leader="none" w:pos="4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blood sample and tumor biopsy is taken from the patient to obtain healthy cells and tumor tissue. We extract healthy cells from the patient’s blood sample and tumor cells from the tumor sample. We use NGS to analyze genetic material (DNA and RNA) of these cells to identify which mutations are present in the cancer cells compared to healthy cells.</w:t>
      </w:r>
    </w:p>
    <w:p>
      <w:pPr>
        <w:spacing w:after="0" w:line="89"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apply proprietary bioinformatic algorithms to identify tumor-specific mutations. The mutations within a cancer cell differ widely from patient to patient and form a unique signature for each tumor. This genomic information can be further utilized to analyze tumor heterogeneity and microenvironment as well as individual aspects of the immune system like the HLA type.</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364"/>
          </w:cols>
          <w:pgMar w:left="976" w:top="125" w:right="5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5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these bioinformatic algorithms, we then select mutations that are the most promising therapeutic targets. The specific traits of the patient’s immune system, including HLA type, are key to the selection of the most appropriate targets. Picking multiple mutations increases the chance to induce potent T cell responses and reduces the risk that the tumor evades T cell attack over time. We account for heterogeneity of each tumor by preferentially selecting mutations that are expressed on all tumor cells. Importantly, the selected mutations are intended to ensure both CD4+ and CD8+ T cell induction.</w:t>
      </w:r>
    </w:p>
    <w:p>
      <w:pPr>
        <w:spacing w:after="0" w:line="93"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Following mutation selection, we design the structure for the iNeST product. The chosen mutations have to be arranged in a certain order and the DNA sequence of the mutations has to be optimized. This is important to ensure a robust production of the starting material, or DNA matrix, for the GMP manufacturing of the iNeST product.</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Next we produce the patient-specific iNeST product under GMP conditions and the iNeST product undergoes numerous different quality control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iNeST product is transferred to the hospital and injected into the same patient by the physician.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This process has been designed for the on-demand delivery of our iNeST products, and currently takes approximately six weeks.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iNeST Development Plan</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are currently developing iNeST therapeutics for the treatment of metastatic melanoma and multiple solid tumors. We are conducting two clinical trials of iNeST in collaboration with Genentech, including one randomized Phase 2 trial in first-line melanoma in combination with pembrolizumab and a Phase 1a/1b trial in patients with locally advanced or metastatic tumors (including in melanoma, non-small cell lung cancer, bladder cancer and other solid tumors) as a monotherapy and in combination with atezolizumab. In June 2020, we presented data from a monotherapy dose-finding cohort of our RO7198457 (BNT122) Phase 1a/1b trial in multiple solid tumors, and later in June 2020 we provided a data update for an additional cohort in combination with atezolizumab. Further, we expect to provide an enrollment update from the first-line melanoma trial in the second half of 2020, and provide an interim data update in the second half of 2021. We and Genentech plan to initiate two additional clinical trials for RO7198457 (BNT122) in 2020 in NSCLC and colorectal cancer in the adjuvant setting.</w:t>
      </w:r>
    </w:p>
    <w:p>
      <w:pPr>
        <w:sectPr>
          <w:pgSz w:w="11900" w:h="16838" w:orient="portrait"/>
          <w:cols w:equalWidth="0" w:num="1">
            <w:col w:w="11100"/>
          </w:cols>
          <w:pgMar w:left="320" w:top="459" w:right="479" w:bottom="1440" w:gutter="0" w:footer="0" w:header="0"/>
        </w:sectPr>
      </w:pP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760" w:type="dxa"/>
            <w:vAlign w:val="bottom"/>
          </w:tcPr>
          <w:p>
            <w:pPr>
              <w:spacing w:after="0"/>
              <w:rPr>
                <w:sz w:val="16"/>
                <w:szCs w:val="16"/>
                <w:color w:val="auto"/>
              </w:rPr>
            </w:pPr>
          </w:p>
        </w:tc>
        <w:tc>
          <w:tcPr>
            <w:tcW w:w="26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Antigens</w:t>
            </w:r>
          </w:p>
        </w:tc>
      </w:tr>
      <w:tr>
        <w:trPr>
          <w:trHeight w:val="189"/>
        </w:trPr>
        <w:tc>
          <w:tcPr>
            <w:tcW w:w="3400" w:type="dxa"/>
            <w:vAlign w:val="bottom"/>
            <w:gridSpan w:val="2"/>
          </w:tcPr>
          <w:p>
            <w:pPr>
              <w:spacing w:after="0" w:line="189" w:lineRule="exact"/>
              <w:rPr>
                <w:sz w:val="20"/>
                <w:szCs w:val="20"/>
                <w:color w:val="auto"/>
              </w:rPr>
            </w:pPr>
            <w:r>
              <w:rPr>
                <w:rFonts w:ascii="Arial" w:cs="Arial" w:eastAsia="Arial" w:hAnsi="Arial"/>
                <w:sz w:val="18"/>
                <w:szCs w:val="18"/>
                <w:color w:val="auto"/>
              </w:rPr>
              <w:t>RO7198457 (BNT122)</w:t>
            </w:r>
          </w:p>
        </w:tc>
        <w:tc>
          <w:tcPr>
            <w:tcW w:w="2640" w:type="dxa"/>
            <w:vAlign w:val="bottom"/>
          </w:tcPr>
          <w:p>
            <w:pPr>
              <w:spacing w:after="0" w:line="189" w:lineRule="exact"/>
              <w:rPr>
                <w:sz w:val="20"/>
                <w:szCs w:val="20"/>
                <w:color w:val="auto"/>
              </w:rPr>
            </w:pPr>
            <w:r>
              <w:rPr>
                <w:rFonts w:ascii="Arial" w:cs="Arial" w:eastAsia="Arial" w:hAnsi="Arial"/>
                <w:sz w:val="18"/>
                <w:szCs w:val="18"/>
                <w:color w:val="auto"/>
                <w:w w:val="92"/>
              </w:rPr>
              <w:t>Up to 20 neoantigens selected on a</w:t>
            </w: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patient by patient basis</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left="-199"/>
        <w:spacing w:after="0"/>
        <w:rPr>
          <w:sz w:val="20"/>
          <w:szCs w:val="20"/>
          <w:color w:val="auto"/>
        </w:rPr>
      </w:pPr>
      <w:r>
        <w:rPr>
          <w:rFonts w:ascii="Arial" w:cs="Arial" w:eastAsia="Arial" w:hAnsi="Arial"/>
          <w:sz w:val="14"/>
          <w:szCs w:val="14"/>
          <w:b w:val="1"/>
          <w:bCs w:val="1"/>
          <w:color w:val="auto"/>
        </w:rPr>
        <w:t>Development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719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5"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Phase 2: first-line melanoma in combination with pembrolizumab</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Next Potential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12515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Enrollment update in 2H 2020;</w:t>
      </w:r>
      <w:r>
        <w:rPr>
          <w:rFonts w:ascii="Arial" w:cs="Arial" w:eastAsia="Arial" w:hAnsi="Arial"/>
          <w:sz w:val="15"/>
          <w:szCs w:val="15"/>
          <w:color w:val="auto"/>
        </w:rPr>
        <w:t>1</w:t>
      </w:r>
      <w:r>
        <w:rPr>
          <w:rFonts w:ascii="Arial" w:cs="Arial" w:eastAsia="Arial" w:hAnsi="Arial"/>
          <w:sz w:val="18"/>
          <w:szCs w:val="18"/>
          <w:color w:val="auto"/>
        </w:rPr>
        <w:t xml:space="preserve"> Interim data update in 2H 2021</w:t>
      </w:r>
    </w:p>
    <w:p>
      <w:pPr>
        <w:spacing w:after="0" w:line="76" w:lineRule="exact"/>
        <w:rPr>
          <w:sz w:val="20"/>
          <w:szCs w:val="20"/>
          <w:color w:val="auto"/>
        </w:rPr>
      </w:pPr>
    </w:p>
    <w:p>
      <w:pPr>
        <w:sectPr>
          <w:pgSz w:w="11900" w:h="16838" w:orient="portrait"/>
          <w:cols w:equalWidth="0" w:num="3">
            <w:col w:w="6160" w:space="200"/>
            <w:col w:w="2440" w:space="360"/>
            <w:col w:w="1940"/>
          </w:cols>
          <w:pgMar w:left="320" w:top="459" w:right="479" w:bottom="1440" w:gutter="0" w:footer="0" w:header="0"/>
          <w:type w:val="continuous"/>
        </w:sectPr>
      </w:pPr>
    </w:p>
    <w:p>
      <w:pPr>
        <w:jc w:val="right"/>
        <w:ind w:right="180"/>
        <w:spacing w:after="0"/>
        <w:tabs>
          <w:tab w:leader="none" w:pos="1740" w:val="left"/>
        </w:tabs>
        <w:rPr>
          <w:sz w:val="20"/>
          <w:szCs w:val="20"/>
          <w:color w:val="auto"/>
        </w:rPr>
      </w:pPr>
      <w:r>
        <w:rPr>
          <w:rFonts w:ascii="Arial" w:cs="Arial" w:eastAsia="Arial" w:hAnsi="Arial"/>
          <w:sz w:val="18"/>
          <w:szCs w:val="18"/>
          <w:color w:val="auto"/>
        </w:rPr>
        <w:t>Phase 1a/1b: multiple solid tumors</w:t>
      </w:r>
      <w:r>
        <w:rPr>
          <w:sz w:val="20"/>
          <w:szCs w:val="20"/>
          <w:color w:val="auto"/>
        </w:rPr>
        <w:tab/>
      </w:r>
      <w:r>
        <w:rPr>
          <w:rFonts w:ascii="Arial" w:cs="Arial" w:eastAsia="Arial" w:hAnsi="Arial"/>
          <w:sz w:val="16"/>
          <w:szCs w:val="16"/>
          <w:color w:val="auto"/>
        </w:rPr>
        <w:t>Phase 2 trials planned in</w:t>
      </w:r>
    </w:p>
    <w:p>
      <w:pPr>
        <w:spacing w:after="0" w:line="23"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NSCLC and colorectal</w:t>
      </w:r>
    </w:p>
    <w:p>
      <w:pPr>
        <w:spacing w:after="0" w:line="21"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cancer in the adjuvant</w:t>
      </w:r>
    </w:p>
    <w:p>
      <w:pPr>
        <w:spacing w:after="0" w:line="21"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setting in 2H 2020</w:t>
      </w:r>
    </w:p>
    <w:p>
      <w:pPr>
        <w:spacing w:after="0" w:line="238" w:lineRule="exact"/>
        <w:rPr>
          <w:sz w:val="20"/>
          <w:szCs w:val="20"/>
          <w:color w:val="auto"/>
        </w:rPr>
      </w:pPr>
    </w:p>
    <w:p>
      <w:pPr>
        <w:ind w:left="540" w:right="200" w:hanging="424"/>
        <w:spacing w:after="0" w:line="277"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expect this enrollment update to include an update on the ongoing study, including patient enrollment numbers, with full efficacy and safety data for an interim update expected in the second half of 2021.</w:t>
      </w:r>
    </w:p>
    <w:p>
      <w:pPr>
        <w:spacing w:after="0" w:line="278" w:lineRule="exact"/>
        <w:rPr>
          <w:sz w:val="20"/>
          <w:szCs w:val="20"/>
          <w:color w:val="auto"/>
        </w:rPr>
      </w:pPr>
    </w:p>
    <w:p>
      <w:pPr>
        <w:ind w:left="1920" w:hanging="372"/>
        <w:spacing w:after="0"/>
        <w:tabs>
          <w:tab w:leader="none" w:pos="192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Intratumoral mRNA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Intratumoral mRNA Platform</w:t>
      </w:r>
    </w:p>
    <w:p>
      <w:pPr>
        <w:spacing w:after="0" w:line="127" w:lineRule="exact"/>
        <w:rPr>
          <w:sz w:val="20"/>
          <w:szCs w:val="20"/>
          <w:color w:val="auto"/>
        </w:rPr>
      </w:pPr>
    </w:p>
    <w:p>
      <w:pPr>
        <w:ind w:left="5540" w:right="2200" w:hanging="5316"/>
        <w:spacing w:after="0" w:line="516" w:lineRule="auto"/>
        <w:tabs>
          <w:tab w:leader="none" w:pos="55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Immunomodulator-encoding mRNA injected directly into the tumor in order to avoid off-target toxicities.</w:t>
      </w:r>
      <w:r>
        <w:rPr>
          <w:rFonts w:ascii="Arial" w:cs="Arial" w:eastAsia="Arial" w:hAnsi="Arial"/>
          <w:sz w:val="18"/>
          <w:szCs w:val="18"/>
          <w:b w:val="1"/>
          <w:bCs w:val="1"/>
          <w:color w:val="auto"/>
        </w:rPr>
        <w:t xml:space="preserve"> </w:t>
      </w: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772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977265"/>
                    </a:xfrm>
                    <a:prstGeom prst="rect">
                      <a:avLst/>
                    </a:prstGeom>
                    <a:noFill/>
                  </pic:spPr>
                </pic:pic>
              </a:graphicData>
            </a:graphic>
          </wp:anchor>
        </w:drawing>
      </w:r>
    </w:p>
    <w:p>
      <w:pPr>
        <w:spacing w:after="0" w:line="326" w:lineRule="exact"/>
        <w:rPr>
          <w:sz w:val="20"/>
          <w:szCs w:val="20"/>
          <w:color w:val="auto"/>
        </w:rPr>
      </w:pPr>
    </w:p>
    <w:p>
      <w:pPr>
        <w:ind w:left="540" w:right="100" w:hanging="316"/>
        <w:spacing w:after="0" w:line="282"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formulations, delivered by intratumoral injection.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Co-development and co-commercialization, at our option, in collaboration with Sanofi.</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SAR441000 (BNT131) for advanced solid tumors as a monotherapy and in combination with cemiplimab.</w:t>
      </w:r>
    </w:p>
    <w:p>
      <w:pPr>
        <w:spacing w:after="0" w:line="28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collaboration with Sanofi, we are leveraging our mRNA technology to develop intratumoral immunotherapies for the treatment of solid tumors. Intratumoral immunotherapy is designed to promote innate and adaptive immune responses against tumors, without toxicities related to systemic administration. Our intratumoral immunotherapy involves injection of cytokine-encoding mRNA directly into a tumor in order to alter the tumor microenvironment and promote greater T cell activity. This approach has been found in preclinical studies to boost cancer-specific immune responses locally, while also producing tumor responses in remote parts of the body due to the circulation of properly activated anti-tumor immune cells, known as an abscopal effect.</w:t>
      </w:r>
    </w:p>
    <w:p>
      <w:pPr>
        <w:spacing w:after="0" w:line="192"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The first intratumoral immunotherapy product candidate arising from our collaboration, SAR441000 (BNT131), includes modified mRNA that encodes for the IL-15sushi, IL-12sc, GM-CSF and IFN-α cytokines. In preclinical studies, SAR441000 (BNT131) promoted increased levels of local cytokine expression within the tumor microenvironment and activated innate and adaptive immune responses against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59150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Therapeutic mode of action of intratumoral mRNA immunotherapy</w:t>
      </w:r>
      <w:r>
        <w:rPr>
          <w:rFonts w:ascii="Arial" w:cs="Arial" w:eastAsia="Arial" w:hAnsi="Arial"/>
          <w:sz w:val="13"/>
          <w:szCs w:val="13"/>
          <w:color w:val="auto"/>
        </w:rPr>
        <w:t>. The figure above demonstrates how SAR441000 (BNT131) promotes cytokine expression within the tumor itself.</w:t>
      </w:r>
    </w:p>
    <w:p>
      <w:pPr>
        <w:sectPr>
          <w:pgSz w:w="11900" w:h="16838" w:orient="portrait"/>
          <w:cols w:equalWidth="0" w:num="1">
            <w:col w:w="11100"/>
          </w:cols>
          <w:pgMar w:left="320" w:top="459" w:right="479" w:bottom="1128" w:gutter="0" w:footer="0" w:header="0"/>
        </w:sectPr>
      </w:pP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00"/>
          </w:cols>
          <w:pgMar w:left="320" w:top="459" w:right="479" w:bottom="1128"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Intratumoral Development Plan</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lead intratumoral mRNA collaboration product candidate from our collaboration is being investigated in a Phase 1 clinical trial sponsored by Sanofi. This trial is expected to enroll approximately 264 patients with certain advanced solid tumors, as a monotherapy and in combination with cemiplimab. This trial is currently being run at four sites in Europe. A data update from this trial may be reported in the second half of 2020. As the trial is sponsored and conducted by Sanofi, the timing of data updates is not under our control, and is subject to change by Sanofi.</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760" w:type="dxa"/>
            <w:vAlign w:val="bottom"/>
          </w:tcPr>
          <w:p>
            <w:pPr>
              <w:spacing w:after="0"/>
              <w:rPr>
                <w:sz w:val="16"/>
                <w:szCs w:val="16"/>
                <w:color w:val="auto"/>
              </w:rPr>
            </w:pPr>
          </w:p>
        </w:tc>
        <w:tc>
          <w:tcPr>
            <w:tcW w:w="2960" w:type="dxa"/>
            <w:vAlign w:val="bottom"/>
            <w:gridSpan w:val="2"/>
          </w:tcPr>
          <w:p>
            <w:pPr>
              <w:ind w:left="780"/>
              <w:spacing w:after="0"/>
              <w:rPr>
                <w:sz w:val="20"/>
                <w:szCs w:val="20"/>
                <w:color w:val="auto"/>
              </w:rPr>
            </w:pPr>
            <w:r>
              <w:rPr>
                <w:rFonts w:ascii="Arial" w:cs="Arial" w:eastAsia="Arial" w:hAnsi="Arial"/>
                <w:sz w:val="14"/>
                <w:szCs w:val="14"/>
                <w:b w:val="1"/>
                <w:bCs w:val="1"/>
                <w:color w:val="auto"/>
              </w:rPr>
              <w:t>Encoded Cytokines</w:t>
            </w:r>
          </w:p>
        </w:tc>
        <w:tc>
          <w:tcPr>
            <w:tcW w:w="2900" w:type="dxa"/>
            <w:vAlign w:val="bottom"/>
            <w:gridSpan w:val="2"/>
          </w:tcPr>
          <w:p>
            <w:pPr>
              <w:ind w:left="780"/>
              <w:spacing w:after="0"/>
              <w:rPr>
                <w:sz w:val="20"/>
                <w:szCs w:val="20"/>
                <w:color w:val="auto"/>
              </w:rPr>
            </w:pPr>
            <w:r>
              <w:rPr>
                <w:rFonts w:ascii="Arial" w:cs="Arial" w:eastAsia="Arial" w:hAnsi="Arial"/>
                <w:sz w:val="14"/>
                <w:szCs w:val="14"/>
                <w:b w:val="1"/>
                <w:bCs w:val="1"/>
                <w:color w:val="auto"/>
              </w:rPr>
              <w:t>Development Phase</w:t>
            </w:r>
          </w:p>
        </w:tc>
        <w:tc>
          <w:tcPr>
            <w:tcW w:w="1760" w:type="dxa"/>
            <w:vAlign w:val="bottom"/>
          </w:tcPr>
          <w:p>
            <w:pPr>
              <w:ind w:left="540"/>
              <w:spacing w:after="0"/>
              <w:rPr>
                <w:sz w:val="20"/>
                <w:szCs w:val="20"/>
                <w:color w:val="auto"/>
              </w:rPr>
            </w:pPr>
            <w:r>
              <w:rPr>
                <w:rFonts w:ascii="Arial" w:cs="Arial" w:eastAsia="Arial" w:hAnsi="Arial"/>
                <w:sz w:val="14"/>
                <w:szCs w:val="14"/>
                <w:b w:val="1"/>
                <w:bCs w:val="1"/>
                <w:color w:val="auto"/>
              </w:rPr>
              <w:t>Next Steps</w:t>
            </w:r>
          </w:p>
        </w:tc>
      </w:tr>
      <w:tr>
        <w:trPr>
          <w:trHeight w:val="189"/>
        </w:trPr>
        <w:tc>
          <w:tcPr>
            <w:tcW w:w="3400" w:type="dxa"/>
            <w:vAlign w:val="bottom"/>
            <w:gridSpan w:val="2"/>
          </w:tcPr>
          <w:p>
            <w:pPr>
              <w:spacing w:after="0" w:line="189" w:lineRule="exact"/>
              <w:rPr>
                <w:sz w:val="20"/>
                <w:szCs w:val="20"/>
                <w:color w:val="auto"/>
              </w:rPr>
            </w:pPr>
            <w:r>
              <w:rPr>
                <w:rFonts w:ascii="Arial" w:cs="Arial" w:eastAsia="Arial" w:hAnsi="Arial"/>
                <w:sz w:val="18"/>
                <w:szCs w:val="18"/>
                <w:color w:val="auto"/>
              </w:rPr>
              <w:t>SAR441000 (BNT131)</w:t>
            </w:r>
          </w:p>
        </w:tc>
        <w:tc>
          <w:tcPr>
            <w:tcW w:w="2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IL-15sushi, IL-12sc, GM-CSF and</w:t>
            </w:r>
          </w:p>
        </w:tc>
        <w:tc>
          <w:tcPr>
            <w:tcW w:w="200" w:type="dxa"/>
            <w:vAlign w:val="bottom"/>
          </w:tcPr>
          <w:p>
            <w:pPr>
              <w:spacing w:after="0"/>
              <w:rPr>
                <w:sz w:val="16"/>
                <w:szCs w:val="16"/>
                <w:color w:val="auto"/>
              </w:rPr>
            </w:pPr>
          </w:p>
        </w:tc>
        <w:tc>
          <w:tcPr>
            <w:tcW w:w="2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Phase 1: Advanced solid tumors as a</w:t>
            </w:r>
          </w:p>
        </w:tc>
        <w:tc>
          <w:tcPr>
            <w:tcW w:w="14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Data update in 2H</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IFN-α</w:t>
            </w:r>
          </w:p>
        </w:tc>
        <w:tc>
          <w:tcPr>
            <w:tcW w:w="2900" w:type="dxa"/>
            <w:vAlign w:val="bottom"/>
            <w:gridSpan w:val="2"/>
          </w:tcPr>
          <w:p>
            <w:pPr>
              <w:spacing w:after="0"/>
              <w:rPr>
                <w:sz w:val="20"/>
                <w:szCs w:val="20"/>
                <w:color w:val="auto"/>
              </w:rPr>
            </w:pPr>
            <w:r>
              <w:rPr>
                <w:rFonts w:ascii="Arial" w:cs="Arial" w:eastAsia="Arial" w:hAnsi="Arial"/>
                <w:sz w:val="18"/>
                <w:szCs w:val="18"/>
                <w:color w:val="auto"/>
                <w:w w:val="96"/>
              </w:rPr>
              <w:t>monotherapy and in combination with</w:t>
            </w:r>
          </w:p>
        </w:tc>
        <w:tc>
          <w:tcPr>
            <w:tcW w:w="1760" w:type="dxa"/>
            <w:vAlign w:val="bottom"/>
          </w:tcPr>
          <w:p>
            <w:pPr>
              <w:spacing w:after="0"/>
              <w:rPr>
                <w:sz w:val="20"/>
                <w:szCs w:val="20"/>
                <w:color w:val="auto"/>
              </w:rPr>
            </w:pPr>
            <w:r>
              <w:rPr>
                <w:rFonts w:ascii="Arial" w:cs="Arial" w:eastAsia="Arial" w:hAnsi="Arial"/>
                <w:sz w:val="18"/>
                <w:szCs w:val="18"/>
                <w:color w:val="auto"/>
              </w:rPr>
              <w:t>2020*</w:t>
            </w: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cemiplimab</w:t>
            </w:r>
          </w:p>
        </w:tc>
        <w:tc>
          <w:tcPr>
            <w:tcW w:w="1760" w:type="dxa"/>
            <w:vAlign w:val="bottom"/>
          </w:tcPr>
          <w:p>
            <w:pPr>
              <w:spacing w:after="0"/>
              <w:rPr>
                <w:sz w:val="20"/>
                <w:szCs w:val="20"/>
                <w:color w:val="auto"/>
              </w:rPr>
            </w:pPr>
          </w:p>
        </w:tc>
      </w:tr>
    </w:tbl>
    <w:p>
      <w:pPr>
        <w:spacing w:after="0" w:line="229"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 the trial is sponsored and conducted by Sanofi, the timing of data updates is not under our control, and is subject to change by Sanofi.</w:t>
      </w:r>
    </w:p>
    <w:p>
      <w:pPr>
        <w:spacing w:after="0" w:line="345" w:lineRule="exact"/>
        <w:rPr>
          <w:sz w:val="20"/>
          <w:szCs w:val="20"/>
          <w:color w:val="auto"/>
        </w:rPr>
      </w:pPr>
    </w:p>
    <w:p>
      <w:pPr>
        <w:ind w:left="1900" w:hanging="352"/>
        <w:spacing w:after="0"/>
        <w:tabs>
          <w:tab w:leader="none" w:pos="19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128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8970" cy="128968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Our Infectious Disease Vaccine Platform</w:t>
      </w:r>
    </w:p>
    <w:p>
      <w:pPr>
        <w:spacing w:after="0" w:line="127" w:lineRule="exact"/>
        <w:rPr>
          <w:sz w:val="20"/>
          <w:szCs w:val="20"/>
          <w:color w:val="auto"/>
        </w:rPr>
      </w:pPr>
    </w:p>
    <w:p>
      <w:pPr>
        <w:ind w:left="560" w:hanging="323"/>
        <w:spacing w:after="0"/>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mRNA-based vaccines targeting infectious disease pathogens.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Multiple.</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LNPs.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Collaborations with Pfizer and Fosun Pharma and exclusive option arrangement with Penn.</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Candidates: </w:t>
      </w:r>
      <w:r>
        <w:rPr>
          <w:rFonts w:ascii="Arial" w:cs="Arial" w:eastAsia="Arial" w:hAnsi="Arial"/>
          <w:sz w:val="18"/>
          <w:szCs w:val="18"/>
          <w:color w:val="auto"/>
        </w:rPr>
        <w:t>COVID-19 vaccine candidate BNT162; Influenza vaccine candidate BNT161.</w:t>
      </w:r>
    </w:p>
    <w:p>
      <w:pPr>
        <w:spacing w:after="0" w:line="29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Expanding beyond our research in oncology, we are leveraging our mRNA technologies to direct the immune system more effectively against infectious diseases. Our infectious disease vaccine candidates contain self-replicating or trans-replicating, modified mRNA-encoding antigens specific to a target pathogen, delivered in various LNP formulations in order to activate and direct T cells and B cells to fight the pathogen.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Vaccine</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In March 2020, we entered a strategic alliance with Fosun Pharma to advance a COVID-19 vaccine in China. In July 2020, we received notice of acceptance to begin our clinical trial for BNT162b1 in China. Upon regulatory approval, Fosun Pharma will commercialize the vaccine in China, while we retained the full rights to develop and commercialize the vaccine in the rest of the world. Also in March 2020, we and Pfizer began collaborating to co-develop our potential first-in-class COVID-19 mRNA vaccine program, BNT162 aimed at preventing COVID-19. We and Pfizer are jointly conducting clinical trials for the COVID-19 vaccine candidates initially in the United States and Europe across multiple sites. We are currently developing four potential candidates utilizing multiple different mRNA formats as part of this program. In late April 2020, we and Pfizer announced that the German regulatory authority, the Paul-Ehrlich-Institut, approved the Phase 1/2 clinical trial and the first cohort of our Phase 1/2 clinical</w:t>
      </w:r>
    </w:p>
    <w:p>
      <w:pPr>
        <w:spacing w:after="0" w:line="2" w:lineRule="exact"/>
        <w:rPr>
          <w:sz w:val="20"/>
          <w:szCs w:val="20"/>
          <w:color w:val="auto"/>
        </w:rPr>
      </w:pPr>
    </w:p>
    <w:p>
      <w:pPr>
        <w:ind w:left="120" w:right="260"/>
        <w:spacing w:after="0" w:line="277" w:lineRule="auto"/>
        <w:rPr>
          <w:sz w:val="20"/>
          <w:szCs w:val="20"/>
          <w:color w:val="auto"/>
        </w:rPr>
      </w:pPr>
      <w:r>
        <w:rPr>
          <w:rFonts w:ascii="Arial" w:cs="Arial" w:eastAsia="Arial" w:hAnsi="Arial"/>
          <w:sz w:val="17"/>
          <w:szCs w:val="17"/>
          <w:color w:val="auto"/>
        </w:rPr>
        <w:t>trial were dosed shortly thereafter. In early May 2020, Pfizer and we initiated a clinical trial for BNT162 in the United States and the first participants were dosed shortly thereafter. We initiated the BNT162 program in late January 2020 in response to the global COVID-19 pandemic, and initiated human testing following preclinical studies and within approximately three months of initiating the research program.</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the clinical development stage, we and our partners will provide clinical supply of the vaccine from our GMP-certified mRNA manufacturing facilities in Europe. We and Pfizer are working together to scale-up manufacturing capacity at risk to provide worldwide supply in response to the pandemic. If the vaccine candidate is approved, we and Pfizer will also work jointly to commercialize the vaccine worldwide (excluding China which is covered by a collaboration with Fosun Pharma). If the vaccine candidate is approved, we and Pfizer expect to manufacture up to 100 million doses by the end of 2020 and potentially more than 1.3 billion doses by the end of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July 2020 Data Announcements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July 1, 2020, we and Pfizer announced preliminary data from our ongoing U.S. Phase 1/2 trial of BNT162b1. The initial part of this randomized, placebo-controlled, observer-blinded study is evaluating the safety, tolerability and immunogenicity of escalating dose levels of BNT162b1, one of four vaccine candidate variants in development as part of our BNT162 program, in 45 healthy adults between 18 and 55 years of age.</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participants received two doses, 21 days apart, of placebo, 10µg or 30µg of BNT162b1, or received a single dose of 100µg of the vaccine candidate. Because of a strong vaccine booster effect, the highest neutralizing titers were observed seven days after the second dose of 10µg or 30µg on day 28 after vaccination. The neutralizing GMTs were 168 and 267 for the 10µg and 30µg dose levels, respectively, corresponding to 1.8- and 2.8-times the neutralizing GMT of 94 observed in a panel of 38 sera from subjects who had contracted SARS-CoV-2.</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all 24 subjects who received 2 vaccinations at 10µg and 30µg dose levels of BNT162b1, elevation of RBD-binding IgG concentrations was observed after the second injection with respective GMCs of 4,813 and 27,872 units/ml at day 28, seven days after immunization. These concentrations are 8- and 46.3-times the GMC of 602 units/ml in a panel of 38 sera from subjects who had contracted SARS-CoV-2.</w:t>
      </w:r>
    </w:p>
    <w:p>
      <w:pPr>
        <w:spacing w:after="0" w:line="16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At day 21 after a single injection, the 12 subjects who received 100µg of BNT162b1 had an RBD-binding IgG GMC of 1,778 units/ml and a SARS-CoV neutralizing GMT of 33, which are 3-times and 0.35-times, respectively, the GMC and GMT of the convalescent serum panel.</w:t>
      </w:r>
    </w:p>
    <w:p>
      <w:pPr>
        <w:spacing w:after="0" w:line="124"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At the 10µg or 30µg dose levels, adverse reactions, including low grade fever, were more common after the second dose than the first dose. Following dose 2, 8.3% of participants who received 10µg and 75.0% of participants who received 30µg BNT162b1 reported fever ³ 38.0 °C. Local reactions and systemic events after injection with 10µg and 30µg of BNT162b1 were dose-dependent, generally mild to moderate, and transient. The most commonly reported local reaction was injection site pain, which was mild to moderate, except in one of 12 subjects who received a 100µg dose, which was severe. No serious adverse events were reported. Given higher numbers of subjects experiencing local reactions and systemic events after a single 100µg dose with no significant increases in immunogenicity compared to the 30µg dose level, the 12 participants in the 100µg group were not administered a second dose.</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20, 2020, we and Pfizer announced preliminary data from our ongoing German Phase 1/2 trial of BNT162b1. The initial part of this open-label, non-randomized, non-placebo-controlled study is evaluating the safety, tolerability and immunogenicity of escalating dose levels of BNT162b1, one of four vaccine candidate variants in development as part of our BNT162 program, in 60 healthy adults, between 18 and 55 years of age. The preliminary data we reported was from 12 subjects each who received two doses of 1µg, 10µg, 30µg and 50µg (except for one individual each in the 10µg and 50µg who discontinued due to non-study drug related reasons) and 12 subjects who received a single dose of 60µg. The two doses received by the participants were given 21 days apart.</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34 of the 36 subjects who received two vaccinations at 10µg, 30µg, or 50µg dose levels of BNT162b1, RBD-specific CD4+ T cell responses were observed. All subjects but the two exceptions at the lowest dose level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had cytokine profiling of the RBD-specific CD4+ T cells that demonstrated a TH1-dominant profile for these cells. While the magnitude varied between individuals, participants with the strongest CD4+ T cell responses to RBD had more than 10-fold of the memory responses observed in the same participants when stimulated with cytomegalovirus (CMV), Epstein Barr virus (EBV), influenza virus and tetanus toxoid-derived immuno- dominant peptide panels. The strength of RBD-specific CD4+ T cell responses correlated positively with both RBD-binding IgG and with SARS-CoV-2 neutralizing antibody titers. Among vaccine-induced CD8+ T cell responses, which were observed in 29 of 36 participants, strong responses were mounted by the majority of participants and were comparable with memory responses against CMV, EBV, influenza virus and tetanus toxoid in the same participants. The strength of RBD-specific CD8+ T cell responses correlated positively with vaccine- induced CD4+ T cell responses, but did not significantly correlate with SARS-CoV-2 neutralizing antibody titers. Additionally, although at 1µg the immunogenicity rate was lower (6 of 8 responding participants), the magnitude of vaccine-induced CD4+ and CD8+ T cells in some participants was almost as high as with 50µg BNT162b1.</w:t>
      </w:r>
    </w:p>
    <w:p>
      <w:pPr>
        <w:spacing w:after="0" w:line="16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Elevation of SARS-CoV-2 RBD-binding IgG concentrations was observed, with respective GMCs ranging from 265 units/ml to 1,672 units/ml at day 21. At day 29, seven days after the second dose, RBD-binding IgG GMCs ranged from 2,015 units/ml to 25,006 units/ml. At day 43, RBD-binding IgG GMCs ranged from 3,920 units/ml to 18,289 units/ml. These concentrations are 6.5- to 30.4-times the GMC of 602 units/ml in a panel of sera from 38 subjects who had contracted SARS-CoV-2. At day 29, the SARS-CoV-2 neutralizing GMTs reached 36 (1µg dose), 158 (10µg dose), 308 (30µg dose) and 578 (50µg dose) compared to neutralizing GMT of 94 observed in the convalescent serum panel. At day 43, SARS-CoV-2 neutralizing GMTs reached .7-fold (1µg dose) to 3.2-fold (50µg dose) compared to those of a panel of SARS-CoV-2 infection convalescent human sera. Furthermore, sera of vaccinated subjects displayed broadly neutralizing activity in pseudovirus neutralization assays across a panel of sixteen SARS-CoV-2 RBD variants represented in publicly available SARS-CoV-2 sequences and against the newly dominant D614G strain. In summary, antibody responses elicited by BNT162b1 in our German clinical trial largely mirrored those observed in our U.S. clinical trial.</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At the 10µg, 30µg and 50µg dose levels, certain adverse reactions, including low grade fever, were more common after the second dose than the first dose. Following the second dose, 25.0%, 25.0% and 33.3% of participants who received the 10µg, 30µg and 50µg doses, respectively reported fever of at least 38.0 degrees Celsius. Local reactions and systemic events after injection with 10µg, 30µg and 50µg of BNT162b1 were dose-dependent, generally mild to moderate and transient, with occasional severe events (grade 3) of flu-like symptoms and injection site reactions. The most commonly reported local reaction was injection site pain, which was mild to moderate, except in one of 12 subjects who received a 60µg dose, which was severe. No serious adverse events were reported, and there were no withdrawals due to adverse events related to the vaccine. Based on the adverse reactions reported after the 50µg boost dose, a second 60µg dose was not administered to participants who had received an initial 60µg dose.</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additional information on these preliminary results, please review our reports on Form 6-K filed with the SEC on July 1, 2020 and July 20, 2020 and incorporated by reference herein.</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Based on preclinical and clinical data observed to-date, we and Pfizer have decided to progress our BNT162 development program into a Phase 2b/3 trial, which is anticipated to commence in late July 2020, subject to input and approval from the appropriate regulatory bodies. For the initial Phase 2b/3 trial, we intend to select either BNT162b1 or BNT162b2. Both the BNT162b1 and the BNT162b2 vaccine candidates have received Fast Track status from the FDA. Since clinical evaluation of the BNT162b2 candidate started several weeks later than BNT162b1, only preliminary clinical data are currently available for the BNT162b2 candidate. A set of data obtained for a cohort of subjects 18-55 years of age immunized with 10µg of BNT162b2 indicates that BNT162b2 induces similar virus neutralizing antibody responses as observed for BNT162b1. The preliminary 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inform the FDA of our selection of the BNT162 candidate variant before the closing of this offering. Based on clinical data from our ongoing Phase 1/2 trials of BNT162b1 in the United States and Germany, BNT162b1 appears to be a viable variant to advance into a Phase 2b/3 trial. However, given that additional information relating to BNT162b2 is becoming available over the next few days, we and Pfizer plan to make the ultimate decision on the final candidate based on multiple factors, including the overall observed safety, tolerability and immunogenicity profiles for each vaccine candidate at different dose levels, a full immunogenicity data set and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likely will not publish any data with respect to the BNT162b2 variant before we make our selection.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Influenza Vaccine</w:t>
      </w:r>
    </w:p>
    <w:p>
      <w:pPr>
        <w:spacing w:after="0" w:line="117"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We are collaborating with Pfizer to develop an influenza vaccine using our mRNA-based immunotherapy technology. Current influenza vaccines consist of antigens from inactivated influenza viruses, recombinant influenza haemagglutinin, or HA, proteins or live attenuated influenza viruses and are available as trivalent (containing two influenza A strains and one influenza B strain) or quadrivalent (containing two influenza A strains and two influenza B strains) vaccines. Currently available influenza vaccines are produced in chicken eggs or cell culture and take about five to six months to produce. This requires the composition of the coming</w:t>
      </w:r>
    </w:p>
    <w:p>
      <w:pPr>
        <w:spacing w:after="0" w:line="3"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season’s vaccine to be selected by the World Health Organization, or WHO, far in advance for the vaccine to be available on time, which reduces the reliability of that prediction.</w:t>
      </w:r>
    </w:p>
    <w:p>
      <w:pPr>
        <w:spacing w:after="0" w:line="18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anticipate that our mRNA-based vaccines can be manufactured within three months from the time the recommendation is published, including cloning and production and therefore the WHO’s review of the vaccine components can occur closer to the influenza season to obtain a more reliable prediction. In addition, the mRNA manufacturing process is designed to produce an HA vaccine antigen that matches the HA of circulating influenza strains, in contrast to egg- or cell-based processes which can introduce mutations in the HA amino acid sequence. The flexibility of the mRNA vaccine platform could allow for generation of vaccines against genetically drifted seasonal viruses or pandemic strains. We and Pfizer have moved the anticipated Phase 1 start for our mRNA flu vaccine program to 2021 due to the prioritization of our COVID-19 vaccine development efforts.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October 2018, we entered into a research collaboration with Penn, under which we have the exclusive option to develop and commercialize prophylactic mRNA immunotherapies for the treatment of up to 10 infectious disease indications. We expect to report our first product candidates under this collaboration, and advance our first product candidate into the clinic, in the first half of 2021.</w:t>
      </w:r>
    </w:p>
    <w:p>
      <w:pPr>
        <w:spacing w:after="0" w:line="184"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00" w:hanging="352"/>
        <w:spacing w:after="0"/>
        <w:tabs>
          <w:tab w:leader="none" w:pos="190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mRNA-based Protein Replacement Platform for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1912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19126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Protein Replacement Platform for Rare Diseases</w:t>
      </w:r>
    </w:p>
    <w:p>
      <w:pPr>
        <w:spacing w:after="0" w:line="127" w:lineRule="exact"/>
        <w:rPr>
          <w:sz w:val="20"/>
          <w:szCs w:val="20"/>
          <w:color w:val="auto"/>
        </w:rPr>
      </w:pPr>
    </w:p>
    <w:p>
      <w:pPr>
        <w:ind w:left="540" w:hanging="316"/>
        <w:spacing w:after="0"/>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Therapeutic proteins encoded by mRNA and produced in the patient as an alternative to recombinant protein replacement.</w:t>
      </w:r>
    </w:p>
    <w:p>
      <w:pPr>
        <w:spacing w:after="0" w:line="142" w:lineRule="exact"/>
        <w:rPr>
          <w:rFonts w:ascii="Arial" w:cs="Arial" w:eastAsia="Arial" w:hAnsi="Arial"/>
          <w:sz w:val="17"/>
          <w:szCs w:val="17"/>
          <w:color w:val="auto"/>
        </w:rPr>
      </w:pPr>
    </w:p>
    <w:p>
      <w:pPr>
        <w:ind w:left="540" w:right="420" w:hanging="316"/>
        <w:spacing w:after="0" w:line="282"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deimmunized to avoid immune activation in order to allow for translation of the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protein in the cells.</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Liver-targeting LNPs.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Genevant.</w:t>
      </w:r>
    </w:p>
    <w:p>
      <w:pPr>
        <w:spacing w:after="0" w:line="28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By incorporating modified nucleosides into our mRNA, we are able to reduce the immunogenicity of our product candidates, thereby allowing their use for therapeutic protein production. In addition, we utilize advanced mRNA delivery methods to protect the mRNA cargo </w:t>
      </w:r>
      <w:r>
        <w:rPr>
          <w:rFonts w:ascii="Arial" w:cs="Arial" w:eastAsia="Arial" w:hAnsi="Arial"/>
          <w:sz w:val="16"/>
          <w:szCs w:val="16"/>
          <w:i w:val="1"/>
          <w:iCs w:val="1"/>
          <w:color w:val="auto"/>
        </w:rPr>
        <w:t>en route</w:t>
      </w:r>
      <w:r>
        <w:rPr>
          <w:rFonts w:ascii="Arial" w:cs="Arial" w:eastAsia="Arial" w:hAnsi="Arial"/>
          <w:sz w:val="16"/>
          <w:szCs w:val="16"/>
          <w:color w:val="auto"/>
        </w:rPr>
        <w:t xml:space="preserve"> to its target and promote its uptake into liver cells. Current protein-based replacement therapies were developed to treat rare diseases by administering recombinant proteins. Such therapies are limited to diseases where the missing protein function is extracellular. However, mRNA-based protein replacement therapy also has the potential to treat illnesses with intracellular protein defects, as long as the mRNA can be delivered into the affected cells.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mRNA-based protein replacement therapy features:</w:t>
      </w:r>
    </w:p>
    <w:p>
      <w:pPr>
        <w:spacing w:after="0" w:line="127" w:lineRule="exact"/>
        <w:rPr>
          <w:sz w:val="20"/>
          <w:szCs w:val="20"/>
          <w:color w:val="auto"/>
        </w:rPr>
      </w:pPr>
    </w:p>
    <w:p>
      <w:pPr>
        <w:ind w:left="1080" w:right="220" w:hanging="424"/>
        <w:spacing w:after="0" w:line="282"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Nucleoside-modified mRNA. </w:t>
      </w:r>
      <w:r>
        <w:rPr>
          <w:rFonts w:ascii="Arial" w:cs="Arial" w:eastAsia="Arial" w:hAnsi="Arial"/>
          <w:sz w:val="18"/>
          <w:szCs w:val="18"/>
          <w:color w:val="auto"/>
        </w:rPr>
        <w:t>Replacing uridines in mRNA with modified analogues is important to avoid immune activation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provoke anti-drug antibody production and would limit efficacy of the treatment.</w:t>
      </w:r>
    </w:p>
    <w:p>
      <w:pPr>
        <w:spacing w:after="0" w:line="67" w:lineRule="exact"/>
        <w:rPr>
          <w:rFonts w:ascii="Arial" w:cs="Arial" w:eastAsia="Arial" w:hAnsi="Arial"/>
          <w:sz w:val="18"/>
          <w:szCs w:val="18"/>
          <w:color w:val="auto"/>
        </w:rPr>
      </w:pPr>
    </w:p>
    <w:p>
      <w:pPr>
        <w:ind w:left="1080" w:right="220" w:hanging="424"/>
        <w:spacing w:after="0" w:line="266"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mRNA encoding therapeutic proteins are formulated into LNPs using in-licensed clinically-validated LNP</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technology owned by Genevant. The mRNA-loaded LNPs are less than 100nm in size. When injected intravenously, these particles are selectively taken up by hepatocytes, the major cell component of the liver.</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320" w:top="459" w:right="5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510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510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mRNA-based protein replacement technology. </w:t>
      </w:r>
      <w:r>
        <w:rPr>
          <w:rFonts w:ascii="Arial" w:cs="Arial" w:eastAsia="Arial" w:hAnsi="Arial"/>
          <w:sz w:val="14"/>
          <w:szCs w:val="14"/>
          <w:color w:val="auto"/>
        </w:rPr>
        <w:t>The illustration above depicts our mRNA-based protein replacement process for the treatment of rare diseases.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protein replacement technology is designed for the treatment of:</w:t>
      </w:r>
    </w:p>
    <w:p>
      <w:pPr>
        <w:spacing w:after="0" w:line="13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Genetic disorders that manifest due to a missing or defective protein, where mRNA would need to be administered regularly for a lifetime.</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Acute diseases caused by transient depletion of a protein, such as a hormone, where treatment of such diseases with a single or a few doses of the encoding mRNA could be curative.</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Therapeutic proteins encoded by the mRNA can either act intracellularly or be secreted and act extracellularly, in order to produce the desired therapeutic effect.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mRNA-based protein replacement technology has several advantages over recombinant proteins:</w:t>
      </w:r>
    </w:p>
    <w:p>
      <w:pPr>
        <w:spacing w:after="0" w:line="127" w:lineRule="exact"/>
        <w:rPr>
          <w:sz w:val="20"/>
          <w:szCs w:val="20"/>
          <w:color w:val="auto"/>
        </w:rPr>
      </w:pPr>
    </w:p>
    <w:p>
      <w:pPr>
        <w:ind w:left="1080" w:right="60" w:hanging="424"/>
        <w:spacing w:after="0" w:line="289"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No need to develop a procedure for protein purification. </w:t>
      </w:r>
      <w:r>
        <w:rPr>
          <w:rFonts w:ascii="Arial" w:cs="Arial" w:eastAsia="Arial" w:hAnsi="Arial"/>
          <w:sz w:val="17"/>
          <w:szCs w:val="17"/>
          <w:color w:val="auto"/>
        </w:rPr>
        <w:t>The development of recombinant proteins is a laborious and expensive</w:t>
      </w:r>
      <w:r>
        <w:rPr>
          <w:rFonts w:ascii="Arial" w:cs="Arial" w:eastAsia="Arial" w:hAnsi="Arial"/>
          <w:sz w:val="17"/>
          <w:szCs w:val="17"/>
          <w:b w:val="1"/>
          <w:bCs w:val="1"/>
          <w:color w:val="auto"/>
        </w:rPr>
        <w:t xml:space="preserve"> </w:t>
      </w:r>
      <w:r>
        <w:rPr>
          <w:rFonts w:ascii="Arial" w:cs="Arial" w:eastAsia="Arial" w:hAnsi="Arial"/>
          <w:sz w:val="17"/>
          <w:szCs w:val="17"/>
          <w:color w:val="auto"/>
        </w:rPr>
        <w:t>procedure due to the requirement for a unique purification protocol for each protein. During mRNA-based protein replacement the protein is produced by the patient, which we believe avoids the need for purification and also accelerates drug development.</w:t>
      </w:r>
    </w:p>
    <w:p>
      <w:pPr>
        <w:spacing w:after="0" w:line="63" w:lineRule="exact"/>
        <w:rPr>
          <w:rFonts w:ascii="Arial" w:cs="Arial" w:eastAsia="Arial" w:hAnsi="Arial"/>
          <w:sz w:val="17"/>
          <w:szCs w:val="17"/>
          <w:color w:val="auto"/>
        </w:rPr>
      </w:pPr>
    </w:p>
    <w:p>
      <w:pPr>
        <w:ind w:left="1080" w:right="380" w:hanging="424"/>
        <w:spacing w:after="0" w:line="266"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The protein has proper post-translational modification. </w:t>
      </w:r>
      <w:r>
        <w:rPr>
          <w:rFonts w:ascii="Arial" w:cs="Arial" w:eastAsia="Arial" w:hAnsi="Arial"/>
          <w:sz w:val="18"/>
          <w:szCs w:val="18"/>
          <w:color w:val="auto"/>
        </w:rPr>
        <w:t>To function properly, most recombinant proteins need to be modified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synthesis. Proteins produced in patients from mRNA are more likely to obtain the correct modifications than recombinant proteins produced in cultured bacterial or mammalian cells.</w:t>
      </w:r>
    </w:p>
    <w:p>
      <w:pPr>
        <w:sectPr>
          <w:pgSz w:w="11900" w:h="16838" w:orient="portrait"/>
          <w:cols w:equalWidth="0" w:num="1">
            <w:col w:w="11100"/>
          </w:cols>
          <w:pgMar w:left="320" w:top="459" w:right="479" w:bottom="1440" w:gutter="0" w:footer="0" w:header="0"/>
        </w:sectPr>
      </w:pP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00"/>
          </w:cols>
          <w:pgMar w:left="320" w:top="459" w:right="47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66"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Continuous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supply of encoded protein. </w:t>
      </w:r>
      <w:r>
        <w:rPr>
          <w:rFonts w:ascii="Arial" w:cs="Arial" w:eastAsia="Arial" w:hAnsi="Arial"/>
          <w:sz w:val="18"/>
          <w:szCs w:val="18"/>
          <w:color w:val="auto"/>
        </w:rPr>
        <w:t>Recombinant proteins, especially those with short half-lives, can be cleared from the body</w:t>
      </w:r>
      <w:r>
        <w:rPr>
          <w:rFonts w:ascii="Arial" w:cs="Arial" w:eastAsia="Arial" w:hAnsi="Arial"/>
          <w:sz w:val="18"/>
          <w:szCs w:val="18"/>
          <w:b w:val="1"/>
          <w:bCs w:val="1"/>
          <w:color w:val="auto"/>
        </w:rPr>
        <w:t xml:space="preserve"> </w:t>
      </w:r>
      <w:r>
        <w:rPr>
          <w:rFonts w:ascii="Arial" w:cs="Arial" w:eastAsia="Arial" w:hAnsi="Arial"/>
          <w:sz w:val="18"/>
          <w:szCs w:val="18"/>
          <w:color w:val="auto"/>
        </w:rPr>
        <w:t>very quickly, thereby limiting therapeutic effect. During mRNA-based therapy, the encoded therapeutic protein is produced for a longer duration (</w:t>
      </w:r>
      <w:r>
        <w:rPr>
          <w:rFonts w:ascii="Arial" w:cs="Arial" w:eastAsia="Arial" w:hAnsi="Arial"/>
          <w:sz w:val="18"/>
          <w:szCs w:val="18"/>
          <w:i w:val="1"/>
          <w:iCs w:val="1"/>
          <w:color w:val="auto"/>
        </w:rPr>
        <w:t>e.g</w:t>
      </w:r>
      <w:r>
        <w:rPr>
          <w:rFonts w:ascii="Arial" w:cs="Arial" w:eastAsia="Arial" w:hAnsi="Arial"/>
          <w:sz w:val="18"/>
          <w:szCs w:val="18"/>
          <w:color w:val="auto"/>
        </w:rPr>
        <w:t>., 10-14 days).</w:t>
      </w:r>
    </w:p>
    <w:p>
      <w:pPr>
        <w:spacing w:after="0" w:line="81" w:lineRule="exact"/>
        <w:rPr>
          <w:rFonts w:ascii="Arial" w:cs="Arial" w:eastAsia="Arial" w:hAnsi="Arial"/>
          <w:sz w:val="18"/>
          <w:szCs w:val="18"/>
          <w:color w:val="auto"/>
        </w:rPr>
      </w:pPr>
    </w:p>
    <w:p>
      <w:pPr>
        <w:ind w:left="1080" w:right="20" w:hanging="424"/>
        <w:spacing w:after="0" w:line="266"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Production of intracellular proteins. </w:t>
      </w:r>
      <w:r>
        <w:rPr>
          <w:rFonts w:ascii="Arial" w:cs="Arial" w:eastAsia="Arial" w:hAnsi="Arial"/>
          <w:sz w:val="18"/>
          <w:szCs w:val="18"/>
          <w:color w:val="auto"/>
        </w:rPr>
        <w:t>Recombinant proteins have limited intracellular therapeutic effects. In contrast, proteins encoded by</w:t>
      </w:r>
      <w:r>
        <w:rPr>
          <w:rFonts w:ascii="Arial" w:cs="Arial" w:eastAsia="Arial" w:hAnsi="Arial"/>
          <w:sz w:val="18"/>
          <w:szCs w:val="18"/>
          <w:b w:val="1"/>
          <w:bCs w:val="1"/>
          <w:color w:val="auto"/>
        </w:rPr>
        <w:t xml:space="preserve"> </w:t>
      </w:r>
      <w:r>
        <w:rPr>
          <w:rFonts w:ascii="Arial" w:cs="Arial" w:eastAsia="Arial" w:hAnsi="Arial"/>
          <w:sz w:val="18"/>
          <w:szCs w:val="18"/>
          <w:color w:val="auto"/>
        </w:rPr>
        <w:t>mRNA can reach any cellular compartment and potentially help to cure diseases where the therapeutic protein needs to function in different subcellular locations, including the mitochondria, nucleus or cell membrane.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Protein Replacement Development Plan in Rare Diseases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initiate our first rare disease clinical trial in the second half of 2021.</w:t>
      </w:r>
    </w:p>
    <w:p>
      <w:pPr>
        <w:spacing w:after="0" w:line="333" w:lineRule="exact"/>
        <w:rPr>
          <w:sz w:val="20"/>
          <w:szCs w:val="20"/>
          <w:color w:val="auto"/>
        </w:rPr>
      </w:pPr>
    </w:p>
    <w:p>
      <w:pPr>
        <w:ind w:left="1900" w:hanging="352"/>
        <w:spacing w:after="0"/>
        <w:tabs>
          <w:tab w:leader="none" w:pos="190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543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54305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RiboMab Platform</w:t>
      </w:r>
    </w:p>
    <w:p>
      <w:pPr>
        <w:spacing w:after="0" w:line="127" w:lineRule="exact"/>
        <w:rPr>
          <w:sz w:val="20"/>
          <w:szCs w:val="20"/>
          <w:color w:val="auto"/>
        </w:rPr>
      </w:pPr>
    </w:p>
    <w:p>
      <w:pPr>
        <w:ind w:left="540" w:hanging="316"/>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Antibodies encoded by mRNA and produced in the patient as an alternative to recombinant antibodies.</w:t>
      </w:r>
    </w:p>
    <w:p>
      <w:pPr>
        <w:spacing w:after="0" w:line="130" w:lineRule="exact"/>
        <w:rPr>
          <w:rFonts w:ascii="Arial" w:cs="Arial" w:eastAsia="Arial" w:hAnsi="Arial"/>
          <w:sz w:val="18"/>
          <w:szCs w:val="18"/>
          <w:color w:val="auto"/>
        </w:rPr>
      </w:pPr>
    </w:p>
    <w:p>
      <w:pPr>
        <w:ind w:left="540" w:right="120" w:hanging="316"/>
        <w:spacing w:after="0" w:line="282"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antibodies to occur within the cells.</w:t>
      </w:r>
    </w:p>
    <w:p>
      <w:pPr>
        <w:spacing w:after="0" w:line="67" w:lineRule="exact"/>
        <w:rPr>
          <w:rFonts w:ascii="Arial" w:cs="Arial" w:eastAsia="Arial" w:hAnsi="Arial"/>
          <w:sz w:val="18"/>
          <w:szCs w:val="18"/>
          <w:color w:val="auto"/>
        </w:rPr>
      </w:pPr>
    </w:p>
    <w:p>
      <w:pPr>
        <w:ind w:left="540" w:right="120" w:hanging="316"/>
        <w:spacing w:after="0" w:line="282"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antibody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BNT141 in multiple solid tumors.</w:t>
      </w:r>
    </w:p>
    <w:p>
      <w:pPr>
        <w:spacing w:after="0" w:line="283"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Our RiboMab product candidates are designed to encode secreted antibodies for expression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by the patient’s cells. We believe our RiboMab technology represents the next generation of antibody-based drugs. Antibody drugs are a leading class of biologics for the treatment of various diseases, but have a number of limitations. The development of antibodies is currently challenged by demanding and costly procedures of production, purification and formulation of a recombinant protein, which we believe hampers the rapid development and clinical testing of new drugs in this class. Recombinant protein antibodies require development of a cell line, establishment and adaptation of processes for production, purification and analytical testing. The whole process typically takes 18 to 30 months to optimize, scale-up and produce first clinical batches. Some of these antibodies are produced in low yields making them unsuitable for therapeutic application.</w:t>
      </w:r>
    </w:p>
    <w:p>
      <w:pPr>
        <w:spacing w:after="0" w:line="17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By contrast, mRNA not only involves a simpler and less expensive manufacturing process, but also is effective in much lower volumes than are required to produce similar effects using recombinant proteins. RiboMabs provide an antibody’s mRNA sequence, and the body does the production work itself. This simplicity is designed to allow for both shorter development times and a greater diversity of druggable targets. For efficient RiboMab production, the encoding mRNA is encapsulated in LNPs that deliver the mRNA to the liver cells. For cancer treatment, we focus on tumor-associated antigens to keep adverse effects for the patients as low as possible. We believe we can integrate any antibody sequence in our RiboMab-encoding mRNA.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demonstrated the feasibility of our RiboMab technology for a variety of antibody formats, such as full immunoglobulins (Ig), primarily IgG, or different bispecific antibody variants, all of which engage the patient’s own immune cells to eradicate antigen-positive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567690</wp:posOffset>
            </wp:positionV>
            <wp:extent cx="6995160" cy="4989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498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line="232" w:lineRule="auto"/>
        <w:rPr>
          <w:sz w:val="20"/>
          <w:szCs w:val="20"/>
          <w:color w:val="auto"/>
        </w:rPr>
      </w:pPr>
      <w:r>
        <w:rPr>
          <w:rFonts w:ascii="Arial" w:cs="Arial" w:eastAsia="Arial" w:hAnsi="Arial"/>
          <w:sz w:val="14"/>
          <w:szCs w:val="14"/>
          <w:b w:val="1"/>
          <w:bCs w:val="1"/>
          <w:color w:val="auto"/>
        </w:rPr>
        <w:t xml:space="preserve">Our RiboMab technology. </w:t>
      </w:r>
      <w:r>
        <w:rPr>
          <w:rFonts w:ascii="Arial" w:cs="Arial" w:eastAsia="Arial" w:hAnsi="Arial"/>
          <w:sz w:val="14"/>
          <w:szCs w:val="14"/>
          <w:color w:val="auto"/>
        </w:rPr>
        <w:t>The figure above depicts the structure of</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transcribed (IVT) IgG and bi-(scFv)2 RiboMabs. IVT-mRNA encoding the therapeutic antibody is encapsulated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 LNPs and injected intravenously into patients. The mRNA is delivered to the liver where it is translated into antibodies and secreted into the blood stream. Abbreviations: A100, poly adenosine tail; bi-(scFv)2, bispecific single chain variable fragment; C, C-terminus; CH, constant heavy domain; CL, constant light domain; IgG, immunoglobulin G; IVT,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transcribed; L, linker; LNP, lipid nanoparticles; m1y, 1-methylpseudouridine; N, N-terminus; TAA, tumor-associated antigen; VH, variable heavy domain; VL, variable light domain; UTR, untranslated region.</w:t>
      </w:r>
    </w:p>
    <w:p>
      <w:pPr>
        <w:spacing w:after="0" w:line="18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our broad portfolio of antibody formats will enable us to produce mRNAs encoding the appropriate antibody format for the individual patient’s medical need and the desired treatment regimen (</w:t>
      </w:r>
      <w:r>
        <w:rPr>
          <w:rFonts w:ascii="Arial" w:cs="Arial" w:eastAsia="Arial" w:hAnsi="Arial"/>
          <w:sz w:val="18"/>
          <w:szCs w:val="18"/>
          <w:i w:val="1"/>
          <w:iCs w:val="1"/>
          <w:color w:val="auto"/>
        </w:rPr>
        <w:t>e.g.,</w:t>
      </w:r>
      <w:r>
        <w:rPr>
          <w:rFonts w:ascii="Arial" w:cs="Arial" w:eastAsia="Arial" w:hAnsi="Arial"/>
          <w:sz w:val="18"/>
          <w:szCs w:val="18"/>
          <w:color w:val="auto"/>
        </w:rPr>
        <w:t xml:space="preserve"> monotherapy or combination therapy).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RiboMab Development Plan</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Our first development candidate, BNT141, is an IgG antibody, which we expect to enter the clinic in the first half of 2021 in a basket trial targeting multiple solid tumor types. We are also currently evaluating multiple additional RiboMab development candidates in the preclinical setting, including RiboMabs encoding bispecific antibodies, one of which, BNT142, we expect to enter the clinic in the first half of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2640" w:type="dxa"/>
            <w:vAlign w:val="bottom"/>
          </w:tcPr>
          <w:p>
            <w:pPr>
              <w:ind w:left="1120"/>
              <w:spacing w:after="0"/>
              <w:rPr>
                <w:sz w:val="20"/>
                <w:szCs w:val="20"/>
                <w:color w:val="auto"/>
              </w:rPr>
            </w:pPr>
            <w:r>
              <w:rPr>
                <w:rFonts w:ascii="Arial" w:cs="Arial" w:eastAsia="Arial" w:hAnsi="Arial"/>
                <w:sz w:val="14"/>
                <w:szCs w:val="14"/>
                <w:b w:val="1"/>
                <w:bCs w:val="1"/>
                <w:color w:val="auto"/>
              </w:rPr>
              <w:t>Target</w:t>
            </w:r>
          </w:p>
        </w:tc>
        <w:tc>
          <w:tcPr>
            <w:tcW w:w="220" w:type="dxa"/>
            <w:vAlign w:val="bottom"/>
          </w:tcPr>
          <w:p>
            <w:pPr>
              <w:spacing w:after="0"/>
              <w:rPr>
                <w:sz w:val="16"/>
                <w:szCs w:val="16"/>
                <w:color w:val="auto"/>
              </w:rPr>
            </w:pPr>
          </w:p>
        </w:tc>
        <w:tc>
          <w:tcPr>
            <w:tcW w:w="2620" w:type="dxa"/>
            <w:vAlign w:val="bottom"/>
          </w:tcPr>
          <w:p>
            <w:pPr>
              <w:jc w:val="right"/>
              <w:ind w:right="639"/>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2200" w:type="dxa"/>
            <w:vAlign w:val="bottom"/>
          </w:tcPr>
          <w:p>
            <w:pPr>
              <w:ind w:left="3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BNT141</w:t>
            </w:r>
          </w:p>
        </w:tc>
        <w:tc>
          <w:tcPr>
            <w:tcW w:w="2540" w:type="dxa"/>
            <w:vAlign w:val="bottom"/>
          </w:tcPr>
          <w:p>
            <w:pPr>
              <w:ind w:left="40"/>
              <w:spacing w:after="0" w:line="189" w:lineRule="exact"/>
              <w:rPr>
                <w:sz w:val="20"/>
                <w:szCs w:val="20"/>
                <w:color w:val="auto"/>
              </w:rPr>
            </w:pPr>
            <w:r>
              <w:rPr>
                <w:rFonts w:ascii="Arial" w:cs="Arial" w:eastAsia="Arial" w:hAnsi="Arial"/>
                <w:sz w:val="18"/>
                <w:szCs w:val="18"/>
                <w:color w:val="auto"/>
              </w:rPr>
              <w:t>(monospecific)</w:t>
            </w: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Undisclosed</w:t>
            </w:r>
          </w:p>
        </w:tc>
        <w:tc>
          <w:tcPr>
            <w:tcW w:w="220" w:type="dxa"/>
            <w:vAlign w:val="bottom"/>
          </w:tcPr>
          <w:p>
            <w:pPr>
              <w:spacing w:after="0"/>
              <w:rPr>
                <w:sz w:val="16"/>
                <w:szCs w:val="16"/>
                <w:color w:val="auto"/>
              </w:rPr>
            </w:pPr>
          </w:p>
        </w:tc>
        <w:tc>
          <w:tcPr>
            <w:tcW w:w="2620" w:type="dxa"/>
            <w:vAlign w:val="bottom"/>
            <w:tcBorders>
              <w:top w:val="single" w:sz="8" w:color="auto"/>
            </w:tcBorders>
          </w:tcPr>
          <w:p>
            <w:pPr>
              <w:jc w:val="right"/>
              <w:ind w:right="1779"/>
              <w:spacing w:after="0" w:line="189" w:lineRule="exact"/>
              <w:rPr>
                <w:sz w:val="20"/>
                <w:szCs w:val="20"/>
                <w:color w:val="auto"/>
              </w:rPr>
            </w:pPr>
            <w:r>
              <w:rPr>
                <w:rFonts w:ascii="Arial" w:cs="Arial" w:eastAsia="Arial" w:hAnsi="Arial"/>
                <w:sz w:val="18"/>
                <w:szCs w:val="18"/>
                <w:color w:val="auto"/>
                <w:w w:val="90"/>
              </w:rPr>
              <w:t>Preclinical</w:t>
            </w:r>
          </w:p>
        </w:tc>
        <w:tc>
          <w:tcPr>
            <w:tcW w:w="160" w:type="dxa"/>
            <w:vAlign w:val="bottom"/>
          </w:tcPr>
          <w:p>
            <w:pPr>
              <w:spacing w:after="0"/>
              <w:rPr>
                <w:sz w:val="16"/>
                <w:szCs w:val="16"/>
                <w:color w:val="auto"/>
              </w:rPr>
            </w:pP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Initiate Phase 1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r>
        <w:trPr>
          <w:trHeight w:val="310"/>
        </w:trPr>
        <w:tc>
          <w:tcPr>
            <w:tcW w:w="3180" w:type="dxa"/>
            <w:vAlign w:val="bottom"/>
            <w:gridSpan w:val="2"/>
          </w:tcPr>
          <w:p>
            <w:pPr>
              <w:spacing w:after="0"/>
              <w:rPr>
                <w:sz w:val="20"/>
                <w:szCs w:val="20"/>
                <w:color w:val="auto"/>
              </w:rPr>
            </w:pPr>
            <w:r>
              <w:rPr>
                <w:rFonts w:ascii="Arial" w:cs="Arial" w:eastAsia="Arial" w:hAnsi="Arial"/>
                <w:sz w:val="18"/>
                <w:szCs w:val="18"/>
                <w:color w:val="auto"/>
              </w:rPr>
              <w:t>BNT142 (bispecific)</w:t>
            </w:r>
          </w:p>
        </w:tc>
        <w:tc>
          <w:tcPr>
            <w:tcW w:w="2640" w:type="dxa"/>
            <w:vAlign w:val="bottom"/>
          </w:tcPr>
          <w:p>
            <w:pPr>
              <w:spacing w:after="0"/>
              <w:rPr>
                <w:sz w:val="20"/>
                <w:szCs w:val="20"/>
                <w:color w:val="auto"/>
              </w:rPr>
            </w:pPr>
            <w:r>
              <w:rPr>
                <w:rFonts w:ascii="Arial" w:cs="Arial" w:eastAsia="Arial" w:hAnsi="Arial"/>
                <w:sz w:val="18"/>
                <w:szCs w:val="18"/>
                <w:color w:val="auto"/>
              </w:rPr>
              <w:t>CD3xCLDN6</w:t>
            </w:r>
          </w:p>
        </w:tc>
        <w:tc>
          <w:tcPr>
            <w:tcW w:w="2840" w:type="dxa"/>
            <w:vAlign w:val="bottom"/>
            <w:gridSpan w:val="2"/>
          </w:tcPr>
          <w:p>
            <w:pPr>
              <w:jc w:val="right"/>
              <w:ind w:right="1779"/>
              <w:spacing w:after="0"/>
              <w:rPr>
                <w:sz w:val="20"/>
                <w:szCs w:val="20"/>
                <w:color w:val="auto"/>
              </w:rPr>
            </w:pPr>
            <w:r>
              <w:rPr>
                <w:rFonts w:ascii="Arial" w:cs="Arial" w:eastAsia="Arial" w:hAnsi="Arial"/>
                <w:sz w:val="18"/>
                <w:szCs w:val="18"/>
                <w:color w:val="auto"/>
              </w:rPr>
              <w:t>Preclinical</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Initiate Phase 1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bl>
    <w:p>
      <w:pPr>
        <w:spacing w:after="0" w:line="310" w:lineRule="exact"/>
        <w:rPr>
          <w:sz w:val="20"/>
          <w:szCs w:val="20"/>
          <w:color w:val="auto"/>
        </w:rPr>
      </w:pPr>
    </w:p>
    <w:p>
      <w:pPr>
        <w:ind w:left="1900" w:hanging="352"/>
        <w:spacing w:after="0"/>
        <w:tabs>
          <w:tab w:leader="none" w:pos="190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543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54305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RiboCytokine Platform</w:t>
      </w:r>
    </w:p>
    <w:p>
      <w:pPr>
        <w:spacing w:after="0" w:line="127" w:lineRule="exact"/>
        <w:rPr>
          <w:sz w:val="20"/>
          <w:szCs w:val="20"/>
          <w:color w:val="auto"/>
        </w:rPr>
      </w:pPr>
    </w:p>
    <w:p>
      <w:pPr>
        <w:ind w:left="540" w:hanging="316"/>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Cytokines encoded by mRNA and produced in the patient as an alternative to recombinant cytokines.</w:t>
      </w:r>
    </w:p>
    <w:p>
      <w:pPr>
        <w:spacing w:after="0" w:line="130" w:lineRule="exact"/>
        <w:rPr>
          <w:rFonts w:ascii="Arial" w:cs="Arial" w:eastAsia="Arial" w:hAnsi="Arial"/>
          <w:sz w:val="18"/>
          <w:szCs w:val="18"/>
          <w:color w:val="auto"/>
        </w:rPr>
      </w:pPr>
    </w:p>
    <w:p>
      <w:pPr>
        <w:ind w:left="540" w:right="140" w:hanging="316"/>
        <w:spacing w:after="0" w:line="282"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540" w:right="140" w:hanging="316"/>
        <w:spacing w:after="0" w:line="282"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cytokine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BNT151 in multiple advanced malignancies.</w:t>
      </w:r>
    </w:p>
    <w:p>
      <w:pPr>
        <w:spacing w:after="0" w:line="283"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Cytokines represent a large group of relatively small proteins (&lt;30 kDa) that regulate a variety of biological functions as they elicit signaling for immune and non-immune cells. In particular, cytokines play a pivotal role in orchestrating the initiation, execution and extinction of innate and adaptive immunity against pathogens as well as malignant cells. Due to their natural role as immunomodulators, recombinant cytokines are currently used for the treatment of a number of infectious, inflammatory, autoimmune and malignant diseases. One of the major challenges associated with the therapeutic use of cytokines relates to their short serum half-life and low bioavailability. This impedes therapeutic efficacy as it necessitates high and frequent dosing, which often results in dose-limiting toxicities.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have developed a wholly owned, novel mRNA-based platform technology called RiboCytokines, designed to address the limitations of recombinantly expressed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777240</wp:posOffset>
            </wp:positionV>
            <wp:extent cx="6995160" cy="46291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 xml:space="preserve">Concept of our RiboCytokine technology. </w:t>
      </w:r>
      <w:r>
        <w:rPr>
          <w:rFonts w:ascii="Arial" w:cs="Arial" w:eastAsia="Arial" w:hAnsi="Arial"/>
          <w:sz w:val="14"/>
          <w:szCs w:val="14"/>
          <w:color w:val="auto"/>
        </w:rPr>
        <w:t>The graphic above depicts our RiboCytokine technology, including mRNA formulated in LNPs and administered by injection, having a beneficial</w:t>
      </w:r>
      <w:r>
        <w:rPr>
          <w:rFonts w:ascii="Arial" w:cs="Arial" w:eastAsia="Arial" w:hAnsi="Arial"/>
          <w:sz w:val="14"/>
          <w:szCs w:val="14"/>
          <w:b w:val="1"/>
          <w:bCs w:val="1"/>
          <w:color w:val="auto"/>
        </w:rPr>
        <w:t xml:space="preserve"> </w:t>
      </w:r>
      <w:r>
        <w:rPr>
          <w:rFonts w:ascii="Arial" w:cs="Arial" w:eastAsia="Arial" w:hAnsi="Arial"/>
          <w:sz w:val="14"/>
          <w:szCs w:val="14"/>
          <w:color w:val="auto"/>
        </w:rPr>
        <w:t>pharmacokinetic profile.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RiboCytokine platform allows for sustained delivery of the encoded cytokines with prolonged half-life, including through:</w:t>
      </w:r>
    </w:p>
    <w:p>
      <w:pPr>
        <w:spacing w:after="0" w:line="127" w:lineRule="exact"/>
        <w:rPr>
          <w:sz w:val="20"/>
          <w:szCs w:val="20"/>
          <w:color w:val="auto"/>
        </w:rPr>
      </w:pPr>
    </w:p>
    <w:p>
      <w:pPr>
        <w:ind w:left="1080" w:right="380" w:hanging="424"/>
        <w:spacing w:after="0" w:line="282"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Usage of N1-methylpseudouridine modified mRNA. </w:t>
      </w:r>
      <w:r>
        <w:rPr>
          <w:rFonts w:ascii="Arial" w:cs="Arial" w:eastAsia="Arial" w:hAnsi="Arial"/>
          <w:sz w:val="18"/>
          <w:szCs w:val="18"/>
          <w:color w:val="auto"/>
        </w:rPr>
        <w:t>N1-methylpseudouridine as a nucleoside analogue prevents the recognition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mRNA by TLRs, avoiding immune attack against the RiboCytokines.</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RiboCytokines are formulated using clinically validated LNP delivery technology owned by Genevant. LNPs</w:t>
      </w:r>
      <w:r>
        <w:rPr>
          <w:rFonts w:ascii="Arial" w:cs="Arial" w:eastAsia="Arial" w:hAnsi="Arial"/>
          <w:sz w:val="18"/>
          <w:szCs w:val="18"/>
          <w:b w:val="1"/>
          <w:bCs w:val="1"/>
          <w:color w:val="auto"/>
        </w:rPr>
        <w:t xml:space="preserve"> </w:t>
      </w:r>
      <w:r>
        <w:rPr>
          <w:rFonts w:ascii="Arial" w:cs="Arial" w:eastAsia="Arial" w:hAnsi="Arial"/>
          <w:sz w:val="18"/>
          <w:szCs w:val="18"/>
          <w:color w:val="auto"/>
        </w:rPr>
        <w:t>selectively target the liver resulting in high-level expression.</w:t>
      </w:r>
    </w:p>
    <w:p>
      <w:pPr>
        <w:spacing w:after="0" w:line="16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We believe that apart from a beneficial pharmacokinetic profile, our mRNA-based RiboCytokine technology has a number of additional advantages over other types of cytokine therapies:</w:t>
      </w:r>
    </w:p>
    <w:p>
      <w:pPr>
        <w:spacing w:after="0" w:line="72" w:lineRule="exact"/>
        <w:rPr>
          <w:sz w:val="20"/>
          <w:szCs w:val="20"/>
          <w:color w:val="auto"/>
        </w:rPr>
      </w:pPr>
    </w:p>
    <w:p>
      <w:pPr>
        <w:ind w:left="1080" w:hanging="424"/>
        <w:spacing w:after="0" w:line="266"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Less immunogenic than recombinant cytokines. </w:t>
      </w:r>
      <w:r>
        <w:rPr>
          <w:rFonts w:ascii="Arial" w:cs="Arial" w:eastAsia="Arial" w:hAnsi="Arial"/>
          <w:sz w:val="18"/>
          <w:szCs w:val="18"/>
          <w:color w:val="auto"/>
        </w:rPr>
        <w:t>Expression of self and foreign antigens in the liver is associated with immune tolerance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unique anti-inflammatory microenvironment. We expect RiboCytokines to be less likely to trigger an immune response when compared to their recombinant counterparts.</w:t>
      </w:r>
    </w:p>
    <w:p>
      <w:pPr>
        <w:spacing w:after="0" w:line="81" w:lineRule="exact"/>
        <w:rPr>
          <w:rFonts w:ascii="Arial" w:cs="Arial" w:eastAsia="Arial" w:hAnsi="Arial"/>
          <w:sz w:val="18"/>
          <w:szCs w:val="18"/>
          <w:color w:val="auto"/>
        </w:rPr>
      </w:pPr>
    </w:p>
    <w:p>
      <w:pPr>
        <w:ind w:left="1080" w:right="180" w:hanging="424"/>
        <w:spacing w:after="0" w:line="266"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Shorter development times and greater diversity. </w:t>
      </w:r>
      <w:r>
        <w:rPr>
          <w:rFonts w:ascii="Arial" w:cs="Arial" w:eastAsia="Arial" w:hAnsi="Arial"/>
          <w:sz w:val="18"/>
          <w:szCs w:val="18"/>
          <w:color w:val="auto"/>
        </w:rPr>
        <w:t>The development of recombinant cytokines is a challenge due to demanding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costly CMC procedures of production, purification and formulation. The simplicity of our mRNA manufacturing allows for both shorter development times and a greater diversity of druggable targets.</w:t>
      </w:r>
    </w:p>
    <w:p>
      <w:pPr>
        <w:sectPr>
          <w:pgSz w:w="11900" w:h="16838" w:orient="portrait"/>
          <w:cols w:equalWidth="0" w:num="1">
            <w:col w:w="11080"/>
          </w:cols>
          <w:pgMar w:left="320" w:top="459" w:right="499" w:bottom="736" w:gutter="0" w:footer="0" w:header="0"/>
        </w:sectPr>
      </w:pP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080"/>
          </w:cols>
          <w:pgMar w:left="320" w:top="459" w:right="499" w:bottom="736"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that our RiboCytokine technology is particularly well-suited to identify candidates for combination treatment with our proprietary CAR-T cell and cancer immunotherapies platforms.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RiboCytokine 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our first two RiboCytokine product candidates, BNT151 and BNT152/BNT153 (combination), to enter the clinic in the first half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in basket trials targeting multiple advanced malignancies.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2640" w:type="dxa"/>
            <w:vAlign w:val="bottom"/>
          </w:tcPr>
          <w:p>
            <w:pPr>
              <w:ind w:left="1020"/>
              <w:spacing w:after="0"/>
              <w:rPr>
                <w:sz w:val="20"/>
                <w:szCs w:val="20"/>
                <w:color w:val="auto"/>
              </w:rPr>
            </w:pPr>
            <w:r>
              <w:rPr>
                <w:rFonts w:ascii="Arial" w:cs="Arial" w:eastAsia="Arial" w:hAnsi="Arial"/>
                <w:sz w:val="14"/>
                <w:szCs w:val="14"/>
                <w:b w:val="1"/>
                <w:bCs w:val="1"/>
                <w:color w:val="auto"/>
              </w:rPr>
              <w:t>Cytokines</w:t>
            </w:r>
          </w:p>
        </w:tc>
        <w:tc>
          <w:tcPr>
            <w:tcW w:w="220" w:type="dxa"/>
            <w:vAlign w:val="bottom"/>
          </w:tcPr>
          <w:p>
            <w:pPr>
              <w:spacing w:after="0"/>
              <w:rPr>
                <w:sz w:val="16"/>
                <w:szCs w:val="16"/>
                <w:color w:val="auto"/>
              </w:rPr>
            </w:pPr>
          </w:p>
        </w:tc>
        <w:tc>
          <w:tcPr>
            <w:tcW w:w="2620" w:type="dxa"/>
            <w:vAlign w:val="bottom"/>
          </w:tcPr>
          <w:p>
            <w:pPr>
              <w:jc w:val="right"/>
              <w:ind w:right="639"/>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2200" w:type="dxa"/>
            <w:vAlign w:val="bottom"/>
          </w:tcPr>
          <w:p>
            <w:pPr>
              <w:ind w:left="3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BNT151</w:t>
            </w:r>
          </w:p>
        </w:tc>
        <w:tc>
          <w:tcPr>
            <w:tcW w:w="2540" w:type="dxa"/>
            <w:vAlign w:val="bottom"/>
          </w:tcPr>
          <w:p>
            <w:pPr>
              <w:spacing w:after="0"/>
              <w:rPr>
                <w:sz w:val="16"/>
                <w:szCs w:val="16"/>
                <w:color w:val="auto"/>
              </w:rPr>
            </w:pP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Optimized IL-2</w:t>
            </w:r>
          </w:p>
        </w:tc>
        <w:tc>
          <w:tcPr>
            <w:tcW w:w="220" w:type="dxa"/>
            <w:vAlign w:val="bottom"/>
          </w:tcPr>
          <w:p>
            <w:pPr>
              <w:spacing w:after="0"/>
              <w:rPr>
                <w:sz w:val="16"/>
                <w:szCs w:val="16"/>
                <w:color w:val="auto"/>
              </w:rPr>
            </w:pPr>
          </w:p>
        </w:tc>
        <w:tc>
          <w:tcPr>
            <w:tcW w:w="2620" w:type="dxa"/>
            <w:vAlign w:val="bottom"/>
            <w:tcBorders>
              <w:top w:val="single" w:sz="8" w:color="auto"/>
            </w:tcBorders>
          </w:tcPr>
          <w:p>
            <w:pPr>
              <w:jc w:val="right"/>
              <w:ind w:right="1779"/>
              <w:spacing w:after="0" w:line="189" w:lineRule="exact"/>
              <w:rPr>
                <w:sz w:val="20"/>
                <w:szCs w:val="20"/>
                <w:color w:val="auto"/>
              </w:rPr>
            </w:pPr>
            <w:r>
              <w:rPr>
                <w:rFonts w:ascii="Arial" w:cs="Arial" w:eastAsia="Arial" w:hAnsi="Arial"/>
                <w:sz w:val="18"/>
                <w:szCs w:val="18"/>
                <w:color w:val="auto"/>
                <w:w w:val="90"/>
              </w:rPr>
              <w:t>Preclinical</w:t>
            </w:r>
          </w:p>
        </w:tc>
        <w:tc>
          <w:tcPr>
            <w:tcW w:w="160" w:type="dxa"/>
            <w:vAlign w:val="bottom"/>
          </w:tcPr>
          <w:p>
            <w:pPr>
              <w:spacing w:after="0"/>
              <w:rPr>
                <w:sz w:val="16"/>
                <w:szCs w:val="16"/>
                <w:color w:val="auto"/>
              </w:rPr>
            </w:pP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Initiate Phase 1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r>
        <w:trPr>
          <w:trHeight w:val="310"/>
        </w:trPr>
        <w:tc>
          <w:tcPr>
            <w:tcW w:w="3180" w:type="dxa"/>
            <w:vAlign w:val="bottom"/>
            <w:gridSpan w:val="2"/>
          </w:tcPr>
          <w:p>
            <w:pPr>
              <w:spacing w:after="0"/>
              <w:rPr>
                <w:sz w:val="20"/>
                <w:szCs w:val="20"/>
                <w:color w:val="auto"/>
              </w:rPr>
            </w:pPr>
            <w:r>
              <w:rPr>
                <w:rFonts w:ascii="Arial" w:cs="Arial" w:eastAsia="Arial" w:hAnsi="Arial"/>
                <w:sz w:val="18"/>
                <w:szCs w:val="18"/>
                <w:color w:val="auto"/>
              </w:rPr>
              <w:t>BNT152/BNT153</w:t>
            </w:r>
          </w:p>
        </w:tc>
        <w:tc>
          <w:tcPr>
            <w:tcW w:w="2640" w:type="dxa"/>
            <w:vAlign w:val="bottom"/>
          </w:tcPr>
          <w:p>
            <w:pPr>
              <w:spacing w:after="0"/>
              <w:rPr>
                <w:sz w:val="20"/>
                <w:szCs w:val="20"/>
                <w:color w:val="auto"/>
              </w:rPr>
            </w:pPr>
            <w:r>
              <w:rPr>
                <w:rFonts w:ascii="Arial" w:cs="Arial" w:eastAsia="Arial" w:hAnsi="Arial"/>
                <w:sz w:val="18"/>
                <w:szCs w:val="18"/>
                <w:color w:val="auto"/>
              </w:rPr>
              <w:t>IL-7/IL-2</w:t>
            </w:r>
          </w:p>
        </w:tc>
        <w:tc>
          <w:tcPr>
            <w:tcW w:w="2840" w:type="dxa"/>
            <w:vAlign w:val="bottom"/>
            <w:gridSpan w:val="2"/>
          </w:tcPr>
          <w:p>
            <w:pPr>
              <w:jc w:val="right"/>
              <w:ind w:right="1779"/>
              <w:spacing w:after="0"/>
              <w:rPr>
                <w:sz w:val="20"/>
                <w:szCs w:val="20"/>
                <w:color w:val="auto"/>
              </w:rPr>
            </w:pPr>
            <w:r>
              <w:rPr>
                <w:rFonts w:ascii="Arial" w:cs="Arial" w:eastAsia="Arial" w:hAnsi="Arial"/>
                <w:sz w:val="18"/>
                <w:szCs w:val="18"/>
                <w:color w:val="auto"/>
              </w:rPr>
              <w:t>Preclinical</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w w:val="99"/>
              </w:rPr>
              <w:t>Initiate Phase 1/2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IX. Our Cell Therapies Drug Class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The tailored reprogramming of autologous T cells from cancer patients to recognize and attack their tumors has become a disruptive medical innovation. Retargeting of T cells can be achieved via introduction of tumor-specific receptors into patient-derived T cells. For that purpose, T cells are mostly engineered by retroviral gene transfer to express either T cell receptors, or TCRs, or chimeric antigen receptors, or CARs. Recently, CAR expressing T cells, or CAR-T cells, became the first engineered T cell therapy to obtain FDA approval for some B cell derived hematological malignancies. Additionally, with our Neon acquisition we recently acquired an adoptive T cell platform targeting patient-specific and shared neoantigens. This platform utilizes a proprietary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co-culture process, NEO-STIM, to prime, activate and expand autologous neoantigen-specific T cells specific either for a personal set of neoantigens for each patient or for a set of selected shared neoantigens.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3290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329055"/>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CAR-T Platform</w:t>
      </w:r>
    </w:p>
    <w:p>
      <w:pPr>
        <w:spacing w:after="0" w:line="127"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Second-generation CAR-T therapy designed to overcome the shortcomings of CAR-T therapy in solid tumors.</w:t>
      </w:r>
    </w:p>
    <w:p>
      <w:pPr>
        <w:spacing w:after="0" w:line="130" w:lineRule="exact"/>
        <w:rPr>
          <w:rFonts w:ascii="Arial" w:cs="Arial" w:eastAsia="Arial" w:hAnsi="Arial"/>
          <w:sz w:val="18"/>
          <w:szCs w:val="18"/>
          <w:color w:val="auto"/>
        </w:rPr>
      </w:pPr>
    </w:p>
    <w:p>
      <w:pPr>
        <w:ind w:left="660" w:right="320" w:hanging="328"/>
        <w:spacing w:after="0" w:line="266"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Mechanism: </w:t>
      </w:r>
      <w:r>
        <w:rPr>
          <w:rFonts w:ascii="Arial" w:cs="Arial" w:eastAsia="Arial" w:hAnsi="Arial"/>
          <w:sz w:val="18"/>
          <w:szCs w:val="18"/>
          <w:color w:val="auto"/>
        </w:rPr>
        <w:t>T cells with CARs engineered to target cancer-specific antigens, including novel antigens selected from our proprietary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library and administered with an mRNA-based immune booster, which we refer to as CARVac, to enhance CAR-T cell expansion and persistence.</w:t>
      </w:r>
    </w:p>
    <w:p>
      <w:pPr>
        <w:spacing w:after="0" w:line="8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BNT211 for multiple solid tumors.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CARs are artificial receptors that consist of an antigen recognition domain derived from a tumor-specific antibody linked to intracellular T cell signaling domains. CARs redirect T cells to eradicate tumors through specific recognition of native surface proteins expressed on tumor cells in a non-MHC-restricted manner. Therefore, CAR-T cells can be used for the treatment of all individuals whose tumor expresses the respective target, independent of the individual’s HLA genotype. CARs can be used for redirection of both CD4+ and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5871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5871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Second-generation CAR. </w:t>
      </w:r>
      <w:r>
        <w:rPr>
          <w:rFonts w:ascii="Arial" w:cs="Arial" w:eastAsia="Arial" w:hAnsi="Arial"/>
          <w:sz w:val="14"/>
          <w:szCs w:val="14"/>
          <w:color w:val="auto"/>
        </w:rPr>
        <w:t>The figure above illustrates the basic structure of a second-generation CAR, such as those included in our BNT211 and BNT212 product candidates.</w:t>
      </w:r>
    </w:p>
    <w:p>
      <w:pPr>
        <w:spacing w:after="0" w:line="21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While CAR-T therapy has shown potent anti-tumor responses in patients with B cell malignancies, clinical efficacy in solid tumors so far is limited. The main hurdles for application of CAR-T therapies in solid tumors are:</w:t>
      </w:r>
    </w:p>
    <w:p>
      <w:pPr>
        <w:spacing w:after="0" w:line="76"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Lack of highly tumor-selective targets, which are needed for safe and effective tumor targeting;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Low anti-tumoral activity due to insufficient expansion of engineered T cells.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the next generation of engineered T cell therapies that:</w:t>
      </w:r>
    </w:p>
    <w:p>
      <w:pPr>
        <w:spacing w:after="0" w:line="131" w:lineRule="exact"/>
        <w:rPr>
          <w:sz w:val="20"/>
          <w:szCs w:val="20"/>
          <w:color w:val="auto"/>
        </w:rPr>
      </w:pPr>
    </w:p>
    <w:p>
      <w:pPr>
        <w:ind w:left="1080" w:right="62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target novel and known tumor-specific antigens, including mutant neoantigens, and a broad spectrum of tumor-associated antigens expressed in a wide range of cancers;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leverage our proprietary CARVac technology for controlled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stimulation, activation and expansion of engineered T cells.</w:t>
      </w:r>
    </w:p>
    <w:p>
      <w:pPr>
        <w:sectPr>
          <w:pgSz w:w="11900" w:h="16838" w:orient="portrait"/>
          <w:cols w:equalWidth="0" w:num="1">
            <w:col w:w="11100"/>
          </w:cols>
          <w:pgMar w:left="320" w:top="459" w:right="47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00"/>
          </w:cols>
          <w:pgMar w:left="320" w:top="459" w:right="47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1011555</wp:posOffset>
            </wp:positionV>
            <wp:extent cx="6995160" cy="4303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b w:val="1"/>
          <w:bCs w:val="1"/>
          <w:color w:val="auto"/>
        </w:rPr>
        <w:t xml:space="preserve">Our platforms for development of next-generation engineered T cell therapies. </w:t>
      </w:r>
      <w:r>
        <w:rPr>
          <w:rFonts w:ascii="Arial" w:cs="Arial" w:eastAsia="Arial" w:hAnsi="Arial"/>
          <w:sz w:val="14"/>
          <w:szCs w:val="14"/>
          <w:color w:val="auto"/>
        </w:rPr>
        <w:t>Our engineered cell therapies combine our antigen selection capabilities with our vaccine immunotherapy</w:t>
      </w:r>
      <w:r>
        <w:rPr>
          <w:rFonts w:ascii="Arial" w:cs="Arial" w:eastAsia="Arial" w:hAnsi="Arial"/>
          <w:sz w:val="14"/>
          <w:szCs w:val="14"/>
          <w:b w:val="1"/>
          <w:bCs w:val="1"/>
          <w:color w:val="auto"/>
        </w:rPr>
        <w:t xml:space="preserve"> </w:t>
      </w:r>
      <w:r>
        <w:rPr>
          <w:rFonts w:ascii="Arial" w:cs="Arial" w:eastAsia="Arial" w:hAnsi="Arial"/>
          <w:sz w:val="14"/>
          <w:szCs w:val="14"/>
          <w:color w:val="auto"/>
        </w:rPr>
        <w:t>to enhance T cell activation and expansion.</w:t>
      </w:r>
    </w:p>
    <w:p>
      <w:pPr>
        <w:spacing w:after="0" w:line="17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powerful characteristics of CAR-T cells, including their potential to eradicate targeted tumor cells in combination with their potentially life-long persistence in the host, require careful target selection. We believe the essential features of an ideal antigen for T cell-based immunotherapy are:</w:t>
      </w:r>
    </w:p>
    <w:p>
      <w:pPr>
        <w:spacing w:after="0" w:line="29"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Absence of expression from any toxicity-relevant non-malignant tissue, to prevent off-tumor/on-target toxicity;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Expression on the cell surface of tumor cells at sufficient levels to allow for recognition and lysis by CAR-T cells.</w:t>
      </w:r>
    </w:p>
    <w:p>
      <w:pPr>
        <w:spacing w:after="0" w:line="22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are developing CAR-T programs targeting two different members of the Claudin family, namely CLDN6 and CLDN18.2. Claudins, or CLDNs, are central components of tight junctions that regulate epithelial-cell barrier function and polarity. Most of the CLDNs are broadly expressed, while CLDN6 and CLDN18.2 are exclusively expressed in different high medical need cancers. Disturbance and dysregulation of tight junction molecules is a frequent hallmark of cancer cells and often associated with malignant transformation and metastasis and, hence, disease progression.</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CLDN6 is an oncofetal cell surface antigen expressed in embryonic stem cells during fetal development. The gene encoding CLDN6 is strictly silenced and not expressed in healthy adult tissues but re-activated in different cancers with a high medical need including ovarian, endometrial, testicular and lung cancers.</w:t>
      </w:r>
    </w:p>
    <w:p>
      <w:pPr>
        <w:spacing w:after="0" w:line="184"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In contrast to CLDN6, CLDN18.2 is a tissue restricted marker that is exclusively expressed in short-lived differentiated cells of the gastric mucosa. CLDN18.2 is observed in a large fraction of gastric cancers. In addition, CLDN18.2 is aberrantly activated in a variety of tumor entities, including esophageal cancer, pancreatic adenocarcinoma and cholangiocarcinoma.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In-vivo </w:t>
      </w:r>
      <w:r>
        <w:rPr>
          <w:rFonts w:ascii="Arial" w:cs="Arial" w:eastAsia="Arial" w:hAnsi="Arial"/>
          <w:sz w:val="18"/>
          <w:szCs w:val="18"/>
          <w:b w:val="1"/>
          <w:bCs w:val="1"/>
          <w:i w:val="1"/>
          <w:iCs w:val="1"/>
          <w:color w:val="auto"/>
        </w:rPr>
        <w:t>expansion of engineered T cells using liposomally formulated mRNA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Besides targeting an ideal tumor-specific antigen, the frequency and the persistence of CAR-T cells in the respective patient is a critical factor determining antitumor efficacy. A positive correlation between clinical outcome and CAR-T cell engraftment and persistence has been shown in several CD19-targeting CAR-T trials. Both tend to be much more limited in the solid tumor setting, likely due to the lack of circulating antigen-presenting cells, or APCs, such as dendritic cells expressing the target CAR antigen.</w:t>
      </w:r>
    </w:p>
    <w:p>
      <w:pPr>
        <w:sectPr>
          <w:pgSz w:w="11900" w:h="16838" w:orient="portrait"/>
          <w:cols w:equalWidth="0" w:num="1">
            <w:col w:w="11100"/>
          </w:cols>
          <w:pgMar w:left="320" w:top="459" w:right="479" w:bottom="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9019"/>
          </w:cols>
          <w:pgMar w:left="1440" w:top="125" w:right="1440"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To address this critical factor, we developed an approach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stimulation of CAR-T cells that relies on our proprietary FixVac technology for systemic mRNA delivery in combination with our CAR-T product candidates. Intravenous administration of a FixVac encoding for the tumor antigen induces expression of the desired target on antigen-presenting cells in secondary lymphoid tissues. FixVac treatment facilitates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CAR-T cells in a dose-dependent manner. Moreover repetitive administration of FixVac results in an improved CAR-T cell persistence as well as increased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642620</wp:posOffset>
            </wp:positionV>
            <wp:extent cx="6995160" cy="4928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492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Our CAR-T cell immunotherapies combined with CARVac-mediated </w:t>
      </w:r>
      <w:r>
        <w:rPr>
          <w:rFonts w:ascii="Arial" w:cs="Arial" w:eastAsia="Arial" w:hAnsi="Arial"/>
          <w:sz w:val="13"/>
          <w:szCs w:val="13"/>
          <w:b w:val="1"/>
          <w:bCs w:val="1"/>
          <w:i w:val="1"/>
          <w:iCs w:val="1"/>
          <w:color w:val="auto"/>
        </w:rPr>
        <w:t>in vivo</w:t>
      </w:r>
      <w:r>
        <w:rPr>
          <w:rFonts w:ascii="Arial" w:cs="Arial" w:eastAsia="Arial" w:hAnsi="Arial"/>
          <w:sz w:val="13"/>
          <w:szCs w:val="13"/>
          <w:b w:val="1"/>
          <w:bCs w:val="1"/>
          <w:color w:val="auto"/>
        </w:rPr>
        <w:t xml:space="preserve"> expansion. </w:t>
      </w:r>
      <w:r>
        <w:rPr>
          <w:rFonts w:ascii="Arial" w:cs="Arial" w:eastAsia="Arial" w:hAnsi="Arial"/>
          <w:sz w:val="13"/>
          <w:szCs w:val="13"/>
          <w:color w:val="auto"/>
        </w:rPr>
        <w:t>(A) Autologous T cells engineered to express a CAR are adoptively transferred into the patient.</w:t>
      </w:r>
    </w:p>
    <w:p>
      <w:pPr>
        <w:spacing w:after="0" w:line="15" w:lineRule="exact"/>
        <w:rPr>
          <w:sz w:val="20"/>
          <w:szCs w:val="20"/>
          <w:color w:val="auto"/>
        </w:rPr>
      </w:pPr>
    </w:p>
    <w:p>
      <w:pPr>
        <w:ind w:left="120" w:right="80" w:hanging="4"/>
        <w:spacing w:after="0" w:line="232" w:lineRule="auto"/>
        <w:tabs>
          <w:tab w:leader="none" w:pos="34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xml:space="preserve">Full-length CAR target-encoding mRNA is complexed with liposomes to form RNA-LPX lipoplexes (CARVac). (C) Intravenously administered CARVac selectively targets APCs in secondary lymphoid organs facilitating uptake, antigen expression and maturation of APCs. Exposure of CAR-T cells to their target results in CAR-T cell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(D) CARVac can be administered repetitively to achieve controlled expansion and persistence of CAR-T cells within the therapeutic window.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CAR-T Development Plan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first CAR-T product candidate, BNT211, includes a second-generation CAR directed against CLDN6. Our second product candidate is BNT212, which includes a CLDN18.2-targeting CAR. We expect to initiate a Phase 1/2 basket trial of our novel combination CLDN6 CAR-T cell and CLDN6 CARVac product candidate in multiple solid tumors in the second half of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640" w:type="dxa"/>
            <w:vAlign w:val="bottom"/>
          </w:tcPr>
          <w:p>
            <w:pPr>
              <w:spacing w:after="0"/>
              <w:rPr>
                <w:sz w:val="16"/>
                <w:szCs w:val="16"/>
                <w:color w:val="auto"/>
              </w:rPr>
            </w:pPr>
          </w:p>
        </w:tc>
        <w:tc>
          <w:tcPr>
            <w:tcW w:w="26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Antigen Target</w:t>
            </w: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2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BNT211</w:t>
            </w:r>
          </w:p>
        </w:tc>
        <w:tc>
          <w:tcPr>
            <w:tcW w:w="2640" w:type="dxa"/>
            <w:vAlign w:val="bottom"/>
          </w:tcPr>
          <w:p>
            <w:pPr>
              <w:spacing w:after="0"/>
              <w:rPr>
                <w:sz w:val="16"/>
                <w:szCs w:val="16"/>
                <w:color w:val="auto"/>
              </w:rPr>
            </w:pPr>
          </w:p>
        </w:tc>
        <w:tc>
          <w:tcPr>
            <w:tcW w:w="2640" w:type="dxa"/>
            <w:vAlign w:val="bottom"/>
          </w:tcPr>
          <w:p>
            <w:pPr>
              <w:ind w:left="20"/>
              <w:spacing w:after="0" w:line="189" w:lineRule="exact"/>
              <w:rPr>
                <w:sz w:val="20"/>
                <w:szCs w:val="20"/>
                <w:color w:val="auto"/>
              </w:rPr>
            </w:pPr>
            <w:r>
              <w:rPr>
                <w:rFonts w:ascii="Arial" w:cs="Arial" w:eastAsia="Arial" w:hAnsi="Arial"/>
                <w:sz w:val="18"/>
                <w:szCs w:val="18"/>
                <w:color w:val="auto"/>
              </w:rPr>
              <w:t>CLDN6</w:t>
            </w:r>
          </w:p>
        </w:tc>
        <w:tc>
          <w:tcPr>
            <w:tcW w:w="220" w:type="dxa"/>
            <w:vAlign w:val="bottom"/>
          </w:tcPr>
          <w:p>
            <w:pPr>
              <w:spacing w:after="0"/>
              <w:rPr>
                <w:sz w:val="16"/>
                <w:szCs w:val="16"/>
                <w:color w:val="auto"/>
              </w:rPr>
            </w:pPr>
          </w:p>
        </w:tc>
        <w:tc>
          <w:tcPr>
            <w:tcW w:w="2640" w:type="dxa"/>
            <w:vAlign w:val="bottom"/>
          </w:tcPr>
          <w:p>
            <w:pPr>
              <w:spacing w:after="0" w:line="189" w:lineRule="exact"/>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6"/>
                <w:szCs w:val="16"/>
                <w:color w:val="auto"/>
              </w:rPr>
            </w:pPr>
          </w:p>
        </w:tc>
        <w:tc>
          <w:tcPr>
            <w:tcW w:w="2100" w:type="dxa"/>
            <w:vAlign w:val="bottom"/>
          </w:tcPr>
          <w:p>
            <w:pPr>
              <w:spacing w:after="0" w:line="189" w:lineRule="exact"/>
              <w:rPr>
                <w:sz w:val="20"/>
                <w:szCs w:val="20"/>
                <w:color w:val="auto"/>
              </w:rPr>
            </w:pPr>
            <w:r>
              <w:rPr>
                <w:rFonts w:ascii="Arial" w:cs="Arial" w:eastAsia="Arial" w:hAnsi="Arial"/>
                <w:sz w:val="18"/>
                <w:szCs w:val="18"/>
                <w:color w:val="auto"/>
                <w:w w:val="94"/>
              </w:rPr>
              <w:t>Initiate Phase 1/2 trial in 2H</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2020</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3"/>
              </w:rPr>
              <w:t>BNT212</w:t>
            </w:r>
          </w:p>
        </w:tc>
        <w:tc>
          <w:tcPr>
            <w:tcW w:w="264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CLDN18.2</w:t>
            </w: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rPr>
              <w:t>Preclinical</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ectPr>
          <w:pgSz w:w="11900" w:h="16838" w:orient="portrait"/>
          <w:cols w:equalWidth="0" w:num="1">
            <w:col w:w="11140"/>
          </w:cols>
          <w:pgMar w:left="320" w:top="459" w:right="439" w:bottom="1047" w:gutter="0" w:footer="0" w:header="0"/>
        </w:sect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40"/>
          </w:cols>
          <w:pgMar w:left="320" w:top="459" w:right="439" w:bottom="1047"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Neoantigen-targeting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1918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191895"/>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Neoantigen-targeting T Cell Platform</w:t>
      </w:r>
    </w:p>
    <w:p>
      <w:pPr>
        <w:spacing w:after="0" w:line="127" w:lineRule="exact"/>
        <w:rPr>
          <w:sz w:val="20"/>
          <w:szCs w:val="20"/>
          <w:color w:val="auto"/>
        </w:rPr>
      </w:pPr>
    </w:p>
    <w:p>
      <w:pPr>
        <w:ind w:left="540" w:hanging="316"/>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Adoptive T cell therapies targeting personal or shared sets of cancer neoantigens.</w:t>
      </w:r>
    </w:p>
    <w:p>
      <w:pPr>
        <w:spacing w:after="0" w:line="130" w:lineRule="exact"/>
        <w:rPr>
          <w:rFonts w:ascii="Arial" w:cs="Arial" w:eastAsia="Arial" w:hAnsi="Arial"/>
          <w:sz w:val="18"/>
          <w:szCs w:val="18"/>
          <w:color w:val="auto"/>
        </w:rPr>
      </w:pPr>
    </w:p>
    <w:p>
      <w:pPr>
        <w:ind w:left="540" w:right="300" w:hanging="316"/>
        <w:spacing w:after="0" w:line="312"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Mechanism: </w:t>
      </w:r>
      <w:r>
        <w:rPr>
          <w:rFonts w:ascii="Arial" w:cs="Arial" w:eastAsia="Arial" w:hAnsi="Arial"/>
          <w:sz w:val="17"/>
          <w:szCs w:val="17"/>
          <w:color w:val="auto"/>
        </w:rPr>
        <w:t>Autologous, neoantigen-specific T cells primed, activated and expanded utilizing a proprietary antigen-specific T cell induction</w:t>
      </w:r>
      <w:r>
        <w:rPr>
          <w:rFonts w:ascii="Arial" w:cs="Arial" w:eastAsia="Arial" w:hAnsi="Arial"/>
          <w:sz w:val="17"/>
          <w:szCs w:val="17"/>
          <w:b w:val="1"/>
          <w:bCs w:val="1"/>
          <w:color w:val="auto"/>
        </w:rPr>
        <w:t xml:space="preserve"> </w:t>
      </w:r>
      <w:r>
        <w:rPr>
          <w:rFonts w:ascii="Arial" w:cs="Arial" w:eastAsia="Arial" w:hAnsi="Arial"/>
          <w:sz w:val="17"/>
          <w:szCs w:val="17"/>
          <w:color w:val="auto"/>
        </w:rPr>
        <w:t>protocol, NEO-STIM, to target either a personal set of neoantigens for each patient or a set of selected shared neoantigens.</w:t>
      </w:r>
    </w:p>
    <w:p>
      <w:pPr>
        <w:spacing w:after="0" w:line="45" w:lineRule="exact"/>
        <w:rPr>
          <w:rFonts w:ascii="Arial" w:cs="Arial" w:eastAsia="Arial" w:hAnsi="Arial"/>
          <w:sz w:val="17"/>
          <w:szCs w:val="17"/>
          <w:color w:val="auto"/>
        </w:rPr>
      </w:pPr>
    </w:p>
    <w:p>
      <w:pPr>
        <w:ind w:left="540" w:hanging="316"/>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BNT221 for metastatic melanoma and other potential cancer indications.</w:t>
      </w:r>
    </w:p>
    <w:p>
      <w:pPr>
        <w:spacing w:after="0" w:line="283"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Through our recent Neon acquisition, we obtained a neoantigen-targeting T cell platform. This platform can be utilized to develop product candidates across several neoantigen-targeting non-engineered and engineered T cell therapies using two distinct approaches:</w:t>
      </w:r>
    </w:p>
    <w:p>
      <w:pPr>
        <w:spacing w:after="0" w:line="52"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 individualized approach enabling neoantigen-targeted therapies that are tailored for the individual profile of each patient’s tumor.</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shared neoantigen approach enabling neoantigen therapies that target prevalent neoantigens that are shared across subsets of patients or tumor types.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Our RECON bioinformatics engine is designed to predict the most therapeutically-relevant neoantigen targets associated with each patient’s tumor. Effective prediction is critical because, although many mutations within a patient’s tumor will lead to the production of a mutated protein, not all mutated proteins lead to suitable therapeutic neoantigen targets. RECON uses a number of inputs from each patient, including DNA sequences from samples of tumor and normal tissue, RNA sequences from tumor samples, and the patient’s specific MHC allele profile. RECON processes data from these inputs using a proprietary combination of algorithms in order to produce a prioritized list of neoantigen-targeting peptides that can be manufactured for use in product candidates. After selection of the target neoantigens, our proprietary method for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 cell stimulation, which we call NEO-STIM, allows us to directly prime, activate and expand antigen-specific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2239010</wp:posOffset>
            </wp:positionV>
            <wp:extent cx="6995160" cy="1714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0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1717675</wp:posOffset>
            </wp:positionV>
            <wp:extent cx="6995160" cy="26574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9019"/>
          </w:cols>
          <w:pgMar w:left="1440" w:top="1440"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500"/>
        <w:spacing w:after="0" w:line="258" w:lineRule="auto"/>
        <w:rPr>
          <w:sz w:val="20"/>
          <w:szCs w:val="20"/>
          <w:color w:val="auto"/>
        </w:rPr>
      </w:pPr>
      <w:r>
        <w:rPr>
          <w:rFonts w:ascii="Arial" w:cs="Arial" w:eastAsia="Arial" w:hAnsi="Arial"/>
          <w:sz w:val="14"/>
          <w:szCs w:val="14"/>
          <w:b w:val="1"/>
          <w:bCs w:val="1"/>
          <w:color w:val="auto"/>
        </w:rPr>
        <w:t xml:space="preserve">Our Neoantigen-targeting T Cell Processes. </w:t>
      </w:r>
      <w:r>
        <w:rPr>
          <w:rFonts w:ascii="Arial" w:cs="Arial" w:eastAsia="Arial" w:hAnsi="Arial"/>
          <w:sz w:val="14"/>
          <w:szCs w:val="14"/>
          <w:color w:val="auto"/>
        </w:rPr>
        <w:t>The illustrations above show our processes for neoantigen-targeting T cell development under our individualized and shared neoantigen</w:t>
      </w:r>
      <w:r>
        <w:rPr>
          <w:rFonts w:ascii="Arial" w:cs="Arial" w:eastAsia="Arial" w:hAnsi="Arial"/>
          <w:sz w:val="14"/>
          <w:szCs w:val="14"/>
          <w:b w:val="1"/>
          <w:bCs w:val="1"/>
          <w:color w:val="auto"/>
        </w:rPr>
        <w:t xml:space="preserve"> </w:t>
      </w:r>
      <w:r>
        <w:rPr>
          <w:rFonts w:ascii="Arial" w:cs="Arial" w:eastAsia="Arial" w:hAnsi="Arial"/>
          <w:sz w:val="14"/>
          <w:szCs w:val="14"/>
          <w:color w:val="auto"/>
        </w:rPr>
        <w:t>approaches.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Neoantigen-targeting T Cell Development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lead product candidate under this platform is our individualized neoantigen-targeting T cell therapy, NEO-PTC-01 (BNT221). We expect to initiate a Phase 1 dose escalation trial of NEO-PTC-01 (BNT221) in metastatic melanoma in the second half of 2020. The second planned indication for NEO-PTC-01 (BNT221) is metastatic ovarian cancer.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640" w:type="dxa"/>
            <w:vAlign w:val="bottom"/>
          </w:tcPr>
          <w:p>
            <w:pPr>
              <w:spacing w:after="0"/>
              <w:rPr>
                <w:sz w:val="16"/>
                <w:szCs w:val="16"/>
                <w:color w:val="auto"/>
              </w:rPr>
            </w:pPr>
          </w:p>
        </w:tc>
        <w:tc>
          <w:tcPr>
            <w:tcW w:w="25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Antigen Target</w:t>
            </w:r>
          </w:p>
        </w:tc>
        <w:tc>
          <w:tcPr>
            <w:tcW w:w="220" w:type="dxa"/>
            <w:vAlign w:val="bottom"/>
          </w:tcPr>
          <w:p>
            <w:pPr>
              <w:spacing w:after="0"/>
              <w:rPr>
                <w:sz w:val="16"/>
                <w:szCs w:val="16"/>
                <w:color w:val="auto"/>
              </w:rPr>
            </w:pPr>
          </w:p>
        </w:tc>
        <w:tc>
          <w:tcPr>
            <w:tcW w:w="25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Next Potential Milestone</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w w:val="93"/>
              </w:rPr>
              <w:t>BNT221</w:t>
            </w: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Individualized</w:t>
            </w: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Initiate Phase 1 trial in 2H 2020</w:t>
            </w: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TCRs</w:t>
      </w:r>
    </w:p>
    <w:p>
      <w:pPr>
        <w:spacing w:after="0" w:line="12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T cell receptor, or TCR, is part of a complex signaling machinery, which includes the TCR a and ß chains that are responsible for antigen recognition, the co-receptor CD4+ or CD8+ and the CD3 signal transduction complex. TCRs recognize antigens presented on the cell surface as small peptides loaded on the patients’ HLA molecules. Those peptides are derived from proteins after intracellular degradation. In contrast to CARs that recognize solely native membrane proteins, the repertoire of suitable TCR target antigens include TAAs and mutant 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134620</wp:posOffset>
            </wp:positionV>
            <wp:extent cx="6463665" cy="59150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63665"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TCR Complex. </w:t>
      </w:r>
      <w:r>
        <w:rPr>
          <w:rFonts w:ascii="Arial" w:cs="Arial" w:eastAsia="Arial" w:hAnsi="Arial"/>
          <w:sz w:val="14"/>
          <w:szCs w:val="14"/>
          <w:color w:val="auto"/>
        </w:rPr>
        <w:t>The illustration above shows the basic structure of a TCR complex.</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TCR Discovery and Validation Platform</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developed an integrated technology platform for the systematic identification of functional, fully human TCRs from single antigen-reactive T cells. This technology consists of a proprietary high-throughput approach for the fast retrieval, cloning and rapid validation of novel paired T cell receptor sequences. Our approach facilitates the isolation of tumor cell specific TCRs against multiple antigens and various HLA class I and II alleles.</w:t>
      </w:r>
    </w:p>
    <w:p>
      <w:pPr>
        <w:sectPr>
          <w:pgSz w:w="11900" w:h="16838" w:orient="portrait"/>
          <w:cols w:equalWidth="0" w:num="1">
            <w:col w:w="11140"/>
          </w:cols>
          <w:pgMar w:left="320" w:top="459" w:right="439" w:bottom="7"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40"/>
          </w:cols>
          <w:pgMar w:left="320" w:top="459" w:right="439" w:bottom="7"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our TCR discovery technology has the potential to unlock an array of patient- and tumor-specific TCRs suitable for clinical use. We believe this technology has potential utility for:</w:t>
      </w:r>
    </w:p>
    <w:p>
      <w:pPr>
        <w:spacing w:after="0" w:line="76" w:lineRule="exact"/>
        <w:rPr>
          <w:sz w:val="20"/>
          <w:szCs w:val="20"/>
          <w:color w:val="auto"/>
        </w:rPr>
      </w:pPr>
    </w:p>
    <w:p>
      <w:pPr>
        <w:ind w:left="1080" w:hanging="424"/>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therapeutic TCR products encompassing single TCRs to target a specific antigen;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therapeutic TCR warehouse encompassing multiple TCRs to target one or more tumor antigens; or</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individualized T cell therapy involving on-demand identification and timely manufacturing of customized, engineered T cells with autologous TCRs against neoepitopes for adoptive transfer.</w:t>
      </w:r>
    </w:p>
    <w:p>
      <w:pPr>
        <w:spacing w:after="0" w:line="274" w:lineRule="exact"/>
        <w:rPr>
          <w:rFonts w:ascii="Arial" w:cs="Arial" w:eastAsia="Arial" w:hAnsi="Arial"/>
          <w:sz w:val="18"/>
          <w:szCs w:val="18"/>
          <w:color w:val="auto"/>
        </w:rPr>
      </w:pPr>
    </w:p>
    <w:p>
      <w:pPr>
        <w:ind w:left="340" w:hanging="224"/>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Antibodies Drug Class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past decades, monoclonal antibodies, or mAbs, have transformed from scientific tools to powerful human therapeutics. As one of the fastest growing classes of drugs, to date, more than 40 mAbs have been approved to treat a variety of diseases including cancer, inflammation, autoimmune diseases and others. In addition, identified antigen-binding domains are also fundamental elements for the construction of novel therapeutic formats and formulations, such as CAR-T cells, bispecific therapeutics and targeted nanoparticles.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developed and integrated multiple complementary antibody and antibody-mimetic protein technologies into our overall portfolio of treatment approaches.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Our Next-generation Checkpoint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465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46558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Next-generation Checkpoint Immunomodulators</w:t>
      </w:r>
    </w:p>
    <w:p>
      <w:pPr>
        <w:spacing w:after="0" w:line="127" w:lineRule="exact"/>
        <w:rPr>
          <w:sz w:val="20"/>
          <w:szCs w:val="20"/>
          <w:color w:val="auto"/>
        </w:rPr>
      </w:pPr>
    </w:p>
    <w:p>
      <w:pPr>
        <w:ind w:left="540" w:right="20" w:hanging="316"/>
        <w:spacing w:after="0" w:line="282"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Bispecific antibodies for dual immunomodulation, initially targeting 4-1BB, an immune checkpoint that is expressed on T cells and NK</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can enhance immune cell proliferation and activation, in combination with simultaneous checkpoint inhibition.</w:t>
      </w:r>
    </w:p>
    <w:p>
      <w:pPr>
        <w:spacing w:after="0" w:line="67" w:lineRule="exact"/>
        <w:rPr>
          <w:rFonts w:ascii="Arial" w:cs="Arial" w:eastAsia="Arial" w:hAnsi="Arial"/>
          <w:sz w:val="18"/>
          <w:szCs w:val="18"/>
          <w:color w:val="auto"/>
        </w:rPr>
      </w:pPr>
    </w:p>
    <w:p>
      <w:pPr>
        <w:ind w:left="540" w:right="340" w:hanging="316"/>
        <w:spacing w:after="0" w:line="347"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b w:val="1"/>
          <w:bCs w:val="1"/>
          <w:color w:val="auto"/>
        </w:rPr>
        <w:t xml:space="preserve">Mechanism: </w:t>
      </w:r>
      <w:r>
        <w:rPr>
          <w:rFonts w:ascii="Arial" w:cs="Arial" w:eastAsia="Arial" w:hAnsi="Arial"/>
          <w:sz w:val="16"/>
          <w:szCs w:val="16"/>
          <w:color w:val="auto"/>
        </w:rPr>
        <w:t>Conditional activation of 4-1BB checkpoint only upon simultaneous binding of PD-L1 or CD40 (in the case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potentially avoiding toxicities seen in prior attempts at 4-1BB agonism by localizing 4-1BB activation to the tumor environment.</w:t>
      </w:r>
    </w:p>
    <w:p>
      <w:pPr>
        <w:spacing w:after="0" w:line="21" w:lineRule="exact"/>
        <w:rPr>
          <w:rFonts w:ascii="Arial" w:cs="Arial" w:eastAsia="Arial" w:hAnsi="Arial"/>
          <w:sz w:val="16"/>
          <w:szCs w:val="16"/>
          <w:color w:val="auto"/>
        </w:rPr>
      </w:pPr>
    </w:p>
    <w:p>
      <w:pPr>
        <w:ind w:left="540" w:right="160" w:hanging="316"/>
        <w:spacing w:after="0" w:line="282"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Genmab, combining our and Genmab’s immunostimulatory antibodies and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immunology expertise with Genmab’s DuoBody</w:t>
      </w:r>
      <w:r>
        <w:rPr>
          <w:rFonts w:ascii="Arial" w:cs="Arial" w:eastAsia="Arial" w:hAnsi="Arial"/>
          <w:sz w:val="15"/>
          <w:szCs w:val="15"/>
          <w:color w:val="auto"/>
        </w:rPr>
        <w:t>®</w:t>
      </w:r>
      <w:r>
        <w:rPr>
          <w:rFonts w:ascii="Arial" w:cs="Arial" w:eastAsia="Arial" w:hAnsi="Arial"/>
          <w:sz w:val="18"/>
          <w:szCs w:val="18"/>
          <w:color w:val="auto"/>
        </w:rPr>
        <w:t xml:space="preserve"> bispecific antibody platform.</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GEN1046 (BNT311), our PD-L1x4-1BB product candidate for multiple solid tumors.</w:t>
      </w:r>
    </w:p>
    <w:p>
      <w:pPr>
        <w:spacing w:after="0" w:line="28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Following the success of immune checkpoint-blocking antibodies targeting CTLA-4, PD-1 or PD-L1 in cancer treatment, bispecific antibody approaches represent the next generation of emerging immunotherapies with the potential to further improve clinical efficacy. In addition to bispecific T cell engager formats, which redirect T-cell cytotoxicity to malignant cells, bispecific antibodies can be formatted as tumor-targeted immunomodulators and dual immunomodulators. Tumor-targeted immunomodulators direct potent immune costimulation to the tumor-infiltrating immune cells, whereas dual immunomodulators simultaneously address two immunomodulating targets, resulting in blockade of inhibitory targets, depletion of suppressive cells or activation of immune effector cells.</w:t>
      </w:r>
    </w:p>
    <w:p>
      <w:pPr>
        <w:spacing w:after="0" w:line="192" w:lineRule="exact"/>
        <w:rPr>
          <w:sz w:val="20"/>
          <w:szCs w:val="20"/>
          <w:color w:val="auto"/>
        </w:rPr>
      </w:pPr>
    </w:p>
    <w:p>
      <w:pPr>
        <w:jc w:val="both"/>
        <w:ind w:left="120" w:right="180" w:firstLine="440"/>
        <w:spacing w:after="0" w:line="279" w:lineRule="auto"/>
        <w:rPr>
          <w:sz w:val="20"/>
          <w:szCs w:val="20"/>
          <w:color w:val="auto"/>
        </w:rPr>
      </w:pPr>
      <w:r>
        <w:rPr>
          <w:rFonts w:ascii="Arial" w:cs="Arial" w:eastAsia="Arial" w:hAnsi="Arial"/>
          <w:sz w:val="17"/>
          <w:szCs w:val="17"/>
          <w:color w:val="auto"/>
        </w:rPr>
        <w:t>We are developing, in collaboration with Genmab, bispecific antibodies that function as tumor-targeted and dual immunomodulators, applying Genmab’s proprietary DuoBody</w:t>
      </w:r>
      <w:r>
        <w:rPr>
          <w:rFonts w:ascii="Arial" w:cs="Arial" w:eastAsia="Arial" w:hAnsi="Arial"/>
          <w:sz w:val="14"/>
          <w:szCs w:val="14"/>
          <w:color w:val="auto"/>
        </w:rPr>
        <w:t>®</w:t>
      </w:r>
      <w:r>
        <w:rPr>
          <w:rFonts w:ascii="Arial" w:cs="Arial" w:eastAsia="Arial" w:hAnsi="Arial"/>
          <w:sz w:val="17"/>
          <w:szCs w:val="17"/>
          <w:color w:val="auto"/>
        </w:rPr>
        <w:t xml:space="preserve"> technology in combination with our joint target identification and product concept expertise. These next-generation checkpoint immunomodulators are thought to induce beneficial co-stimulation, promoting specific T cell activation, survival, proliferation and T cell effector functions. Our collaboration encompasses three potential classes of immunotherapeutic bispecific antibodies:</w:t>
      </w:r>
    </w:p>
    <w:p>
      <w:pPr>
        <w:spacing w:after="0" w:line="77" w:lineRule="exact"/>
        <w:rPr>
          <w:sz w:val="20"/>
          <w:szCs w:val="20"/>
          <w:color w:val="auto"/>
        </w:rPr>
      </w:pPr>
    </w:p>
    <w:p>
      <w:pPr>
        <w:ind w:left="1080" w:right="100" w:hanging="424"/>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Tumor-targeted DuoBody</w:t>
      </w:r>
      <w:r>
        <w:rPr>
          <w:rFonts w:ascii="Arial" w:cs="Arial" w:eastAsia="Arial" w:hAnsi="Arial"/>
          <w:sz w:val="15"/>
          <w:szCs w:val="15"/>
          <w:color w:val="auto"/>
        </w:rPr>
        <w:t>®</w:t>
      </w:r>
      <w:r>
        <w:rPr>
          <w:rFonts w:ascii="Arial" w:cs="Arial" w:eastAsia="Arial" w:hAnsi="Arial"/>
          <w:sz w:val="18"/>
          <w:szCs w:val="18"/>
          <w:color w:val="auto"/>
        </w:rPr>
        <w:t xml:space="preserve"> molecules are bispecific antibodies targeting a tumor-specific antigen expressed by the malignant cell, and an immunomodulatory receptor expressed by tumor-infiltrating immune cells. This is expected to induce powerful activation of tumor-specific effector immune cells with reduced risk of immune-related adverse events.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Cis-activating DuoBody</w:t>
      </w:r>
      <w:r>
        <w:rPr>
          <w:rFonts w:ascii="Arial" w:cs="Arial" w:eastAsia="Arial" w:hAnsi="Arial"/>
          <w:sz w:val="15"/>
          <w:szCs w:val="15"/>
          <w:color w:val="auto"/>
        </w:rPr>
        <w:t>®</w:t>
      </w:r>
      <w:r>
        <w:rPr>
          <w:rFonts w:ascii="Arial" w:cs="Arial" w:eastAsia="Arial" w:hAnsi="Arial"/>
          <w:sz w:val="18"/>
          <w:szCs w:val="18"/>
          <w:color w:val="auto"/>
        </w:rPr>
        <w:t xml:space="preserve"> molecules are bispecific antibodies that bind two distinct immunomodulating targets presented on the same cell. These targets are specifically expressed on activated immune cells with the rationale to boost existing immune responses by additive or synergistic effects of dual immunomodulation.</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Trans-activating DuoBody</w:t>
      </w:r>
      <w:r>
        <w:rPr>
          <w:rFonts w:ascii="Arial" w:cs="Arial" w:eastAsia="Arial" w:hAnsi="Arial"/>
          <w:sz w:val="15"/>
          <w:szCs w:val="15"/>
          <w:color w:val="auto"/>
        </w:rPr>
        <w:t>®</w:t>
      </w:r>
      <w:r>
        <w:rPr>
          <w:rFonts w:ascii="Arial" w:cs="Arial" w:eastAsia="Arial" w:hAnsi="Arial"/>
          <w:sz w:val="18"/>
          <w:szCs w:val="18"/>
          <w:color w:val="auto"/>
        </w:rPr>
        <w:t xml:space="preserve"> molecules are bispecific antibodies that bind two distinct immunomodulating targets expressed on two separate cell subsets. By simultaneously targeting, for example, effector immune cells and antigen-presenting cells, these compounds are thought to amplify the immune cell priming process and augment subsequent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65405</wp:posOffset>
            </wp:positionV>
            <wp:extent cx="5554980" cy="59150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5498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right="120"/>
        <w:spacing w:after="0" w:line="258" w:lineRule="auto"/>
        <w:rPr>
          <w:sz w:val="20"/>
          <w:szCs w:val="20"/>
          <w:color w:val="auto"/>
        </w:rPr>
      </w:pPr>
      <w:r>
        <w:rPr>
          <w:rFonts w:ascii="Arial" w:cs="Arial" w:eastAsia="Arial" w:hAnsi="Arial"/>
          <w:sz w:val="14"/>
          <w:szCs w:val="14"/>
          <w:b w:val="1"/>
          <w:bCs w:val="1"/>
          <w:color w:val="auto"/>
        </w:rPr>
        <w:t xml:space="preserve">Next-generation checkpoint immunomodulators. </w:t>
      </w:r>
      <w:r>
        <w:rPr>
          <w:rFonts w:ascii="Arial" w:cs="Arial" w:eastAsia="Arial" w:hAnsi="Arial"/>
          <w:sz w:val="14"/>
          <w:szCs w:val="14"/>
          <w:color w:val="auto"/>
        </w:rPr>
        <w:t>Our collaboration with Genmab potentially includes bispecific antibodies from three different classes: trans-activating, cis-activating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tumor-targeting antibodies.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Next-generation Checkpoint Immunomodulator Development Plan</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We are currently developing two next-generation checkpoint immunomodulator product candidates in collaboration with Genmab: GEN1046 (BNT311), our jointly owned PDL1x4-1BB bispecific antibody, and GEN1042 (BNT312), our jointly owned CD40x4-1BB bispecific antibody.</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80" w:type="dxa"/>
            <w:vAlign w:val="bottom"/>
            <w:gridSpan w:val="2"/>
          </w:tcPr>
          <w:p>
            <w:pPr>
              <w:jc w:val="right"/>
              <w:ind w:right="2550"/>
              <w:spacing w:after="0"/>
              <w:rPr>
                <w:sz w:val="20"/>
                <w:szCs w:val="20"/>
                <w:color w:val="auto"/>
              </w:rPr>
            </w:pPr>
            <w:r>
              <w:rPr>
                <w:rFonts w:ascii="Arial" w:cs="Arial" w:eastAsia="Arial" w:hAnsi="Arial"/>
                <w:sz w:val="14"/>
                <w:szCs w:val="14"/>
                <w:b w:val="1"/>
                <w:bCs w:val="1"/>
                <w:color w:val="auto"/>
                <w:w w:val="91"/>
              </w:rPr>
              <w:t>Candidate</w:t>
            </w:r>
          </w:p>
        </w:tc>
        <w:tc>
          <w:tcPr>
            <w:tcW w:w="2540" w:type="dxa"/>
            <w:vAlign w:val="bottom"/>
          </w:tcPr>
          <w:p>
            <w:pPr>
              <w:ind w:left="1040"/>
              <w:spacing w:after="0"/>
              <w:rPr>
                <w:sz w:val="20"/>
                <w:szCs w:val="20"/>
                <w:color w:val="auto"/>
              </w:rPr>
            </w:pPr>
            <w:r>
              <w:rPr>
                <w:rFonts w:ascii="Arial" w:cs="Arial" w:eastAsia="Arial" w:hAnsi="Arial"/>
                <w:sz w:val="14"/>
                <w:szCs w:val="14"/>
                <w:b w:val="1"/>
                <w:bCs w:val="1"/>
                <w:color w:val="auto"/>
              </w:rPr>
              <w:t>Targets</w:t>
            </w:r>
          </w:p>
        </w:tc>
        <w:tc>
          <w:tcPr>
            <w:tcW w:w="220" w:type="dxa"/>
            <w:vAlign w:val="bottom"/>
          </w:tcPr>
          <w:p>
            <w:pPr>
              <w:spacing w:after="0"/>
              <w:rPr>
                <w:sz w:val="16"/>
                <w:szCs w:val="16"/>
                <w:color w:val="auto"/>
              </w:rPr>
            </w:pP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2320" w:type="dxa"/>
            <w:vAlign w:val="bottom"/>
          </w:tcPr>
          <w:p>
            <w:pPr>
              <w:ind w:left="40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8"/>
              </w:rPr>
              <w:t>GEN1046</w:t>
            </w:r>
          </w:p>
        </w:tc>
        <w:tc>
          <w:tcPr>
            <w:tcW w:w="2640" w:type="dxa"/>
            <w:vAlign w:val="bottom"/>
          </w:tcPr>
          <w:p>
            <w:pPr>
              <w:jc w:val="right"/>
              <w:ind w:right="1670"/>
              <w:spacing w:after="0" w:line="189" w:lineRule="exact"/>
              <w:rPr>
                <w:sz w:val="20"/>
                <w:szCs w:val="20"/>
                <w:color w:val="auto"/>
              </w:rPr>
            </w:pPr>
            <w:r>
              <w:rPr>
                <w:rFonts w:ascii="Arial" w:cs="Arial" w:eastAsia="Arial" w:hAnsi="Arial"/>
                <w:sz w:val="18"/>
                <w:szCs w:val="18"/>
                <w:color w:val="auto"/>
              </w:rPr>
              <w:t>(BNT311)</w:t>
            </w:r>
          </w:p>
        </w:tc>
        <w:tc>
          <w:tcPr>
            <w:tcW w:w="25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PD-L1x4-1BB</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Phase 1/2a trial in multiple solid</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Data update in 2H 2020</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tumors</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280" w:type="dxa"/>
            <w:vAlign w:val="bottom"/>
            <w:gridSpan w:val="2"/>
          </w:tcPr>
          <w:p>
            <w:pPr>
              <w:jc w:val="right"/>
              <w:ind w:right="1670"/>
              <w:spacing w:after="0"/>
              <w:rPr>
                <w:sz w:val="20"/>
                <w:szCs w:val="20"/>
                <w:color w:val="auto"/>
              </w:rPr>
            </w:pPr>
            <w:r>
              <w:rPr>
                <w:rFonts w:ascii="Arial" w:cs="Arial" w:eastAsia="Arial" w:hAnsi="Arial"/>
                <w:sz w:val="18"/>
                <w:szCs w:val="18"/>
                <w:color w:val="auto"/>
                <w:w w:val="92"/>
              </w:rPr>
              <w:t>GEN1042 (BNT312)</w:t>
            </w:r>
          </w:p>
        </w:tc>
        <w:tc>
          <w:tcPr>
            <w:tcW w:w="2540" w:type="dxa"/>
            <w:vAlign w:val="bottom"/>
          </w:tcPr>
          <w:p>
            <w:pPr>
              <w:ind w:left="20"/>
              <w:spacing w:after="0"/>
              <w:rPr>
                <w:sz w:val="20"/>
                <w:szCs w:val="20"/>
                <w:color w:val="auto"/>
              </w:rPr>
            </w:pPr>
            <w:r>
              <w:rPr>
                <w:rFonts w:ascii="Arial" w:cs="Arial" w:eastAsia="Arial" w:hAnsi="Arial"/>
                <w:sz w:val="18"/>
                <w:szCs w:val="18"/>
                <w:color w:val="auto"/>
              </w:rPr>
              <w:t>CD-40x4-1BB</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Phase 1/2a trial in multiple solid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tumors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Our Antibody Discovery Engines</w:t>
      </w:r>
    </w:p>
    <w:p>
      <w:pPr>
        <w:spacing w:after="0" w:line="12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We believe that our multiple antibody discovery engines significantly expand our targeting repertoire and enable us to directly, rapidly and efficiently produce new mAb candidates. In addition, antigen-binding domain sequences identified through our antibody discovery engines also feed into our proprietary CAR-T cell and mRNA-encoded RiboMab platforms as well as our next-generation checkpoint immunomodulator collaboration. For instance, binders to human 4-1BB were identified from a previous antibody generation campaign and are currently under clinical and preclinical development as part of our next-generation checkpoint immunomodulator collaboration with Genmab. HuMab, our human antibody discovery engine</w:t>
      </w:r>
    </w:p>
    <w:p>
      <w:pPr>
        <w:sectPr>
          <w:pgSz w:w="11900" w:h="16838" w:orient="portrait"/>
          <w:cols w:equalWidth="0" w:num="1">
            <w:col w:w="11140"/>
          </w:cols>
          <w:pgMar w:left="320" w:top="459" w:right="439" w:bottom="0" w:gutter="0" w:footer="0" w:header="0"/>
        </w:sectPr>
      </w:pPr>
    </w:p>
    <w:bookmarkStart w:id="113" w:name="page114"/>
    <w:bookmarkEnd w:id="113"/>
    <w:p>
      <w:pPr>
        <w:spacing w:after="0" w:line="342" w:lineRule="auto"/>
        <w:rPr>
          <w:sz w:val="20"/>
          <w:szCs w:val="20"/>
          <w:color w:val="auto"/>
        </w:rPr>
      </w:pPr>
      <w:r>
        <w:rPr>
          <w:rFonts w:ascii="Arial" w:cs="Arial" w:eastAsia="Arial" w:hAnsi="Arial"/>
          <w:sz w:val="16"/>
          <w:szCs w:val="16"/>
          <w:color w:val="auto"/>
        </w:rPr>
        <w:t>acquired from MabVax Therapeutics in 2019, led to the clinical development of our fully human IgG1 monoclonal antibody product candidate targeting Sialyl Lewisa (sLea), a carbohydrate moiety that is present in over 90% of pancreatic and a large percentage of gastrointestinal cancers.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40"/>
          </w:cols>
          <w:pgMar w:left="440" w:top="125"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60" w:hanging="353"/>
        <w:spacing w:after="0"/>
        <w:tabs>
          <w:tab w:leader="none" w:pos="146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Rabbit-based Antibody Discovery Engine</w:t>
      </w:r>
    </w:p>
    <w:p>
      <w:pPr>
        <w:spacing w:after="0" w:line="225"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With the acquisition of MAB Discovery GmbH’s antibody generation unit in 2019, we integrated a unique and proprietary rabbit-based antibody discovery platform that can generate and develop high quality, functional mAbs targeting traditional proteins and receptors as well as a wide variety of more challenging targets. Rabbit monoclonal antibodies are highly diverse and do not require affinity maturation, due to consistently high affinities.</w:t>
      </w:r>
    </w:p>
    <w:p>
      <w:pPr>
        <w:spacing w:after="0" w:line="2" w:lineRule="exact"/>
        <w:rPr>
          <w:sz w:val="20"/>
          <w:szCs w:val="20"/>
          <w:color w:val="auto"/>
        </w:rPr>
      </w:pPr>
    </w:p>
    <w:p>
      <w:pPr>
        <w:ind w:left="120" w:right="140"/>
        <w:spacing w:after="0" w:line="302" w:lineRule="auto"/>
        <w:rPr>
          <w:sz w:val="20"/>
          <w:szCs w:val="20"/>
          <w:color w:val="auto"/>
        </w:rPr>
      </w:pPr>
      <w:r>
        <w:rPr>
          <w:rFonts w:ascii="Arial" w:cs="Arial" w:eastAsia="Arial" w:hAnsi="Arial"/>
          <w:sz w:val="16"/>
          <w:szCs w:val="16"/>
          <w:color w:val="auto"/>
        </w:rPr>
        <w:t>They often recognize epitopes on human antigens that are not immunogenic in rodents, thus increasing the total number of targetable epitopes. The mechanisms of antibody diversification in rabbits allow an easy and quick translation of preclinical data into the clinic with an improved probability of success. We established a streamlined semi-automated process of rabbit immunization for the efficient production of high-affinity rabbit 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853440</wp:posOffset>
            </wp:positionV>
            <wp:extent cx="6995160" cy="4465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rabbit-based antibody discovery engine. </w:t>
      </w:r>
      <w:r>
        <w:rPr>
          <w:rFonts w:ascii="Arial" w:cs="Arial" w:eastAsia="Arial" w:hAnsi="Arial"/>
          <w:sz w:val="14"/>
          <w:szCs w:val="14"/>
          <w:color w:val="auto"/>
        </w:rPr>
        <w:t>The figure above depicts our semi-automated process for the discovery and production of high-affinity rabbit mAbs.</w:t>
      </w:r>
    </w:p>
    <w:p>
      <w:pPr>
        <w:spacing w:after="0" w:line="320" w:lineRule="exact"/>
        <w:rPr>
          <w:sz w:val="20"/>
          <w:szCs w:val="20"/>
          <w:color w:val="auto"/>
        </w:rPr>
      </w:pPr>
    </w:p>
    <w:p>
      <w:pPr>
        <w:ind w:left="1460" w:hanging="353"/>
        <w:spacing w:after="0"/>
        <w:tabs>
          <w:tab w:leader="none" w:pos="146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Fully Human Antibody Discovery Engine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HuMab discovery technology focuses on abnormal carbohydrate targets upregulated on solid tumors. Aberrant glycosylation is a common phenotypic change of cancer cells that mainly affects the outer part of glycans. These abnormal carbohydrate structures are known as tumor-associated carbohydrate antigens, or TACAs, and are associated with malignancy grade, invasion, metastasis and poor prognosis. TACAs are considered promising novel targets for therapeutic intervention using, in particular, mAbs or CAR-T cells. However, TACAs usually induce only low-affinity humoral immune responses, since carbohydrate moieties do not trigger the necessary T cell responses.</w:t>
      </w:r>
    </w:p>
    <w:p>
      <w:pPr>
        <w:spacing w:after="0" w:line="17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Using B cell sorting, hit identification, sequencing, antibody production and high-throughput antibody screening, we are able to select optimal TACA-specific antibodies from multiple clinically confirmed</w:t>
      </w:r>
    </w:p>
    <w:p>
      <w:pPr>
        <w:sectPr>
          <w:pgSz w:w="11900" w:h="16838" w:orient="portrait"/>
          <w:cols w:equalWidth="0" w:num="1">
            <w:col w:w="11120"/>
          </w:cols>
          <w:pgMar w:left="320" w:top="459" w:right="459" w:bottom="939"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9" w:right="459" w:bottom="939" w:gutter="0" w:footer="0" w:header="0"/>
          <w:type w:val="continuous"/>
        </w:sectPr>
      </w:pPr>
    </w:p>
    <w:bookmarkStart w:id="115" w:name="page116"/>
    <w:bookmarkEnd w:id="115"/>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immunotherapy responders. All antibodies emanating from this platform are fully human with no need for additional humanization at minimal risk for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1600200</wp:posOffset>
            </wp:positionV>
            <wp:extent cx="6995160" cy="29914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120"/>
        <w:spacing w:after="0" w:line="258" w:lineRule="auto"/>
        <w:rPr>
          <w:sz w:val="20"/>
          <w:szCs w:val="20"/>
          <w:color w:val="auto"/>
        </w:rPr>
      </w:pPr>
      <w:r>
        <w:rPr>
          <w:rFonts w:ascii="Arial" w:cs="Arial" w:eastAsia="Arial" w:hAnsi="Arial"/>
          <w:sz w:val="14"/>
          <w:szCs w:val="14"/>
          <w:b w:val="1"/>
          <w:bCs w:val="1"/>
          <w:color w:val="auto"/>
        </w:rPr>
        <w:t xml:space="preserve">Our fully human antibody discovery engine. </w:t>
      </w:r>
      <w:r>
        <w:rPr>
          <w:rFonts w:ascii="Arial" w:cs="Arial" w:eastAsia="Arial" w:hAnsi="Arial"/>
          <w:sz w:val="14"/>
          <w:szCs w:val="14"/>
          <w:color w:val="auto"/>
        </w:rPr>
        <w:t>The figure above shows our proprietary approach to the discovery and development of novel fully human antibody therapeutic and diagnostic</w:t>
      </w:r>
      <w:r>
        <w:rPr>
          <w:rFonts w:ascii="Arial" w:cs="Arial" w:eastAsia="Arial" w:hAnsi="Arial"/>
          <w:sz w:val="14"/>
          <w:szCs w:val="14"/>
          <w:b w:val="1"/>
          <w:bCs w:val="1"/>
          <w:color w:val="auto"/>
        </w:rPr>
        <w:t xml:space="preserve"> </w:t>
      </w:r>
      <w:r>
        <w:rPr>
          <w:rFonts w:ascii="Arial" w:cs="Arial" w:eastAsia="Arial" w:hAnsi="Arial"/>
          <w:sz w:val="14"/>
          <w:szCs w:val="14"/>
          <w:color w:val="auto"/>
        </w:rPr>
        <w:t>agents.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Targeted Cancer Antibody Development Plan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Targets</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Development Phase</w:t>
            </w:r>
          </w:p>
        </w:tc>
        <w:tc>
          <w:tcPr>
            <w:tcW w:w="220" w:type="dxa"/>
            <w:vAlign w:val="bottom"/>
          </w:tcPr>
          <w:p>
            <w:pPr>
              <w:spacing w:after="0"/>
              <w:rPr>
                <w:sz w:val="16"/>
                <w:szCs w:val="16"/>
                <w:color w:val="auto"/>
              </w:rPr>
            </w:pPr>
          </w:p>
        </w:tc>
        <w:tc>
          <w:tcPr>
            <w:tcW w:w="2420" w:type="dxa"/>
            <w:vAlign w:val="bottom"/>
          </w:tcPr>
          <w:p>
            <w:pPr>
              <w:ind w:left="4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3100" w:type="dxa"/>
            <w:vAlign w:val="bottom"/>
            <w:gridSpan w:val="2"/>
          </w:tcPr>
          <w:p>
            <w:pPr>
              <w:spacing w:after="0" w:line="189" w:lineRule="exact"/>
              <w:rPr>
                <w:sz w:val="20"/>
                <w:szCs w:val="20"/>
                <w:color w:val="auto"/>
              </w:rPr>
            </w:pPr>
            <w:r>
              <w:rPr>
                <w:rFonts w:ascii="Arial" w:cs="Arial" w:eastAsia="Arial" w:hAnsi="Arial"/>
                <w:sz w:val="18"/>
                <w:szCs w:val="18"/>
                <w:color w:val="auto"/>
              </w:rPr>
              <w:t>MVT-5873 (BNT321)</w:t>
            </w: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sLea</w:t>
            </w:r>
          </w:p>
        </w:tc>
        <w:tc>
          <w:tcPr>
            <w:tcW w:w="1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Phase 1 basket trial in multiple</w:t>
            </w: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4"/>
              </w:rPr>
              <w:t>solid tumors; first patient enrolled</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 Our Small Molecule Immunomodulator 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1912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19126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Small Molecule Immunomodulators</w:t>
      </w:r>
    </w:p>
    <w:p>
      <w:pPr>
        <w:spacing w:after="0" w:line="127" w:lineRule="exact"/>
        <w:rPr>
          <w:sz w:val="20"/>
          <w:szCs w:val="20"/>
          <w:color w:val="auto"/>
        </w:rPr>
      </w:pPr>
    </w:p>
    <w:p>
      <w:pPr>
        <w:ind w:left="540" w:right="40" w:hanging="316"/>
        <w:spacing w:after="0" w:line="282"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Small molecule therapies, with a specific focus on TLRs, that can be used synergistically with other cancer therapeutics, including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in our portfolio.</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252" w:lineRule="exact"/>
        <w:rPr>
          <w:rFonts w:ascii="Arial" w:cs="Arial" w:eastAsia="Arial" w:hAnsi="Arial"/>
          <w:sz w:val="18"/>
          <w:szCs w:val="18"/>
          <w:color w:val="auto"/>
        </w:rPr>
      </w:pPr>
    </w:p>
    <w:p>
      <w:pPr>
        <w:ind w:left="540" w:right="700" w:hanging="316"/>
        <w:spacing w:after="0" w:line="282"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BNT411, our TLR7 agonist product candidate intended as a monotherapy or in combination with chemotherapy and/or</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 inhibitors.</w:t>
      </w:r>
    </w:p>
    <w:p>
      <w:pPr>
        <w:spacing w:after="0" w:line="22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Small molecule cancer therapeutics can be used to regulate cancer growth, halt blood vessel formation in tumors, deliver toxins to cancer cells and mark cancer cells for destruction by the immune system. Unlike larger antibody-based cancer therapies, small molecule compounds are often developed for targets located within cells since they can enter the cells more easily as a result of their physical properties and low molecular weight. Small molecules also often have other intrinsic benefits including relative ease and cost of production compared to larger compounds, as well as more frequently having the potential for oral administration to patients. They can also often be used synergistically in combination with other therapeutics such as mRNA, checkpoint inhibitors, radiation therapy and chemotherapy.</w:t>
      </w:r>
    </w:p>
    <w:p>
      <w:pPr>
        <w:sectPr>
          <w:pgSz w:w="11900" w:h="16942" w:orient="portrait"/>
          <w:cols w:equalWidth="0" w:num="1">
            <w:col w:w="11140"/>
          </w:cols>
          <w:pgMar w:left="320" w:top="459" w:right="439" w:bottom="0" w:gutter="0" w:footer="0" w:header="0"/>
        </w:sectPr>
      </w:pPr>
    </w:p>
    <w:bookmarkStart w:id="116" w:name="page117"/>
    <w:bookmarkEnd w:id="116"/>
    <w:p>
      <w:pPr>
        <w:ind w:firstLine="440"/>
        <w:spacing w:after="0" w:line="308" w:lineRule="auto"/>
        <w:rPr>
          <w:sz w:val="20"/>
          <w:szCs w:val="20"/>
          <w:color w:val="auto"/>
        </w:rPr>
      </w:pPr>
      <w:r>
        <w:rPr>
          <w:rFonts w:ascii="Arial" w:cs="Arial" w:eastAsia="Arial" w:hAnsi="Arial"/>
          <w:sz w:val="17"/>
          <w:szCs w:val="17"/>
          <w:color w:val="auto"/>
        </w:rPr>
        <w:t>We aim to discover and develop the next generation of small molecule immunomodulatory compounds to improve the standard of care. We have a team of approximately 25 scientists and technicians, with extensive small molecule experience, focused on drug discovery.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40" w:top="125"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Our immunomodulatory small molecule product class focuses on a range of endosomal and intracellular targets that are known to stimulate the activity of a wide range of immune cells. We have a particular emphasis on TLRs. TLRs are a family of pattern recognition receptors that function as primary sensors of the innate immune system to recognize pathogens. We believe TLRs represent a promising target class for cancer immunotherapy, particularly for inflammatory re-programming of the tumor microenvironment. In many cancers, tumors are protected by an anti-inflammatory environment, which reduces the ability of the immune system to attack the cancer cells. TLR7 agonists are able to initiate a direct cellular immune response, for example, by activating immature dendritic cells, cytotoxic T cells and NK cells, as well as stimulating the release of signal molecules such as cytokines and chemokines including IFN-a and IP-10, which can be directed against tumor cells. The activation of the innate and adaptive immune system and the release of cytokines and chemokines, for instance by our small molecule TLR7 agonist, results in the potent stimulation of antigen-specific T cells, B cells and innate immune cells such as NK cells and macrophages.</w:t>
      </w:r>
    </w:p>
    <w:p>
      <w:pPr>
        <w:spacing w:after="0" w:line="18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initial focus is on small molecule product candidates that activate the innate and adaptive immune system via TLR7 and are designed to be used in combination with chemotherapeutics as well as checkpoint inhibitors.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Small Molecule Immunomodulator Development Plan</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initial development candidate is a potent TLR7 agonist, which we are developing as a monotherapy or a combination therapy for small cell lung cancer and other solid tumors.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460" w:type="dxa"/>
            <w:vAlign w:val="bottom"/>
          </w:tcPr>
          <w:p>
            <w:pPr>
              <w:spacing w:after="0"/>
              <w:rPr>
                <w:sz w:val="16"/>
                <w:szCs w:val="16"/>
                <w:color w:val="auto"/>
              </w:rPr>
            </w:pPr>
          </w:p>
        </w:tc>
        <w:tc>
          <w:tcPr>
            <w:tcW w:w="2760" w:type="dxa"/>
            <w:vAlign w:val="bottom"/>
            <w:gridSpan w:val="2"/>
          </w:tcPr>
          <w:p>
            <w:pPr>
              <w:ind w:left="1060"/>
              <w:spacing w:after="0"/>
              <w:rPr>
                <w:sz w:val="20"/>
                <w:szCs w:val="20"/>
                <w:color w:val="auto"/>
              </w:rPr>
            </w:pPr>
            <w:r>
              <w:rPr>
                <w:rFonts w:ascii="Arial" w:cs="Arial" w:eastAsia="Arial" w:hAnsi="Arial"/>
                <w:sz w:val="14"/>
                <w:szCs w:val="14"/>
                <w:b w:val="1"/>
                <w:bCs w:val="1"/>
                <w:color w:val="auto"/>
              </w:rPr>
              <w:t>Target</w:t>
            </w:r>
          </w:p>
        </w:tc>
        <w:tc>
          <w:tcPr>
            <w:tcW w:w="2520" w:type="dxa"/>
            <w:vAlign w:val="bottom"/>
          </w:tcPr>
          <w:p>
            <w:pPr>
              <w:jc w:val="right"/>
              <w:ind w:right="576"/>
              <w:spacing w:after="0"/>
              <w:rPr>
                <w:sz w:val="20"/>
                <w:szCs w:val="20"/>
                <w:color w:val="auto"/>
              </w:rPr>
            </w:pPr>
            <w:r>
              <w:rPr>
                <w:rFonts w:ascii="Arial" w:cs="Arial" w:eastAsia="Arial" w:hAnsi="Arial"/>
                <w:sz w:val="14"/>
                <w:szCs w:val="14"/>
                <w:b w:val="1"/>
                <w:bCs w:val="1"/>
                <w:color w:val="auto"/>
              </w:rPr>
              <w:t>Development Phase</w:t>
            </w:r>
          </w:p>
        </w:tc>
        <w:tc>
          <w:tcPr>
            <w:tcW w:w="220" w:type="dxa"/>
            <w:vAlign w:val="bottom"/>
          </w:tcPr>
          <w:p>
            <w:pPr>
              <w:spacing w:after="0"/>
              <w:rPr>
                <w:sz w:val="16"/>
                <w:szCs w:val="16"/>
                <w:color w:val="auto"/>
              </w:rPr>
            </w:pPr>
          </w:p>
        </w:tc>
        <w:tc>
          <w:tcPr>
            <w:tcW w:w="2420" w:type="dxa"/>
            <w:vAlign w:val="bottom"/>
          </w:tcPr>
          <w:p>
            <w:pPr>
              <w:ind w:left="4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BNT411</w:t>
            </w:r>
          </w:p>
        </w:tc>
        <w:tc>
          <w:tcPr>
            <w:tcW w:w="2460" w:type="dxa"/>
            <w:vAlign w:val="bottom"/>
          </w:tcPr>
          <w:p>
            <w:pPr>
              <w:spacing w:after="0"/>
              <w:rPr>
                <w:sz w:val="16"/>
                <w:szCs w:val="16"/>
                <w:color w:val="auto"/>
              </w:rPr>
            </w:pPr>
          </w:p>
        </w:tc>
        <w:tc>
          <w:tcPr>
            <w:tcW w:w="2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TLR7</w:t>
            </w:r>
          </w:p>
        </w:tc>
        <w:tc>
          <w:tcPr>
            <w:tcW w:w="220" w:type="dxa"/>
            <w:vAlign w:val="bottom"/>
          </w:tcPr>
          <w:p>
            <w:pPr>
              <w:spacing w:after="0"/>
              <w:rPr>
                <w:sz w:val="16"/>
                <w:szCs w:val="16"/>
                <w:color w:val="auto"/>
              </w:rPr>
            </w:pPr>
          </w:p>
        </w:tc>
        <w:tc>
          <w:tcPr>
            <w:tcW w:w="2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7"/>
              </w:rPr>
              <w:t>Phase 1/2a trial in extensive-stage</w:t>
            </w: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jc w:val="right"/>
              <w:ind w:right="576"/>
              <w:spacing w:after="0"/>
              <w:rPr>
                <w:sz w:val="20"/>
                <w:szCs w:val="20"/>
                <w:color w:val="auto"/>
              </w:rPr>
            </w:pPr>
            <w:r>
              <w:rPr>
                <w:rFonts w:ascii="Arial" w:cs="Arial" w:eastAsia="Arial" w:hAnsi="Arial"/>
                <w:sz w:val="18"/>
                <w:szCs w:val="18"/>
                <w:color w:val="auto"/>
                <w:w w:val="91"/>
              </w:rPr>
              <w:t>small-cell lung carcinoma</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XII. OUR PRODUCT CANDIDATES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are developing a broad and deep pipeline of over 20 product candidates across our four drug classes. Our product candidates are currently being investigated in 12 clinical trials.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205740</wp:posOffset>
            </wp:positionV>
            <wp:extent cx="4560570" cy="59150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6057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139"/>
          </w:cols>
          <w:pgMar w:left="320" w:top="459" w:right="1440"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Our mRNA Product Class in Oncology</w:t>
      </w:r>
    </w:p>
    <w:p>
      <w:pPr>
        <w:spacing w:after="0" w:line="121" w:lineRule="exact"/>
        <w:rPr>
          <w:sz w:val="20"/>
          <w:szCs w:val="20"/>
          <w:color w:val="auto"/>
        </w:rPr>
      </w:pPr>
    </w:p>
    <w:p>
      <w:pPr>
        <w:ind w:left="1460" w:hanging="353"/>
        <w:spacing w:after="0"/>
        <w:tabs>
          <w:tab w:leader="none" w:pos="146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225"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FixVac is our wholly owned, systemic, off-the-shelf mRNA-based cancer immunotherapy platform, from which we are developing several first-in-human and potential first-in-class product candidates. Our FixVac product candidates contain selected combinations of pharmacologically optimized uridine mRNA encoding known cancer-specific shared antigens. FixVac product candidates feature our proprietary immunogenic mRNA backbone and proprietary RNA-LPX delivery formulation, which are designed to enhance stability and translation as well as trigger both innate and adaptive immune responses.</w:t>
      </w:r>
    </w:p>
    <w:p>
      <w:pPr>
        <w:spacing w:after="0" w:line="296" w:lineRule="exact"/>
        <w:rPr>
          <w:sz w:val="20"/>
          <w:szCs w:val="20"/>
          <w:color w:val="auto"/>
        </w:rPr>
      </w:pPr>
    </w:p>
    <w:p>
      <w:pPr>
        <w:ind w:left="1920" w:hanging="372"/>
        <w:spacing w:after="0"/>
        <w:tabs>
          <w:tab w:leader="none" w:pos="192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BNT111: Our FixVac Cancer Immunotherapy for the Treatment of Advanced Melanoma</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We are developing our mRNA-based FixVac product candidate BNT111 for the treatment of advanced melanoma in patients with metastatic tumors and as an adjuvant treatment after tumor resection. We are currently studying BNT111 in an ongoing Phase 1 clinical trial.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Melanoma</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Melanoma is an increasingly prevalent, deadly form of skin cancer in which melanocytes, which are the cells that color the skin, form malignant cells. With 132,000 new cases diagnosed globally each year, melanoma constitutes less than five percent of all skin cancers. In recent decades, however, the incidence rate of melanoma has risen faster than almost any other cancer type, on average by 1.5% per year over the last 10 years. In 2018, approximately 91,000 new melanoma cases were diagnosed in the United States, representing 5.3% of all new cancer cases in the United States.</w:t>
      </w:r>
    </w:p>
    <w:p>
      <w:pPr>
        <w:spacing w:after="0" w:line="15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Melanoma is the most lethal form of skin cancer, accounting for the majority of skin cancer deaths. There were an estimated 9,300 deaths from melanoma in the United States in 2018. While the five-year survival rate for melanoma, regardless of disease stage, is approximately 91.8%, patients with stage III melanoma have a five-year survival rate of approximately 63%. The five-year survival rate for metastatic melanoma (stage IV) is approximately 20%.</w:t>
      </w:r>
    </w:p>
    <w:p>
      <w:pPr>
        <w:spacing w:after="0" w:line="187" w:lineRule="exact"/>
        <w:rPr>
          <w:sz w:val="20"/>
          <w:szCs w:val="20"/>
          <w:color w:val="auto"/>
        </w:rPr>
      </w:pPr>
    </w:p>
    <w:p>
      <w:pPr>
        <w:jc w:val="both"/>
        <w:ind w:left="120" w:right="580" w:firstLine="440"/>
        <w:spacing w:after="0" w:line="286" w:lineRule="auto"/>
        <w:rPr>
          <w:sz w:val="20"/>
          <w:szCs w:val="20"/>
          <w:color w:val="auto"/>
        </w:rPr>
      </w:pPr>
      <w:r>
        <w:rPr>
          <w:rFonts w:ascii="Arial" w:cs="Arial" w:eastAsia="Arial" w:hAnsi="Arial"/>
          <w:sz w:val="17"/>
          <w:szCs w:val="17"/>
          <w:color w:val="auto"/>
        </w:rPr>
        <w:t>The current treatment regimen involves surgical removal for earlier stages, while a number of targeted therapies, such as BRAF and MEK inhibitors, and checkpoint inhibitors, or CPIs, are approved for advanced disease. CPIs include nivolumab (Opdivo) for advanced or metastatic melanoma after resection, and pembrolizumab (Keytruda) in unresectable or metastatic disease.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BNT111 Targets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BNT111 is designed to elicit an immune response to the following four antigens that have each been found to be associated with melanoma:</w:t>
      </w:r>
    </w:p>
    <w:p>
      <w:pPr>
        <w:spacing w:after="0" w:line="154" w:lineRule="exact"/>
        <w:rPr>
          <w:sz w:val="20"/>
          <w:szCs w:val="20"/>
          <w:color w:val="auto"/>
        </w:rPr>
      </w:pPr>
    </w:p>
    <w:p>
      <w:pPr>
        <w:ind w:left="1080" w:right="24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New York esophageal squamous cell carcinoma 1, or NY-ESO-1, a well-known cancer-testis antigen that is also expressed in numerous cancers, including melanoma;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melanoma-associated antigen A3, or MAGE-A3, which is not expressed in normal tissues, except the testis and the placenta;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tyrosinase, an enzyme that is required for melanin production and that is produced in increased levels in melanoma;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trans-membrane phosphatase with tensin homology, or TPTE, a novel cancer/testis antigen that we discovered internally.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sequenced 337 melanoma tumors and detected at least one of these four antigens in over 90% of such melanoma tumors.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2580005</wp:posOffset>
            </wp:positionV>
            <wp:extent cx="6995160" cy="1174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 xml:space="preserve">BNT111 antigens detected in over 90% of melanoma tumors. </w:t>
      </w:r>
      <w:r>
        <w:rPr>
          <w:rFonts w:ascii="Arial" w:cs="Arial" w:eastAsia="Arial" w:hAnsi="Arial"/>
          <w:sz w:val="14"/>
          <w:szCs w:val="14"/>
          <w:color w:val="auto"/>
        </w:rPr>
        <w:t>The graphic above shows expression of BNT111 target antigens on a patient by patient basis. Each row at the bottom of the</w:t>
      </w:r>
      <w:r>
        <w:rPr>
          <w:rFonts w:ascii="Arial" w:cs="Arial" w:eastAsia="Arial" w:hAnsi="Arial"/>
          <w:sz w:val="14"/>
          <w:szCs w:val="14"/>
          <w:b w:val="1"/>
          <w:bCs w:val="1"/>
          <w:color w:val="auto"/>
        </w:rPr>
        <w:t xml:space="preserve"> </w:t>
      </w:r>
      <w:r>
        <w:rPr>
          <w:rFonts w:ascii="Arial" w:cs="Arial" w:eastAsia="Arial" w:hAnsi="Arial"/>
          <w:sz w:val="14"/>
          <w:szCs w:val="14"/>
          <w:color w:val="auto"/>
        </w:rPr>
        <w:t>graphic represents an antigen, and each vertical line represents a patient, depicting whether or not that patient expressed each antigen.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BNT111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Trial in Advanced Melanoma Patients (LIPOMERIT study)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conducting a multi-center, open-label, first-in-human, Phase 1 dose escalation study evaluating the safety and tolerability of multiple intravenous administrations of BNT111 in patients with advanced melanoma. This is the first clinical trial worldwide in which an mRNA-based cancer immunotherapy is administered intravenously for systemic treatment.</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trial employs a conventional 3+3 design in which patients are dosed in groups of three at incrementally greater dosages until the maximum tolerated dose is identified, during the dose escalation phase, which is then followed by expanded dose cohorts. Patients are treated with doses from 7.2µg up to the highest administered dose of 400µg of total mRNA.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July 2019 Interim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the July 2019 interim cut-off date, 95 patients with metastatic melanoma had been dosed at least once at one of four centers in Germany. Baseline and demographic characteristics were largely as expected for a trial recruiting advanced stage IIIB-IIIC and stage IV melanoma patients with and without measurable disease. Approximately half of the patients were resected and had radiographically non-evaluable disease at baseline. The other half of the patients had radiographically evaluable disease at baseline and most of these patients were heavily pretreated. Only the subset of patients with evaluable disease at baseline was assessed for preliminary clinical activity.</w:t>
      </w:r>
    </w:p>
    <w:p>
      <w:pPr>
        <w:spacing w:after="0" w:line="188" w:lineRule="exact"/>
        <w:rPr>
          <w:sz w:val="20"/>
          <w:szCs w:val="20"/>
          <w:color w:val="auto"/>
        </w:rPr>
      </w:pPr>
    </w:p>
    <w:p>
      <w:pPr>
        <w:jc w:val="both"/>
        <w:ind w:left="120" w:right="60" w:firstLine="440"/>
        <w:spacing w:after="0" w:line="293" w:lineRule="auto"/>
        <w:rPr>
          <w:sz w:val="20"/>
          <w:szCs w:val="20"/>
          <w:color w:val="auto"/>
        </w:rPr>
      </w:pPr>
      <w:r>
        <w:rPr>
          <w:rFonts w:ascii="Arial" w:cs="Arial" w:eastAsia="Arial" w:hAnsi="Arial"/>
          <w:sz w:val="16"/>
          <w:szCs w:val="16"/>
          <w:i w:val="1"/>
          <w:iCs w:val="1"/>
          <w:color w:val="auto"/>
        </w:rPr>
        <w:t xml:space="preserve">Immunogenicity. </w:t>
      </w:r>
      <w:r>
        <w:rPr>
          <w:rFonts w:ascii="Arial" w:cs="Arial" w:eastAsia="Arial" w:hAnsi="Arial"/>
          <w:sz w:val="16"/>
          <w:szCs w:val="16"/>
          <w:color w:val="auto"/>
        </w:rPr>
        <w:t>Immune responses induced by BNT111 were assessed using various orthogonal assay systems by analyzing T cells against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vaccine antigen in pre- and post-treatment blood samples of patients. So far, about half of the dosed patients have been analyzed for immune responses in this ongoing study. A first analysis in a subset of 18 patients evaluated vaccine antigen reactivity of CD4+ and CD8+ T cells by IFN-α ELISpot after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stimulation. All tested patients showed either a de novo or an augmented (as compared to baseline) immune response against at least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BNT111-encoded tumor antigens. Most patients exhibited either CD4+ or concurrently CD4+ and CD8+ T cell responses against the individual vaccine targets. A second analysis looked at the magnitude of immune responses on the individual level by using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IFN-α ELISpot, which due to its</w:t>
      </w:r>
    </w:p>
    <w:p>
      <w:pPr>
        <w:sectPr>
          <w:pgSz w:w="11900" w:h="16838" w:orient="portrait"/>
          <w:cols w:equalWidth="0" w:num="1">
            <w:col w:w="11120"/>
          </w:cols>
          <w:pgMar w:left="320" w:top="459" w:right="459" w:bottom="0" w:gutter="0" w:footer="0" w:header="0"/>
        </w:sectPr>
      </w:pPr>
    </w:p>
    <w:bookmarkStart w:id="121" w:name="page122"/>
    <w:bookmarkEnd w:id="121"/>
    <w:p>
      <w:pPr>
        <w:spacing w:after="0" w:line="255" w:lineRule="auto"/>
        <w:rPr>
          <w:sz w:val="20"/>
          <w:szCs w:val="20"/>
          <w:color w:val="auto"/>
        </w:rPr>
      </w:pPr>
      <w:r>
        <w:rPr>
          <w:rFonts w:ascii="Arial" w:cs="Arial" w:eastAsia="Arial" w:hAnsi="Arial"/>
          <w:sz w:val="18"/>
          <w:szCs w:val="18"/>
          <w:color w:val="auto"/>
        </w:rPr>
        <w:t xml:space="preserve">sensitivity level would capture only very strong T cell responses, and showed that more than 75% of patients exhibited vaccine-induced CD4+ or CD8+ T cell responses. The kinetics of </w:t>
      </w:r>
      <w:r>
        <w:rPr>
          <w:rFonts w:ascii="Arial" w:cs="Arial" w:eastAsia="Arial" w:hAnsi="Arial"/>
          <w:sz w:val="18"/>
          <w:szCs w:val="18"/>
          <w:i w:val="1"/>
          <w:iCs w:val="1"/>
          <w:color w:val="auto"/>
        </w:rPr>
        <w:t>de novo</w:t>
      </w:r>
      <w:r>
        <w:rPr>
          <w:rFonts w:ascii="Arial" w:cs="Arial" w:eastAsia="Arial" w:hAnsi="Arial"/>
          <w:sz w:val="18"/>
          <w:szCs w:val="18"/>
          <w:color w:val="auto"/>
        </w:rPr>
        <w:t>-induced CD8+ T cells were further characterized in selected patients of interest by a third method using e</w:t>
      </w:r>
      <w:r>
        <w:rPr>
          <w:rFonts w:ascii="Arial" w:cs="Arial" w:eastAsia="Arial" w:hAnsi="Arial"/>
          <w:sz w:val="18"/>
          <w:szCs w:val="18"/>
          <w:i w:val="1"/>
          <w:iCs w:val="1"/>
          <w:color w:val="auto"/>
        </w:rPr>
        <w:t>x vivo</w:t>
      </w:r>
      <w:r>
        <w:rPr>
          <w:rFonts w:ascii="Arial" w:cs="Arial" w:eastAsia="Arial" w:hAnsi="Arial"/>
          <w:sz w:val="18"/>
          <w:szCs w:val="18"/>
          <w:color w:val="auto"/>
        </w:rPr>
        <w:t xml:space="preserve"> MHC peptide multimer staining of blood samples collected at baseline and at different time points after start of vaccination. Mostly, antigen-specific T cell counts showed a fast ramp-up from being undetectable at baseline to levels ranging from 1,000 to more than 100,000 per million circulating CD8+ T cells within the first 4-8 weeks. Under monthly maintenance treatment, frequencies of individual antigen-specific T cells continued to slowly increase or remained stable up to over one year.</w:t>
      </w:r>
    </w:p>
    <w:p>
      <w:pPr>
        <w:spacing w:after="0" w:line="192"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i w:val="1"/>
          <w:iCs w:val="1"/>
          <w:color w:val="auto"/>
        </w:rPr>
        <w:t xml:space="preserve">Clinical activity. </w:t>
      </w:r>
      <w:r>
        <w:rPr>
          <w:rFonts w:ascii="Arial" w:cs="Arial" w:eastAsia="Arial" w:hAnsi="Arial"/>
          <w:sz w:val="18"/>
          <w:szCs w:val="18"/>
          <w:color w:val="auto"/>
        </w:rPr>
        <w:t>As of the July 2019 cut-off date, in our review of interim data, we assessed 42 patients with radiographically evaluable,</w:t>
      </w:r>
      <w:r>
        <w:rPr>
          <w:rFonts w:ascii="Arial" w:cs="Arial" w:eastAsia="Arial" w:hAnsi="Arial"/>
          <w:sz w:val="18"/>
          <w:szCs w:val="18"/>
          <w:i w:val="1"/>
          <w:iCs w:val="1"/>
          <w:color w:val="auto"/>
        </w:rPr>
        <w:t xml:space="preserve"> </w:t>
      </w:r>
      <w:r>
        <w:rPr>
          <w:rFonts w:ascii="Arial" w:cs="Arial" w:eastAsia="Arial" w:hAnsi="Arial"/>
          <w:sz w:val="18"/>
          <w:szCs w:val="18"/>
          <w:color w:val="auto"/>
        </w:rPr>
        <w:t>measurable disease at baseline for preliminary clinical activity according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125"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Response Evaluation Criteria in Solid Tumors, Version 1.1, or RECIST v1.1. Twenty-five of these 42 patients received BNT111 as a monotherapy, and 17 patients received BNT111 in combination with an anti-PD-1 checkpoint inhibitor, or CPI (either pembrolizumab or nivolumab).</w:t>
      </w:r>
    </w:p>
    <w:p>
      <w:pPr>
        <w:spacing w:after="0" w:line="124"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In the BNT111 monotherapy cohort, we observed clinical activity for all 25 patients. All of these patients had received at least one line of prior treatment with a checkpoint inhibitor, and 24 of the 25 patients had failed prior sequential or combination treatment with anti-PD-1 and anti-CTLA4 antibodies. Three of 25 patients (12%) showed a partial response, or PR, one patient had a metabolic complete response as measured by FGD-PET imaging and seven patients (28%) demonstrated stable disease. The clinical benefit rate, or CBR, is 44%. Two of the PRs manifested early on during treatment (at imaging day 90); the two others manifested at imaging days 180 and 360, respectively.</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the BNT111 in combination with anti-PD-1 checkpoint inhibitor cohort, 16 of the 17 patients had prior treatment with CPI. Six patients (35%) showed a partial response, and two patients (12%) demonstrated stable disease. The CBR is 47%. Objective responses were observed across all dose levels explored in expansion cohorts (14µg, 50µg and 100µg). Five of 10 (50%) patients who received the highest target dose of 100µg demonstrated a PR. By contrast, the expected ORR for anti-PD1 treatment in an anti-PD1 experienced patient population is in the range of 10%.</w:t>
      </w:r>
    </w:p>
    <w:p>
      <w:pPr>
        <w:spacing w:after="0" w:line="15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Safety</w:t>
      </w:r>
      <w:r>
        <w:rPr>
          <w:rFonts w:ascii="Arial" w:cs="Arial" w:eastAsia="Arial" w:hAnsi="Arial"/>
          <w:sz w:val="16"/>
          <w:szCs w:val="16"/>
          <w:color w:val="auto"/>
        </w:rPr>
        <w:t>. As of the July 2019 cut-off date, no dose-limiting toxicities to BNT111 have been reported. The highest explored dose level is 400µg total</w:t>
      </w:r>
      <w:r>
        <w:rPr>
          <w:rFonts w:ascii="Arial" w:cs="Arial" w:eastAsia="Arial" w:hAnsi="Arial"/>
          <w:sz w:val="16"/>
          <w:szCs w:val="16"/>
          <w:i w:val="1"/>
          <w:iCs w:val="1"/>
          <w:color w:val="auto"/>
        </w:rPr>
        <w:t xml:space="preserve"> </w:t>
      </w:r>
      <w:r>
        <w:rPr>
          <w:rFonts w:ascii="Arial" w:cs="Arial" w:eastAsia="Arial" w:hAnsi="Arial"/>
          <w:sz w:val="16"/>
          <w:szCs w:val="16"/>
          <w:color w:val="auto"/>
        </w:rPr>
        <w:t>mRNA and doses up to 100µg total mRNA were tested further in expansion cohorts. The overall adverse event profile was dominated by mild-to-moderate, transient and manageable flu-like symptoms. This profile may have been driven by the mode of action of the RNA-LPX, which activates antigen presenting cells via signaling of TLRs, resulting in a temporary, self-limiting release of a distinct range of pro-inflammatory cytokines upon intravenous application. These symptoms were managed by pre-medication with non-steroidal antipyretics, such as ibuprofen and acetaminophen. Eight subjects dosed with BNT111 experienced related treatment-emergent serious adverse events, or TESAEs. The related TESAEs were comprised of two cases of Grade 2 pyrexia, and one case each of Grade 2 asthenia, Grade 2 dizziness, Grade 3 anaphylactic reaction, Grade 3 dizziness, Grade 3 syncope, Grade 3 exudative retinopathy, Grade 3 posterior reversible encephalopathy syndrome, Grade 3 epileptic seizure, and Grade 2 suspected pancreatitis. There were confounding factors, such as treatment with other therapies or underlying medical conditions, for the subjects with related TESAEs. We could not establish a clear causal relationship between BNT111 and the cases of anaphylactic reaction, retinopathy, encephalopathy syndrome, seizure and suspected pancreatitis. There have been no deaths in this study that were assessed by the investigators as related to BNT111.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Completed Phase 1 Trial in Patients with Advanced Melanoma (MERIT study)</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2016, we published results of a first-in-human dose escalation study evaluating the safety and tolerability of intranodal administration of an earlier generation of BNT111 in patients with advanced melanoma. In this study, the earlier formulation of BNT111 targeted only NY-ESO-1 and tyrosinase.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This international, multi-center, open-label interventional study’s primary endpoints were the maximum tolerated dose for multiple dosing, safety and adverse reactions and tolerability profile of multiple dosing. The secondary endpoints were (i) to observe immunotherapy-induced immune responses following multiple treatment cycles and (ii) clinical benefit (complete response, partial response and stable disease).</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Five dosages were administered to patients sequentially: 50µg, 100µg, 300µg, 600µg, and 1,000µg. The sample size for the first three doses was three each. The 600µg dose cohort was comprised of 13 patients and the 1,000µg dose cohort was comprised of seven patients. In the 100µg, 300µg and 600µg dose cohorts, seven patients in total received continued treatment. The overall individual treatment period was 43 to 51 days and comprised eight treatment cycles of ultrasound-guided intranodal injections on days one, four, eight, 11, 15-17, 22-26, 29-35 and 43-51. In case of an optional continued treatment for patients who neither exhibited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unacceptable drug-related toxicity nor disease progression, four additional treatment cycles were administered at the same dosage that the patient had received in his or her cohort. The first cycle of continued treatment was scheduled 14-42 days after the last visit, with the second and third additional treatment cycles following after a one-month interval each. The fourth treatment cycle then followed after an interval of three months.</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occurrence of new measurable lesions was observed in only one patient of the 1,000µg dose cohort, while new non-measurable lesions were identified in seven patients. Twenty-one patients, or 75%, were classified as having immune-related stable disease and six patients, or 21.4%, had immune-related progressive disease.</w:t>
      </w:r>
    </w:p>
    <w:p>
      <w:pPr>
        <w:spacing w:after="0" w:line="184"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The most frequent adverse events included administration-site conditions, infections and infestations, musculoskeletal and connective tissue disorders, nasopharyngitis, fatigue, headache and back pain. No life-threatening adverse events nor deaths occurred in this study. Thirteen severe adverse events were reported, including infections and infestations and vascular disorders. Sixteen patients were affected by adverse events with a suspected relationship to the study drug. These were most frequently fatigue, application site erythema and application site pain. None of the drug-related adverse events was categorized as serious. No dose-limiting toxicities were observed.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expect to report Phase 1 data from the LIPOMERIT trial and to initiate a Phase 2 clinical trial with registrational potential for BNT111 in the second half of 2020.</w:t>
      </w:r>
    </w:p>
    <w:p>
      <w:pPr>
        <w:spacing w:after="0" w:line="278" w:lineRule="exact"/>
        <w:rPr>
          <w:sz w:val="20"/>
          <w:szCs w:val="20"/>
          <w:color w:val="auto"/>
        </w:rPr>
      </w:pPr>
    </w:p>
    <w:p>
      <w:pPr>
        <w:ind w:left="120" w:right="2960" w:firstLine="1432"/>
        <w:spacing w:after="0" w:line="402" w:lineRule="auto"/>
        <w:rPr>
          <w:sz w:val="20"/>
          <w:szCs w:val="20"/>
          <w:color w:val="auto"/>
        </w:rPr>
      </w:pPr>
      <w:r>
        <w:rPr>
          <w:rFonts w:ascii="Arial" w:cs="Arial" w:eastAsia="Arial" w:hAnsi="Arial"/>
          <w:sz w:val="18"/>
          <w:szCs w:val="18"/>
          <w:b w:val="1"/>
          <w:bCs w:val="1"/>
          <w:i w:val="1"/>
          <w:iCs w:val="1"/>
          <w:color w:val="auto"/>
        </w:rPr>
        <w:t xml:space="preserve">b) BNT112: Our FixVac Cancer Immunotherapy for the Treatment of Prostate Cancer </w:t>
      </w:r>
      <w:r>
        <w:rPr>
          <w:rFonts w:ascii="Arial" w:cs="Arial" w:eastAsia="Arial" w:hAnsi="Arial"/>
          <w:sz w:val="18"/>
          <w:szCs w:val="18"/>
          <w:color w:val="auto"/>
        </w:rPr>
        <w:t>We are developing BNT112 for the treatment of prostate cancer.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Prostate Cancer</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Prostate cancer is the second most common cancer amongst men worldwide and the fourth most commonly occurring cancer overall, with around 1.3 million new cases recorded worldwide in 2018 and 174,650 cases expected in 2019 in the United States alone. The stage of the prostate cancer (I-IV), alongside the prostate-specific antigen and Gleason score, are the key factors for defining the treatment options for individual cases. Surgical or radiation based approaches are often used in first-line therapy, however after relapse (up to 30-40% of patients), androgen-deprivation therapies are employed, which in turn also often becomes redundant (metastatic castration-resistant prostate cancer, or mCRPC) at which point patients are treated with either further hormonal agents or chemotherapy.</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40"/>
          </w:cols>
          <w:pgMar w:left="320" w:top="459"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BNT112 Targets</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BNT112 is designed to elicit an immune response to five prostate cancer-specific antigens, including prostate-specific antigen, or PSA, a transmembrane protein that is expressed by virtually all prostate cancers, prostatic acid phosphatase, or PAP, and three additional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734060</wp:posOffset>
            </wp:positionV>
            <wp:extent cx="6995160" cy="4732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BNT112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1/2 Clinical Trial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enrolled the first patient in an open-label, multi-center, first-in-human Phase 1/2 individual dose titration study of BNT112 in patients with mCRPC and high-risk localized prostate cancer, or LPC, in the second half of 2019. Eligible patients have newly-diagnosed, high-risk, localized prostate cancer and will be treated with BNT112 as a single agent, in combination with cemiplimab and goserelin acetate or in combination with goserelin acetate alone. We anticipate a total enrollment of 60 to 80 patients at up to 20 investigational sites.</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study is designed to evaluate the safety, tolerability, immunogenicity and preliminary efficacy of BNT112 in mCRPC and LPC patients. The primary objective of this study will be to establish the safety and tolerability of BNT112 alone, or in combination with goserelin acetate with or without cemiplimab. The secondary objectives of the trial will be to examine the immunogenicity of BNT112 alone or in combination with goserelin acetate with or without cemiplimab, and to evaluate anti-tumor activity based on levels of prostate-specific antigen, or PSA.</w:t>
      </w:r>
    </w:p>
    <w:p>
      <w:pPr>
        <w:spacing w:after="0" w:line="17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study will consist of three arms. The first arm will start with a dose titration phase for the initial safety assessment and recommended expansion dose range assessment. We anticipate enrollment of approximately 20 patients in arm one who will receive BNT112 alone, with up to nine patients participating in the dose titration part of the arm (with staggered starting groups of three patients one week apart). Titration will continue until unacceptable toxicity or disease progression. Efficacy in the first arm will be assessed by on-treatment imaging and in the second and third arms by tumor volume measurement.</w:t>
      </w:r>
    </w:p>
    <w:p>
      <w:pPr>
        <w:sectPr>
          <w:pgSz w:w="11900" w:h="16838" w:orient="portrait"/>
          <w:cols w:equalWidth="0" w:num="1">
            <w:col w:w="11120"/>
          </w:cols>
          <w:pgMar w:left="320" w:top="459" w:right="459" w:bottom="235"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120"/>
          </w:cols>
          <w:pgMar w:left="320" w:top="459" w:right="459" w:bottom="235"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After at least six patients are treated and evaluable for at least one treatment cycle, we plan to commence enrollment of the second and third arms, each enrolling approximately 20 patients with newly diagnosed LPC. Patients in the second arm will receive BNT112 combined with goserelin acetate and cemiplimab, and patients in the third arm will receive BNT112 combined with goserelin acetate alone. Treatment periods in the second and third arms will last until unacceptable toxicity or until the end of the eighth cycle, which will be followed by planned radical prostatectomy.</w:t>
      </w:r>
    </w:p>
    <w:p>
      <w:pPr>
        <w:spacing w:after="0" w:line="306" w:lineRule="exact"/>
        <w:rPr>
          <w:sz w:val="20"/>
          <w:szCs w:val="20"/>
          <w:color w:val="auto"/>
        </w:rPr>
      </w:pPr>
    </w:p>
    <w:p>
      <w:pPr>
        <w:ind w:left="2080" w:hanging="533"/>
        <w:spacing w:after="0"/>
        <w:tabs>
          <w:tab w:leader="none" w:pos="208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BNT113: Our FixVac Cancer Immunotherapy for the Treatment of HPV+ Head and Neck Cancer</w:t>
      </w:r>
    </w:p>
    <w:p>
      <w:pPr>
        <w:spacing w:after="0" w:line="117" w:lineRule="exact"/>
        <w:rPr>
          <w:sz w:val="20"/>
          <w:szCs w:val="20"/>
          <w:color w:val="auto"/>
        </w:rPr>
      </w:pPr>
    </w:p>
    <w:p>
      <w:pPr>
        <w:ind w:left="120" w:right="960" w:firstLine="440"/>
        <w:spacing w:after="0" w:line="342" w:lineRule="auto"/>
        <w:rPr>
          <w:sz w:val="20"/>
          <w:szCs w:val="20"/>
          <w:color w:val="auto"/>
        </w:rPr>
      </w:pPr>
      <w:r>
        <w:rPr>
          <w:rFonts w:ascii="Arial" w:cs="Arial" w:eastAsia="Arial" w:hAnsi="Arial"/>
          <w:sz w:val="16"/>
          <w:szCs w:val="16"/>
          <w:color w:val="auto"/>
        </w:rPr>
        <w:t>We are developing BNT113 for the treatment of HPV+ head and neck cancer. BNT113 is currently being studied by the University of Southampton in an ongoing investigator-sponsored Phase 1/2 basket study in HPV+ cancers, including head and neck cancer.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HPV+ Head and Neck Cancer</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Head and neck cancer defines a heterogeneous group of tumors originating in the squamous cells that line the moist, mucosal surfaces inside the head and neck. Head and neck cancer is the sixth most common malignancy worldwide, accounting for approximately 6% of all cancer cases, and is responsible for 1-2% of all cancer deaths. An increasing percentage of this cancer is now attributed to HPV infection in the United States and Europe, particularly those arising from the oropharynx. In the U.S., HPV-related oropharynx cancer, or OPC, is one of only five cancers with rising incidence and prevalence. The percentage of OPC related to HPV rose from approximately 16% in 1984 to 1989 to approximately 72% during 2000 to 2004. Early stage head and neck cancer is typically either treated with surgery or radiation alone, however approximately 66% of patients present with advanced disease and fewer than 30% of these are cured. The management of advanced disease consists of multiple-modality therapy with surgery, radiation and chemotherapy. Long-term survival rates in these patients have not increased significantly in the past 30 years: five-year survival rates are 60-80%.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BNT113 Targets</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BNT113 is designed to elicit an immune response against the well-characterized HPV16-derived oncoproteins E6 and E7, which are strongly immunogenic, viral neoantigens that are found in HPV16+ solid cancers such as head and neck squamous cell carcinoma.</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BNT113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1/2 Basket Study (Investigator-Sponsored)</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BNT113 is being studied in an investigator sponsored open-label, Phase 1/2 dose escalation basket study with two different arms in approximately 44 patients with HPV+ head and neck and other cancers. The first arm will perform dose escalation in patients with previously treated HPV+ head and neck cancer using two dose cohorts to establish a safe, tolerable and recommended dose of BNT113. The second arm will perform dose escalation in patients with advanced HPV+ cancers, including head and neck, anogenital, penile and cervical cancers, using a single cohort to establish a safe, tolerable and recommended dose.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initiate a Phase 2 trial with registrational potential of BNT113 in HPV+ cancers by the end of 2020.</w:t>
      </w:r>
    </w:p>
    <w:p>
      <w:pPr>
        <w:spacing w:after="0" w:line="374" w:lineRule="exact"/>
        <w:rPr>
          <w:sz w:val="20"/>
          <w:szCs w:val="20"/>
          <w:color w:val="auto"/>
        </w:rPr>
      </w:pPr>
    </w:p>
    <w:p>
      <w:pPr>
        <w:jc w:val="center"/>
        <w:ind w:left="5500" w:right="1760" w:hanging="3953"/>
        <w:spacing w:after="0" w:line="449" w:lineRule="auto"/>
        <w:tabs>
          <w:tab w:leader="none" w:pos="2091" w:val="left"/>
        </w:tabs>
        <w:numPr>
          <w:ilvl w:val="0"/>
          <w:numId w:val="1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BNT114: Our FixVac Cancer Immunotherapy for the Treatment of Triple Negative Breast Cancer </w:t>
      </w: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are currently studying antigens selected for BNT114 in a three-arm clinical trial as both a monotherapy and in combination with our RO7198457 (BNT122) individualized iNeST immunotherapy in patients with triple negative breast cancers.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Triple Negative Breast Cancer (TNBC)</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Breast cancer is the most commonly occurring cancer in women and the second most common cancer overall with over two million new cases globally in 2018 with an expected 268,600 cases in 2019 in the United States alone. There are three broadly defined categories of breast cancer. About 80% of breast cancers are defined as ER+, meaning that they grow in response to the hormone estrogen, while 65% of these are also defined as PR+, as they also grow in response to another hormone, progesterone. Such cancers can be identified by the presence of estrogen receptors, or ER, and/or progesterone receptors, or PR, on the cancer cell surface and are more likely to be treatable by hormone therapies than cancers that are ER or PR negative. In about 20% of cancers, the tumor can be identified by its production of an excess of the HER2 protein. Such HER2+ cancers tend to be aggressive and fast moving. Breast cancers that neither express ER or PR, nor over-express HER2-, are known as triple negative breast cancers, or TNBCs. TNBC patients represent approximately 12-15% of all breast cancer cases, however it remains an area of high unmet medical need given it is typically the most aggressive form of breast cancer. There are currently no effective treatments for TNBC. While initial treatment options include surgery or chemotherapy, TNBC is characterized by rapid resistance to chemotherapy, and few remaining treatment options remain thereafter.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BNT114 Targets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BNT114 is designed to elicit an immune response to selected antigens that are found in breast cancers.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BNT114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 (BNT114 monotherapy and in combination with RO7198457 (BNT122))</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currently conducting an international, multi-center, open-label, three-arm Phase 1 study of BNT114 as a monotherapy and in combination with our RO7198457 (BNT122) individualized iNeST immunotherapy in 39 TNBC patients who had previously received the standard of care therapy (</w:t>
      </w:r>
      <w:r>
        <w:rPr>
          <w:rFonts w:ascii="Arial" w:cs="Arial" w:eastAsia="Arial" w:hAnsi="Arial"/>
          <w:sz w:val="18"/>
          <w:szCs w:val="18"/>
          <w:i w:val="1"/>
          <w:iCs w:val="1"/>
          <w:color w:val="auto"/>
        </w:rPr>
        <w:t>i.e.</w:t>
      </w:r>
      <w:r>
        <w:rPr>
          <w:rFonts w:ascii="Arial" w:cs="Arial" w:eastAsia="Arial" w:hAnsi="Arial"/>
          <w:sz w:val="18"/>
          <w:szCs w:val="18"/>
          <w:color w:val="auto"/>
        </w:rPr>
        <w:t>, surgery, chemotherapy and/or radiotherapy). The primary endpoints of the study are to assess safety and tolerability. Safety will be analyzed by adverse event documentation and clinical observation and tolerability will be analyzed based on patients’ vital signs and clinical chemistry. The secondary endpoint of the study is the observation of the treatment-induced immune responses, expressed as treatment-induced T cell responses, resulting from multiple treatment cycles.</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Patients in the first arm receive BNT114, patients in the second arm receive BNT114 in combination with RO7198457 (BNT122) and patients in the third arm receive BNT114 in combination with mRNA encoding tetanus-toxin help epitopes.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report a data update in the second half of 2020 and assess the immunogenicity of the selected antigens.</w:t>
      </w:r>
    </w:p>
    <w:p>
      <w:pPr>
        <w:spacing w:after="0" w:line="374" w:lineRule="exact"/>
        <w:rPr>
          <w:sz w:val="20"/>
          <w:szCs w:val="20"/>
          <w:color w:val="auto"/>
        </w:rPr>
      </w:pPr>
    </w:p>
    <w:p>
      <w:pPr>
        <w:ind w:left="2080" w:hanging="533"/>
        <w:spacing w:after="0"/>
        <w:tabs>
          <w:tab w:leader="none" w:pos="208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BNT115: Our FixVac Cancer Immunotherapy for the Treatment of Ovarian Cancer</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developing BNT115 for the treatment of ovarian cancer. BNT115 is currently being studied in an ongoing investigator-sponsored Phase 1 study in ovarian cancer.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BNT115 Targets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BNT115 is designed to elicit an immune response to selected antigens that are found in ovarian cancers.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320" w:top="459" w:right="5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BNT115 Clinical Trial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Trial (Investigator Sponsored)</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BNT115 is being studied in a 10 patient investigator sponsored, first-in-human, open label, Phase 1 dose escalation study in ovarian cancer patients eligible for standard-of-care treatment with neo-adjuvant chemotherapy. Eight doses of BNT115 will be administered prior to and in combination with the neo-adjuvant chemotherapy to induce an anti-tumor immune response. Systemic immune responses will be determined using peripheral blood mononuclear cells collected before, during and after vaccinations. Intratumoral accumulation of T-cells recognizing vaccine-encoded tumor associated antigens will be determined before vaccination in a tumor biopsy and after 3 cycles of chemotherapy and the 5th vaccination using tumor tissue derived from interval surgery.</w:t>
      </w:r>
    </w:p>
    <w:p>
      <w:pPr>
        <w:spacing w:after="0" w:line="341" w:lineRule="exact"/>
        <w:rPr>
          <w:sz w:val="20"/>
          <w:szCs w:val="20"/>
          <w:color w:val="auto"/>
        </w:rPr>
      </w:pPr>
    </w:p>
    <w:p>
      <w:pPr>
        <w:ind w:left="2080" w:hanging="533"/>
        <w:spacing w:after="0"/>
        <w:tabs>
          <w:tab w:leader="none" w:pos="208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FixVac Indications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also exploring FixVac development candidates in other cancer indications, including non-small cell lung cancer.</w:t>
      </w:r>
    </w:p>
    <w:p>
      <w:pPr>
        <w:spacing w:after="0" w:line="374" w:lineRule="exact"/>
        <w:rPr>
          <w:sz w:val="20"/>
          <w:szCs w:val="20"/>
          <w:color w:val="auto"/>
        </w:rPr>
      </w:pPr>
    </w:p>
    <w:p>
      <w:pPr>
        <w:ind w:left="2080" w:hanging="533"/>
        <w:spacing w:after="0"/>
        <w:tabs>
          <w:tab w:leader="none" w:pos="2080"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iNeST product candidate is an individualized cancer immunotherapy that targets specific neoantigens that are present on a patient’s tumor. Our iNeST immunotherapies contain pharmacologically optimized uridine mRNA encoding up to 20 patient-specific neoantigens, as well as our proprietary RNA-LPX formulation. We are developing our iNeST cancer immunotherapy in collaboration with Genentech.</w:t>
      </w:r>
    </w:p>
    <w:p>
      <w:pPr>
        <w:spacing w:after="0" w:line="314" w:lineRule="exact"/>
        <w:rPr>
          <w:sz w:val="20"/>
          <w:szCs w:val="20"/>
          <w:color w:val="auto"/>
        </w:rPr>
      </w:pPr>
    </w:p>
    <w:p>
      <w:pPr>
        <w:ind w:left="2080" w:hanging="533"/>
        <w:spacing w:after="0"/>
        <w:tabs>
          <w:tab w:leader="none" w:pos="208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BNT122: Our iNeST Cancer Immunotherapy for Multiple Potential Indications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and our collaborator Genentech are developing RO7198457 (BNT122) for the treatment of metastatic melanoma and other solid tumors. We are currently conducting a randomized Phase 2 trial of RO7198457 (BNT122) in collaboration with Genentech in first-line melanoma in combination with pembrolizumab. In collaboration with Genentech, we are also studying RO7198457 (BNT122) as a monotherapy and in combination with atezolizumab in a Phase 1a/1b study of patients with locally advanced or metastatic solid tumors (including in melanoma, non-small cell lung cancer, bladder cancer as well as other solid tumors). The Phase 1a/1b trial is a non-registrational, signal-seeking study recruiting mostly patients with late-stage advanced cancers including patients who failed multiple lines of prior treatment.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RO7198457 (BNT122) Targets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RO7198457 (BNT122) is an individualized neoantigen-specific immunotherapy. Each RO7198457 (BNT122) dose includes up to 20 different neoepitopes selected on a patient-by-patient basis. We believe that neoepitope-specific T cells induced by RO7198457 (BNT122) can enhance the therapeutic efficacy of immune checkpoint blockade.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RO7198457 (BNT122)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2 Clinical Trial (First-line with pembrolizumab)</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January 2019, we and Genentech initiated a Phase 2, open-label, multi-center, randomized clinical trial investigating the safety and efficacy of RO7198457 (BNT122) in combination with pembrolizumab in 132 patients with previously untreated metastatic melanoma. Patients in the experimental arm will receive pembrolizumab by intravenous infusion every three weeks, plus a selected dose of RO7198457 (BNT122) at defined intervals. Patients in the active comparator arm will receive 200mg of pembrolizumab by intravenous infusion every three weeks. Following treatment in the comparator arm, patients will be permitted to cross over to combination therapy with RO7198457 (BNT122).</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endpoint is:</w:t>
      </w:r>
    </w:p>
    <w:p>
      <w:pPr>
        <w:spacing w:after="0" w:line="131" w:lineRule="exact"/>
        <w:rPr>
          <w:sz w:val="20"/>
          <w:szCs w:val="20"/>
          <w:color w:val="auto"/>
        </w:rPr>
      </w:pPr>
    </w:p>
    <w:p>
      <w:pPr>
        <w:ind w:left="1080" w:right="4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progression-free survival, or PFS, of patients treated with RO7198457 (BNT122) compared with patients receiving pembrolizumab alone, according to RECIST v1.1.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Secondary endpoints include:</w:t>
      </w:r>
    </w:p>
    <w:p>
      <w:pPr>
        <w:spacing w:after="0" w:line="131" w:lineRule="exact"/>
        <w:rPr>
          <w:sz w:val="20"/>
          <w:szCs w:val="20"/>
          <w:color w:val="auto"/>
        </w:rPr>
      </w:pPr>
    </w:p>
    <w:p>
      <w:pPr>
        <w:ind w:left="1080" w:right="14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objective response rate, or ORR, in patients treated with RO7198457 (BNT122) compared with patients receiving pembrolizumab alone, defined as the proportion of participants with complete response, or CR, or partial response, or PR;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overall survival, or OS, of patients treated with RO7198457 (BNT122) compared with patients receiving pembrolizumab only;</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duration of response according to RECIST v1.1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mean change in health-related quality of life, scores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percentage of patients with CR or PR following cross-over from pembrolizumab monotherapy to combination therapy following cross-over, according to RECIST v1.1;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incidence and severity of adverse events.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iNeST Phase 1a (monotherapy)/1b (in combination with atezolizumab) trial is a non-registrational, signal seeking study recruiting patients with locally advanced or metastatic solid tumors, including patients with melanoma, non-small cell lung cancer, bladder cancer, colorectal cancer, TNBC, renal cancer, head and neck cancer and sarcomas. The study is designed to enroll both patients with and without prior checkpoint inhibitor regimens.</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primary objective of the study was to assess safety (including dose-limiting toxicities), and additional objectives included evaluation of immunogenicity and preliminary assessment of anti-tumor activity. The trial included a Phase 1a (monotherapy) dose escalation, a Phase 1b (combination) dose escalation, and multiple Phase 1b expansion cohorts. Patients received nine doses of the vaccine administered I.V. in weekly and bi-weekly intervals during the induction phase and every eight cycles during the maintenance phase. In the Phase 1b portion of the trial, atezolizumab was administered on day one of each 21-day cycle.</w:t>
      </w:r>
    </w:p>
    <w:p>
      <w:pPr>
        <w:spacing w:after="0" w:line="188"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BNT122 was manufactured on a per-patient basis including in-house determination of cancer mutation profiles, computational prediction of neoantigens, design, and manufacturing of the iNeST vaccine based on liposomally formulated RNA (RNA-LPX). Each vaccine contained up to 20 patient-specific neoepitopes. Importantly, the manufacturing of BNT122 for individual patients within clinical practice compatible turn-around times was shown to be feasible using clinical biopsies or routine clinical specimens across a range of tumor types including those with low or intermediate tumor mutational burden.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June 2020 Data Updates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June 2020, we presented data from a monotherapy dose-finding cohort of our RO7198457 (BNT122) Phase 1 trial in multiple solid tumors in which RO7198457 (BNT122) was observed to have a manageable safety profile and induced strong neoantigen-specific immune responses in patients with low and intermediate mutational load tumors types. This data related to 31 patients enrolled in cohorts with doses ranging from 25-100µg. Most patients enrolled had a low level of PD-L1 expression in the tumor as determined by immunohistochemistry. The majority of adverse events were Grade 1 or Grade 2 and those occurring in more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than 20% of patients included infusion related reaction (IRR), fatigue, cytokine release syndrome (CRS), nausea, and diarrhea. IRR and CRS were transient and reversible and presented primarily as Grade 1 or Grade 2 chills and fever. A single dose-limiting toxicity of Grade 3 CRS occurred at the 100µg dose level. None of the patients discontinued RO7198457 (BNT122) due to AEs.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 cell responses were detected in approximately 86% of patients treated with RO7198457 (BNT122) as a monotherapy. RO7198457 (BNT122) induced T cells against multiple neoantigens were detected in post-treatment tumor biopsies. Of 26 patients that underwent at least one tumor assessment, one patient with gastric cancer and metastatic liver lesions had a durable best response of confirmed complete response and remains on study after 1.5 years (3.8%) and 12 patients had stable disease (46.2%).</w:t>
      </w:r>
    </w:p>
    <w:p>
      <w:pPr>
        <w:spacing w:after="0" w:line="16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Later in June 2020, we presented data from 132 patients enrolled in cohorts with doses ranging from 15µg to 50µg of RO7198457 (BNT122) in combination with 1200mg atezolizumab. The most common tumor types enrolled were NSCLC, TNBC, melanoma and colon cancer with a median of three lines of prior therapies (range 1-11). Most patients enrolled had low level of PD-L1 expression in the tumor as determined by immunohistochemistry (93% patients with &lt;5% PD-L1 expression on tumor cells (TC0/1) and 79% patients with &lt;5% PD-L1 expression on immune cell (IC0/1)). The majority of adverse events were Grade 1 or Grade 2 and those occurring in more than 15% of patients included infusion related reaction (IRR), fatigue, nausea, cytokine release syndrome (CRS) and diarrhea. IRR and CRS were transient and reversible and presented primarily as Grade 1 or Grade 2 chills and fever. There were no dose limiting toxicities. Eight patients (5.6%) discontinued due to AEs related to study drugs. RO1798457 (BNT122) induced a self-limiting increase of pro-inflammatory cytokines with each dose, consistent with the TLR agonist activity of RNA. </w:t>
      </w:r>
      <w:r>
        <w:rPr>
          <w:rFonts w:ascii="Arial" w:cs="Arial" w:eastAsia="Arial" w:hAnsi="Arial"/>
          <w:sz w:val="16"/>
          <w:szCs w:val="16"/>
          <w:i w:val="1"/>
          <w:iCs w:val="1"/>
          <w:color w:val="auto"/>
        </w:rPr>
        <w:t xml:space="preserve">Ex vivo </w:t>
      </w:r>
      <w:r>
        <w:rPr>
          <w:rFonts w:ascii="Arial" w:cs="Arial" w:eastAsia="Arial" w:hAnsi="Arial"/>
          <w:sz w:val="16"/>
          <w:szCs w:val="16"/>
          <w:color w:val="auto"/>
        </w:rPr>
        <w:t>T cell responses were observed in peripheral blood in 46 out of 63 (73%) patients. Induction of up to 5.7% MHC multimer-stained CD8+ T-cells</w:t>
      </w:r>
      <w:r>
        <w:rPr>
          <w:rFonts w:ascii="Arial" w:cs="Arial" w:eastAsia="Arial" w:hAnsi="Arial"/>
          <w:sz w:val="16"/>
          <w:szCs w:val="16"/>
          <w:i w:val="1"/>
          <w:iCs w:val="1"/>
          <w:color w:val="auto"/>
        </w:rPr>
        <w:t xml:space="preserve"> </w:t>
      </w:r>
      <w:r>
        <w:rPr>
          <w:rFonts w:ascii="Arial" w:cs="Arial" w:eastAsia="Arial" w:hAnsi="Arial"/>
          <w:sz w:val="16"/>
          <w:szCs w:val="16"/>
          <w:color w:val="auto"/>
        </w:rPr>
        <w:t>with effector memory phenotype was observed in the peripheral blood. RO7198457 (BNT122) induced T cells against multiple neoantigens were detected in post-treatment tumor biopsies. Of 108 patients that underwent at least one tumor assessment, 1 patient had a complete response as their best response (0.9%), 8 patients had partial responses (7.4%), and 53 patients had stable disease (49.1%).</w:t>
      </w:r>
    </w:p>
    <w:p>
      <w:pPr>
        <w:spacing w:after="0" w:line="16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Based on data from our study of BNT121 as an adjunct to surgery in patients with metastatic melanoma, we believe that RO7198457 (BNT122) is potentially well suited to control metastatic relapses in patients with a lower tumor burden. Additionally, RO7198457 (BNT122) as a monotherapy and in combination with atezolizumab has been observed to have a manageable safety profile to date and to induce significant levels of neoantigen-specific immune responses, even in late-stage, heavily pre-treated patients. Accordingly, we and our collaborator, Genentech, intend to initiate two additional randomized Phase 2 trials in the second half of 2020 in early and adjuvant stage NSCLC and colorectal cancer, where we believe the mechanism of action of RO7198457 (BNT122) is best suited. We also continue to investigate RO7198457 (BNT122) in our ongoing Phase 2 trial in first line melanoma in combination with pembrolizumab.</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Completed Phase 1 Clinical Trial (BNT121 First Generation iNeST)</w:t>
      </w:r>
    </w:p>
    <w:p>
      <w:pPr>
        <w:spacing w:after="0" w:line="117"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In 2017, we published the results of a 13-patient, first-in-human trial of our first-generation intranodal iNeST product candidate, BNT121, in patients with late-stage malignant melanoma. The objective of this clinical trial was to study the feasibility, safety, tolerability, immunogenicity and potential anti-tumoral activity of iNeST. All patients had stable disease at enrollment with a high risk for relapse.</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All 13 patients developed T cell immune responses against multiple immunotherapy neoepitopes at up to high single-digit percentages. As shown below, 60% of the selected neoepitopes elicited a T cell response. The detected immune response was elicited by both CD4+ and CD8+ T cells and the majority was induced </w:t>
      </w:r>
      <w:r>
        <w:rPr>
          <w:rFonts w:ascii="Arial" w:cs="Arial" w:eastAsia="Arial" w:hAnsi="Arial"/>
          <w:sz w:val="18"/>
          <w:szCs w:val="18"/>
          <w:i w:val="1"/>
          <w:iCs w:val="1"/>
          <w:color w:val="auto"/>
        </w:rPr>
        <w:t>de novo</w:t>
      </w:r>
      <w:r>
        <w:rPr>
          <w:rFonts w:ascii="Arial" w:cs="Arial" w:eastAsia="Arial" w:hAnsi="Arial"/>
          <w:sz w:val="18"/>
          <w:szCs w:val="18"/>
          <w:color w:val="auto"/>
        </w:rPr>
        <w:t>, which we believe to be an important requirement for an effective immune response and an added benefit beyond checkpoint inhibition alone.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severe adverse drug reactions were reported in the study. Common adverse events included flu-like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168910</wp:posOffset>
            </wp:positionV>
            <wp:extent cx="5263515" cy="59150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63515"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Immune responses documented in our prior BNT121 study</w:t>
      </w:r>
      <w:r>
        <w:rPr>
          <w:rFonts w:ascii="Arial" w:cs="Arial" w:eastAsia="Arial" w:hAnsi="Arial"/>
          <w:sz w:val="14"/>
          <w:szCs w:val="14"/>
          <w:color w:val="auto"/>
        </w:rPr>
        <w:t>. Patients showed immune responses, including both CD4+ and CD8+ responses, against multiple neoantigens. Source: Nature</w:t>
      </w:r>
      <w:r>
        <w:rPr>
          <w:rFonts w:ascii="Arial" w:cs="Arial" w:eastAsia="Arial" w:hAnsi="Arial"/>
          <w:sz w:val="14"/>
          <w:szCs w:val="14"/>
          <w:b w:val="1"/>
          <w:bCs w:val="1"/>
          <w:color w:val="auto"/>
        </w:rPr>
        <w:t xml:space="preserve"> </w:t>
      </w:r>
      <w:r>
        <w:rPr>
          <w:rFonts w:ascii="Arial" w:cs="Arial" w:eastAsia="Arial" w:hAnsi="Arial"/>
          <w:sz w:val="14"/>
          <w:szCs w:val="14"/>
          <w:color w:val="auto"/>
        </w:rPr>
        <w:t>547, 222-226 (13 July 2017)</w:t>
      </w:r>
      <w:r>
        <w:rPr>
          <w:rFonts w:ascii="Arial" w:cs="Arial" w:eastAsia="Arial" w:hAnsi="Arial"/>
          <w:sz w:val="14"/>
          <w:szCs w:val="14"/>
          <w:b w:val="1"/>
          <w:bCs w:val="1"/>
          <w:color w:val="auto"/>
        </w:rPr>
        <w:t>.</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320" w:top="459" w:right="5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metastases resected from two patients following treatment with BNT121 demonstrated evidence of treatment-induced infiltration with BNT121-induced neoepitope-specific T cells and neoepitope-specific killing of tumor cells. The cumulative rate of metastatic events was significantly reduced after the start of treatment, resulting in a sustained progression-free survival. Of the 13 patients entering the trial, eight patients that had no radiologically detectable lesions at start of neo-epitope vaccination were relapse free and remained recurrence-free for the whole follow-up period (12 to 23 months). Five patients experienced melanoma relapses shortly after inclusion in the trial and despite initiation of standard treatment had progressing metastases at start of their neoepitope treatment. Of these, three patients developed neoepitope treatment-related objective clinical responses. One of these patients exhibited a complete response and remained relapse-free for 26 months. The second patient had an immunotherapy-related partial response. This patient had a late relapse owing to outgrowth of ß2-microglobulin-deficient melanoma cells as an acquired resistance mechanism. A third patient developed a complete response to treatment in combination with PD-1 blockade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320040</wp:posOffset>
            </wp:positionV>
            <wp:extent cx="6995160" cy="55460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554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340"/>
        <w:spacing w:after="0" w:line="258" w:lineRule="auto"/>
        <w:rPr>
          <w:sz w:val="20"/>
          <w:szCs w:val="20"/>
          <w:color w:val="auto"/>
        </w:rPr>
      </w:pPr>
      <w:r>
        <w:rPr>
          <w:rFonts w:ascii="Arial" w:cs="Arial" w:eastAsia="Arial" w:hAnsi="Arial"/>
          <w:sz w:val="14"/>
          <w:szCs w:val="14"/>
          <w:b w:val="1"/>
          <w:bCs w:val="1"/>
          <w:color w:val="auto"/>
        </w:rPr>
        <w:t xml:space="preserve">Metastatic relapses before and after treatment with BNT121. </w:t>
      </w:r>
      <w:r>
        <w:rPr>
          <w:rFonts w:ascii="Arial" w:cs="Arial" w:eastAsia="Arial" w:hAnsi="Arial"/>
          <w:sz w:val="14"/>
          <w:szCs w:val="14"/>
          <w:color w:val="auto"/>
        </w:rPr>
        <w:t>The chart above shows the metastatic relapses of patients before and after treatment with BNT121. Each horizontal line</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represents the time course of a single patient. The vertical line indicates the treatment start of BNT121. Source: Nature 547, 222-226 (13 July 2017).</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October 2019, nine out of 13 patients had remained recurrence-free through follow-up of up to 41 months post-vaccination.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1737995</wp:posOffset>
            </wp:positionV>
            <wp:extent cx="6995160" cy="27863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expect to report an enrollment update from our RO7198457 (BNT122) first-line Phase 2 melanoma trial in the second half of 2020. We and Genentech plan to initiate two additional clinical trials for RO7198457 (BNT122) in 2020 in first-line solid cancers in the adjuvant setting, one in combination with atezolizumab and the other as a monotherapy.</w:t>
      </w:r>
    </w:p>
    <w:p>
      <w:pPr>
        <w:spacing w:after="0" w:line="292" w:lineRule="exact"/>
        <w:rPr>
          <w:sz w:val="20"/>
          <w:szCs w:val="20"/>
          <w:color w:val="auto"/>
        </w:rPr>
      </w:pPr>
    </w:p>
    <w:p>
      <w:pPr>
        <w:ind w:left="1860" w:hanging="312"/>
        <w:spacing w:after="0"/>
        <w:tabs>
          <w:tab w:leader="none" w:pos="186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Intratumoral Immunotherapy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in collaboration with Sanofi, are developing intratumoral immunotherapies utilizing our proprietary mRNA technology. These immunotherapies are designed to be administered directly into the tumor in order to alter the tumor microenvironment and enhance the immune system’s ability to recognize and fight cancer within the tumor (proximal) as well as in other untreated locations (distal).</w:t>
      </w:r>
    </w:p>
    <w:p>
      <w:pPr>
        <w:spacing w:after="0" w:line="332" w:lineRule="exact"/>
        <w:rPr>
          <w:sz w:val="20"/>
          <w:szCs w:val="20"/>
          <w:color w:val="auto"/>
        </w:rPr>
      </w:pPr>
    </w:p>
    <w:p>
      <w:pPr>
        <w:ind w:left="2520" w:hanging="433"/>
        <w:spacing w:after="0"/>
        <w:tabs>
          <w:tab w:leader="none" w:pos="252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SAR441000 (BNT131): Our Initial Intratumoral Immunotherapy for the Treatment of Solid Tumors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and Sanofi are developing SAR441000 (BNT131) as an intratumoral immunotherapy for the treatment of solid tumors. SAR441000 (BNT131) consists of modified mRNA that is injected directly into the tumor, where it is thought to express cytokines to alter the tumor microenvironment. SAR441000 (BNT131) is being studied in a Sanofi-sponsored Phase 1 clinical trial as a monotherapy in patients with advanced melanoma and in combination with an anti-PD-1/PD-L1 checkpoint inhibitor in patients with advanced melanoma and certain advanced solid tumors.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Targets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SAR441000 (BNT131) comprises mRNA that encodes the cytokines IL-12sc, IL-15sushi, IFN-α and GM-CSF. By expressing these cytokines in the tumor microenvironment, the immune system may more easily recognize and fight cancer.</w:t>
      </w:r>
    </w:p>
    <w:p>
      <w:pPr>
        <w:sectPr>
          <w:pgSz w:w="11900" w:h="16838" w:orient="portrait"/>
          <w:cols w:equalWidth="0" w:num="1">
            <w:col w:w="11140"/>
          </w:cols>
          <w:pgMar w:left="320" w:top="459" w:right="439" w:bottom="0" w:gutter="0" w:footer="0" w:header="0"/>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SAR441000 (BNT131) Clinical Trials</w:t>
      </w:r>
    </w:p>
    <w:p>
      <w:pPr>
        <w:sectPr>
          <w:pgSz w:w="11900" w:h="16838" w:orient="portrait"/>
          <w:cols w:equalWidth="0" w:num="1">
            <w:col w:w="11140"/>
          </w:cols>
          <w:pgMar w:left="320" w:top="459" w:right="439"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Sanofi, in collaboration with BioNTech, has commenced a first-in-human, multi-center, open-label, Phase 1, dose escalation and expansion trial to evaluate the safety, pharmacokinetics, pharmacodynamics and anti-tumor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60"/>
          </w:cols>
          <w:pgMar w:left="440" w:top="125"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activity of SAR441000 (BNT131) administered intratumorally as monotherapy and in combination with cemiplimab, with an estimated enrollment of 264 patients with certain advanced solid tumors.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Preclinical Studies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In collaboration with Sanofi, we conducted a preclinical study of SAR441000 (BNT131) in mouse tumor models. In these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the anti-tumor activity of cytokines encoded by mRNA was driven by the action of T cells as well as NK cells and was accompanied by robust intratumoral induction of interferon gamma, systemic expansion of antigen-specific T cells and increased granzyme B positive CD8+ T cell infiltration.</w:t>
      </w:r>
    </w:p>
    <w:p>
      <w:pPr>
        <w:spacing w:after="0" w:line="14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SAR441000 (BNT131) was shown to form immunological memory toward both dominant and subdominant antigens, which protected long-term survivors from re-challenge with autologous tumors. Importantly, although cytokine mRNAs were administered intratumorally, resulting in local target expression, anti-tumor activity extended beyond the injected tumor to effectively control the growth of distal tumors in both a dual-tumor model and an experimental lung metastasis model. Finally, SAR441000 (BNT131) demonstrated improved overall survival and higher incidence of complete tumor regressions across several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865505</wp:posOffset>
            </wp:positionV>
            <wp:extent cx="6995160" cy="4483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40"/>
        <w:spacing w:after="0" w:line="230" w:lineRule="auto"/>
        <w:rPr>
          <w:sz w:val="20"/>
          <w:szCs w:val="20"/>
          <w:color w:val="auto"/>
        </w:rPr>
      </w:pPr>
      <w:r>
        <w:rPr>
          <w:rFonts w:ascii="Arial" w:cs="Arial" w:eastAsia="Arial" w:hAnsi="Arial"/>
          <w:sz w:val="14"/>
          <w:szCs w:val="14"/>
          <w:b w:val="1"/>
          <w:bCs w:val="1"/>
          <w:color w:val="auto"/>
        </w:rPr>
        <w:t xml:space="preserve">Systemic anti-tumor effects in mouse model. </w:t>
      </w:r>
      <w:r>
        <w:rPr>
          <w:rFonts w:ascii="Arial" w:cs="Arial" w:eastAsia="Arial" w:hAnsi="Arial"/>
          <w:sz w:val="14"/>
          <w:szCs w:val="14"/>
          <w:color w:val="auto"/>
        </w:rPr>
        <w:t>As shown above, BNT131 demonstrated local and systemic anti-tumor effects of intratumoral cytokine mRNA. In this study, mice were</w:t>
      </w:r>
      <w:r>
        <w:rPr>
          <w:rFonts w:ascii="Arial" w:cs="Arial" w:eastAsia="Arial" w:hAnsi="Arial"/>
          <w:sz w:val="14"/>
          <w:szCs w:val="14"/>
          <w:b w:val="1"/>
          <w:bCs w:val="1"/>
          <w:color w:val="auto"/>
        </w:rPr>
        <w:t xml:space="preserve"> </w:t>
      </w:r>
      <w:r>
        <w:rPr>
          <w:rFonts w:ascii="Arial" w:cs="Arial" w:eastAsia="Arial" w:hAnsi="Arial"/>
          <w:sz w:val="14"/>
          <w:szCs w:val="14"/>
          <w:color w:val="auto"/>
        </w:rPr>
        <w:t>implanted with a tumor on each of the right and left flank. One tumor was injected with intratumoral cytokine mRNA (or control mRNA) while the other was not. The top center figure shows the tumor volume of the treated tumor (red line) against the control (blue line). The top right figure shows an anti-tumor effect on the untreated tumor (red line) against the control (blue line). The figures on the bottom show the abscopal effect of an intratumoral cytokine mRNA (center bottom) on distal lung metastases compared to the control mRNA (right bottom). Source: Wagenaar et al., Local immunotherapy with a mixture of mRNAs encoding pro-inflammatory cytokines promotes potent anti-tumor immunity and tumor eradication across multiple preclinical tumor models; poster presented at SITC 2018.</w:t>
      </w:r>
    </w:p>
    <w:p>
      <w:pPr>
        <w:spacing w:after="0" w:line="19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Based on these preclinical results, we intend to investigate whether our synthetic mRNA technology can potentially deliver localized cytokine-based cancer immunotherapy with broad anti-tumor activity against treated and untreated lesions.</w:t>
      </w:r>
    </w:p>
    <w:p>
      <w:pPr>
        <w:sectPr>
          <w:pgSz w:w="11900" w:h="16838" w:orient="portrait"/>
          <w:cols w:equalWidth="0" w:num="1">
            <w:col w:w="11120"/>
          </w:cols>
          <w:pgMar w:left="320" w:top="459" w:right="459" w:bottom="6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120"/>
          </w:cols>
          <w:pgMar w:left="320" w:top="459" w:right="459" w:bottom="6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 data update from this trial may be reported in the second half of 2020. As the trial is sponsored and conducted by Sanofi, the timing of data updates is not under our control, and is subject to change by Sanofi.</w:t>
      </w:r>
    </w:p>
    <w:p>
      <w:pPr>
        <w:spacing w:after="0" w:line="278"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5"/>
          <w:szCs w:val="15"/>
          <w:b w:val="1"/>
          <w:bCs w:val="1"/>
          <w:i w:val="1"/>
          <w:iCs w:val="1"/>
          <w:color w:val="auto"/>
        </w:rPr>
        <w:t>RiboMabs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Our RiboMab product candidates are designed to encode secreted antibodies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RiboMab product candidates consist of our proprietary nucleoside-modified mRNA that is designed to minimize the immunomodulatory activity of the mRNA, and these candidates are formulated using liver-targeting LNPs for intravenous delivery. RiboMabs potentially address the limitations of recombinant antibodies, including costly manufacturing processes and unfavorable pharmacokinetics, such as short plasma half-life. We are conducting preclinical studies for two development candidates, and have published compelling preclinical data.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RiboMab Preclinical Studies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have generated RiboMabs targeting different tumor antigens and tested their therapeutic potency in mice engrafted with human tumors that were repopulated with human immune cells. We demonstrated in preclinical studies that injection with a RiboMab product candidate encoding bispecific RiboMabs directed against CD3 and CLDN6 antigens resulted in elimination of aggressively growing, large tumors. Intravenously administering a microgram dose of mRNA encoding RiboMabs resulted in bispecific RiboMab production in the liver cells and rapid secretion into circulation, reaching peak plasma concentration within hours and remaining at therapeutically effective levels for one week. The dosage and frequency of dosing of recombinant bispecific antibodies required to produce similar effects was substantially greater. This was the first preclinical study to demonstrate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application of mRNA-encoded antibodies for the successful treatment of cancer.</w:t>
      </w:r>
    </w:p>
    <w:p>
      <w:pPr>
        <w:spacing w:after="0" w:line="285"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BNT141: Our Initial RiboMab for the Treatment of Solid Tumors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BNT141 is our RiboMab product candidate for the treatment of solid tumors. BNT141 is designed to encode secreted IgG antibodies.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BNT141 Targets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BNT141 is designed to encode secreted antibodies that target multiple epithelial solid tumors, including gastric and pancreatic cancers.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to initiate a Phase 1 basket trial of BNT141 for the treatment of various solid tumors, including gastrointestinal tumors, in the first half of 2021.</w:t>
      </w:r>
    </w:p>
    <w:p>
      <w:pPr>
        <w:spacing w:after="0" w:line="278"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BNT142: Our Second RiboMab for the Treatment of Solid Tumors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BNT142 is our RiboMab product candidate for the treatment of solid tumors. BNT142 is designed to encode a secreted bispecific antibody that targets CD3 and CLDN6.</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BNT142 Targets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BNT142 is designed to encode bispecific antibodies that target CD3, a T cell receptor that plays a key role in the activation of CD8+ and CD4+ T cells, and CLDN6, a highly specific oncofetal cell surface antigen that is found in solid tumors, but not in normal cells.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6" w:name="page137"/>
    <w:bookmarkEnd w:id="136"/>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basket trial of BNT142 for the treatment of numerous solid tumors in the first half of 2021.</w:t>
      </w:r>
    </w:p>
    <w:p>
      <w:pPr>
        <w:spacing w:after="0" w:line="333"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5"/>
          <w:szCs w:val="15"/>
          <w:b w:val="1"/>
          <w:bCs w:val="1"/>
          <w:i w:val="1"/>
          <w:iCs w:val="1"/>
          <w:color w:val="auto"/>
        </w:rPr>
        <w:t>RiboCytokines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RiboCytokine product candidates consist of modified mRNA designed to encode secreted cytokines that are formulated to use liver-targeting LNP for intravenous delivery.</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RiboCytokine product candidates are designed to address the limitations of recombinantly expressed cytokines, including limited serum half-life and production costs. We are developing RiboCytokines to be used primarily in combination with other drugs, including our other pipeline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1145540</wp:posOffset>
            </wp:positionV>
            <wp:extent cx="6995160" cy="39173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 preclinical mouse model, we observed RiboCytokines boost the activity of our RNA-LPX vaccination and a PD-L1 blockade in large tumors. Two out of 11 mice treated with our RNA-LPX vaccination and an anti PD-L1 alone achieved complete response. We observed three out of 11 mice achieve complete response with our RNA-LPX vaccination, an anti PD-L1 and IL7 RiboCytokine, six out of 11 mice with complete response after receiving our RNA-LPX vaccination, an anti PD-L1 and IL2 RiboCytokine and 11 out of 11 mice with complete response when given our RNA-LPX vaccination, an anti PD-L1 and both IL7 and IL2 RiboCytokines.</w:t>
      </w:r>
    </w:p>
    <w:p>
      <w:pPr>
        <w:spacing w:after="0" w:line="296"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BNT151: Our Initial RiboCytokine for the Treatment of Solid Tumors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are developing BNT151, our RiboCytokine designed to encode a modified version of the human interleukin-2, or optimized IL-2, cytokine for the treatment of solid tumors. BNT151 is designed to stimulate T cells without triggering immunosuppression in the tumor microenvironment.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BNT151 Target</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BNT151 comprises our nucleoside-modified mRNA that encodes mRNA for a function-modified IL-2. IL-2 is a key cytokine in T cell immunity, supporting the differentiation, proliferation, survival and effector functions of T cells.</w:t>
      </w:r>
    </w:p>
    <w:p>
      <w:pPr>
        <w:sectPr>
          <w:pgSz w:w="11900" w:h="16936" w:orient="portrait"/>
          <w:cols w:equalWidth="0" w:num="1">
            <w:col w:w="11080"/>
          </w:cols>
          <w:pgMar w:left="320" w:top="459" w:right="499" w:bottom="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9019"/>
          </w:cols>
          <w:pgMar w:left="1440" w:top="274" w:right="1440"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Recombinant IL-2, aldesleukin, was the first approved cancer immunotherapy, and has been marketed globally for the treatment of late stage melanoma and renal cell cancer for decades. Most patients with complete responses after IL-2 treatment remain regression free for more than 25 years after initial treatment, but overall response rates are low due in part to the limitations of recombinant cytokines. Recombinant IL-2 has a very short half-life, requiring high and frequent dosing and a partially unfavorable activity profile, which leads to increased side effects, thus limiting its utility as a cancer treatment.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clinical basket trial of BNT151 for the treatment of multiple solid tumors in the first half of 2021.</w:t>
      </w:r>
    </w:p>
    <w:p>
      <w:pPr>
        <w:spacing w:after="0" w:line="333"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BNT152: Our Second RiboCytokine for the Treatment of Solid Tumors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BNT152, our RiboCytokine designed to encode IL-7 for the treatment of solid tumors.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to initiate a Phase 1/2 clinical trial of BNT152 in combination with BNT153 for the treatment of multiple solid tumors in the first half of 2021.</w:t>
      </w:r>
    </w:p>
    <w:p>
      <w:pPr>
        <w:spacing w:after="0" w:line="278" w:lineRule="exact"/>
        <w:rPr>
          <w:sz w:val="20"/>
          <w:szCs w:val="20"/>
          <w:color w:val="auto"/>
        </w:rPr>
      </w:pPr>
    </w:p>
    <w:p>
      <w:pPr>
        <w:ind w:left="1640" w:hanging="312"/>
        <w:spacing w:after="0"/>
        <w:tabs>
          <w:tab w:leader="none" w:pos="164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BNT153: Our IL-2 variant RiboCytokine for the Treatment of Solid Tumors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BNT153, our RiboCytokine designed to secrete IL-2 for the treatment of solid tumors.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to initiate a Phase 1/2 clinical trial of BNT153 in combination with BNT152 for the treatment of multiple solid tumors in the first half of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Our Oncology Cell Therapy Product Candidates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CAR-T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We are advancing multiple CAR-T product candidates, the most advanced of which, BNT211, is targeting the novel and highly specific target CLDN6+ in solid tumors, and which we expect to enter the clinic in the second half of 2020 for the treatment of CLDN6+ solid tumors, including ovarian cancer. We plan to use our initial CAR-T cell product candidates in combination with a FixVac immunotherapy that encodes the same target as the CAR-T. The FixVac selectively targets dendritic cells, which leads to uptake, antigen expression and maturation of the dendritic cells. The co-stimulation provided by dendritic cell maturation has been shown in preclinical studies to amplify and expand CAR-T cells </w:t>
      </w:r>
      <w:r>
        <w:rPr>
          <w:rFonts w:ascii="Arial" w:cs="Arial" w:eastAsia="Arial" w:hAnsi="Arial"/>
          <w:sz w:val="18"/>
          <w:szCs w:val="18"/>
          <w:i w:val="1"/>
          <w:iCs w:val="1"/>
          <w:color w:val="auto"/>
        </w:rPr>
        <w:t>in vivo</w:t>
      </w:r>
      <w:r>
        <w:rPr>
          <w:rFonts w:ascii="Arial" w:cs="Arial" w:eastAsia="Arial" w:hAnsi="Arial"/>
          <w:sz w:val="18"/>
          <w:szCs w:val="18"/>
          <w:color w:val="auto"/>
        </w:rPr>
        <w:t>, leading to increased persistence of the CAR-T.</w:t>
      </w:r>
    </w:p>
    <w:p>
      <w:pPr>
        <w:spacing w:after="0" w:line="300"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BNT211: Our CAR-T Cell Therapy for the Treatment of CLDN6+ Solid Tumors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BNT211 is our CAR-T cell therapy for the treatment of CLDN6+ solid tumors. BNT211 targets CLDN6 and will initially be evaluated in combination with a CARVac that encodes CLDN6.</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BNT211 Target</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BNT211 targets Claudin 6, or CLDN6, a highly specific oncofetal cell surface antigen that is found in multiple cancers, including ovarian, testicular and lung cancers, but not in normal cells.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BNT211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Planned Phase 1/2 Clinical Trial</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anticipate initiating a Phase 1/2 open-label, multi-center dose escalation and dose expansion basket study of BNT211 with or without a CLDN6 CARVac immunotherapy in the second half of 2020. We anticipate enrolling patients with advanced solid tumor malignancies who express CLDN6. While our preclinical focus has been on ovarian cancer, we expect patients with uterine, testicular, lung and gastric cancers may also be enrolled in our upcoming CAR-T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observed compelling preclinical data of BNT211 demonstrating potent anti-tumoral activity, including eradication of advanced tumors in an ovarian carcinoma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134620</wp:posOffset>
            </wp:positionV>
            <wp:extent cx="5726430" cy="59150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2643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Potent anti-tumoral activity. </w:t>
      </w:r>
      <w:r>
        <w:rPr>
          <w:rFonts w:ascii="Arial" w:cs="Arial" w:eastAsia="Arial" w:hAnsi="Arial"/>
          <w:sz w:val="14"/>
          <w:szCs w:val="14"/>
          <w:color w:val="auto"/>
        </w:rPr>
        <w:t>As shown above, BNT211 demonstrated eradication of advanced tumors in a mouse model.</w:t>
      </w:r>
    </w:p>
    <w:p>
      <w:pPr>
        <w:spacing w:after="0" w:line="21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January 2020, we published results for a preclinical study in which BNT211 was evaluated both in vitro in tumor cell lines and in vivo in mice with human ovarian cancer transplants. In mice, BNT211 demonstrated complete tumor regression of transplanted large human tumors within two weeks after treatment initiation. Furthermore, the combination with CARVac achieved improved engraftment, proliferation and expansion of CAR-T cells in vivo, resulting in tumor regression even at sub-therapeutic CAR-T doses. CARVac was also successfully applied for CAR-T cells targeting the pan-cancer antigen CLDN18.2 and CD19, the target of approved CAR-T cell therapies. The combination of CAR-T cell therapy with CARVac underlines the value of cross-platform synergies to address key development challenges in the treatment of cancer.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planning to initiate a Phase 1/2 clinical trial of the combination of BNT211 and a CLDN6-encoded CARVac in the second half of 2020 for the treatment of CLDN6+ solid tumors, including ovarian, testicular, uterine and lung cancer.</w:t>
      </w:r>
    </w:p>
    <w:p>
      <w:pPr>
        <w:sectPr>
          <w:pgSz w:w="11900" w:h="16838" w:orient="portrait"/>
          <w:cols w:equalWidth="0" w:num="1">
            <w:col w:w="11080"/>
          </w:cols>
          <w:pgMar w:left="320" w:top="459" w:right="499" w:bottom="0" w:gutter="0" w:footer="0" w:header="0"/>
        </w:sectPr>
      </w:pP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080"/>
          </w:cols>
          <w:pgMar w:left="320" w:top="459" w:right="499" w:bottom="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BNT212: Our CAR-T Cell Therapy for the Treatment of CLDN18.2+ Solid Tumors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BNT212 is our CAR-T cell therapy for the treatment of CLDN18.2-positive solid tumors. BNT212 will initially be evaluated in combination with a CARVac that encodes CLDN18.2.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BNT212 Target</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BNT212 targets Claudin 18.2, or CLDN18.2, a highly specific target that is only expressed in cancer and in differentiated epithelial cells of the gastric mucosa, but it is absent from the gastric stem cell zone. CLDN18.2 is expressed in numerous epithelial solid tumors, including gastric, pancreatic, esophageal, ovarian and lung tumors.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Neoantigen-Targeting T Cells.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are advancing multiple neoantigen-targeting T cell product candidates, the most advanced of which, NEO-PTC-01 (BNT221), is targeting individualized sets of selected neoantigens, and which we expect to enter the clinic in the second half of 2020 for the treatment of metastatic melanoma. We are also developing NEO-STC-01 (BNT222), targeting shared RAS neoantigens prevalent across many solid tumor types.</w:t>
      </w:r>
    </w:p>
    <w:p>
      <w:pPr>
        <w:spacing w:after="0" w:line="297" w:lineRule="exact"/>
        <w:rPr>
          <w:sz w:val="20"/>
          <w:szCs w:val="20"/>
          <w:color w:val="auto"/>
        </w:rPr>
      </w:pPr>
    </w:p>
    <w:p>
      <w:pPr>
        <w:ind w:left="2080" w:hanging="533"/>
        <w:spacing w:after="0"/>
        <w:tabs>
          <w:tab w:leader="none" w:pos="2080" w:val="left"/>
        </w:tabs>
        <w:numPr>
          <w:ilvl w:val="0"/>
          <w:numId w:val="1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NEO-PTC-01 (BNT221): Our Individualized Neoantigen-targeting T Cell Therapy for the Treatment of Cancer</w:t>
      </w:r>
    </w:p>
    <w:p>
      <w:pPr>
        <w:spacing w:after="0" w:line="125" w:lineRule="exact"/>
        <w:rPr>
          <w:sz w:val="20"/>
          <w:szCs w:val="20"/>
          <w:color w:val="auto"/>
        </w:rPr>
      </w:pPr>
    </w:p>
    <w:p>
      <w:pPr>
        <w:ind w:left="120" w:right="300" w:firstLine="440"/>
        <w:spacing w:after="0" w:line="312" w:lineRule="auto"/>
        <w:rPr>
          <w:sz w:val="20"/>
          <w:szCs w:val="20"/>
          <w:color w:val="auto"/>
        </w:rPr>
      </w:pPr>
      <w:r>
        <w:rPr>
          <w:rFonts w:ascii="Arial" w:cs="Arial" w:eastAsia="Arial" w:hAnsi="Arial"/>
          <w:sz w:val="17"/>
          <w:szCs w:val="17"/>
          <w:color w:val="auto"/>
        </w:rPr>
        <w:t xml:space="preserve">NEO-PTC-01 </w:t>
      </w:r>
      <w:r>
        <w:rPr>
          <w:rFonts w:ascii="Arial" w:cs="Arial" w:eastAsia="Arial" w:hAnsi="Arial"/>
          <w:sz w:val="17"/>
          <w:szCs w:val="17"/>
          <w:b w:val="1"/>
          <w:bCs w:val="1"/>
          <w:color w:val="auto"/>
        </w:rPr>
        <w:t>(</w:t>
      </w:r>
      <w:r>
        <w:rPr>
          <w:rFonts w:ascii="Arial" w:cs="Arial" w:eastAsia="Arial" w:hAnsi="Arial"/>
          <w:sz w:val="17"/>
          <w:szCs w:val="17"/>
          <w:color w:val="auto"/>
        </w:rPr>
        <w:t xml:space="preserve">BNT221) is our individualized neoantigen-targeting T cell therapy for the treatment of cancer. NEO-PTC-01 </w:t>
      </w:r>
      <w:r>
        <w:rPr>
          <w:rFonts w:ascii="Arial" w:cs="Arial" w:eastAsia="Arial" w:hAnsi="Arial"/>
          <w:sz w:val="17"/>
          <w:szCs w:val="17"/>
          <w:b w:val="1"/>
          <w:bCs w:val="1"/>
          <w:color w:val="auto"/>
        </w:rPr>
        <w:t>(</w:t>
      </w:r>
      <w:r>
        <w:rPr>
          <w:rFonts w:ascii="Arial" w:cs="Arial" w:eastAsia="Arial" w:hAnsi="Arial"/>
          <w:sz w:val="17"/>
          <w:szCs w:val="17"/>
          <w:color w:val="auto"/>
        </w:rPr>
        <w:t>BNT221) targets selected sets individualized neoantigens. The second planned indication for NEO-PTC-01 (BNT221) is metastatic ovarian cancer.</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NEO-PTC-01 (BNT221) Target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NEO-PTC-01 (BNT2211) targets sets of individualized neoantigens selected using our RECON bioinformatics engine.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NEO-PTC-01 (BNT221)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Planned Phase 1 Clinical Trial</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We are focusing the initial clinical development of NEO-PTC-01 (BNT221) in solid tumors where we believe we can generate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neoantigen T cell populations </w:t>
      </w:r>
      <w:r>
        <w:rPr>
          <w:rFonts w:ascii="Arial" w:cs="Arial" w:eastAsia="Arial" w:hAnsi="Arial"/>
          <w:sz w:val="18"/>
          <w:szCs w:val="18"/>
          <w:i w:val="1"/>
          <w:iCs w:val="1"/>
          <w:color w:val="auto"/>
        </w:rPr>
        <w:t>ex vivo</w:t>
      </w:r>
      <w:r>
        <w:rPr>
          <w:rFonts w:ascii="Arial" w:cs="Arial" w:eastAsia="Arial" w:hAnsi="Arial"/>
          <w:sz w:val="18"/>
          <w:szCs w:val="18"/>
          <w:color w:val="auto"/>
        </w:rPr>
        <w:t>. A CTA was filed with the Dutch Health Authority in December 2019 to evaluate NEO-PTC-01 (BNT221) in a first-in-human clinical trial in patients that are refractory to checkpoint inhibitors. We plan to initiate a Phase 1 dose escalation clinical trial in patients with metastatic melanoma who are refractory to checkpoint inhibitors in collaboration with the Netherlands Cancer Institute in the second half of 2020. The primary objectives of this trial will be to evaluate the safety and feasibility of administering NEO-PTC-01 (BNT221) to patients. Additional objectives will be to evaluate immunogenicity and clinical efficacy.</w:t>
      </w:r>
    </w:p>
    <w:p>
      <w:pPr>
        <w:spacing w:after="0" w:line="192"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Based on the data from the first exploratory trial, we will decide how to best proceed with further clinical development of NEO-PTC-01 (BNT221), including expanding to other tumor types and potential development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Preclinical data relating to NEO-PTC-01 (BNT221) was presented at the Society of Immunotherapy of Cancer 2019 meeting, highlighting the proof of feasibility of our NEO-STIM induction protocol. These data demonstrated reproducibly across multiple patient samples, the ability to generate multiple CD8</w:t>
      </w:r>
      <w:r>
        <w:rPr>
          <w:rFonts w:ascii="Arial" w:cs="Arial" w:eastAsia="Arial" w:hAnsi="Arial"/>
          <w:sz w:val="15"/>
          <w:szCs w:val="15"/>
          <w:color w:val="auto"/>
        </w:rPr>
        <w:t>+</w:t>
      </w:r>
      <w:r>
        <w:rPr>
          <w:rFonts w:ascii="Arial" w:cs="Arial" w:eastAsia="Arial" w:hAnsi="Arial"/>
          <w:sz w:val="18"/>
          <w:szCs w:val="18"/>
          <w:color w:val="auto"/>
        </w:rPr>
        <w:t xml:space="preserve"> and CD4</w:t>
      </w:r>
      <w:r>
        <w:rPr>
          <w:rFonts w:ascii="Arial" w:cs="Arial" w:eastAsia="Arial" w:hAnsi="Arial"/>
          <w:sz w:val="15"/>
          <w:szCs w:val="15"/>
          <w:color w:val="auto"/>
        </w:rPr>
        <w:t>+</w:t>
      </w:r>
      <w:r>
        <w:rPr>
          <w:rFonts w:ascii="Arial" w:cs="Arial" w:eastAsia="Arial" w:hAnsi="Arial"/>
          <w:sz w:val="18"/>
          <w:szCs w:val="18"/>
          <w:color w:val="auto"/>
        </w:rPr>
        <w:t xml:space="preserve"> 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 xml:space="preserve">cell populations in each patient sample from the memory and naïve compartment. These T cells were highly functional and were specific for mutant neoantigens. In addition, these data showed that these cells were capable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cell killing and NEO-PTC-01-induced T cell cultures directly recognize autologous tumor sample material. We can now reproducibly generate these cell populations from patient material at a therapeutic manufacturing scale.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NEO-STIM induction protocol generates a polyclonal population of T cells. Once generated, we deeply characterize this cell product to</w:t>
      </w:r>
    </w:p>
    <w:p>
      <w:pPr>
        <w:spacing w:after="0" w:line="34"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understand the specificity and functionality of the induced cells. Data analyzed from a melanoma patient shows that NEO-STIM can induce CD8</w:t>
      </w:r>
      <w:r>
        <w:rPr>
          <w:rFonts w:ascii="Arial" w:cs="Arial" w:eastAsia="Arial" w:hAnsi="Arial"/>
          <w:sz w:val="15"/>
          <w:szCs w:val="15"/>
          <w:color w:val="auto"/>
        </w:rPr>
        <w:t>+</w:t>
      </w:r>
      <w:r>
        <w:rPr>
          <w:rFonts w:ascii="Arial" w:cs="Arial" w:eastAsia="Arial" w:hAnsi="Arial"/>
          <w:sz w:val="18"/>
          <w:szCs w:val="18"/>
          <w:color w:val="auto"/>
        </w:rPr>
        <w:t xml:space="preserve"> T cell responses towards patient-specific neoantigens in autologous patient peripheral blood mononuclear cells, or PBMCs. Specifically, in this patient, as the charts below and to the left illustrate, a pre-existing memory response was expanded 16-fold, from 4.5% of CD8</w:t>
      </w:r>
      <w:r>
        <w:rPr>
          <w:rFonts w:ascii="Arial" w:cs="Arial" w:eastAsia="Arial" w:hAnsi="Arial"/>
          <w:sz w:val="15"/>
          <w:szCs w:val="15"/>
          <w:color w:val="auto"/>
        </w:rPr>
        <w:t>+</w:t>
      </w:r>
      <w:r>
        <w:rPr>
          <w:rFonts w:ascii="Arial" w:cs="Arial" w:eastAsia="Arial" w:hAnsi="Arial"/>
          <w:sz w:val="18"/>
          <w:szCs w:val="18"/>
          <w:color w:val="auto"/>
        </w:rPr>
        <w:t xml:space="preserve"> T cells to 72.1% of CD8</w:t>
      </w:r>
      <w:r>
        <w:rPr>
          <w:rFonts w:ascii="Arial" w:cs="Arial" w:eastAsia="Arial" w:hAnsi="Arial"/>
          <w:sz w:val="15"/>
          <w:szCs w:val="15"/>
          <w:color w:val="auto"/>
        </w:rPr>
        <w:t>+</w:t>
      </w:r>
      <w:r>
        <w:rPr>
          <w:rFonts w:ascii="Arial" w:cs="Arial" w:eastAsia="Arial" w:hAnsi="Arial"/>
          <w:sz w:val="18"/>
          <w:szCs w:val="18"/>
          <w:color w:val="auto"/>
        </w:rPr>
        <w:t xml:space="preserve"> T cells being specific for the selected neoantigen. Additionally, as the charts below and to the right illustrate, we induced two CD8</w:t>
      </w:r>
      <w:r>
        <w:rPr>
          <w:rFonts w:ascii="Arial" w:cs="Arial" w:eastAsia="Arial" w:hAnsi="Arial"/>
          <w:sz w:val="15"/>
          <w:szCs w:val="15"/>
          <w:color w:val="auto"/>
        </w:rPr>
        <w:t>+</w:t>
      </w:r>
      <w:r>
        <w:rPr>
          <w:rFonts w:ascii="Arial" w:cs="Arial" w:eastAsia="Arial" w:hAnsi="Arial"/>
          <w:sz w:val="18"/>
          <w:szCs w:val="18"/>
          <w:color w:val="auto"/>
        </w:rPr>
        <w:t xml:space="preserve"> T cell responses from the naïve compartment, generating 6.5% and 13.4% of CD8</w:t>
      </w:r>
      <w:r>
        <w:rPr>
          <w:rFonts w:ascii="Arial" w:cs="Arial" w:eastAsia="Arial" w:hAnsi="Arial"/>
          <w:sz w:val="15"/>
          <w:szCs w:val="15"/>
          <w:color w:val="auto"/>
        </w:rPr>
        <w:t>+</w:t>
      </w:r>
      <w:r>
        <w:rPr>
          <w:rFonts w:ascii="Arial" w:cs="Arial" w:eastAsia="Arial" w:hAnsi="Arial"/>
          <w:sz w:val="18"/>
          <w:szCs w:val="18"/>
          <w:color w:val="auto"/>
        </w:rPr>
        <w:t xml:space="preserve"> T cells, respectively. Finally, in this patient, we induced three neoantigen specific CD4</w:t>
      </w:r>
      <w:r>
        <w:rPr>
          <w:rFonts w:ascii="Arial" w:cs="Arial" w:eastAsia="Arial" w:hAnsi="Arial"/>
          <w:sz w:val="15"/>
          <w:szCs w:val="15"/>
          <w:color w:val="auto"/>
        </w:rPr>
        <w:t>+</w:t>
      </w:r>
      <w:r>
        <w:rPr>
          <w:rFonts w:ascii="Arial" w:cs="Arial" w:eastAsia="Arial" w:hAnsi="Arial"/>
          <w:sz w:val="18"/>
          <w:szCs w:val="18"/>
          <w:color w:val="auto"/>
        </w:rPr>
        <w:t xml:space="preserve"> T cell responses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1812925</wp:posOffset>
            </wp:positionV>
            <wp:extent cx="6995160" cy="25888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are planning to initiate a Phase 1 dose escalation trial of NEO-PTC-01 (BNT221) in the second half of 2020 for the treatment of metastatic melanoma.</w:t>
      </w:r>
    </w:p>
    <w:p>
      <w:pPr>
        <w:spacing w:after="0" w:line="274" w:lineRule="exact"/>
        <w:rPr>
          <w:sz w:val="20"/>
          <w:szCs w:val="20"/>
          <w:color w:val="auto"/>
        </w:rPr>
      </w:pPr>
    </w:p>
    <w:p>
      <w:pPr>
        <w:ind w:left="480" w:hanging="364"/>
        <w:spacing w:after="0"/>
        <w:tabs>
          <w:tab w:leader="none" w:pos="4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Product Candidates in Oncology</w:t>
      </w:r>
    </w:p>
    <w:p>
      <w:pPr>
        <w:spacing w:after="0" w:line="121" w:lineRule="exact"/>
        <w:rPr>
          <w:rFonts w:ascii="Arial" w:cs="Arial" w:eastAsia="Arial" w:hAnsi="Arial"/>
          <w:sz w:val="18"/>
          <w:szCs w:val="18"/>
          <w:b w:val="1"/>
          <w:bCs w:val="1"/>
          <w:color w:val="auto"/>
        </w:rPr>
      </w:pPr>
    </w:p>
    <w:p>
      <w:pPr>
        <w:ind w:left="1420" w:hanging="313"/>
        <w:spacing w:after="0"/>
        <w:tabs>
          <w:tab w:leader="none" w:pos="1420" w:val="left"/>
        </w:tabs>
        <w:numPr>
          <w:ilvl w:val="1"/>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Next-Generation Checkpoint Immunomodulators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our 50:50 collaboration program with Genmab, we are currently studying two bispecific antibody checkpoint immunomodulators.</w:t>
      </w:r>
    </w:p>
    <w:p>
      <w:pPr>
        <w:sectPr>
          <w:pgSz w:w="11900" w:h="16838" w:orient="portrait"/>
          <w:cols w:equalWidth="0" w:num="1">
            <w:col w:w="11100"/>
          </w:cols>
          <w:pgMar w:left="320" w:top="459" w:right="479" w:bottom="38" w:gutter="0" w:footer="0" w:header="0"/>
        </w:sectPr>
      </w:pPr>
    </w:p>
    <w:p>
      <w:pPr>
        <w:spacing w:after="0" w:line="374" w:lineRule="exact"/>
        <w:rPr>
          <w:sz w:val="20"/>
          <w:szCs w:val="20"/>
          <w:color w:val="auto"/>
        </w:rPr>
      </w:pPr>
    </w:p>
    <w:p>
      <w:pPr>
        <w:ind w:left="2080" w:right="540" w:hanging="533"/>
        <w:spacing w:after="0" w:line="277" w:lineRule="auto"/>
        <w:tabs>
          <w:tab w:leader="none" w:pos="208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GEN1046 (BNT311): Our Jointly Owned DuoBody</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PD-L1x4-1BB Bispecific Antibody for the Treatment of Solid Tumors</w:t>
      </w:r>
    </w:p>
    <w:p>
      <w:pPr>
        <w:sectPr>
          <w:pgSz w:w="11900" w:h="16838" w:orient="portrait"/>
          <w:cols w:equalWidth="0" w:num="1">
            <w:col w:w="11100"/>
          </w:cols>
          <w:pgMar w:left="320" w:top="459" w:right="479" w:bottom="38" w:gutter="0" w:footer="0" w:header="0"/>
          <w:type w:val="continuous"/>
        </w:sectPr>
      </w:pPr>
    </w:p>
    <w:bookmarkStart w:id="142" w:name="page143"/>
    <w:bookmarkEnd w:id="142"/>
    <w:p>
      <w:pPr>
        <w:ind w:firstLine="440"/>
        <w:spacing w:after="0" w:line="263" w:lineRule="auto"/>
        <w:rPr>
          <w:sz w:val="20"/>
          <w:szCs w:val="20"/>
          <w:color w:val="auto"/>
        </w:rPr>
      </w:pPr>
      <w:r>
        <w:rPr>
          <w:rFonts w:ascii="Arial" w:cs="Arial" w:eastAsia="Arial" w:hAnsi="Arial"/>
          <w:sz w:val="18"/>
          <w:szCs w:val="18"/>
          <w:color w:val="auto"/>
        </w:rPr>
        <w:t>GEN1046 (BNT311), our jointly owned PD-L1x4-1BB product candidate, is a potential first-in-class bispecific antibody combining PD-L1 checkpoint inhibition with 4-1BB checkpoint activation. The first patient in a Phase 1/2a trial of GEN1046 (BNT311) for the treatment of malignant solid tumors was dosed in May 2019.</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680"/>
          </w:cols>
          <w:pgMar w:left="440" w:top="125" w:right="7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GEN1046 (BNT311) Targets</w:t>
      </w:r>
    </w:p>
    <w:p>
      <w:pPr>
        <w:spacing w:after="0" w:line="117"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GEN1046 (BNT311) is a PD-L1x4-1BB bispecific antibody that induces conditional activation of T cells through 4-1BB stimulation which is dependent on simultaneous binding to PD-L1. In addition, the PD-L1-specific arm of DuoBody-PD-L1x4-1BB functions as a classical immune checkpoint inhibitor by blocking the PD-1/PD-L1 axis, also in the absence of 4-1BB binding. PD-L1 is a validated target that is expressed on tumor cells. 4-1BB is a trans-membrane receptor belonging to the TNF super-family and is expressed predominantly on activated T cells. DuoBody</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Genmab.</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GEN1046 (BNT311)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1/2a Clinical Trial</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ongoing Phase 1/2a, open-label, single-arm GEN1046 (BNT311) trial with multiple expansion cohorts, conducted in collaboration with Genmab, is expected to enroll approximately 192 patients with malignant solid tumors. The trial consists of a dose escalation part and an expansion part. The dose escalation part will determine the safety profile of GEN1046 (BNT311) in subjects with certain relapsed or refractory, advanced and/or metastatic malignant solid tumors who are no longer candidates for standard therapy. The expansion part will be initiated once the recommended Phase</w:t>
      </w:r>
    </w:p>
    <w:p>
      <w:pPr>
        <w:spacing w:after="0" w:line="1"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2 dose has been established in Phase 1. In the expansion part, GEN1046 (BNT311) will be administered intravenously once every 21 days. The primary endpoints of the trial are dose-limiting toxicities, adverse events and safety laboratory parameters, including hematology, biochemistry, coagulation and endocrinology.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preclinical settings, GEN1046 (BNT311) induces conditional activation of T cells through 4-1BB stimulation which is dependent on simultaneous binding to PD-L1. In addition, the PD-L1-specific arm of DuoBody-PD-L1x4-1BB functions as a classical immune checkpoint inhibitor by blocking the PD-1/PD-L1 axis.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report a data update for our ongoing Phase 1/2 trial in the second half of 2020.</w:t>
      </w:r>
    </w:p>
    <w:p>
      <w:pPr>
        <w:spacing w:after="0" w:line="374" w:lineRule="exact"/>
        <w:rPr>
          <w:sz w:val="20"/>
          <w:szCs w:val="20"/>
          <w:color w:val="auto"/>
        </w:rPr>
      </w:pPr>
    </w:p>
    <w:p>
      <w:pPr>
        <w:ind w:left="2080" w:hanging="533"/>
        <w:spacing w:after="0"/>
        <w:tabs>
          <w:tab w:leader="none" w:pos="2080" w:val="left"/>
        </w:tabs>
        <w:numPr>
          <w:ilvl w:val="0"/>
          <w:numId w:val="1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GEN1042 (BNT312): Our Jointly Owned DuoBody</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xml:space="preserve"> CD40x4-1BB Bispecific Antibody for the Treatment of Solid Tumors</w:t>
      </w:r>
    </w:p>
    <w:p>
      <w:pPr>
        <w:spacing w:after="0" w:line="140"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GEN1042 (BNT312), our jointly owned CD40x4-1BB antibody product candidate, is a potential first-in-class bispecific antibody designed to induce conditional immune activation by crosslinking CD40 and 4-1BB positive cells. We and Genmab began recruitment and screening for a Phase 1/2a trial of GEN1042 (BNT312) for the treatment of malignant solid tumors in August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GEN1042 (BNT312) Targets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GEN1042 (BNT312) is a bispecific antibody designed to enhance an anti-tumor immune response through conditional CD40-mediated stimulation of antigen presenting cells cross-linked with conditional stimulation of 4-1BB+ T cells. It has demonstrated increased tumor infiltrating lymphocyte expansion in human tumor tissue cultures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has induced tumor regression of murine tumors superior to pure PD-L1 blockage associated with an increase in tumor-specific CD8 T-cells. The cell surface molecule CD40 is a member of the tumor necrosis factor receptor superfamily.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GEN1042 (BNT312) Preclinical Studies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GEN1042 (BNT312) is designed to target CD40 and 4-1BB to enhance both dendritic cell and antigen-dependent T cell activation. In preclinical settings, GEN1042 (BNT312) activated antigen presenting cells and enhanced T cell activation. Preclinical studies also indicated the conditional activation and (clonal) expansion of previously activated CD8+ T cells and cytokine production resulting from GEN1042 (BNT312).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Targeted Cancer Antibodies</w:t>
      </w:r>
    </w:p>
    <w:p>
      <w:pPr>
        <w:spacing w:after="0" w:line="131" w:lineRule="exact"/>
        <w:rPr>
          <w:sz w:val="20"/>
          <w:szCs w:val="20"/>
          <w:color w:val="auto"/>
        </w:rPr>
      </w:pPr>
    </w:p>
    <w:p>
      <w:pPr>
        <w:ind w:left="2080" w:hanging="533"/>
        <w:spacing w:after="0"/>
        <w:tabs>
          <w:tab w:leader="none" w:pos="208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MVT-5873 (BNT321): Our Targeted Cancer Antibody for the Treatment of Pancreatic Cancer</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May 2019, we acquired certain antibody assets from MabVax Therapeutics Holding, Inc., including MVT-5873 (BNT321), a clinical-stage targeted cancer antibody.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In 2019, the American Cancer Society estimated that approximately 56,770 people will be diagnosed with pancreatic cancer in the United States annually. Pancreatic cancer is an aggressive cancer, with a five-year survival rate from diagnosis, across all stages combined, of 9%.</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MVT-5873 (BNT321) Target</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MVT-5873 (BNT321) is a fully human IgG1 monoclonal antibody targeting sialyl Lewis A (sLea), an epitope on CA19-9 that is expressed in pancreatic and other gastrointestinal cancers that plays a role in tumor adhesion and metastasis formation, and is a marker of an aggressive cancer phenotype.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MVT-5873 (BNT321) Trials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MVT-5873 (BNT321) is being investigated in an open-label, multi-center, non-randomized dose escalation Phase 1/2 study evaluating the safety and recommended Phase 2 dose of MVT-5873 (BNT321) both as a monotherapy and in combination with a standard of care chemotherapy in approximately 68 subjects with pancreatic and other CA19-9+ malignancies. Secondary objectives include evaluating tumor response rate by RECIST 1.1, duration of response, and determining pharmacokinetics. This study utilizes a conventional 3+3 design to identify the recommended Phase 2 dose.</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Interim data for the combination cohort was reported in February 2018. In this cohort, MVT-5873 (BNT321) was given in combination with nab-paclitaxel and gemcitabine to patients newly diagnosed with CA19-9+ pancreatic cancer. MVT-5873 (BNT321) at a dose of 0.125mg/kg when added to first-line chemotherapy was generally well tolerated by all subjects. All six patients evaluated had measurable tumor reductions by RECIST, with four patients meeting the criteria for partial response and two patients meeting the criteria for stable disease.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resumed this trial and dosing has begun.</w:t>
      </w:r>
    </w:p>
    <w:p>
      <w:pPr>
        <w:spacing w:after="0" w:line="329"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Our Oncology Small Molecule Immunomodulator Product Candidates</w:t>
      </w:r>
    </w:p>
    <w:p>
      <w:pPr>
        <w:spacing w:after="0" w:line="121" w:lineRule="exact"/>
        <w:rPr>
          <w:sz w:val="20"/>
          <w:szCs w:val="20"/>
          <w:color w:val="auto"/>
        </w:rPr>
      </w:pPr>
    </w:p>
    <w:p>
      <w:pPr>
        <w:ind w:left="1100" w:right="460" w:firstLine="7"/>
        <w:spacing w:after="0" w:line="277" w:lineRule="auto"/>
        <w:tabs>
          <w:tab w:leader="none" w:pos="1415"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BNT411: Our Small Molecule TLR7 Agonist for the Treatment of Solid Tumors, Including Small Cell Lung, Colorectal and Bladder Cancer</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BNT411 is our novel small molecule TLR7 agonist product candidate. BNT411 is designed to activate both the adaptive and innate immune system through the TLR7 pathway. We are designing BNT411 to be used both as a monotherapy and in combination with chemotherapy and checkpoint inhibitors. We filed an IND for BNT411 in November 2019 and dosed the first patient in our Phase 1 trial in July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BNT411 Target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BNT411 is a TLR7 agonist that is designed to activate both the adaptive and innate immune system through the TLR7 pathway. This activity and the release of cytokines and chemokines are designed to result in the potent stimulation of antigen-specific CD8+ T cells, B cells and innate immune cells such as NK cells and macrophages.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BNT411 Preclinical Studies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In preclinical studies, BNT411 (SC1.2/Ago1.2) was shown to be more potent in the induction of IFN-α compared to the clinical competitor compound resiquimod (R848), even at lower concentrations (minimal effective concentration of BNT411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is 4nM). In contrast to the tested competitor compound, BNT411 was shown to induce at low concentrations especially IFN-α whereas other (pro-)inflammatory and CRS-related cytokines (IL-6, IL-10, TNF-a, IL-8) are only observed at higher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144780</wp:posOffset>
            </wp:positionV>
            <wp:extent cx="6960870" cy="59150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6087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hanging="344"/>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Our Infectious Disease mRNA Product Candidates</w:t>
      </w:r>
    </w:p>
    <w:p>
      <w:pPr>
        <w:spacing w:after="0" w:line="121" w:lineRule="exact"/>
        <w:rPr>
          <w:rFonts w:ascii="Arial" w:cs="Arial" w:eastAsia="Arial" w:hAnsi="Arial"/>
          <w:sz w:val="18"/>
          <w:szCs w:val="18"/>
          <w:b w:val="1"/>
          <w:bCs w:val="1"/>
          <w:color w:val="auto"/>
        </w:rPr>
      </w:pPr>
    </w:p>
    <w:p>
      <w:pPr>
        <w:ind w:left="1420" w:hanging="313"/>
        <w:spacing w:after="0"/>
        <w:tabs>
          <w:tab w:leader="none" w:pos="1420" w:val="left"/>
        </w:tabs>
        <w:numPr>
          <w:ilvl w:val="1"/>
          <w:numId w:val="1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Prophylactic Vaccine for the Prevention of COVID-19</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collaborating with Pfizer and Fosun Pharma for the development of a vaccine for the prevention of COVID-19 under our BNT162 program. We and Pfizer are jointly conducting clinical trials for the COVID-19 vaccine candidates initially in the United States and Europe across multiple sites.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begun development of four product candidate variants under our BNT162 program, including one prime-only and three prime-boost immunization strategies, utilizing different mRNA formats. In addition, we continue to develop additional product candidate variants and may bring additional candidates into the clinic if the preclinical data supports it.</w:t>
      </w:r>
    </w:p>
    <w:p>
      <w:pPr>
        <w:sectPr>
          <w:pgSz w:w="11900" w:h="16838" w:orient="portrait"/>
          <w:cols w:equalWidth="0" w:num="1">
            <w:col w:w="10780"/>
          </w:cols>
          <w:pgMar w:left="320" w:top="459" w:right="799" w:bottom="1440" w:gutter="0" w:footer="0" w:header="0"/>
        </w:sectPr>
      </w:pP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780"/>
          </w:cols>
          <w:pgMar w:left="320" w:top="459" w:right="79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BNT162 Targets and mRNA Formats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developing multiple vaccine candidate variants, some of which target the entire 2P-mutated full Spike protein antigen and others which target the more specific receptor binding domain subunit of the antigen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134620</wp:posOffset>
            </wp:positionV>
            <wp:extent cx="4629150" cy="59150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62915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are studying three different mRNA formats in our four vaccine candidate variants.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BNT 162 Candidate</w:t>
            </w:r>
          </w:p>
        </w:tc>
        <w:tc>
          <w:tcPr>
            <w:tcW w:w="2360" w:type="dxa"/>
            <w:vAlign w:val="bottom"/>
          </w:tcPr>
          <w:p>
            <w:pPr>
              <w:spacing w:after="0"/>
              <w:rPr>
                <w:sz w:val="16"/>
                <w:szCs w:val="16"/>
                <w:color w:val="auto"/>
              </w:rPr>
            </w:pPr>
          </w:p>
        </w:tc>
        <w:tc>
          <w:tcPr>
            <w:tcW w:w="29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6"/>
                <w:szCs w:val="16"/>
                <w:color w:val="auto"/>
              </w:rPr>
            </w:pPr>
          </w:p>
        </w:tc>
        <w:tc>
          <w:tcPr>
            <w:tcW w:w="25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mRNA Format</w:t>
            </w: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8"/>
                <w:szCs w:val="18"/>
                <w:color w:val="auto"/>
              </w:rPr>
              <w:t>162a1</w:t>
            </w:r>
          </w:p>
        </w:tc>
        <w:tc>
          <w:tcPr>
            <w:tcW w:w="2360" w:type="dxa"/>
            <w:vAlign w:val="bottom"/>
          </w:tcPr>
          <w:p>
            <w:pPr>
              <w:spacing w:after="0"/>
              <w:rPr>
                <w:sz w:val="16"/>
                <w:szCs w:val="16"/>
                <w:color w:val="auto"/>
              </w:rPr>
            </w:pPr>
          </w:p>
        </w:tc>
        <w:tc>
          <w:tcPr>
            <w:tcW w:w="2980" w:type="dxa"/>
            <w:vAlign w:val="bottom"/>
          </w:tcPr>
          <w:p>
            <w:pPr>
              <w:spacing w:after="0" w:line="189" w:lineRule="exact"/>
              <w:rPr>
                <w:sz w:val="20"/>
                <w:szCs w:val="20"/>
                <w:color w:val="auto"/>
              </w:rPr>
            </w:pPr>
            <w:r>
              <w:rPr>
                <w:rFonts w:ascii="Arial" w:cs="Arial" w:eastAsia="Arial" w:hAnsi="Arial"/>
                <w:sz w:val="18"/>
                <w:szCs w:val="18"/>
                <w:color w:val="auto"/>
              </w:rPr>
              <w:t>RBD subunit</w:t>
            </w:r>
          </w:p>
        </w:tc>
        <w:tc>
          <w:tcPr>
            <w:tcW w:w="18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Arial" w:cs="Arial" w:eastAsia="Arial" w:hAnsi="Arial"/>
                <w:sz w:val="18"/>
                <w:szCs w:val="18"/>
                <w:color w:val="auto"/>
              </w:rPr>
              <w:t>uRNA (prime/boost)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162b1</w:t>
            </w:r>
          </w:p>
        </w:tc>
        <w:tc>
          <w:tcPr>
            <w:tcW w:w="5340" w:type="dxa"/>
            <w:vAlign w:val="bottom"/>
            <w:gridSpan w:val="2"/>
          </w:tcPr>
          <w:p>
            <w:pPr>
              <w:ind w:left="2360"/>
              <w:spacing w:after="0"/>
              <w:rPr>
                <w:sz w:val="20"/>
                <w:szCs w:val="20"/>
                <w:color w:val="auto"/>
              </w:rPr>
            </w:pPr>
            <w:r>
              <w:rPr>
                <w:rFonts w:ascii="Arial" w:cs="Arial" w:eastAsia="Arial" w:hAnsi="Arial"/>
                <w:sz w:val="18"/>
                <w:szCs w:val="18"/>
                <w:color w:val="auto"/>
              </w:rPr>
              <w:t>RBD subunit</w:t>
            </w:r>
          </w:p>
        </w:tc>
        <w:tc>
          <w:tcPr>
            <w:tcW w:w="2680" w:type="dxa"/>
            <w:vAlign w:val="bottom"/>
            <w:gridSpan w:val="2"/>
          </w:tcPr>
          <w:p>
            <w:pPr>
              <w:ind w:left="180"/>
              <w:spacing w:after="0"/>
              <w:rPr>
                <w:sz w:val="20"/>
                <w:szCs w:val="20"/>
                <w:color w:val="auto"/>
              </w:rPr>
            </w:pPr>
            <w:r>
              <w:rPr>
                <w:rFonts w:ascii="Arial" w:cs="Arial" w:eastAsia="Arial" w:hAnsi="Arial"/>
                <w:sz w:val="18"/>
                <w:szCs w:val="18"/>
                <w:color w:val="auto"/>
              </w:rPr>
              <w:t>modRNA (prime/boost)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162b2</w:t>
            </w:r>
          </w:p>
        </w:tc>
        <w:tc>
          <w:tcPr>
            <w:tcW w:w="5340" w:type="dxa"/>
            <w:vAlign w:val="bottom"/>
            <w:gridSpan w:val="2"/>
          </w:tcPr>
          <w:p>
            <w:pPr>
              <w:ind w:left="2360"/>
              <w:spacing w:after="0"/>
              <w:rPr>
                <w:sz w:val="20"/>
                <w:szCs w:val="20"/>
                <w:color w:val="auto"/>
              </w:rPr>
            </w:pPr>
            <w:r>
              <w:rPr>
                <w:rFonts w:ascii="Arial" w:cs="Arial" w:eastAsia="Arial" w:hAnsi="Arial"/>
                <w:sz w:val="18"/>
                <w:szCs w:val="18"/>
                <w:color w:val="auto"/>
              </w:rPr>
              <w:t>2P-mutated full Spike protein</w:t>
            </w:r>
          </w:p>
        </w:tc>
        <w:tc>
          <w:tcPr>
            <w:tcW w:w="2680" w:type="dxa"/>
            <w:vAlign w:val="bottom"/>
            <w:gridSpan w:val="2"/>
          </w:tcPr>
          <w:p>
            <w:pPr>
              <w:ind w:left="180"/>
              <w:spacing w:after="0"/>
              <w:rPr>
                <w:sz w:val="20"/>
                <w:szCs w:val="20"/>
                <w:color w:val="auto"/>
              </w:rPr>
            </w:pPr>
            <w:r>
              <w:rPr>
                <w:rFonts w:ascii="Arial" w:cs="Arial" w:eastAsia="Arial" w:hAnsi="Arial"/>
                <w:sz w:val="18"/>
                <w:szCs w:val="18"/>
                <w:color w:val="auto"/>
              </w:rPr>
              <w:t>modRNA (prime/boost)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162c2</w:t>
            </w:r>
          </w:p>
        </w:tc>
        <w:tc>
          <w:tcPr>
            <w:tcW w:w="5340" w:type="dxa"/>
            <w:vAlign w:val="bottom"/>
            <w:gridSpan w:val="2"/>
          </w:tcPr>
          <w:p>
            <w:pPr>
              <w:ind w:left="2360"/>
              <w:spacing w:after="0"/>
              <w:rPr>
                <w:sz w:val="20"/>
                <w:szCs w:val="20"/>
                <w:color w:val="auto"/>
              </w:rPr>
            </w:pPr>
            <w:r>
              <w:rPr>
                <w:rFonts w:ascii="Arial" w:cs="Arial" w:eastAsia="Arial" w:hAnsi="Arial"/>
                <w:sz w:val="18"/>
                <w:szCs w:val="18"/>
                <w:color w:val="auto"/>
              </w:rPr>
              <w:t>2P-mutated full Spike protein</w:t>
            </w:r>
          </w:p>
        </w:tc>
        <w:tc>
          <w:tcPr>
            <w:tcW w:w="2680" w:type="dxa"/>
            <w:vAlign w:val="bottom"/>
            <w:gridSpan w:val="2"/>
          </w:tcPr>
          <w:p>
            <w:pPr>
              <w:ind w:left="180"/>
              <w:spacing w:after="0"/>
              <w:rPr>
                <w:sz w:val="20"/>
                <w:szCs w:val="20"/>
                <w:color w:val="auto"/>
              </w:rPr>
            </w:pPr>
            <w:r>
              <w:rPr>
                <w:rFonts w:ascii="Arial" w:cs="Arial" w:eastAsia="Arial" w:hAnsi="Arial"/>
                <w:sz w:val="18"/>
                <w:szCs w:val="18"/>
                <w:color w:val="auto"/>
              </w:rPr>
              <w:t>saRNA (single injection)</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graphic below illustrates the potential benefits and rationale for each mRNA format used in our candidate variants.</w:t>
      </w:r>
    </w:p>
    <w:p>
      <w:pPr>
        <w:sectPr>
          <w:pgSz w:w="11900" w:h="16838" w:orient="portrait"/>
          <w:cols w:equalWidth="0" w:num="1">
            <w:col w:w="10840"/>
          </w:cols>
          <w:pgMar w:left="320" w:top="459" w:right="7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1554480</wp:posOffset>
            </wp:positionV>
            <wp:extent cx="6995160" cy="29832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9019"/>
          </w:cols>
          <w:pgMar w:left="1440" w:top="1440" w:right="1440"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BNT162 Clinical Trial</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are conducting a multi-site, open label, Phase 1/2, two-part, dose-escalation trial investigating the safety and immunogenicity of our four BNT162 candidate variants using different dosing regimens in healthy adults. The trial is being conducted in multiple locations in Germany and the United States. The trial has two parts: a dose-finding part (Part A) with four dose cohorts (treatment groups) for each vaccine candidate variant and one pre-defined and one optional dose level for a de-escalation approach and a second part (Part B) dedicated to recruit expansion cohorts with dose levels which are selected from data generated in Part A. The vaccine candidate variants BNT162a1, BNT162b1, and BNT162b2 will be administered using a prime/boost regimen. The vaccine candidate variant BNT162c2 will be administered using a single-dose regimen.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July 2020 Data Announcements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July 1, 2020, we and Pfizer announced preliminary data from our ongoing U.S. Phase 1/2 trial of BNT162b1. The initial part of this randomized, placebo-controlled, observer-blinded study is evaluating the safety, tolerability and immunogenicity of escalating dose levels of BNT162b1, one of four vaccine candidate variants in development as part of our BNT162 program, in 45 healthy adults between 18 and 55 years of age.</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participants received two doses, 21 days apart, of placebo, 10µg or 30µg of BNT162b1, or received a single dose of 100µg of the vaccine candidate. Because of a strong vaccine booster effect, the highest neutralizing titers were observed seven days after the second dose of 10µg or 30µg on day 28 after vaccination. The neutralizing GMTs were 168 and 267 for the 10µg and 30µg dose levels, respectively, corresponding to 1.8- and 2.8-times the neutralizing GMT of 94 observed in a panel of 38 sera from subjects who had contracted SARS-CoV-2.</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all 24 subjects who received 2 vaccinations at 10µg and 30µg dose levels of BNT162b1, elevation of RBD-binding IgG concentrations was observed after the second injection with respective GMCs of 4,813 and 27,872 units/ml at day 28, seven days after immunization. These concentrations are 8- and 46.3-times the GMC of 602 units/ml in a panel of 38 sera from subjects who had contracted SARS-CoV-2.</w:t>
      </w:r>
    </w:p>
    <w:p>
      <w:pPr>
        <w:spacing w:after="0" w:line="16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At day 21 after a single injection, the 12 subjects who received 100µg of BNT162b1 had an RBD-binding IgG GMC of 1,778 units/ml and a SARS-CoV neutralizing GMT of 33, which are 3-times and 0.35-times, respectively, the GMC and GMT of the convalescent serum panel.</w:t>
      </w:r>
    </w:p>
    <w:p>
      <w:pPr>
        <w:spacing w:after="0" w:line="124"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At the 10µg or 30µg dose levels, adverse reactions, including low grade fever, were more common after the second dose than the first dose. Following dose 2, 8.3% of participants who received 10µg and 75.0% of participants who received 30µg BNT162b1 reported fever ³ 38.0 °C. Local reactions and systemic events after injection with 10µg and 30µg of BNT162b1 were dose-dependent, generally mild to moderate, and transient. The most commonly reported local reaction was injection site pain, which was mild to moderate, except in one of 12 subjects who received a 100µg dose, which was severe. No serious adverse events were reported. Given higher numbers of subjects experiencing local reactions and systemic events after a single 100µg dose with no significant increases in immunogenicity compared to the 30µg dose level, the 12 participants in the 100µg group were not administered a second dose.</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20, 2020, we and Pfizer announced preliminary data from our ongoing German Phase 1/2 trial of BNT162b1. The initial part of this open-label, non-randomized, non-placebo-controlled study is evaluating the safety, tolerability and immunogenicity of escalating dose levels of BNT162b1, one of four vaccine candidate variants in development as part of our BNT162 program, in 60 healthy adults, between 18 and 55 years of age. The preliminary data we reported was from 12 subjects each who received two doses of 1µg, 10µg, 30µg and 50µg (except for one individual each in the 10µg and 50µg who discontinued due to non-study drug related reasons) and 12 subjects who received a single dose of 60µg. The two doses received by the participants were given 21 days apart.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34 of the 36 subjects who received two vaccinations at 10µg, 30µg, or 50µg dose levels of BNT162b1, RBD-specific CD4+ T cell responses were observed. All subjects but the two exceptions at the lowest dose level had cytokine profiling of the RBD-specific CD4+ T cells that demonstrated a TH1-dominant profile for these cells. While the magnitude varied between individuals, participants with the strongest CD4+ T cell responses to RBD had more than 10-fold of the memory responses observed in the same participants when stimulated with cytomegalovirus (CMV), Epstein Barr virus (EBV), influenza virus and tetanus toxoid-derived immuno- dominant peptide panels. The strength of RBD-specific CD4+ T cell responses correlated positively with both RBD-binding IgG and with SARS-CoV-2 neutralizing antibody titers. Among vaccine-induced CD8+ T cell responses, which were observed in 29 of 36 participants, strong responses were mounted by the majority of participants and were comparable with memory responses against CMV, EBV, influenza virus and tetanus toxoid in the same participants. The strength of RBD-specific CD8+ T cell responses correlated positively with vaccine- induced CD4+ T cell responses, but did not significantly correlate with SARS-CoV-2 neutralizing antibody titers. Additionally, although at 1µg the immunogenicity rate was lower (6 of 8 responding participants), the magnitude of vaccine-induced CD4+ and CD8+ T cells in some participants was almost as high as with 50µg BNT162b1.</w:t>
      </w:r>
    </w:p>
    <w:p>
      <w:pPr>
        <w:spacing w:after="0" w:line="18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Elevation of SARS-CoV-2 RBD-binding IgG concentrations was observed, with respective GMCs ranging from 265 units/ml to 1,672 units/ml at day 21. At day 29, seven days after the second dose, RBD-binding IgG GMCs ranged from 2,015 units/ml to 25,006 units/ml. At day 43, RBD-binding IgG GMCs ranged from 3,920 units/ml to 18,289 units/ml. These concentrations are 6.5- to 30.4-times the GMC of 602 units/ml in a panel of sera from 38 subjects who had contracted SARS-CoV-2. At day 29, the SARS-CoV-2 neutralizing GMTs reached 36 (1µg dose), 158 (10µg dose), 308 (30µg dose) and 578 (50µg dose) compared to neutralizing GMT of 94 observed in the convalescent serum panel. At day 43, SARS-CoV-2 neutralizing GMTs reached .7-fold (1µg dose) to 3.2-fold (50µg dose) compared to those of a panel of SARS-CoV-2 infection convalescent human sera. Furthermore, sera of vaccinated subjects displayed broadly neutralizing activity in pseudovirus neutralization assays across a panel of sixteen SARS-CoV-2 RBD variants represented in publicly available SARS-CoV-2 sequences and against the newly dominant D614G strain. In summary, antibody responses elicited by BNT162b1 in our German clinical trial largely mirrored those observed in our U.S. clinical trial.</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At the 10µg, 30µg and 50µg dose levels, certain adverse reactions, including low grade fever, were more common after the second dose than the first dose. Following the second dose, 25.0%, 25.0% and 33.3% of participants who received the 10µg, 30µg and 50µg doses, respectively reported fever of at least 38.0 degrees Celsius. Local reactions and systemic events after injection with 10µg, 30µg and 50µg of BNT162b1 were dose-dependent, generally mild to moderate and transient, with occasional severe events (grade 3) of flu-like symptoms and injection site reactions. The most commonly reported local reaction was injection site pain, which was mild to moderate, except in one of 12 subjects who received a 60µg dose, which was severe. No serious adverse events were reported, and there were no withdrawals due to adverse events related to the vaccine. Based on the adverse reactions reported after the 50µg boost dose, a second 60µg dose was not administered to participants who had received an initial 60µg dose.</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additional information on these preliminary results, please review our reports on Form 6-K filed with the SEC on July 1, 2020 and July 20, 2020 and incorporated by reference herein.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Based on preclinical and clinical data observed to-date, we and Pfizer have decided to progress our BNT162 development program into a Phase 2b/3 trial, which is anticipated to commence in late July 2020, subject to input and approval from the appropriate regulatory bodies. For the initial Phase 2b/3 trial, we intend to select either BNT162b1 or BNT162b2. Both the BNT162b1 and the BNT162b2 vaccine candidates have received Fast Track status from the FDA. Since clinical evaluation of the BNT162b2 candidate started several weeks later than BNT162b1, only preliminary clinical data are currently available for the BNT162b2 candidate. A set of data obtained for a cohort of subjects 18-55 years of age immunized with 10µg of BNT162b2 indicates that BNT162b2 induces similar virus neutralizing antibody responses as observed for BNT162b1. The preliminary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 inform the FDA of our selection of the BNT162 candidate variant before the closing of this offering. Based on clinical data from our ongoing Phase 1/2 trials of BNT162b1 in the United States and Germany, BNT162b1 appears to be a viable variant to advance into a Phase 2b/3 trial. However, given that additional information relating to BNT162b2 is becoming available over the next few days, we and Pfizer plan to make the ultimate decision on the final candidate based on multiple factors, including the overall observed safety, tolerability and immunogenicity profiles for each vaccine candidate at different dose levels, a full immunogenicity data set and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likely will not publish any data with respect to the BNT162b2 variant before we make our selection.</w:t>
      </w:r>
    </w:p>
    <w:p>
      <w:pPr>
        <w:spacing w:after="0" w:line="276"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Prophylactic Vaccine for the Prevention of Influenza</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are collaborating with Pfizer to develop an influenza vaccine based on our mRNA drug classes. The product candidate, BNT161, will encode influenza virus antigens selected by the WHO in advance of the flu season. We and Pfizer have moved the anticipated Phase 1 start for our mRNA flu vaccine program to 2021 due to the prioritization of our COVID-19 vaccine development efforts.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beginning a first clinical trial for BNT161 in 2021.</w:t>
      </w:r>
    </w:p>
    <w:p>
      <w:pPr>
        <w:spacing w:after="0" w:line="333"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Other Infectious Diseases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a research collaboration with Penn, under which we have the exclusive option to develop and commercialize prophylactic mRNA immunotherapies for the treatment of up to 10 infectious disease indications. On September 20, 2019, Penn announced positive preclinical results of a vaccine product candidate using its mRNA technology. The preclinical study vaccinated mice and guinea pigs against Herpes simplex virus type 2. Penn reported that the immunization led to “mostly sterilizing immunity” from the virus.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initiate our first Phase 1 clinical trial under Penn collaboration in the first half of 2021.</w:t>
      </w:r>
    </w:p>
    <w:p>
      <w:pPr>
        <w:spacing w:after="0" w:line="329" w:lineRule="exact"/>
        <w:rPr>
          <w:sz w:val="20"/>
          <w:szCs w:val="20"/>
          <w:color w:val="auto"/>
        </w:rPr>
      </w:pPr>
    </w:p>
    <w:p>
      <w:pPr>
        <w:ind w:left="440" w:hanging="324"/>
        <w:spacing w:after="0"/>
        <w:tabs>
          <w:tab w:leader="none" w:pos="4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Our Rare Disease Protein Replacement mRNA Product Candidates</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are collaborating with Genevant, in order to combine our mRNA technology with Genevant’s LNP delivery technology, to create up to five mRNA protein replacement therapies for the treatment of rare diseases with high unmet medical needs. We expect our first compound from this collaboration to enter the clinic in the second half of 2021. The first product candidate under the Genevant collaboration, BNT171, is currently being developed for an undisclosed indication. Our mRNA replacement product candidate is associated with a favorable tolerability profile and good protein expression (in mice) and demonstrated phenotype rescue in a mouse disease model.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7"/>
          <w:szCs w:val="17"/>
          <w:b w:val="1"/>
          <w:bCs w:val="1"/>
          <w:color w:val="auto"/>
        </w:rPr>
        <w:t>Other</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Our legacy commercial stage product, MammaTyper, is a molecular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for the quantitative detection of the mRNA expression of ERBB2, ESR1, PGR and MKI67 in breast cancer tissue. MammaTyper has been shown in a variety of scientific publications to offer superior diagnostics insights compared to conventional immunohistochemical detection methods.</w:t>
      </w:r>
    </w:p>
    <w:p>
      <w:pPr>
        <w:spacing w:after="0" w:line="288"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b w:val="1"/>
          <w:bCs w:val="1"/>
          <w:color w:val="auto"/>
        </w:rPr>
        <w:t>XIII.</w:t>
      </w:r>
      <w:r>
        <w:rPr>
          <w:sz w:val="20"/>
          <w:szCs w:val="20"/>
          <w:color w:val="auto"/>
        </w:rPr>
        <w:tab/>
      </w:r>
      <w:r>
        <w:rPr>
          <w:rFonts w:ascii="Arial" w:cs="Arial" w:eastAsia="Arial" w:hAnsi="Arial"/>
          <w:sz w:val="17"/>
          <w:szCs w:val="17"/>
          <w:b w:val="1"/>
          <w:bCs w:val="1"/>
          <w:color w:val="auto"/>
        </w:rPr>
        <w:t>Manufacturing</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building a fully integrated biotechnology company, with operations spanning from research through clinical development, and manufacturing through sales and marketing. We operate three GMP-certified manufacturing facilities in Germany, where we manufacture mRNA therapeutics and engineered cell therapies for our own pipeline and for external customers. We operate a fourth facility in Germany where we manufacture custom peptides to support our extensive immunomonitoring activities within our development programs. Our subsidiary BioNTech Innovative Manufacturing Services GmbH, or BioNTech IMFS, has been manufacturing GMP-certified cellular products since 1999. It was granted its first GMP license for manufacturing mRNA in 2011 and has been manufacturing individualized mRNA products since 2014.</w:t>
      </w:r>
    </w:p>
    <w:p>
      <w:pPr>
        <w:spacing w:after="0" w:line="178"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have expanded our capability to produce and supply drug products to support clinical development of our, and our collaborators’, product candidates. To date, we have manufactured about 1000 drug substance batches in our manufacturing facilities.</w:t>
      </w:r>
    </w:p>
    <w:p>
      <w:pPr>
        <w:spacing w:after="0" w:line="14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approach has been to proactively build capacity in anticipation of demand from internal research and development, as well as from our collaborators. We have done so by continuing to make significant investments in manufacturing infrastructure and increasingly expanding our capacity to manufacture mRNA, viral vectors, cellular products and peptides. We believe the development and optimization of our manufacturing processes in parallel to drug development is crucial to our success. We have also collaborated with Siemens to develop a process for a fully-automated, on-demand production of mRNA therapies.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Manufacturing Operations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mRNA. </w:t>
      </w:r>
      <w:r>
        <w:rPr>
          <w:rFonts w:ascii="Arial" w:cs="Arial" w:eastAsia="Arial" w:hAnsi="Arial"/>
          <w:sz w:val="17"/>
          <w:szCs w:val="17"/>
          <w:color w:val="auto"/>
        </w:rPr>
        <w:t>We believe scaling up manufacturing for mRNA can best be executed as part of a proprietary manufacturing approach, not as part of an</w:t>
      </w:r>
      <w:r>
        <w:rPr>
          <w:rFonts w:ascii="Arial" w:cs="Arial" w:eastAsia="Arial" w:hAnsi="Arial"/>
          <w:sz w:val="17"/>
          <w:szCs w:val="17"/>
          <w:i w:val="1"/>
          <w:iCs w:val="1"/>
          <w:color w:val="auto"/>
        </w:rPr>
        <w:t xml:space="preserve"> </w:t>
      </w:r>
      <w:r>
        <w:rPr>
          <w:rFonts w:ascii="Arial" w:cs="Arial" w:eastAsia="Arial" w:hAnsi="Arial"/>
          <w:sz w:val="17"/>
          <w:szCs w:val="17"/>
          <w:color w:val="auto"/>
        </w:rPr>
        <w:t>outsourcing strategy. We believe this approach allows us to maintain control of our proprietary processes and gives us the flexibility we need for scheduling batch production for our drug substances to match our development plans as they evolve. Our mRNA manufacturing is currently conducted at our in-house BioNTech IMFS facility and our BioNTech East Wing facility, the latter being dedicated to iNeST and bulk mRNA manufacturing. Our mRNA manufacturing process involves standardized production of all mRNA constructs and minimal restrictions in construct length. We have the capacity to undertake sterile filtration and final filling in up to 1,200 vials of various sizes. Batch sizes range from a few milligrams for individualized applications (</w:t>
      </w:r>
      <w:r>
        <w:rPr>
          <w:rFonts w:ascii="Arial" w:cs="Arial" w:eastAsia="Arial" w:hAnsi="Arial"/>
          <w:sz w:val="17"/>
          <w:szCs w:val="17"/>
          <w:i w:val="1"/>
          <w:iCs w:val="1"/>
          <w:color w:val="auto"/>
        </w:rPr>
        <w:t>i.e.</w:t>
      </w:r>
      <w:r>
        <w:rPr>
          <w:rFonts w:ascii="Arial" w:cs="Arial" w:eastAsia="Arial" w:hAnsi="Arial"/>
          <w:sz w:val="17"/>
          <w:szCs w:val="17"/>
          <w:color w:val="auto"/>
        </w:rPr>
        <w:t>, iNeST) to 10g for standard mRNA applications (</w:t>
      </w:r>
      <w:r>
        <w:rPr>
          <w:rFonts w:ascii="Arial" w:cs="Arial" w:eastAsia="Arial" w:hAnsi="Arial"/>
          <w:sz w:val="17"/>
          <w:szCs w:val="17"/>
          <w:i w:val="1"/>
          <w:iCs w:val="1"/>
          <w:color w:val="auto"/>
        </w:rPr>
        <w:t>i.e.</w:t>
      </w:r>
      <w:r>
        <w:rPr>
          <w:rFonts w:ascii="Arial" w:cs="Arial" w:eastAsia="Arial" w:hAnsi="Arial"/>
          <w:sz w:val="17"/>
          <w:szCs w:val="17"/>
          <w:color w:val="auto"/>
        </w:rPr>
        <w:t>, FixVac, intratumoral immunotherapies and infectious diseases, e.g., COVID-19), with batch sizes of up to 250g planned for Q4 2020.</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To date, we have produced about 1000 batches of mRNA drug substance to support our studies. We currently have infrastructure capable of producing more than 100 batches of mRNA drug substance and formulated drug product per month with a turnaround time of about 30 to 40 days from sequence identification to released product. We believe we currently have the capacity to supply needs of our product candidates in clinical trials up to registration.</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recent years, we have successfully decreased the time required to deliver individualized immunotherapy to patients. In 2014, it took us over three months to manually manufacture and deliver individualized immunotherapies to patients. Since December 2017, with the implementation of semiautomatic GMP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9"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manufacturing in collaboration with Siemens, we have been consistently manufacturing and delivering individualized immunotherapies in under six weeks. This advancement represents significant progress toward our target commercial manufacturing turnaround time of less than 28 days. We believe this is achievable, and we plan to continue to develop additional process improvements, which we expect will further reduce our turnaround times as we progress through clinical development.</w:t>
      </w:r>
    </w:p>
    <w:p>
      <w:pPr>
        <w:spacing w:after="0" w:line="18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i w:val="1"/>
          <w:iCs w:val="1"/>
          <w:color w:val="auto"/>
        </w:rPr>
        <w:t xml:space="preserve">Cell Therapy Products. </w:t>
      </w:r>
      <w:r>
        <w:rPr>
          <w:rFonts w:ascii="Arial" w:cs="Arial" w:eastAsia="Arial" w:hAnsi="Arial"/>
          <w:sz w:val="18"/>
          <w:szCs w:val="18"/>
          <w:color w:val="auto"/>
        </w:rPr>
        <w:t>We have end-to-end capabilities and over 20 years of experience in cell therapy manufacturing. Our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for cellular products involves the isolation of primary human cells and subpopulations, including CD34+ and CD3+ cells. We engage in the culturing, expansion and genetic modification of primary human cells as well as mammalian cell lines. Our processes include vector production for transfection of cells with CARs, cell banking and cryopreservation.</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have set up a broad range of quality control assays for the characterization of cell therapy products that allow us to certify the manufactured drug products in a short time. We are a leader in the production of gamma retroviral vectors. To date, we have produced more than 50 different cell therapy products.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Peptides. </w:t>
      </w:r>
      <w:r>
        <w:rPr>
          <w:rFonts w:ascii="Arial" w:cs="Arial" w:eastAsia="Arial" w:hAnsi="Arial"/>
          <w:sz w:val="17"/>
          <w:szCs w:val="17"/>
          <w:color w:val="auto"/>
        </w:rPr>
        <w:t>Our custom peptide synthesis business has developed unique technologies to produce several million peptides during the past three years</w:t>
      </w:r>
      <w:r>
        <w:rPr>
          <w:rFonts w:ascii="Arial" w:cs="Arial" w:eastAsia="Arial" w:hAnsi="Arial"/>
          <w:sz w:val="17"/>
          <w:szCs w:val="17"/>
          <w:i w:val="1"/>
          <w:iCs w:val="1"/>
          <w:color w:val="auto"/>
        </w:rPr>
        <w:t xml:space="preserve"> </w:t>
      </w:r>
      <w:r>
        <w:rPr>
          <w:rFonts w:ascii="Arial" w:cs="Arial" w:eastAsia="Arial" w:hAnsi="Arial"/>
          <w:sz w:val="17"/>
          <w:szCs w:val="17"/>
          <w:color w:val="auto"/>
        </w:rPr>
        <w:t>to support our growing clinical pipeline. These include fast small-scale 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these peptides as starting material in our engineered cell therapies. We have developed know-how to produce highly complex and purified peptide pools that consist of overlapping peptides spanning entire antigens or neoepitopes. We plan to establish a new production facility, which will roughly double our current capacity.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Manufacturing Facilities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operate four manufacturing and packaging facilities in Germany. In these facilities, we manufacture and package individualized mRNA, bulk mRNA, retroviral vectors, cellular products and peptides. In Mainz, we are currently constructing another facility for iNeST manufacturing at a commercial scale, which is planned to start manufacturing in 2022 and will supply markets mainly in Europe and the United States.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BioNTech IMFS</w:t>
      </w:r>
      <w:r>
        <w:rPr>
          <w:rFonts w:ascii="Arial" w:cs="Arial" w:eastAsia="Arial" w:hAnsi="Arial"/>
          <w:sz w:val="18"/>
          <w:szCs w:val="18"/>
          <w:color w:val="auto"/>
        </w:rPr>
        <w:t>. Our manufacturing operations for retroviral vectors, cell therapy products and mRNA are housed in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BioNTech IMFS. Founded in 1997, BioNTech IMFS specializes in services for innovative therapeutic approaches. In 2009, BioNTech IMFS became our wholly owned subsidiary, giving us access to synergistic 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into its first commercial supply contract for retroviral vectors. Located near Mainz, the BioNTech IMFS facility occupies over 30,000 square feet. Two hundred and twenty staff members are employed at this facility, with collective expertise in molecular biology, cell biology and virology.</w:t>
      </w:r>
    </w:p>
    <w:p>
      <w:pPr>
        <w:spacing w:after="0" w:line="19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BioNTech iNeST and Bulk mRNA Clinical Manufacturing (East Wing)</w:t>
      </w:r>
      <w:r>
        <w:rPr>
          <w:rFonts w:ascii="Arial" w:cs="Arial" w:eastAsia="Arial" w:hAnsi="Arial"/>
          <w:sz w:val="16"/>
          <w:szCs w:val="16"/>
          <w:color w:val="auto"/>
        </w:rPr>
        <w:t>. We dedicate our GMP-certified manufacturing facility at our headquarters</w:t>
      </w:r>
      <w:r>
        <w:rPr>
          <w:rFonts w:ascii="Arial" w:cs="Arial" w:eastAsia="Arial" w:hAnsi="Arial"/>
          <w:sz w:val="16"/>
          <w:szCs w:val="16"/>
          <w:i w:val="1"/>
          <w:iCs w:val="1"/>
          <w:color w:val="auto"/>
        </w:rPr>
        <w:t xml:space="preserve"> </w:t>
      </w:r>
      <w:r>
        <w:rPr>
          <w:rFonts w:ascii="Arial" w:cs="Arial" w:eastAsia="Arial" w:hAnsi="Arial"/>
          <w:sz w:val="16"/>
          <w:szCs w:val="16"/>
          <w:color w:val="auto"/>
        </w:rPr>
        <w:t>in Mainz, Germany to the production of iNeST immunotherapies and bulk mRNA. In 2015, our wholly owned 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released our first drug product there the following month. We plan to expand our manufacturing license for bulk mRNA in Q3 2020.</w:t>
      </w:r>
    </w:p>
    <w:p>
      <w:pPr>
        <w:spacing w:after="0" w:line="16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facility contains approximately 17,000 square feet of laboratory and office space, including 4,300 square feet of GMP facilities. About 200 staff members are employed at this facility and operate it seven days per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week. In its first year of operation the facility manufactured and released more than 250 batches of mRNA and has, since inception, manufactured and released more than 450 batches of mRNA.</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i w:val="1"/>
          <w:iCs w:val="1"/>
          <w:color w:val="auto"/>
        </w:rPr>
        <w:t>BioNTech Clinical Manufacturing</w:t>
      </w:r>
      <w:r>
        <w:rPr>
          <w:rFonts w:ascii="Arial" w:cs="Arial" w:eastAsia="Arial" w:hAnsi="Arial"/>
          <w:sz w:val="18"/>
          <w:szCs w:val="18"/>
          <w:color w:val="auto"/>
        </w:rPr>
        <w:t>. Our GMP-certified manufacturing facility in Kupferbergterrasse, Mainz, Germany is authorized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packing, labeling, storage and batch release of primary packed investigational medicinal products. This facility contains approximately 11,500 square feet of laboratory and office space, including 1,250 square feet of GMP facilities.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JPT</w:t>
      </w:r>
      <w:r>
        <w:rPr>
          <w:rFonts w:ascii="Arial" w:cs="Arial" w:eastAsia="Arial" w:hAnsi="Arial"/>
          <w:sz w:val="18"/>
          <w:szCs w:val="18"/>
          <w:color w:val="auto"/>
        </w:rPr>
        <w:t>. JPT, our peptide manufacturing facility, was established in 2004 and became a wholly owned subsidiary of BioNTech in 2008. JPT is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Berlin, Germany and occupies over 16,000 square feet of clean rooms, laboratory and office space.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Certifications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BioNTech Diagnostics has a quality management system that is certified according to ISO 13485:2016 and JPT maintains a ISO 9001:2015 certified Quality Management System to allow production of European CE marked companion diagnostics.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 ISO 9001:2015 certified Quality Management System.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Financing</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June 2020, we signed a second financing arrangement with the EIB. The purpose of this financing is to partially support the development of BNT162 and fund expansion of our manufacturing capacity to provide worldwide supply of BNT162 in response to the pandemic, or the Second Investment. Under this arrangement, the EIB has agreed to provide us with a credit in an amount of up to €100 million to partially finance the Second Investment, provided that the amount of credit does not exceed 50% of the cost of the Second Investment. The credit consists of (i) a term loan in the amount of €50 million that may be drawn in a single tranche upon the achievement of certain milestone events, not all of which have been achieved (Credit A), and (ii) a term loan in the amount of €50 million that may be drawn in a single tranche (Credit B). Credit B may only be drawn after Credit A has been drawn down and upon the achievement of certain milestone events. Each tranche under Credit A and Credit B must be repaid within six years from the date on which the tranche is disbursed.</w:t>
      </w:r>
    </w:p>
    <w:p>
      <w:pPr>
        <w:spacing w:after="0" w:line="282" w:lineRule="exact"/>
        <w:rPr>
          <w:sz w:val="20"/>
          <w:szCs w:val="20"/>
          <w:color w:val="auto"/>
        </w:rPr>
      </w:pPr>
    </w:p>
    <w:p>
      <w:pPr>
        <w:ind w:left="120"/>
        <w:spacing w:after="0"/>
        <w:tabs>
          <w:tab w:leader="none" w:pos="620" w:val="left"/>
        </w:tabs>
        <w:rPr>
          <w:sz w:val="20"/>
          <w:szCs w:val="20"/>
          <w:color w:val="auto"/>
        </w:rPr>
      </w:pPr>
      <w:r>
        <w:rPr>
          <w:rFonts w:ascii="Arial" w:cs="Arial" w:eastAsia="Arial" w:hAnsi="Arial"/>
          <w:sz w:val="18"/>
          <w:szCs w:val="18"/>
          <w:b w:val="1"/>
          <w:bCs w:val="1"/>
          <w:color w:val="auto"/>
        </w:rPr>
        <w:t>XIV.</w:t>
      </w:r>
      <w:r>
        <w:rPr>
          <w:sz w:val="20"/>
          <w:szCs w:val="20"/>
          <w:color w:val="auto"/>
        </w:rPr>
        <w:tab/>
      </w:r>
      <w:r>
        <w:rPr>
          <w:rFonts w:ascii="Arial" w:cs="Arial" w:eastAsia="Arial" w:hAnsi="Arial"/>
          <w:sz w:val="16"/>
          <w:szCs w:val="16"/>
          <w:b w:val="1"/>
          <w:bCs w:val="1"/>
          <w:color w:val="auto"/>
        </w:rPr>
        <w:t>Third-Party Collaborations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collaborations include:</w:t>
      </w:r>
    </w:p>
    <w:p>
      <w:pPr>
        <w:spacing w:after="0" w:line="131"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Genentech for our iNeST platform in our mRNA drug class;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Sanofi for our intratumoral therapy platform in our mRNA drug class;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Genmab for our next-generation checkpoint immunomodulator platform in our antibodies drug class;</w:t>
      </w:r>
    </w:p>
    <w:p>
      <w:pPr>
        <w:spacing w:after="0" w:line="130" w:lineRule="exact"/>
        <w:rPr>
          <w:rFonts w:ascii="Arial" w:cs="Arial" w:eastAsia="Arial" w:hAnsi="Arial"/>
          <w:sz w:val="18"/>
          <w:szCs w:val="18"/>
          <w:color w:val="auto"/>
        </w:rPr>
      </w:pPr>
    </w:p>
    <w:p>
      <w:pPr>
        <w:ind w:left="5480" w:right="100" w:hanging="4824"/>
        <w:spacing w:after="0" w:line="449" w:lineRule="auto"/>
        <w:tabs>
          <w:tab w:leader="none" w:pos="107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Pfizer for our COVID-19 and influenza vaccine programs, which leverage technology from our infectious disease mRNA-based platform; 135</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Fosun Pharma for our COVID-19 vaccine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Penn for up to 10 prophylactic indications in our infectious disease mRNA-based platform;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Genevant for our rare disease protein replacement therapy platform in our mRNA drug class.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either wholly own or retain significant rights to all of our clinical stage programs, either in the form of a global share of profit and co-commercialization rights with our collaborators in certain markets or significant royalties and milestones. We plan to continue to identify potential collaborators who can contribute meaningful resources and insights to our programs and allow us to more rapidly expand our impact to broader patient populations.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Genentech-iNeST Collaboration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September 20, 2016, we and BioNTech RNA entered into a Collaboration Agreement with Genentech and F. Hoffman-La Roche Ltd, which, as amended on June 1, 2018 and December 6, 2019, we refer to as the Genentech Collaboration Agreement, to jointly research, develop, manufacture and commercialize certain pharmaceutical products that comprise neoepitope RNAs, or the Genentech Collaboration Products, which include our iNeST development candidates, for any use worldwide. Under the Genentech Collaboration Agreement, we and Genentech agreed to perform joint research under a research plan to further improve our technology platform for the manufacturing of Genentech Collaboration Products. Under the terms of the Genentech Collaboration Agreement, Genentech paid us $310 million in upfront and near-term milestone payments.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and Genentech must use commercially reasonable efforts to jointly develop one or more Genentech Collaboration Products in accordance with an agreed global development plan, with the costs of such development to be shared equally. We will continue certain clinical studies that were initiated prior to the execution of the Collaboration Agreement at our sole expense, and any future material changes in the operation of such clinical studies require Genentech’s approval. Genentech may access and use any data generated in these ongoing clinical studies.</w:t>
      </w:r>
    </w:p>
    <w:p>
      <w:pPr>
        <w:spacing w:after="0" w:line="15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co-funding of such development and Genentech may continue do so at its own costs, except that we are obligated to repay Genentech’s development costs in the event that such product subsequently receives regulatory approval.</w:t>
      </w:r>
    </w:p>
    <w:p>
      <w:pPr>
        <w:spacing w:after="0" w:line="19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 commercialized by Genentech. Our ability to research, develop, co-promote and/or independently commercialize Genentech Collaboration Products may be terminated or limited in the event we undergo a change of control.</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granted to Genentech an exclusive license under certain of our intellectual property, and our interest in any jointly-owned intellectual property developed under this agreement, to research, develop, make, sell and import any pharmaceutical products that comprise neoepitope RNA. Genentech granted to us an exclusive, non-transferable, sublicensable licenses under certain Genentech intellectual property, our intellectual property exclusively licensed to Genentech, and their interest in any jointly-owned intellectual property developed under this agreement for the performance of our ongoing clinical studies and the exercise of our rights and obligations under the Genentech Collaboration Agreement.</w:t>
      </w:r>
    </w:p>
    <w:p>
      <w:pPr>
        <w:spacing w:after="0" w:line="16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 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 Genentech for such license(s). In addition, either party may terminate the agreement upon the other party’s uncured material breach or insolvency.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Development and Supply Agreement</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Concurrent with the Genentech Collaboration Agreement, we and BioNTech RNA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addition, we are responsible for developing the commercial manufacturing process, which requires more stringent turnaround times than the clinical manufacturing process. Genentech will generally be responsible for commercial manufacturing. We are obligated to use commercially reasonable efforts to achieve certain predetermined clinical manufacturing capacity commitments.</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Sanofi-Intratumoral Therapy Collaboration</w:t>
      </w:r>
    </w:p>
    <w:p>
      <w:pPr>
        <w:spacing w:after="0" w:line="117"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On November 2, 2015, BioNTech RNA entered into a Collaboration and License Agreement with Sanofi, which we refer to as the Sanofi Agreement. Pursuant to the Sanofi Agreement, we and Sanofi will collaborate on intratumorally administered mRNA-based therapeutics for the treatment of solid tumors in humans.</w:t>
      </w:r>
    </w:p>
    <w:p>
      <w:pPr>
        <w:spacing w:after="0" w:line="184" w:lineRule="exact"/>
        <w:rPr>
          <w:sz w:val="20"/>
          <w:szCs w:val="20"/>
          <w:color w:val="auto"/>
        </w:rPr>
      </w:pPr>
    </w:p>
    <w:p>
      <w:pPr>
        <w:ind w:left="120" w:right="1280" w:firstLine="440"/>
        <w:spacing w:after="0" w:line="277" w:lineRule="auto"/>
        <w:rPr>
          <w:sz w:val="20"/>
          <w:szCs w:val="20"/>
          <w:color w:val="auto"/>
        </w:rPr>
      </w:pPr>
      <w:r>
        <w:rPr>
          <w:rFonts w:ascii="Arial" w:cs="Arial" w:eastAsia="Arial" w:hAnsi="Arial"/>
          <w:sz w:val="18"/>
          <w:szCs w:val="18"/>
          <w:color w:val="auto"/>
        </w:rPr>
        <w:t>The Sanofi Agreement contemplates: (i) research, (ii) development and commercialization and (iii) possible co-development and co-commercialization activities with us.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research phase, the parties seek to identify, characterize and validate up to five “mixtures” of two or more mRNAs encoding different proteins administered together in the same solution. Sanofi at its sole discretion may select up to five mixtures created under the research plan for further development and commercialization, which we refer to as Sanofi Collaboration Products.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After selection of a Sanofi Collaboration Product, Sanofi would be responsible for all development and commercialization activities involving that product. We have the option, by payment of an exercise fee, to co-develop and co-commercialize up to two Sanofi Collaboration Products primarily in the United States and in some European countries, including the United Kingdom, France, Germany, Italy and Spain. If we exercise such an option, the costs for co-development and co-commercialization of the chosen Sanofi Collaboration Products would be allocated between the parties. In turn, Sanofi has an option to co-develop and co-commercialize certain mixtures developed by us or with third parties that contain a certain amount of the mRNAs of a Sanofi Collaboration Product.</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March 2018, Sanofi selected the first Sanofi Collaboration Product for further development and commercialization and we exercised our option for co-development and co-commercialization of the Sanofi Collaboration Product. Effective as of March 2018, the parties entered into a separate development agreement for the co-development of this Sanofi Collaboration Product.</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Under the Sanofi Agreement, Sanofi has paid upfront and near-term milestone payments of approximately €60 million. We are entitled to receive up to approximately €260 million per product upon achievement of certain development, regulatory and commercial milestones. If commercialized successfully, we would also be eligible for mid-single digit to very low double-digit tiered royalties on net sales on a country-by-country and product-by-product basis until the later of (i) expiration of the last relevant patent covering such product in such country, (ii) 10 years following first commercial sale of such product in such country, (iii) expiration of regulatory data exclusivity for such product in such country and (iv) the market entry of a generic biological product with a certain market share in relation to such product in such country.</w:t>
      </w:r>
    </w:p>
    <w:p>
      <w:pPr>
        <w:spacing w:after="0" w:line="17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Sanofi Agreement will remain effective until the last-to-expire royalty term (or, when a co-development option has been exercised, the completion of all co-development and co-commercialization activities). The parties may terminate the Sanofi Agreement in its entirety or terminate certain co-development activities for convenience, with or without cause.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Sanofi Agreement provides that we may not engage in certain research and development activities relating to the intratumoral injection of mRNAs.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Genmab-Next-generation Immunomodulator Collaboration</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May 19, 2015, we entered into a License and Collaboration Agreement with Genmab (together with all amendments and side letters thereto, collectively referred to as the Genmab Agreement) to jointly research,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develop and commercialize polypeptide-based bispecific antibodies against certain target combinations for the treatment of cancer in humans worldwide, or the Genmab Agreement Field, using certain Genmab technology. In connection with our entry into the Genmab Agreement, Genmab paid us an upfront fee of $10 million.</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are governed by a research plan, which is subject to annual review and updates, and which specifies the clinical candidates to be developed. This research and evaluation phase is currently set to expire on May 19, 2022, but has in the past been extended.</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During the research and evaluation phase, we and Genmab may propose clinical candidates for consideration by a joint research committee for further preclinical and clinical development. If a party, through the joint research committee, indicates that it is not interested in further development and commercialization of any clinical candidate, the other party may continue development and commercialization of such products on a unilateral basis, at its sole expense. The party that continues such development and commercialization is obligated to pay the other party certain development, regulatory and sales milestone payments and royalties on net sales of the applicable Unilateral Products. During either party’s development and commercialization of a Unilateral Product, the other party must not develop or commercialize any bispecific antibody targeting the same target combination of such Genmab Unilateral Product if such bispecific antibody was generated as part of the collaboration under this agreement.</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and Genmab must use commercially reasonable efforts to develop candidates selected by the joint research committee, or the Genmab Collaboration Products, through preclinical and clinical development. In addition, the joint research committee may select an additional candidate, or the Genmab Back-up Candidate, as a back-up for each Genmab Collaboration Product and may decide at any time to replace the Genmab Collaboration Product with its Genmab Back-up Candidate. The preclinical and clinical development of the Genmab Collaboration Products would be performed pursuant to a development plan to be agreed upon by us and Genmab, with costs to be split equally. The joint steering committee may designate a third party as a manufacturer of a Genmab Collaboration Product or of any of its components.</w:t>
      </w:r>
    </w:p>
    <w:p>
      <w:pPr>
        <w:spacing w:after="0" w:line="17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and Genmab must use commercially reasonable efforts to jointly commercialize all Genmab Collaboration Products and share equally all expenses and profits arising from such commercialization. We and Genmab, on a product-by-product basis and at least 12 months prior to the anticipated start of a pivotal clinical trial for a Genmab Collaboration Product, will jointly designate between the two of us a lead party responsible for establishing the distribution and marketing operations in each geographical region. Each party would be entitled to equally co-promote the products pursuant to a separately negotiated global commercialization agreement that the parties agree to negotiate.</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otherwise agreed by the joint steering committee established under the agreement, Genmab is responsible for all regulatory actions and shall own all regulatory approvals obtained for the Genmab Collaboration Products. Genmab is obligated to provides regular updates to us on regulatory activities.</w:t>
      </w:r>
    </w:p>
    <w:p>
      <w:pPr>
        <w:spacing w:after="0" w:line="18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Genmab Collaboration Products in the Genmab Agreement Field pursuant to the terms of the Genmab Agreement. These licenses shall continue on a country-by-country and product-by-product basis for as long as development or commercialization activities are contemplated under the Genmab Agreement.</w:t>
      </w:r>
    </w:p>
    <w:p>
      <w:pPr>
        <w:spacing w:after="0" w:line="18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During the research and evaluation phase prior to the selection of a Genmab Collaboration Product, neither we nor Genmab may engage in any research and development activity in the Genmab Agreement Field relating to the development of any bispecific antibody which targets any combination that is the subject of our joint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research plan. During the preclinical and clinical development phase for any Genmab Collaboration Product, engagement in research and development activities in the Genmab Agreement Field unilaterally by a party relating to a Genmab Collaboration Product or its Genmab Back-up Candidate or any bispecific antibody which targets the same target combination for which such Genmab Collaboration Product or Genmab Back-up Candidate has been developed would require the other party’s prior written consent.</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Each party has the right to discontinue its participation in the further development and commercialization of a Genmab Collaboration Product at two points: (i) when an IND submission package has been agreed upon by the parties and (ii) when the draft clinical trial report from the first Phase 1/2 clinical trial becomes available. The party that wishes to opt out of such further development and commercialization may choose to permit the other party to continue the development and commercialization of the Genmab Collaboration Product or divest its interest in such Genmab Collaboration Product. If the opt-out party permits continued development and commercialization, the other party may elect to pursue development and commercialization of such Genmab Collaboration Product alone as a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Genmab Collaboration Product to a third party, and if such divestiture fails, the parties will cease all development and commercialization of such Genmab Collaboration Product. Alternatively, if the opt-out party seeks to unilaterally divest its interest in the applicable Genmab Collaboration Product, the other party has the right of first exclusive negotiation to obtain exclusive, worldwide rights to develop and commercialize such Genmab Collaboration Product. If such unilateral divestiture fails after the other party’s exercise of its right of first exclusive negotiation, the opt-out party may either continue development and commercialization of such Genmab Collaboration Product or offer the other party to continue such development and commercialization on such pre-defined payment and additional terms as set forth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Genmab Agreement will remain in effect until the later of (i) the expiration of the last-to-expire royalty term for any Unilateral Product and</w:t>
      </w:r>
    </w:p>
    <w:p>
      <w:pPr>
        <w:spacing w:after="0" w:line="46" w:lineRule="exact"/>
        <w:rPr>
          <w:sz w:val="20"/>
          <w:szCs w:val="20"/>
          <w:color w:val="auto"/>
        </w:rPr>
      </w:pPr>
    </w:p>
    <w:p>
      <w:pPr>
        <w:ind w:left="120" w:right="400" w:hanging="4"/>
        <w:spacing w:after="0" w:line="323" w:lineRule="auto"/>
        <w:tabs>
          <w:tab w:leader="none" w:pos="3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time when no Genmab Collaboration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Pfizer-COVID-19 Collaboration</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April 9, 2020, effective as of March 17, 2020, we entered into a Collaboration Agreement with Pfizer for the research and development of immunogenic compositions comprising RNA encoding a SARS-CoV-2 polypeptide or fragment thereof for prophylaxis against SARS-CoV-2 in humans, which we refer to as the Pfizer Corona Field. We also entered into a binding term sheet for commercialization of the foregoing compositions, which we refer to, together with the Collaboration Agreement, as the Pfizer Corona Agreement. We plan to enter into a Commercialization Agreement based on such term sheet.</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and Pfizer agreed to collaborate on research and development in the Pfizer Corona Field worldwide excluding the Fosun Territory, which we refer to as the Pfizer Territory. The details of such activities are set forth in a research and development plan that is governed by a joint steering committee. Each party bears its own personnel and capital expenditures costs, but the parties will share the costs of all other agreed development activities (including the costs of manufacturing material for use in clinical trials) evenly. Each party will, in good faith, seek funding from government funds, non-governmental organizations and other third-party organizations to support their research and development activities. Under the Pfizer Corona Agreement, Pfizer will lead clinical development of and seek regulatory approval for any candidates or products in the USA and we will lead clinical development of and seek regulatory approval for any candidates or products in the EU, and we will agree on a strategy for all other countries.</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a vaccine candidate has been approved, we plan to hold the marketing authorizations for that vaccine throughout the Pfizer Territory and can solely commercialize the vaccine in Germany and Turkey, as well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specified developing countries (collectively referred to as the BioNTech Territory) for so long as we or a third-party funding organization is conducting vaccine commercialization in such countries and subject to any future agreement with the third-party funding organization. We have the option to opt-out of commercializing the vaccine in Germany and/or Turkey, whereupon such countries will become part of the Pfizer Territory.</w:t>
      </w:r>
    </w:p>
    <w:p>
      <w:pPr>
        <w:spacing w:after="0" w:line="14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If a vaccine candidate is approved, Pfizer has the right to commercialize that vaccine and related products in the rest of the Pfizer Territory. On a country-by-country basis in relation to the United Arab Emirates and certain countries of southeast Asia, if we obtain funding from a third-party government, non-governmental organization or other organization that obligates us to commercialize an approved vaccine in such country, we are obligated to request from Pfizer in writing a decision as to whether Pfizer wishes to commercialize such vaccine in such country in accordance with the requirements agreed with the third-party funder. If Pfizer elects not to commercialize the vaccine in such country, then such country shall become a part of the BioNTech Territory.</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the Fosun Agreement expires or is otherwise terminated for any reason, as between us and any international pharmaceutical group headquartered outside of China, we granted Pfizer a right of first negotiation to expand the Pfizer Territory to include the Fosun Territory. See “—Fosun-COVID-19 Collaboration” below for more information on the Fosun Agreement.</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and Pfizer will share responsibilities for manufacturing and supplying a vaccine, if approved. If there is insufficient supply to satisfy the entire demand for a vaccine in the Pfizer Territory, we and Pfizer have agreed to determine by mutual consent the allocation of supplies on a fair and equitable basis, subject also to any applicable law, export controls, any government supply obligations, or supply obligations included in any agreement reached with a third-party funding organization.</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Under the Pfizer Corona Agreement, we granted to Pfizer an exclusive, sublicensable license in the Pfizer Territory under certain of our intellectual property, including our patents and know-how, relating to uridine RNA, modified RNA and replicons in the Pfizer Corona Field as well as certain intellectual property in-licensed by us from third parties, to use, research, develop, manufacture, commercialize and otherwise exploit candidates and products selected under the Pfizer Corona Agreement. We undertake to maintain in full effect all intellectual property licenses held by us at the time we entered into the agreement and not to modify or amend any such license in a manner that would adversely affect any of the rights granted to Pfizer under the Pfizer Corona Agreement. We are obligated to notify Pfizer of any breach of our current licenses and may be obligated to take steps to maintain Pfizer’s access to any intellectual property licensed under such licenses.</w:t>
      </w:r>
    </w:p>
    <w:p>
      <w:pPr>
        <w:spacing w:after="0" w:line="17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During the term of the Pfizer Corona Agreement and a certain period thereafter, we and Pfizer have committed not to research, develop, manufacture, commercialize or otherwise exploit immunogenic compositions comprising RNA in the Pfizer Corona Field, or exploit vaccine candidates or products developed under the agreement for any use, other than pursuant to the Pfizer Corona Agreement, provided, however, that Pfizer shall have the right to work as a contract manufacturer for a third party and Pfizer shall not be precluded from acquiring a third party, or being acquired by a third party, that at the time of acquisition is active in the development or commercialization of an immunogenic composition comprising mRNA in the Pfizer Corona Field.</w:t>
      </w:r>
    </w:p>
    <w:p>
      <w:pPr>
        <w:spacing w:after="0" w:line="19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April 9, 2020, Pfizer also subscribed for $113 million of our ordinary shares under a separate investment agreement. In addition, under the Pfizer Corona Agreement, Pfizer made an upfront payment of $72 million and agreed to make potential payments of up to $563 million upon the achievement of specified regulatory and commercial milestones. We and Pfizer agreed to share development costs equally. However, Pfizer will fund 100 percent of the development costs, and we will repay Pfizer its 50 percent share of these costs as a deduction from the milestones and other payments we would otherwise be due to receive under the Pfizer Corona Agreement, or as a lump sum in the case we are acquired by certain entities or if Pfizer terminates the agreement for cause. Subject to this repayment obligation, we and Pfizer will share the cost of and profits from commercializing a vaccine evenly.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Pfizer Corona Agreement ends on the later of (i) the completion of all development and manufacturing obligation of the parties and</w:t>
      </w:r>
    </w:p>
    <w:p>
      <w:pPr>
        <w:spacing w:after="0" w:line="35" w:lineRule="exact"/>
        <w:rPr>
          <w:sz w:val="20"/>
          <w:szCs w:val="20"/>
          <w:color w:val="auto"/>
        </w:rPr>
      </w:pPr>
    </w:p>
    <w:p>
      <w:pPr>
        <w:ind w:left="120" w:hanging="4"/>
        <w:spacing w:after="0" w:line="253" w:lineRule="auto"/>
        <w:tabs>
          <w:tab w:leader="none" w:pos="3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termination or expiry of a separately executed Commercialization Agreement, or, if the parties do not enter into such agreement, Pfizer ceases to commercialize vaccine products pursuant to the binding term sheet. In addition to termination rights granted to each party in the case of the other party’s uncured material breach, Pfizer may terminate the agreement (i) upon our insolvency or (ii) for convenience and with or without reason at any time after the six-month anniversary of the commencement date upon 180 days’ prior written notice.</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Pfizer-Influenza Collaboration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July 20, 2018, we and BioNTech RNA entered into a Research Collaboration and License Agreement with Pfizer, or the Pfizer Agreement, for the research, development and Pfizer’s commercialization of immunogenic compositions comprising modified RNA and/or replicon technology for prophylaxis against influenza in humans, which we refer to as the Pfizer Agreement Field.</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and Pfizer agreed to collaborate on the research in the Pfizer Agreement Field for an initial period of three years.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Pfizer Agreement, we grant to Pfizer an exclusive, worldwide, sublicensable license under certain of our intellectual property, including our patents and know-how, relating to replicons and modified RNA in the Pfizer Agreement Field as well as certain intellectual property in-licensed by us from third parties, to use, research, develop, manufacture, commercialize and otherwise exploit candidates and products selected under the Pfizer Agreement. We also grant to Pfizer a non-exclusive, royalty-free, sublicensable license under all intellectual property controlled by us or our affiliates to use, develop, manufacture, commercialize and otherwise exploit candidates and products selected under the Pfizer Agreement in the Pfizer Agreement Field. We undertake to maintain in full effect all intellectual property licenses held by us at the time we entered into the agreement and to not modify or amend any such license in a manner that would adversely affect any of the rights granted to Pfizer under the Pfizer Agreement. We are obligated to notify Pfizer of any breach of our current licenses and may be obligated to take steps to maintain Pfizer’s access to any intellectual property licensed under such licenses.</w:t>
      </w:r>
    </w:p>
    <w:p>
      <w:pPr>
        <w:spacing w:after="0" w:line="18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also granted Pfizer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negotiation may be exercised until the end of the research term.</w:t>
      </w:r>
    </w:p>
    <w:p>
      <w:pPr>
        <w:spacing w:after="0" w:line="184"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In consideration of the rights granted to Pfizer under the agreement, Pfizer subscribed to shares in BioNTech AG under a separate investment agreement. In addition, under the Pfizer Agreement, Pfizer made an upfront payment of $50 million and agreed to potential payments of up to</w:t>
      </w:r>
    </w:p>
    <w:p>
      <w:pPr>
        <w:ind w:left="120" w:right="100"/>
        <w:spacing w:after="0" w:line="260" w:lineRule="auto"/>
        <w:rPr>
          <w:sz w:val="20"/>
          <w:szCs w:val="20"/>
          <w:color w:val="auto"/>
        </w:rPr>
      </w:pPr>
      <w:r>
        <w:rPr>
          <w:rFonts w:ascii="Arial" w:cs="Arial" w:eastAsia="Arial" w:hAnsi="Arial"/>
          <w:sz w:val="18"/>
          <w:szCs w:val="18"/>
          <w:color w:val="auto"/>
        </w:rPr>
        <w:t>$325 million upon the achievement of specified development, regulatory and commercial milestones. Pfizer further agreed to a mid-single digit to very low double-digit tiered royalty on net sales if a product is commercialized. Royalties are subject to stacking</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provisions. The obligation of Pfizer to pay royalties ends, on a country-by-country and a product-by-product, basis upon the later of (i) the expiration of the last valid licensed patent right covering such product category in such country, (ii) 10 years after the first commercial sale of a product of such product category in such country and (iii) the lapse of regulatory data exclusivity for the first product in such product category in such country. There are only two product categories: one for modified RNA and a second for replicon products.</w:t>
      </w:r>
    </w:p>
    <w:p>
      <w:pPr>
        <w:spacing w:after="0" w:line="187"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During the term of the Pfizer Agreement, we have committed not to research, develop, manufacture, commercialize or otherwise exploit immunogenic compositions compromising RNA in the Pfizer Agreement Field other than pursuant to the Pfizer Agreement.</w:t>
      </w:r>
    </w:p>
    <w:p>
      <w:pPr>
        <w:spacing w:after="0" w:line="14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Pfizer Agreement ends on a country-by-country basis upon expiration of the last royalty term for any product in that country. Thereafter, the licenses granted to Pfizer with respect to such product in such country will convert into a perpetual, exclusive, fully paid-up and royalty-free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Fosun-COVID-19 Collaboration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On March 13, 2020, we entered into a Development and License Agreement with Shanghai Fosun Pharmaceutical Industrial Development, Co., Ltd, or Fosun Pharma, for the development and commercialization in People’s Republic of China (including Hong Kong SAR, Macau SAR and Taiwan), or the Fosun Territory, of immunogenic compositions generated by BioNTech and comprising uridine RNA, modified RNA and/or replicon technology for prophylaxis against SARS-CoV-2 in humans. We refer to this agreement as the Fosun Agreement.</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details of the development activities to be undertaken by Fosun Pharma are to be set forth in a development plan that is overseen by a joint steering committee. Fosun Pharma’s development activities are to be undertaken at its own cost and expense. Fosun Pharma is obligated to use commercially reasonable efforts to develop a vaccine candidate in accordance with the development plan with the goal to obtain regulatory approval for a vaccine candidate in the Fosun Territory in accordance with the timelines set forth in the development plan. Fosun Pharma has the sole responsibility to prepare, obtain and maintain regulatory approvals for the vaccine candidates in the Fosun Territory. We agreed to give Fosun Pharma reasonable assistance with the regulatory aspects of these activities.</w:t>
      </w:r>
    </w:p>
    <w:p>
      <w:pPr>
        <w:spacing w:after="0" w:line="192"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Fosun Pharma has the sole responsibility, authority and control of the commercialization of a vaccine candidate in the Fosun Territory, but must use commercially reasonable efforts to do so in accordance with an agreed commercialization plan, including by launching a vaccine product in the Fosun Territory within three months after receiving marketing approval for it, provided sufficient quantities of the vaccine have been delivered.</w:t>
      </w:r>
    </w:p>
    <w:p>
      <w:pPr>
        <w:spacing w:after="0" w:line="14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retain the sole right to manufacture (or have manufactured) and supply any vaccine candidates and products for development purposes and commercial sale in the Fosun Territory. We agreed to manufacture and supply all quantities of vaccine from a GMP-certified RNA manufacturing facility. As compensation for supply of the vaccine Fosun Pharma will reimburse us our manufacturing costs plus an administrative fee that is between 10 and 19 percent.</w:t>
      </w:r>
    </w:p>
    <w:p>
      <w:pPr>
        <w:spacing w:after="0" w:line="18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Under the Fosun Agreement, we granted to Fosun Pharma an exclusive license under certain of our owned or in-licensed intellectual property, including our patents relating to replicons, uridine RNA and modified RNA and other mRNA technology or a vaccine to use, develop, commercialize and otherwise exploit the vaccine candidates in the Fosun Territory. In the event of any failure of the development of a vaccine, we agreed to grant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Fosun Pharma a right of first negotiation on a separate competent vaccine for the prophylaxis of COVID-19 in the Fosun Territory.</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consideration of the rights granted to Fosun Pharma under the Fosun Agreement, Fosun Pharma subscribed for $50 million of our ordinary shares under a separate investment agreement. In addition, under the Fosun Agreement, Fosun Pharma made an upfront payment of $1 million and agreed to potential payments of up to $14 million upon the achievement of specified development and regulatory milestones and up to $70 million upon the achievement of specified sales milestones. Fosun Pharma further agreed to pay us a royalty rate that is between 30 and 39 percent of its profits on net sales of a vaccine product, if approved, for a period of 15 years from launch of that vaccine in the Fosun Territory.</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Fosun Agreement ends upon expiration of the royalty term. Fosun Pharma may elect to continue to pay royalties and extend the agreement and its rights thereunder. In addition to termination rights granted to each party in the case of the other party’s uncured material breach or insolvency, Fosun Pharma may terminate the agreement, in whole, for convenience and with or without reason at any time upon 180 days’ prior written notice. If the agreement is terminated by Fosun Pharma for cause, the licenses to Fosun Pharma survive, we will manufacture and deliver the vaccine candidate or product for one year and we will grant a non-exclusive license to a reasonably acceptable contract manufacturing organization for manufacturing of the vaccine candidate or product thereafter for development and commercialization by Fosun Pharma in the Fosun Territory.</w:t>
      </w:r>
    </w:p>
    <w:p>
      <w:pPr>
        <w:spacing w:after="0" w:line="16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During the term of the Fosun Agreement, we have committed not to, and not to license the licensed intellectual property to any third party to, develop or commercialize the same vaccine candidate or vaccine in the Fosun Territory.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Bill &amp; Melinda Gates Foundation-HIV and Tuberculosis Collaboration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On August 30, 2019, we entered into a letter agreement and an investment agreement with the Bill &amp; Melinda Gates Foundation, or BMGF, pursuant to which BMGF acquired 3,038,674 of our ordinary shares for $55 million at the price of our Series B financing. The primary purpose of BMGF’s investment is to further its charitable purposes, and the investment will be utilized to advance the development of products for the prevention and/or treatment of HIV and tuberculosis, or TB. About one-third of the investment will be used to help fund our infrastructure build-out; this expansion of the company’s infectious disease capabilities is necessary to enable us to conduct BMGF projects.</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addition to the HIV and TB projects, BMGF has the right to initiate up to three additional projects focused on infectious diseases (from a list of mutually agreed upon diseases) within the first five years of the partnership. BMGF may also continue to fund certain projects beyond initial funding agreements. These additional activities may be funded through grants from BMGF of up to $45 million. We must accept funding for the HIV and TB projects until the occurrence of defined event stamps and for the additional projects until the eighth anniversary of the closing of the investment. The event stamps involve the completion of Phase 1 safety and immunogenicity studies in healthy and/or infected individuals showing specific results.</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elect not to proceed with any project following achievement of the event stamps, a new partner may further develop the project and manufacture any resulting products. Such partner will be identified through a series of defined steps and a technology transfer would take place. If a suitable manufacturing partner is not identified, we must manufacture the clinical and commercial supply of any product until a partner is identified. Such manufacturing may require us to increase our manufacturing capacities, which may be funded by BMGF. We retain the right to manufacture at any time.</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primary objective of BMGF is to provide funding to accelerate the development of lifesaving, low-cost drugs to reduce the burden of diseases in developing countries. This objective is known as global access commitments, or GAC. The projects in this partnership are separate and distinct from our current proprietary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partnered product candidates; all BMGF programs, however, will utilize our proprietary technology platforms. We retain rights for commercialization of products in the developed world. We can also independently develop any of the project results under new proprietary projects. The results which are funded under this partnership are always accessible by BMGF and are subject to GAC.</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granted a non-exclusive, perpetual, royalty-free license (with limited rights to sub-license) to our platform technology that is specifically used in the defined projects for the purpose of benefiting people in developing countries. This license is known as the global health license and only becomes exercisable upon the occurrence of a charitability default (as detailed below) or if we become insolvent. BMGF has granted us a de-blocking license to ensure freedom to operate of our platform technology. We will negotiate in good faith to expand the geographic scope of the global health license to include developed countries if requested by the new partner.</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objective is to generate products that are affordable and accessible for the developing world. The final price, however, will not fall below our full costs of manufacturing the product.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required to publish, in accordance with certain “open access” terms and conditions, results and information developed under the projects.</w:t>
      </w:r>
    </w:p>
    <w:p>
      <w:pPr>
        <w:spacing w:after="0" w:line="24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BMGF has a right to withdraw from its investment in certain specified circumstances, including if we become insolvent or in the event of a charitability default, namely material breach of the GAC or breach of other specified requirements in the agreement. If we do not cure the charitability default within a specified period of time (if curable), we must repurchase all of the shares held by BMGF, to the extent consistent with applicable law, if we have sufficient free reserves and available liquidity, or we must locate a third-party purchaser of those shares. If we are not able to repurchase the shares or find a third-party purchaser, we must use our best efforts to effect BMGF’s withdrawal right as soon as practicable, which may mean acquiring the shares in tranches over time. To the extent permitted by law, we must compensate BMGF for any shortfall if the price achieved on a sale to a third party is lower than its initial investment. During the period before a charitability default occurs, we can pay dividends on our shares, provided that our cash reserves exceed the price per share paid by BMGF times the number of shares BMGF holds (which is initially $55 million), and to the extent permitted by law, we must contribute annual profits of that amount to the cash reserves. After a charitability default has occurred and until the withdrawal right has been satisfied in full, we may only pay dividends in excess of the aggregate minimum purchase price if BMGF has not exercised any option to require us to repurchase any remaining shares held by them. For any purchase resulting from a charitability default, the aggregate minimum purchase price of BMGF’s shares will be valued at the greater of the original purchase price of the shares or the fair market value of such shares.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of the letter agreement continues in perpetuity.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Genevant-Rare Disease Protein Replacement Therapy Strategic Collaboration</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July 2018, our wholly owned subsidiary BioNTech RNA Pharmaceuticals GmbH, or BioNTech RNA, entered into a license and co-development agreement with Genevant Sciences GmbH, or Genevant for the joint development of certain pharmaceutical products and the licensing of specified rights to Genevant’s lipid nanoparticle delivery technology to BioNTech RNA. We refer to this agreement as the Genevant Agreement.</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 the Genevant Agreement, BioNTech RNA and Genevant have agreed to collaborate to develop pharmaceutical products that contain any of five mRNA payloads created by BioNTech RNA encapsulated within a Genevant (or, if the parties agree, a third party) LNP, or the Co-Development Products, for the treatment, prevention and diagnosis of liver diseases, excluding any oncology diseases, or the Co-Development Field. Each party granted to the other party a worldwide, co-exclusive license or sublicense, with limited sublicensing rights, under certain of its patents and know-how to research, develop, make, have made, use,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distribute, sell, offer for sale, have sold, import, export and otherwise commercialize the Co-Development Products in the Co-Development Field as provided in development and commercialization plans approved by a joint steering committee and subject to certain restrictions under the Genevant Agreement.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BioNTech RNA obtained an exclusive, worldwide, royalty-bearing license or sublicense under Genevant’s LNP delivery technology to research, develop, make, have made, use, distribute, sell, offer for sale, have sold, import, export and otherwise commercialize pharmaceutical products containing BioNTech mRNA payloads encapsulated within an LNP, or the BioNTech Products, for the treatment, prevention and diagnosis of illnesses in the field of oncology, or the BioNTech Field.</w:t>
      </w:r>
    </w:p>
    <w:p>
      <w:pPr>
        <w:spacing w:after="0" w:line="187"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Each party retained certain rights to practice its intellectual property for all purposes outside of the Co-Development Field or in the Co-Development Field with any product that is not a Co-Development Product, subject to the next sentence as to BioNTech. During the term of the Genevant Agreement for each Co-Development Product or BioNTech Product, BioNTech RNA has agreed not to conduct or enable any clinical development, promotion or commercialization of any product involving the use of LNP with the BioNTech mRNA payload contained in the Co-Development Product or BioNTech Product other than in collaboration with Genevant pursuant to the Genevant Agreement. Genevant has also retained rights to practice its intellectual property for all purposes outside the BioNTech Field, or in the BioNTech Field with any product that is not a BioNTech Product.</w:t>
      </w:r>
    </w:p>
    <w:p>
      <w:pPr>
        <w:spacing w:after="0" w:line="195"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The parties are jointly responsible for the development of, and must use commercially reasonable efforts to develop, the Co-Development Products in accordance with a development plan approved by a joint steering committee. Genevant is responsible for the preclinical, clinical and commercial manufacture of the Co-Development Products, and BioNTech RNA is obligated to supply the mRNA payloads for use in manufactured Co-Development Products. The parties share equally all costs for the development of Co-Development Products as well as any profits and losses. For each Co-Development Product, one or the other party will take the lead responsibility for commercialization of the Co-Development Product in the Co-Development Field. Each party must use commercially reasonable efforts to perform the commercialization activities allocated to it in a commercialization plan approved by a joint steering committee.</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Each party may opt-out of the co-development of any Co-Development Product with 90 days’ prior notice at any time after the filing of an IND or equivalent for the Co-Development Product. In such event, the other party may continue the development of the Co-Development Product on its own, at its sole cost and expense apart from specified obligations to support manufacturing and any ongoing clinical studies, but has to pay to the party that opted out pre-defined regulatory and sales milestones for the Co-Development Product of up to a low nine figure U.S. dollar amount in the aggregate and tiered low to mid-single digit percentage royalties on aggregate net sales of the Co-Development Product. In the event that a party opts out of the co-development of any Co-Development Product, the license granted by the party opting out to the other party shall become exclusive licenses, even as to the opting out party.</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BioNTech RNA is solely responsible for the development and commercialization of the BioNTech Products, including the performance of preclinical and clinical trials, all regulatory activities, and marketing and sales, and bears all related costs. BioNTech RNA must use commercially reasonable efforts to develop and obtain regulatory approval for BioNTech Products in the BioNTech Field in the United States, Germany, United Kingdom, France, Spain and Italy. Genevant is responsible for the manufacturing of the BioNTech Products, and the details of such manufacturing are to be agreed in a separate manufacturing and supply agreement. BioNTech RNA is obligated to pay regulatory and sales milestone payments on each BioNTech Product, and royalties based on aggregate net sales of all BioNTech Products, to Genevant.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Genevant Agreement continues until later of (i) the expiration of the last-to-expire royalty term for any BioNTech Product worldwide and</w:t>
      </w:r>
    </w:p>
    <w:p>
      <w:pPr>
        <w:spacing w:after="0" w:line="35" w:lineRule="exact"/>
        <w:rPr>
          <w:sz w:val="20"/>
          <w:szCs w:val="20"/>
          <w:color w:val="auto"/>
        </w:rPr>
      </w:pPr>
    </w:p>
    <w:p>
      <w:pPr>
        <w:ind w:left="120" w:right="580" w:hanging="4"/>
        <w:spacing w:after="0" w:line="260" w:lineRule="auto"/>
        <w:tabs>
          <w:tab w:leader="none" w:pos="3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date on which all Co-Development Products cease being developed or commercialized. BioNTech RNA may terminate the agreement for convenience with respect to one or more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BioNTech Products at any time with 90 or 180 days’ prior notice, depending on whether regulatory approval has been granted. The Genevant Agreement grants each party termination rights: if the other party challenges the validity, enforceability or scope of any patents licensed to it under the Genevant Agreement; for uncured material breaches of the other party; for the other party’s insolvency; or if the other party undergoes a change of control through which it is controlled by a competitor, if specified by the parties at the time of the Genevant Agreement, before the earlier of July 4, 2021 or when the other party undergoes an initial public offering.</w:t>
      </w:r>
    </w:p>
    <w:p>
      <w:pPr>
        <w:spacing w:after="0" w:line="18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certain scenarios, if BioNTech RNA terminates the Genevant Agreement with respect to a particular BioNTech Product, before granting a license to a third party for the BioNTech mRNA payload included in the BioNTech Product, Genevant has the right of negotiation with BioNTech. Under certain scenarios, if Genevant terminates the Genevant Agreement, Genevant keeps all licenses and have certain rights, but not the obligation, to continue the development and commercialization of Co-Development Products, and BioNTech RNA has certain obligations to provide assistance, documentation, and certain know-how and inventions to enable Genevant’s continued development and commercialization of Co-Development Products.</w:t>
      </w:r>
    </w:p>
    <w:p>
      <w:pPr>
        <w:spacing w:after="0" w:line="296"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8"/>
          <w:szCs w:val="18"/>
          <w:b w:val="1"/>
          <w:bCs w:val="1"/>
          <w:color w:val="auto"/>
        </w:rPr>
        <w:t>XV.</w:t>
      </w:r>
      <w:r>
        <w:rPr>
          <w:sz w:val="20"/>
          <w:szCs w:val="20"/>
          <w:color w:val="auto"/>
        </w:rPr>
        <w:tab/>
      </w:r>
      <w:r>
        <w:rPr>
          <w:rFonts w:ascii="Arial" w:cs="Arial" w:eastAsia="Arial" w:hAnsi="Arial"/>
          <w:sz w:val="16"/>
          <w:szCs w:val="16"/>
          <w:b w:val="1"/>
          <w:bCs w:val="1"/>
          <w:color w:val="auto"/>
        </w:rPr>
        <w:t>Government Regulation</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Government authorities in the United States, at the federal, state and local levels, and in the European Union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Drug and Biological Products in the United States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also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sponsor seeking approval to market and distribute a new drug or biological product in the United States generally must satisfactorily complete each of the following steps:</w:t>
      </w:r>
    </w:p>
    <w:p>
      <w:pPr>
        <w:spacing w:after="0" w:line="76" w:lineRule="exact"/>
        <w:rPr>
          <w:sz w:val="20"/>
          <w:szCs w:val="20"/>
          <w:color w:val="auto"/>
        </w:rPr>
      </w:pPr>
    </w:p>
    <w:p>
      <w:pPr>
        <w:ind w:left="1080" w:right="16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applicable regulations, including the FDA’s good laboratory practices, or GLP, regulations;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approval by the IRB representing each clinical site before each clinical trial may be initiated;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applicable regulations, including with GCP,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311"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NDA or BLA;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or BLA;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to conduct any post-approval studies required by the FDA.</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investigational medicines and any future investigational medicines will be granted on a timely basis, or at all.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As a result, submission of the IND may result in the FDA not allowing the trial to commence or not be conducted on the terms originally specified by the sponsor in the IND. If the FDA raises concerns or questions either during this initial 30-day period, or at any time during the IND process, it may choose to impose a partial or complete clinical hold.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7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FDA may impose clinical holds on a biological product candidate at any time before or during clinical trials due to safety concerns or non-compliance.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Clinical Trials in Support of an NDA or a BLA</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7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subjects or 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spacing w:after="0" w:line="19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76" w:lineRule="exact"/>
        <w:rPr>
          <w:sz w:val="20"/>
          <w:szCs w:val="20"/>
          <w:color w:val="auto"/>
        </w:rPr>
      </w:pPr>
    </w:p>
    <w:p>
      <w:pPr>
        <w:ind w:left="1080" w:right="100" w:hanging="424"/>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Phase 1 clinical trials (or Phase 1)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especially when the product may be too inherently toxic to ethically administer to healthy volunteers.</w:t>
      </w:r>
    </w:p>
    <w:p>
      <w:pPr>
        <w:spacing w:after="0" w:line="92"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83" w:lineRule="exact"/>
        <w:rPr>
          <w:rFonts w:ascii="Arial" w:cs="Arial" w:eastAsia="Arial" w:hAnsi="Arial"/>
          <w:sz w:val="17"/>
          <w:szCs w:val="17"/>
          <w:color w:val="auto"/>
        </w:rPr>
      </w:pPr>
    </w:p>
    <w:p>
      <w:pPr>
        <w:ind w:left="1080" w:hanging="424"/>
        <w:spacing w:after="0" w:line="279" w:lineRule="auto"/>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an adequate basis for product labeling.</w:t>
      </w:r>
    </w:p>
    <w:p>
      <w:pPr>
        <w:spacing w:after="0" w:line="17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some cases, the FDA may approve an NDA or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required Phase 4 clinical trials could result in withdrawal of approval for products.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18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Compliance with GMP Requirements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 deterioration over its shelf life. In particular, the PHSA emphasizes the importance of manufacturing control for products like biologics whose attributes cannot be precisely defined.</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manufacturing facilities may be subject to periodic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Review and Approval of an NDA or a BLA</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The results of product candidate development, preclinical testing and clinical trials, including negative or ambiguous results as well as positive findings, are submitted to the FDA as part of an NDA or a BLA requesting 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the NDA or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19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FDA reviews NDA and BLA applications to determine, among other things, whether the proposed product is safe and potent, 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denial letter or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174"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w:t>
      </w:r>
    </w:p>
    <w:p>
      <w:pPr>
        <w:spacing w:after="0" w:line="16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and under what conditions. In particular,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FDA may refer applications for novel drug or biological products or drug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16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16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cross-disciplinary project lead for the review team; and taking other steps to facilitate the design of clinical trials in an efficient manner.</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17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Fast track designation, priority review and breakthrough therapy designation may expedite the development or approval process, but do not change the standards for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7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All promotional materials for product candidates approved under accelerated regulations are subject to prior review by the FDA.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Accelerated approval pathways are available for regenerative medicine therapies that meet certain conditions. Regenerative medicine therapies include cell therapies (both allogenic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Regenerative medicine therapies designed to treat, modify, reverse or cure serious conditions are eligible for FDA’s expedited programs, including fast track designation, breakthrough therapy designation, priority review and accelerated approval, if they meet the criteria for such programs. They may also be eligible for Regenerative Medicine Advanced Therapy Designation, or RMAT designation.</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by available therapy.</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RMAT designation confers all the benefits of the fast track and breakthrough therapy designation programs, including early 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or subjects, and the severity, rarity or prevalence of the condition, among other factors. The FDA may decline to grant RMAT designation if it finds the clinical evidence insufficient.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RMAT designation may expedite the development or approval process, but it does not change the standards for approval.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Emergency Use Authorizations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Secretary of Health and Human Services has the authority to authorize unapproved medical products, including vaccines, to be marketed in the context of an actual or potential emergency that has been designated by government officials. The COVID-19 pandemic has been designated such a national emergency. After an emergency has been announced, the Secretary of Health and Human Services may authorize the issuance of, and the FDA Commissioner may issue, Emergency Use Authorizations, or EUAs, for the use of specific products based on criteria established by statute, including that the product at issue may be effective in diagnosing, treating, or preventing serious or life-threatening diseases when there are no adequate, approved, and available alternatives. An EUA is subject to additional conditions and restrictions and is product-specific. An EUA terminates when the emergency determination underlying the EUA terminates. An EUA is not a long-term alternative to obtaining FDA approval, licensure, or clearance for a product. FDA may revoke an EUA where it is determined that the underlying health emergency no longer exists or warrants such authorization, so it is not possible to predict how long an EUA may remain in place.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inspections by the FDA and certain state agencies for compliance with ongoing regulatory requirements, including GMP regulations, which impose certain procedural and documentation 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fines, untitled letters or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injunctions, fines, debarment, disgorgement of profits or the imposition of civil or criminal penalties.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5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18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Orphan product designation does not convey any advantage in or shorten the duration of the regulatory review and approval process.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end-of-Phase 2 meeting with the FDA or, if there is no such meeting, 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5"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89" w:lineRule="exact"/>
        <w:rPr>
          <w:sz w:val="20"/>
          <w:szCs w:val="20"/>
          <w:color w:val="auto"/>
        </w:rPr>
      </w:pPr>
    </w:p>
    <w:p>
      <w:pPr>
        <w:ind w:left="1080" w:right="14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75"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Arial" w:cs="Arial" w:eastAsia="Arial" w:hAnsi="Arial"/>
          <w:sz w:val="16"/>
          <w:szCs w:val="16"/>
          <w:i w:val="1"/>
          <w:iCs w:val="1"/>
          <w:color w:val="auto"/>
        </w:rPr>
        <w:t>e.g</w:t>
      </w:r>
      <w:r>
        <w:rPr>
          <w:rFonts w:ascii="Arial" w:cs="Arial" w:eastAsia="Arial" w:hAnsi="Arial"/>
          <w:sz w:val="16"/>
          <w:szCs w:val="16"/>
          <w:color w:val="auto"/>
        </w:rPr>
        <w:t>., to reflect a change in intended use, dosage form, strength, route of administration or significant change in dose; or</w:t>
      </w:r>
    </w:p>
    <w:p>
      <w:pPr>
        <w:spacing w:after="0" w:line="62" w:lineRule="exact"/>
        <w:rPr>
          <w:rFonts w:ascii="Arial" w:cs="Arial" w:eastAsia="Arial" w:hAnsi="Arial"/>
          <w:sz w:val="16"/>
          <w:szCs w:val="16"/>
          <w:color w:val="auto"/>
        </w:rPr>
      </w:pPr>
    </w:p>
    <w:p>
      <w:pPr>
        <w:ind w:left="1080" w:right="400" w:hanging="424"/>
        <w:spacing w:after="0" w:line="263"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biological product, the FDA center responsible for premarket review of the biological product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 and sell the product in those countries or jurisdictions.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Clinical trials must be conducted in accordance with European Union and national regulations and the International Conference on Harmonization, or ICH, guidelines on GCP.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 The clinical trial application must be accompanied by a copy of the trial protocol and an investigational medicinal product dossier with supporting information prescribed by Directive 2001/20/EC and Directive 2005/28/EC and corresponding national laws of the member states and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is expected that the new Clinical Trials Regulation will apply at earliest in 2020. It will overhaul the current system of approvals for clinical trials in the European Union. Specifically, the new regulation, which will be directly applicable in all member states, aims to simplify and streamline the approval of clinical trials in the European Union. For instance, the new Clinical Trials Regulation provides for a streamlined application procedure using a single entry point and strictly defined deadlines for the assessment of clinical trial applications. This means that one national authority takes the lead in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w:t>
      </w:r>
    </w:p>
    <w:p>
      <w:pPr>
        <w:spacing w:after="0" w:line="12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certain information from those results, with the exception of non-pediatric Phase 1 trials, will then be made public at the latest within 12 months after the end of the trial.</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To obtain a marketing authorization for a product under the European Union regulatory system, a sponsor must submit a marketing authorization application, or MAA, either under a centralized procedure administered by the EMA or one of the procedures administered by competent authorities in European Union member states (decentralized procedure, national procedure or mutual recognition procedure).</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A similar requirement is contained in the new Clinical Trials Regulation that is currently expected to take effect at earliest in 2020.</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w:t>
      </w:r>
      <w:r>
        <w:rPr>
          <w:rFonts w:ascii="Arial" w:cs="Arial" w:eastAsia="Arial" w:hAnsi="Arial"/>
          <w:sz w:val="17"/>
          <w:szCs w:val="17"/>
          <w:i w:val="1"/>
          <w:iCs w:val="1"/>
          <w:color w:val="auto"/>
        </w:rPr>
        <w:t>e.g</w:t>
      </w:r>
      <w:r>
        <w:rPr>
          <w:rFonts w:ascii="Arial" w:cs="Arial" w:eastAsia="Arial" w:hAnsi="Arial"/>
          <w:sz w:val="17"/>
          <w:szCs w:val="17"/>
          <w:color w:val="auto"/>
        </w:rPr>
        <w:t>., heavy disabling or life-threatening diseases) to be treated, (ii) the absence or insufficiency of an appropriate alternative therapeutic approach, and (iii) anticipation of high therapeutic benefit.</w:t>
      </w:r>
    </w:p>
    <w:p>
      <w:pPr>
        <w:spacing w:after="0" w:line="17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46"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 and post-approval measures required to monitor patients and evaluate the long term efficacy and potential adverse reactions of ATMPs.</w:t>
      </w:r>
    </w:p>
    <w:p>
      <w:pPr>
        <w:spacing w:after="0" w:line="19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83" w:lineRule="exact"/>
        <w:rPr>
          <w:sz w:val="20"/>
          <w:szCs w:val="20"/>
          <w:color w:val="auto"/>
        </w:rPr>
      </w:pPr>
    </w:p>
    <w:p>
      <w:pPr>
        <w:ind w:left="108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the CHMP finds that all the following requirements are met:</w:t>
      </w:r>
    </w:p>
    <w:p>
      <w:pPr>
        <w:spacing w:after="0" w:line="71"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benefit-risk balance of the product is positive;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 is likely that the applicant will be able to provide comprehensive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benefit to public health of the medicinal product’s immediate availability on the market outweighs the risks due to need for further data.</w:t>
      </w:r>
    </w:p>
    <w:p>
      <w:pPr>
        <w:spacing w:after="0" w:line="24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17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monitoring, more frequent submission of PSURs, or the conduct of additional clinical trials or post-authorization safety studies. RMPs and PSURs are routinely available to third parties requesting access, subject to limited redactions.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Directive 2001/83/EC, as amended, the details are governed by regulations in each member state and can differ from one country to another.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Cells and Tissues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Named Patient Supplies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European Union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 currently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Data Collection and Data Protection Laws</w:t>
      </w:r>
    </w:p>
    <w:p>
      <w:pPr>
        <w:spacing w:after="0" w:line="117"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7"/>
          <w:szCs w:val="17"/>
          <w:color w:val="auto"/>
        </w:rPr>
        <w:t>We are required to comply with strict data protection and privacy legislation in the jurisdictions in which we operate, including the General Data Protection Regulation (EU) 2016/679, or GDPR. The GDPR governs our collection and use of personal data in the European Union relating to individuals (</w:t>
      </w:r>
      <w:r>
        <w:rPr>
          <w:rFonts w:ascii="Arial" w:cs="Arial" w:eastAsia="Arial" w:hAnsi="Arial"/>
          <w:sz w:val="17"/>
          <w:szCs w:val="17"/>
          <w:i w:val="1"/>
          <w:iCs w:val="1"/>
          <w:color w:val="auto"/>
        </w:rPr>
        <w:t>e.g</w:t>
      </w:r>
      <w:r>
        <w:rPr>
          <w:rFonts w:ascii="Arial" w:cs="Arial" w:eastAsia="Arial" w:hAnsi="Arial"/>
          <w:sz w:val="17"/>
          <w:szCs w:val="17"/>
          <w:color w:val="auto"/>
        </w:rPr>
        <w:t>., patients). The GDPR imposes several requirements on organizations that process such data, including: to observe core data processing 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w:t>
      </w:r>
      <w:r>
        <w:rPr>
          <w:rFonts w:ascii="Arial" w:cs="Arial" w:eastAsia="Arial" w:hAnsi="Arial"/>
          <w:sz w:val="17"/>
          <w:szCs w:val="17"/>
          <w:i w:val="1"/>
          <w:iCs w:val="1"/>
          <w:color w:val="auto"/>
        </w:rPr>
        <w:t>e.g</w:t>
      </w:r>
      <w:r>
        <w:rPr>
          <w:rFonts w:ascii="Arial" w:cs="Arial" w:eastAsia="Arial" w:hAnsi="Arial"/>
          <w:sz w:val="17"/>
          <w:szCs w:val="17"/>
          <w:color w:val="auto"/>
        </w:rPr>
        <w:t>.,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 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Diagnostic Products in the European Union</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In the European Union,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products are regulated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or IVDs. The marketing of IVDs is subject to compliance with the In Vitro Diagnostic Medical Devices Directive 98/79/EC (IVD Directive). An IVD may be placed on the market within the European Union only if it conforms to certain “essential requirements” and bears the CE Mark. The most fundamental and essential requirement is that an IVD must be designed and manufactured in such a way that it will not compromise the clinical condition or safety of patients, or the safety and health of users and others. In addition, the IVD must achieve the performance(s) stated by the manufacturer and be designed and manufactured in a suitable manner.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Manufacturers must demonstrate that their IVDs conform to the relevant essential requirements through a conformity assessment procedure. The nature of the assessment depends upon the classification of the device. For IVDs intended to determine certain conditions or detect certain diseases, conformity assessment procedures involve a notified body. Notified bodies are often private entities and are authorized or licensed to perform such assessments by government authorities.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For all other IVDs, the manufacturer performs its own conformity assessment procedure and self-declares conformity before applying the CE Mark. Application of the CE Mark allows the general commercializing of an IVD in the European Union. The manufacturer or, if the manufacturer is located outside the European Union, its authorized representative in the European Union must also register with the competent authority in the European Union member state in which it is located.</w:t>
      </w:r>
    </w:p>
    <w:p>
      <w:pPr>
        <w:spacing w:after="0" w:line="16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May 2017, the European Union adopted a new In Vitro Diagnostic Medical Devices Regulation (EU) 2017/746, or the IVD Regulation, which will apply in the European Union from May 26, 2022. The IVD Regulation does not set out a radically new system, but clearly envisages, among other things, stricter controls of IVDs, including the involvement of notified bodies in conformity assessments of many more categories of IVD and increased expectations as regards clinical data for IVDs. The IVD Regulation also envisages greater control over notified bodies and their standards, increased transparency, more robust device vigilance requirements and clarification of the rules for clinical investigations. Under transitional provisions, IVDs with notified body certificates issued under the IVD Directive prior to May 26, 2022 may continue to be placed on the market for the remaining validity of the certificate, until May 27, 2024 at the latest. After the expiry of any applicable transitional period, only IVDs that have been CE marked under the IVD Regulation may be placed on the market in the European Union.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cost-effectiveness of medical products and services and imposing controls to manage costs.</w:t>
      </w:r>
    </w:p>
    <w:p>
      <w:pPr>
        <w:spacing w:after="0" w:line="17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Outside the United States, we will face challenges in ensuring and obtaining adequate coverage and payment for any product candidates we may develop. Pricing of prescription pharmaceuticals is subject to governmental 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9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Moreover,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include, without limitation, the following:</w:t>
      </w:r>
    </w:p>
    <w:p>
      <w:pPr>
        <w:spacing w:after="0" w:line="93" w:lineRule="exact"/>
        <w:rPr>
          <w:sz w:val="20"/>
          <w:szCs w:val="20"/>
          <w:color w:val="auto"/>
        </w:rPr>
      </w:pPr>
    </w:p>
    <w:p>
      <w:pPr>
        <w:ind w:left="1080" w:right="20" w:hanging="424"/>
        <w:spacing w:after="0" w:line="254"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10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92" w:lineRule="exact"/>
        <w:rPr>
          <w:rFonts w:ascii="Arial" w:cs="Arial" w:eastAsia="Arial" w:hAnsi="Arial"/>
          <w:sz w:val="18"/>
          <w:szCs w:val="18"/>
          <w:color w:val="auto"/>
        </w:rPr>
      </w:pPr>
    </w:p>
    <w:p>
      <w:pPr>
        <w:ind w:left="1080" w:right="140" w:hanging="424"/>
        <w:spacing w:after="0" w:line="25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93" w:lineRule="exact"/>
        <w:rPr>
          <w:rFonts w:ascii="Arial" w:cs="Arial" w:eastAsia="Arial" w:hAnsi="Arial"/>
          <w:sz w:val="18"/>
          <w:szCs w:val="18"/>
          <w:color w:val="auto"/>
        </w:rPr>
      </w:pPr>
    </w:p>
    <w:p>
      <w:pPr>
        <w:ind w:left="1080" w:right="220" w:hanging="424"/>
        <w:spacing w:after="0" w:line="25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93"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national anti-bribery laws and laws governing interactions with healthcare professionals of European Union Member States;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U.K. Bribery Act 2010;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and proposed changes regarding the healthcare system that could prevent or delay marketing approval of our investigational medicines, restrict or regulate post-approval activities, and affect our ability to profitably sell any investigational medicines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ACA, for example, contains provisions that subject biological products to potential competition by lower-cost biosimilars and may reduce the profitability of drug products through increased rebates for drugs reimbursed by Medicaid programs, extension of Medicaid rebates to Medicaid-managed care plans, mandatory discounts for certain Medicare Part D beneficiaries, and annual fees based on pharmaceutical companies’ share of sales to federal health care programs. With the current presidential administration and Congress, there may be additional administrative or legislative changes, including modification, repeal or replacement of all, or certain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provisions of, the ACA, which may impact reimbursement for drugs and biologics. On January 20, 2017, an Executive Order was signed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October 13, 2017, an executive order was signed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While Congress has not passed repeal legislation, the TCJA includes a provision repealing the tax-based shared responsibility payment imposed by the ACA on certain individuals who fail to maintain qualifying health coverage for all or part of a year that is commonly referred to as the “individual mandate.” Congress may consider other legislation to repeal and replace elements of the ACA. Litigation and legislation over the ACA are likely to continue, with unpredictable and uncertain results.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Additionally, other federal health reform measures have been proposed and adopted in the United States since the ACA was enacted:</w:t>
      </w:r>
    </w:p>
    <w:p>
      <w:pPr>
        <w:spacing w:after="0" w:line="142" w:lineRule="exact"/>
        <w:rPr>
          <w:sz w:val="20"/>
          <w:szCs w:val="20"/>
          <w:color w:val="auto"/>
        </w:rPr>
      </w:pPr>
    </w:p>
    <w:p>
      <w:pPr>
        <w:ind w:left="1080" w:right="20" w:hanging="424"/>
        <w:spacing w:after="0" w:line="275" w:lineRule="auto"/>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2025 unless additional Congressional action is taken.</w:t>
      </w:r>
    </w:p>
    <w:p>
      <w:pPr>
        <w:spacing w:after="0" w:line="81" w:lineRule="exact"/>
        <w:rPr>
          <w:rFonts w:ascii="Arial" w:cs="Arial" w:eastAsia="Arial" w:hAnsi="Arial"/>
          <w:sz w:val="17"/>
          <w:szCs w:val="17"/>
          <w:color w:val="auto"/>
        </w:rPr>
      </w:pPr>
    </w:p>
    <w:p>
      <w:pPr>
        <w:ind w:left="1080" w:right="500" w:hanging="424"/>
        <w:spacing w:after="0" w:line="308" w:lineRule="auto"/>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16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federal government, state legislatures and foreign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Packaging and Distribution in the United States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w:t>
      </w:r>
    </w:p>
    <w:p>
      <w:pPr>
        <w:spacing w:after="0" w:line="46" w:lineRule="exact"/>
        <w:rPr>
          <w:sz w:val="20"/>
          <w:szCs w:val="20"/>
          <w:color w:val="auto"/>
        </w:rPr>
      </w:pPr>
    </w:p>
    <w:p>
      <w:pPr>
        <w:ind w:left="340" w:hanging="224"/>
        <w:spacing w:after="0"/>
        <w:tabs>
          <w:tab w:leader="none" w:pos="3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8"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b w:val="1"/>
          <w:bCs w:val="1"/>
          <w:color w:val="auto"/>
        </w:rPr>
        <w:t>XVI.</w:t>
      </w:r>
      <w:r>
        <w:rPr>
          <w:sz w:val="20"/>
          <w:szCs w:val="20"/>
          <w:color w:val="auto"/>
        </w:rPr>
        <w:tab/>
      </w:r>
      <w:r>
        <w:rPr>
          <w:rFonts w:ascii="Arial" w:cs="Arial" w:eastAsia="Arial" w:hAnsi="Arial"/>
          <w:sz w:val="16"/>
          <w:szCs w:val="16"/>
          <w:b w:val="1"/>
          <w:bCs w:val="1"/>
          <w:color w:val="auto"/>
        </w:rPr>
        <w:t>Intellectual Property</w:t>
      </w:r>
    </w:p>
    <w:p>
      <w:pPr>
        <w:spacing w:after="0" w:line="117"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Introduction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pursue a layered intellectual property strategy to protect our various technology platforms and their application to the treatment of cancer and other serious diseases. One focus of our intellectual property strategy is to provide protection for our platforms and product candidates currently in development. We also pursue intellectual property protection for assets that may be used in future development programs and/or that may be of interest to our collaborators, or otherwise may prove valuable in the field.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Various aspects of our technology platforms and our product candidates are claimed by patent filings. We also pursue other modalities of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or product candidates, as developments arise or are identified.</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Regardless, given the early stage of development of our product candidates, we cannot be certain that any of the patent filings or other intellectual property rights that we have pursued or obtained will provide protection for any product candidates that may ultimately be commercialized. Our most advanced product candidates are currently in clinical testing, with no certainty that they will be successful, or that significant modification or adjustment may not be required for successful commercialization.</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 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in our Annual Report on Form 20-F incorporated by reference herein for a more comprehensive description of risks related to our intellectual property.</w:t>
      </w:r>
    </w:p>
    <w:p>
      <w:pPr>
        <w:spacing w:after="0" w:line="1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January 15, 2020, our overall owned and in-licensed patent portfolio included more than 200 patent families, each of which includes at least one filing in the United States or Europe, and several of which are pending or granted in multiple jurisdictions. The patent families include at least 100 patent families that are solely or jointly owned by BioNTech, including certain families acquired through our acquisitions of antibody assets and infrastructure from MabVax Therapeutics Holdings, Inc. as well as intellectual property assets acquired through our acquisition of Lipocalyx GmbH and Neon Therapeutics, Inc., and the rest that we have licensed from a third party.</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However, many jurisdictions, including the United States, require the payment of periodic maintenance fees in order for patents to remain in force for the full 20-year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 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The United States also offers a different form of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Below, we provide a summary of the contours of our current patent portfolio as it relates to different aspects of relevant technology, including noting ownership and 20-year terms for filings included in the portfolio that are directed to such aspects. Particularly given our pre-commercial state of development, we cannot be certain that any of the patent filings in our portfolio will provide meaningful protection for any product we ultimately attempt to commercialize.</w:t>
      </w:r>
    </w:p>
    <w:p>
      <w:pPr>
        <w:spacing w:after="0" w:line="291" w:lineRule="exact"/>
        <w:rPr>
          <w:sz w:val="20"/>
          <w:szCs w:val="20"/>
          <w:color w:val="auto"/>
        </w:rPr>
      </w:pPr>
    </w:p>
    <w:p>
      <w:pPr>
        <w:ind w:left="460" w:hanging="344"/>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Patent Portfolio</w:t>
      </w:r>
    </w:p>
    <w:p>
      <w:pPr>
        <w:spacing w:after="0" w:line="22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patent portfolios for our most advanced programs are summarized below. Patent prosecution is a lengthy process, during which the scope of the claims initially submitted for examination by the USPTO and its foreign equivalents can be significantly narrowed by the time they issue, if they issue at all. We expect this could be the case with respect to some of our pending patent applications referred to below.</w:t>
      </w:r>
    </w:p>
    <w:p>
      <w:pPr>
        <w:spacing w:after="0" w:line="273" w:lineRule="exact"/>
        <w:rPr>
          <w:sz w:val="20"/>
          <w:szCs w:val="20"/>
          <w:color w:val="auto"/>
        </w:rPr>
      </w:pPr>
    </w:p>
    <w:p>
      <w:pPr>
        <w:ind w:left="880" w:hanging="324"/>
        <w:spacing w:after="0"/>
        <w:tabs>
          <w:tab w:leader="none" w:pos="880" w:val="left"/>
        </w:tabs>
        <w:numPr>
          <w:ilvl w:val="0"/>
          <w:numId w:val="1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mRNA</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patent portfolio for our mRNA therapeutic platforms and product candidates includes patent filings directed to features of therapeutic mRNA structures, some of which are included in current development candidates. Our patent portfolio also includes patent filings directed to mRNA formulations, including the lipoplex formulations currently utilized with our FixVac and iNeST platforms, and the lipid nanoparticles currently utilized with our RiboMab and RiboCytokine platforms, as well as patent filings directed to mRNA manufacturing, and to uses of mRNA therapeutics. We provide more detail below regarding the patent filings directed to these features.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Structure</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patent portfolio includes patent filings directed to various features of mRNA structure, which may, for example, contribute to increased immunogenicity (</w:t>
      </w:r>
      <w:r>
        <w:rPr>
          <w:rFonts w:ascii="Arial" w:cs="Arial" w:eastAsia="Arial" w:hAnsi="Arial"/>
          <w:sz w:val="17"/>
          <w:szCs w:val="17"/>
          <w:i w:val="1"/>
          <w:iCs w:val="1"/>
          <w:color w:val="auto"/>
        </w:rPr>
        <w:t>e.g</w:t>
      </w:r>
      <w:r>
        <w:rPr>
          <w:rFonts w:ascii="Arial" w:cs="Arial" w:eastAsia="Arial" w:hAnsi="Arial"/>
          <w:sz w:val="17"/>
          <w:szCs w:val="17"/>
          <w:color w:val="auto"/>
        </w:rPr>
        <w:t>., antigen presentation), translation efficiency, and/or stability of mRNA constructs that include them. Such features include, for example, antigen-MHC fusions, 5’ cap structures, 3’ UTR structures, polyA tails and reduced-uracil content mRNAs. Filings directed to each of these features, or collectively, the mRNA Structure Filings, have been made in the United States and various foreign jurisdictions. Some such mRNA Structure Filings are owned solely by BioNTech SE or BioNTech RNA which are referred to collectively in this section as BioNTech, some jointly by BioNTech and one or more third parties, and some by BioNTech licensors, such as Louisiana State University, or LSU, and the terms of the applicable agreement with LSU, are further summarized below in “—C. In-Licensing.” Issued existing mRNA Structure Filings have, and pending existing mRNA Structure Filings, if issued, would have, 20-year terms that extend into the mid-2020s to the mid-2030s.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Formulations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patent portfolio includes patent filings directed to various formulations for mRNA delivery, some of which are utilized with current development candidates. For example, our portfolio includes patent filings directed to lipoplex formulations, with 20-year terms that extend into 2038, if issued, or collectively, the mRNA Lipoplex Filings, although none of these filings is currently an issued patent. Such mRNA Lipoplex Filings are solely owned by BioNTech RNA.</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addition, our portfolio includes U.S. and foreign patent filings directed to lipid nanoparticles and polyplex technologies, which are jointly owned by BioNTech RNA and TRON, or collectively, the mRNA Lipid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Nanoparticle/Polyplex Filings. Issued mRNA Lipid Nanoparticle/Polyplex Filings have, and pending mRNA Lipid Nanoparticle/Polyplex Filings, if issued, would have, 20 year terms that extend into the mid- to late-2030s. Some such mRNA Lipid Nanoparticle/Polyplex Filings were granted in certain foreign jurisdictions, but do not currently include any U.S. issued patents. The terms of the co-ownership of such patent filings with TRON are summarized below in “—C. In-Licensing.”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Manufacturing</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foreign patent filings relating to certain aspects of mRNA purification and production. These mRNA Manufacturing Filings are either solely owned by BioNTech RNA, or jointly owned by BioNTech RNA and TRON and, if issued, would have 20-year terms that would extend into mid to late 2030s, although none is currently an issued patent.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Product Candidates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most advanced mRNA product candidate development programs are in oncology and involve various platforms. Our pipeline also includes mRNA product candidates for treatment of certain infectious diseases and mRNA product candidates for protein replacement therapy in certain rare diseases.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Oncology mRNA Product Candidates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current clinical programs are all in oncology. The most advanced involve iNeST immunotherapy product candidates being developed with our collaborator, Genentech. We also have FixVac product candidates in Phase 1 clinical trials, and have initiated Phase 1 clinical trials of our mRNA-based intratumoral immunotherapy developed through our collaboration with Sanofi.</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FixVac</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FixVac product candidates share many of the structural elements involved in our iNeST product candidates. Thus, some or all of the mRNA Structure Filings relevant to our iNeST product candidates and discussed above are also relevant to our FixVac product candidates. These patent filings, or the FixVac Platform Filings, include mRNA Structure Filings relating to antigen-MHC fusions, certain 5’ cap structures, 3’ UTR structures containing a specific sequence element, and interrupted polyA tails, which are solely or jointly owned by BioNTech or BioNTech’s licensors. Issued FixVAC Platform Filings have, and pending FixVac Platform Filings, if issued, would have, 20-year terms extending into the mid-2020s to the mid-2030s. While we have pursued or obtained patent protection covering components of FixVac product candidates, manufacturing-related methods and/or formulations, we do not currently have any claims in our owned or in-licensed issued patents that cover the overall construct used in our FixVac product candidates.</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patent portfolio further includes U.S. and foreign patent filings relating to combined uses of our FixVac and iNeST product candidates. Such issued patent filings have, and such pending patent filings, if issued, would have, 20-year terms that extend into 2033, and are jointly owned by BioNTech RNA and TRON.</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Our current Phase 1 clinical trials for FixVac product candidates are studying such product candidates in treatment of advanced melanoma, head and neck cancer, breast cancer (particularly triple negative breast cancer), prostate cancer, and ovarian cancer. While we do not currently have any claims in our owned or in-licensed issued patents that are directed to use of our FixVac product candidates in the indications of these clinical trials,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certain FixVac Platform Filings include specific reference to treatment of each of these indications. Additionally, our patent portfolio relevant to FixVac product candidates further includes U.S. and foreign patent filings relating to use of particular tumor antigens for treatment of triple negative breast cancer included in Phase 1 clinical trials, or the Triple Negative Breast Cancer FixVAC Filings. Issued Triple Negative Breast Cancer FixVac Filings have, and pending Triple Negative Breast Cancer FixVac Filings, if issued, would have, 20-year terms extending into the early- to mid-2030s, and are jointly owned by BioNTech SE and TRON.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iNeST</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patent filings relevant to our iNeST product candidates include mRNA Structure Filings relating to features for increasing antigen presentation (</w:t>
      </w:r>
      <w:r>
        <w:rPr>
          <w:rFonts w:ascii="Arial" w:cs="Arial" w:eastAsia="Arial" w:hAnsi="Arial"/>
          <w:sz w:val="18"/>
          <w:szCs w:val="18"/>
          <w:i w:val="1"/>
          <w:iCs w:val="1"/>
          <w:color w:val="auto"/>
        </w:rPr>
        <w:t>e.g</w:t>
      </w:r>
      <w:r>
        <w:rPr>
          <w:rFonts w:ascii="Arial" w:cs="Arial" w:eastAsia="Arial" w:hAnsi="Arial"/>
          <w:sz w:val="18"/>
          <w:szCs w:val="18"/>
          <w:color w:val="auto"/>
        </w:rPr>
        <w:t>., antigen-MHC fusions) and features for increasing translation efficiency and/or stability of mRNA constructs (</w:t>
      </w:r>
      <w:r>
        <w:rPr>
          <w:rFonts w:ascii="Arial" w:cs="Arial" w:eastAsia="Arial" w:hAnsi="Arial"/>
          <w:sz w:val="18"/>
          <w:szCs w:val="18"/>
          <w:i w:val="1"/>
          <w:iCs w:val="1"/>
          <w:color w:val="auto"/>
        </w:rPr>
        <w:t>e.g.</w:t>
      </w:r>
      <w:r>
        <w:rPr>
          <w:rFonts w:ascii="Arial" w:cs="Arial" w:eastAsia="Arial" w:hAnsi="Arial"/>
          <w:sz w:val="18"/>
          <w:szCs w:val="18"/>
          <w:color w:val="auto"/>
        </w:rPr>
        <w:t>, certain 5’ cap structures, 3’ UTR structures containing a specific sequence element, and polyA tails of a particular length or interrupted polyA tails); mRNA Lipoplex Filings relating to negatively charged lipoplexes (</w:t>
      </w:r>
      <w:r>
        <w:rPr>
          <w:rFonts w:ascii="Arial" w:cs="Arial" w:eastAsia="Arial" w:hAnsi="Arial"/>
          <w:sz w:val="18"/>
          <w:szCs w:val="18"/>
          <w:i w:val="1"/>
          <w:iCs w:val="1"/>
          <w:color w:val="auto"/>
        </w:rPr>
        <w:t>e.g</w:t>
      </w:r>
      <w:r>
        <w:rPr>
          <w:rFonts w:ascii="Arial" w:cs="Arial" w:eastAsia="Arial" w:hAnsi="Arial"/>
          <w:sz w:val="18"/>
          <w:szCs w:val="18"/>
          <w:color w:val="auto"/>
        </w:rPr>
        <w:t>.,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patent portfolio further includes U.S. and foreign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2030s, although none is a U.S. issued patent. Many of the Neoantigen Filings are solely owned by BioNTech RNA, or jointly owned by BioNTech RNA and TRON; our acquisition of Neon added various Neoantigen Filings, including both BioNTech US-owned and in-licensed filings. BioNTech RNA and TRON jointly own issued EP patent number 2714071, whose claims recite steps relating to neoantigen selection, that has recently been opposed by multiple third parties; claims in the related U.S. case have recently been allowed. If we are unsuccessful in these oppositions, the patent claims for our iNeST product candidates may be narrowed, or a patent may not issue at all. See “Risk Factors—Risks Related to our Intellectual Property” in our Annual Report on Form 20-F incorporated by reference herein for a more comprehensive description of these risks.</w:t>
      </w:r>
    </w:p>
    <w:p>
      <w:pPr>
        <w:spacing w:after="0" w:line="18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currently studying our iNeST product candidates for the treatment of metastatic melanoma in Phase 2 clinical trials and those for the treatment of various solid tumors in Phase 1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Intratumoral Immunotherapies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Certain of the mRNA Structure Filings (including some that are relevant to iNeST and/or FixVac product candidates, as discussed above) are also directed to one or more features of our intratumoral immunotherapies, including our most advanced intratumoral immunotherapy, which we are developing through our collaboration with Sanofi, and which has recently entered Phase 1 clinical trials. For example, mRNA Structure Filings relating to 3’ UTR structures containing a specific sequence element, interrupted polyA tail structures, and reduced-uracil content mRNAs, which, as noted above are solely or jointly owned by BioNTech and, if issued, would have 20-year terms extending into the mid-2030s, provide protection to our current intratumoral immunotherapy development candidate. However, these filings do not currently include any issued patents.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have also obtained third-party licenses to technologies relating to certain features of the mRNA structure relevant to the intratumoral immunotherapies. These include two non-exclusive sublicenses-one from mRNA RiboTherapeutics, Inc., or MRT, and one from its affiliate CellScript, LLC (these licenses, together,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MRT-CellScript Sublicenses). MRT-CellScript Sublicenses allow us to use, make and/or sell nucleoside-modified mRNA products that are covered by U.S. and European Patent Office patent filings owned by the Trustees of the University of Pennsylvania, or the Penn Modified RNA Patent Rights, which sublicenses are further summarized below in “—C. In-Licensing.”</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Additionally, certain patent filings have arisen from our collaboration relating to compositions including mRNAs encoding particular cytokines for treatment of solid tumors, or the mRNA Cytokine Filings. Such mRNA Cytokine Filings, if issued, would have 20-year terms that would extend into 2038. However, these filings do not currently include any issued patents.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RiboMabs and RiboCytokines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own or license a number of patent filings directed to our RiboMab and RiboCytokine programs. Many are owned solely by us, some are jointly owned, and some have been acquired or licensed.</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Patent filings relevant to our RiboMab and RiboCytokine programs include certain mRNA Structure Filings relevant to our iNeST and/or FixVac product candidates, specifically relating to 3’ UTR structures containing a specific sequence element, interrupted polyA tail structures, and reduced-uracil content mRNAs; mRNA Lipid Nanoparticle/Polyplex Filings; and patent filings under the MRT-CellScript Sublicenses relating to nucleoside-modified mRNAs.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also recently acquired patent assets from MabVax Therapeutics,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Infectious Diseases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As is discussed elsewhere, we have collaborated with third parties, including Pfizer, Penn and Fosun Pharma, to develop infectious disease mRNA vaccines, including COVID-19 mRNA vaccines.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Certain patent filings that might be useful to our infectious disease mRNA vaccines include certain of the mRNA Structure Filings and the mRNA Lipid Nanoparticle/Polyplex Filings as well as certain patent filings under the MRT-CellScript Sublicenses, which include patent filings directed to nucleotide-modified mRNAs. Certain patent filings relating to certain features of self-amplifying RNAs may also be relevant, including filings jointly owned by BioNTech RNA and TRON; such filings are collectively referred herein as Self-Amplifying RNA Filings. Such Self-Amplifying RNA Filings, if issued, would have 20-year terms that extend into the late-2030s. These Self-Amplifying RNA Filings currently include at least a granted patent in Europe.</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also licensed technologies relating to certain lipids and/or lipid nanoparticles and formulations that may be useful for certain infectious disease mRNA vaccines, including COVID-19 mRNA vaccines.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Rare Diseases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developing mRNA-based protein replacement therapy for several rare disease indications through our collaboration with Genevant.</w:t>
      </w:r>
    </w:p>
    <w:p>
      <w:pPr>
        <w:spacing w:after="0" w:line="23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Certain of the mRNA Structure Filings (including some that are relevant to iNeST and/or FixVac product candidates, as discussed above) and patent filings under the MRT-CellScript Sublicenses include patent filings directed to nucleoside-modified mRNAs also provide protection for one or more features of mRNA-based protein replacement product candidates. For example, mRNA Structure Filings include patent filings directed to 3’ UTR structures containing a specific sequence element, interrupted poly A tail structures and reduced-uracil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content mRNAs, which, as noted above are solely or jointly owned by BioNTech, and, if issued, would have 20-year terms that would extend into the mid-2030s. However, these filings do not currently include any issued patents.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patent portfolio relating to our rare disease programs also include certain patent filings that we have licensed from Genevant, or the Genevant Filings. Specifically, the Genevant Filings are owned by Arbutus Biopharma Corporation, which is a Genevant affiliate, and relate primarily to lipid or non-liposomal formulations that might be useful in these programs, and have been filed primarily in the U.S. and Europe, with 20-year terms that extend into mid-2020s to mid-2030s for the issued Genevant Filings and the pending Genevant Filings, if issued.</w:t>
      </w:r>
    </w:p>
    <w:p>
      <w:pPr>
        <w:spacing w:after="0" w:line="279" w:lineRule="exact"/>
        <w:rPr>
          <w:sz w:val="20"/>
          <w:szCs w:val="20"/>
          <w:color w:val="auto"/>
        </w:rPr>
      </w:pPr>
    </w:p>
    <w:p>
      <w:pPr>
        <w:ind w:left="880" w:hanging="324"/>
        <w:spacing w:after="0"/>
        <w:tabs>
          <w:tab w:leader="none" w:pos="88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Cell Therapy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Engineered Cell Therapy</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engineered cell therapy product class features use of chimeric antigen receptor, or CAR-, T cell or individualized T cell receptors for oncology therapy. Our patent filings relevant to these platforms and product candidates, or the CAR-T/TCR Filings, are generally co-owned by BioNTech Cell &amp; Gene Therapies GmbH, or BioNTech C&amp;GT, and TRON. For example, the CAR-T/TCR Filings include patent filings directed to various CAR-T formats and methods of enhancing CAR-T cells by nucleic acid vaccination, as well as patent filings directed to processes of identifying and/or making individualized T cell receptors. The CAR-T/TCR Patent Filings, if issued, would have 20-year terms that would extend into the mid- to late-2030s. However, these filings do not currently include any issued patents.</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Certain CAR-T programs involve CAR-T cell product candidates that target different members of the claudin family. Our patent portfolio includes certain patent filings specifically relevant to our claudin-specific CAR-T cell product candidates and are jointly owned by BioNTech C&amp;GT, TRON and Ganymed, or the Claudin-Specific CAR-T Cell Filings. The issued Claudin-Specific CAR-T Cell Filings have, and the pending Claudin-Specific CAR-T Cell Filings, if issued, would have, 20-year terms extending into the mid-2030s. However, these filings do not currently include any U.S. issued patents. The terms of our co-ownership of such patent filings with TRON and Ganymed are summarized below in “—C. In-Licensing.”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Activated T Cells</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Our acquisition of Neon included technologies for using peripheral blood mononuclear cells, or PBMCs, (</w:t>
      </w:r>
      <w:r>
        <w:rPr>
          <w:rFonts w:ascii="Arial" w:cs="Arial" w:eastAsia="Arial" w:hAnsi="Arial"/>
          <w:sz w:val="17"/>
          <w:szCs w:val="17"/>
          <w:i w:val="1"/>
          <w:iCs w:val="1"/>
          <w:color w:val="auto"/>
        </w:rPr>
        <w:t>e.g</w:t>
      </w:r>
      <w:r>
        <w:rPr>
          <w:rFonts w:ascii="Arial" w:cs="Arial" w:eastAsia="Arial" w:hAnsi="Arial"/>
          <w:sz w:val="17"/>
          <w:szCs w:val="17"/>
          <w:color w:val="auto"/>
        </w:rPr>
        <w:t xml:space="preserve">., collected from apheresis material of patients) as a starting material to induce and/or expand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functional T cells specific for therapeutically-relevant neoantigens.</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Neon’s NEO-PTC-01 program (now referred herein as BNT221) is a personalized adoptive T cell therapy, which uses multiple T cell populations expanded from an individual patient’s PBMCs that together target a set of neoantigens expressed by that patient’s tumor.</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Patent filings relevant to BNT221, referred to herein as the T Cell Induction/Expansion Filings, are generally solely owned by BioNTech US, or co-owned by BioNTech US and the Netherlands Cancer Institute (NKI). For example, the T Cell Induction/Expansion Filings include patent filings directed to therapeutic T cell compositions and methods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induction and/or expansion of antigen-specific T cells, for example, using T cells of specific phenotypes for induction/expansion. The T Cell Induction/Expansion Filings, if issued, would have 20-year terms that would extend into the late-2030s to early-2040s. These filings do not currently include any issued patents. The terms of co-ownership of certain such patent filings with NKI are summarized below in “—C. In-Licensing.”</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of the Neoantigens Filings may also be relevant to BNT221.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84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Antibodies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PD-L1 or CD-40. Our patent portfolio includes certain patent filings relevant to such bispecific antibodies, or the Bispecific Checkpoint Modulator Filings, co-owned by us and Genmab. Such Bispecific Checkpoint Modulator Filings, if issued, would have 20-year terms that would extend into the late-2030s and do not currently include any issued patents.</w:t>
      </w:r>
    </w:p>
    <w:p>
      <w:pPr>
        <w:spacing w:after="0" w:line="296" w:lineRule="exact"/>
        <w:rPr>
          <w:sz w:val="20"/>
          <w:szCs w:val="20"/>
          <w:color w:val="auto"/>
        </w:rPr>
      </w:pPr>
    </w:p>
    <w:p>
      <w:pPr>
        <w:ind w:left="880" w:hanging="324"/>
        <w:spacing w:after="0"/>
        <w:tabs>
          <w:tab w:leader="none" w:pos="88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Small Molecule Immunomodulators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small molecule therapeutics product class features oncology treatment using small molecule product candidates that activate the immune system via TLR7 agonism. Our patent portfolio includes patent filings relevant to these TLR7 agonists, or the TLR7 Agonist Filings. Certain TLR7 Agonist Filings are directed to substituted imidazoquinolines, and, if issued, would have 20-year terms that would extend into the late 2030s. However, these filings do not currently include any issued patents.</w:t>
      </w:r>
    </w:p>
    <w:p>
      <w:pPr>
        <w:spacing w:after="0" w:line="291"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In-Licensing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Some of our intellectual property assets have been acquired by acquisition and/or in-licensing.</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have pursued a strategy of identifying and in-licensing third-party patents that we believe are complementary to or otherwise interact synergistically with our own intellectual property portfolio. We have entered into material intellectual property licensing or option arrangements with Penn, TRON, Louisiana State University and MRT-CellScript.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terms of these arrangements are summarized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Penn Agreement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October 2018, BioNTech RNA entered into a collaboration and license agreement with the Trustees of the University of Pennsylvania regarding the development and commercialization of certain mRNA vaccines and mRNA diagnostics for the diagnosis, detection, evaluation, prophylaxis and treatment of infectious diseases. We refer to this agreement as the Penn Agreement.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Penn Agreement, BioNTech RNA and Penn agree to collaborate with respect to research and development activities and are obligated to use commercially reasonable efforts to develop products that use formulated mRNAs encoding one or more immunogens for 10 disease indications in the field of infectious diseases (each, a Penn Product). Penn is responsible for all research and development work up to completion of studies enabling an IND as well as IND-supporting preclinical work, and BioNTech RNA is responsible for the manufacture of mRNA amounts to support the preclinical and IND-enabling studies. If a Penn Product developed under the research program achieves certain acceptance criteria for a specified indication, BioNTech RNA has the right to obtain an exclusive worldwide license under Penn’s patent rights (and a non-exclusive license under Penn’s know-how and materials) to research, develop, make, use or commercialize Penn Products in such indication. Under the Penn Agreement, Penn retains certain rights to conduct and authorize non-commercial third-party research, educational and patient care activities under any licensed intellectual property. Moreover, the license granted by Penn is subject to certain rights granted to the U.S. government in connection with government funding provided by the United States, including the requirement that products that result from intellectual property funded by the U.S. government that are sold in the United States be substantially manufactured in the United States.</w:t>
      </w:r>
    </w:p>
    <w:p>
      <w:pPr>
        <w:spacing w:after="0" w:line="18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BioNTech RNA has an obligation to use commercially reasonable efforts to clinically develop, obtain regulatory approval for and commercialize at least one Penn Product for each indication licensed under the Penn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Agreement. Moreover, BioNTech RNA is obligated to achieve certain clinical and regulatory milestones within specified time periods, and its failure to do so would provide Penn the right to terminate the Penn Agreement on an indication-by-indication basis.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BioNTech RNA paid to Penn an upfront fee of $5 million to fund research activities and has agreed to pay Penn additional funds through quarterly payments, not to exceed an aggregate of $15 million, upon depletion of the previously advanced funds. Under the Penn Agreement, BioNTech RNA also agreed to pay Penn an annual alliance management fee. In addition, if any Penn Product is covered by a Penn patent, BioNTech RNA will pay to Penn development and commercialization milestone payments up to $44.4 million for each Penn Product licensed under this agreement and royalties in a low-single digit percentage on net sales of all Penn Products licensed under the Penn Agreement. Further, Penn will receive a percentage of any income from sublicenses BioNTech RNA grants to third parties, subject to certain caps set forth in the Penn Agreement.</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BioNTech RNA has the sole responsibility for and decision-making authority over clinical development and commercialization activities relating to any Penn Product arising from the collaboration. BioNTech RNA is also responsible for the manufacture of mRNA to support clinical development and commercialization efforts.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Penn Agreement remains in effect until the expiration of the last Penn patent covering any licensed Penn Product or developmental product candidate. BioNTech RNA may terminate the Penn Agreement for convenience in its entirety or on an indication-by-indication basis upon 90 days’ prior notice to Penn. The Penn Agreement also grants both parties termination rights for uncured material breaches, including for BioNTech RNA’s failure to achieve its obligations to achieve certain diligence milestones, and insolvency.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Agreements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2015, we and our subsidiaries BioNTech RNA,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 TRON, Johannes Gutenberg-Universität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 In 2019, we and our subsidiaries BioNTech RNA Pharmaceuticals GmbH, BioNTech Diagnostics GmbH, BioNTech Protein Therapeutics GmbH, BioNTech Cell &amp; Gene Therapies GmbH, BioNTech Innovative Manufacturing Services GmbH and JPT Peptide Technologies GmbH, entered into a Framework Collaboration Agreement with TRON, or the TRON Collaboration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Research Agreement</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17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are entitled to the exclusive rights to all inventions, methods, specifications, materials, documents, data, know-how and other results (together, the Results) developed or discovered by TRON or by us and TRON jointly under the TRON Research Agreement, except to the extent they constitute improvements of the technologies applied by TRON in the relevant projects. Under the TRON Research Agreement, TRON granted us a</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non-exclusive,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tiered royalties on net sales of any product developed under the TRON Research Agreement that is covered by a patent claiming any of the Results.</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TRON Research Agreement limits each party’s liability to the other to intentional and grossly negligent actions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November 2017, we and TRON entered into an agreement to include certain research and development activities regarding neoepitope RNA immunotherapies as work included in the TRON Research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License Agreement</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TRON License Agreement governs the ownership of and licenses under certain patents, inventions, know-how,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18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in the co-owned Development Results to its affiliates provided that such party provide notice of the transfer and the identity of the new co-owner to the other co-owners.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The parties to the TRON License Agreement grant licenses to each other under their shares in the Development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siRNA-based therapeutics, micro-proteins, antibody based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(except for those in the Ganymed Field of Use), diagnostics and therapeutics based on long-chain RNA as well as other cell therapy applications, immune cells transgenized with recombinant directed against certain defined targets or chimeric antigene receptors and RNA-based pharmaceuticals). The University Parties may use the Development Results for internal research purposes only. We have an obligation to use reasonable efforts to develop and commercialize products in our field of use worldwide.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obligated to pay to the University Parties low single-digit tiered royalties on net sales on any product that is covered by certain of the patents including in the Development Results. If licenses are granted to third parties, we are obligated to pay to the University Parties a mid-single-digit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seven-figure amount to Johannes Gutenberg-Universität Mainz.</w:t>
      </w:r>
    </w:p>
    <w:p>
      <w:pPr>
        <w:spacing w:after="0" w:line="176"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TRON License Agreement contains a limitation on liability as between the parties, wherein the parties will only be liable to each other for intentional and grossly negligent actions, and, in the case of gross negligence, liability for indirect and consequential damages and lost profits is excluded. We are obligated to indemnify the University Parties and Ganymed for third-party claims of product liability or violation of applicable law based on our distribution of our products or if we breach the TRON License Agreement or if we or one of our agents acts culpably.</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Collaboration Agreement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TRON Collaboration Agreement, TRON from time to time undertakes certain projects in collaboration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 TRON is obligated to perform its obligations in accordance with the scientific standards, all applicable technical laboratory and legal provisions and with the care customary in the non-clinical biotechnology research industry.</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Except for the results of a particular research project which has been funded exclusively by TRON, or the RNT Project, all of the inventions, methods, specifications, materials, documents, data, know-how and other results (together, the Results) developed or discovered by TRON or by us and TRON jointly under the TRON Collaboration Agreement are jointly owned. The Results of the RNT Project are owned exclusively by TRON. Under the TRON Collaboration Agreement, TRON grants us an exclusive, worldwide, sublicensable license under its interest in the Results to research and have researched, develop and have developed, make and have made, use, and otherwise commercialize or have commercialized, and otherwise commercially exploit, products in a field that is specified in the corresponding project agreement. The field of use is either (a) the prophylaxis, diagnosis and treatment of all indications in humans and animals; (b) the prophylaxis, diagnosis and treatment of oncological diseases, infectious diseases and rare genetic diseases; or (c) in the case of the Results from the RNT Project only, the prophylaxis, diagnosis and treatment of rectal neuroendocrine tumors in humans. We are required to use our reasonable efforts to develop and commercialize products that exploit the Results.</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Under the TRON Collaboration Agreement, TRON’s activities are invoiced at cost. TRON invoices us monthly and our payments are due no later than 10 days thereafter. Additionally, we are obligated to pay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TRON low single-digit tiered royalties on net sales of any product developed under the TRON Collaboration Agreement that is covered by a patent claiming any of the Results or, in certain circumstances, by a patentable invention forming part of the Results which we elect to maintain as a trade secret. If licenses under Results are granted to third parties, we are obligated to pay to TRON a mid-single-digit share of all upfront payments, milestone payments and other remuneration we receive from such third parties in consideration for the license. In addition, we are obligated to pay a one-time only milestone of a low seven-figure amount to TRON the first time annual sales of a product developed under the TRON Collaboration Agreement reach a low nine-figure number.</w:t>
      </w:r>
    </w:p>
    <w:p>
      <w:pPr>
        <w:spacing w:after="0" w:line="19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TRON Collaboration Agreement limits each party’s liability to the other to cases of willful misconduct and gross negligence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TRON Collaboration Agreement came into force with retroactive effect from January 2015 and has an indefinite term, but may be terminated by either party on nine months’ notice. If one of our subsidiaries terminates its role in the TRON Collaboration Agreement, the agreement will survive and continue without that subsidiary.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LSU License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in the low single digits on all net sales of products utilizing the licensed patents and to pay annual maintenance fees to LSU.</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obligated to use commercially reasonable efforts to develop one or more marketable products utilizing the licensed patents, upon which we would owe additional milestone payments to LSU.</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LSU Agreement remains in effect until expiration of the licensed patents. We have the right to terminate the LSU Agreement for convenience with 60 days’ prior notice, and LSU and UW may terminate for our uncured material breach.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CellScript and mRNA Ribotherapeutics License Agreement</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BioNTech RNA entered into the two MRT-CellScript Sublicenses discussed above. Together, the MRT-CellScript Sublicenses grant BioNTech RNA worldwide, non-exclusive sublicenses under the Penn Modified mRNA Patent Rights (as defined in the MRT-CellScript Sublicenses) to research, develop, make, import, use and commercialize products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17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BioNTech RNA must use reasonable efforts to develop and commercialize products under the sublicenses. Furthermore, BioNTech RNA is obliged to pay MRT and CellScript development milestone payments of up to approximately $26 million as well as royalties in the low to mid-single digits on net sales of licensed products, depending on the field of use.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agreements continue until the expiration or abandonment of the last licensed patent to expire or be abandoned. BioNTech RNA may terminate the agreement for convenience with respect to all or certain patent rights with 60 days’ prior written notice. MRT or CellScript may terminate the respective sublicense agreement for payment default, uncured material breach or the bankruptcy of BioNTech RNA.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 Agreement with the Broad Institute</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Through our acquisition of Neon Therapeutics, Inc., BioNTech US became a party to a license agreement with the Broad Institute, Inc., or Broad, entered into on November 13, 2015, and amended in January and November of 2018, as amended to date, the Broad Agreement. Under the Broad Agreement, BioNTech US has been granted an exclusive worldwide license to certain intellectual property rights owned or controlled by the Broad, Dana-Farber Cancer Institute, or DFCI and The General Hospital Corporation d/b/a Massachusetts General Hospital, or MGH, to develop and commercialize any diagnostic, prognostic, preventative or therapeutic product for humans, including any neoantigen vaccine product. In particular, BioNTech US has been granted both exclusive and non-exclusive licenses to a patent portfolio comprised of twelve patent families, including certain granted patents and pending patent applications in the U.S. and foreign jurisdictions.</w:t>
      </w:r>
    </w:p>
    <w:p>
      <w:pPr>
        <w:spacing w:after="0" w:line="17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Pursuant to the terms of the Broad Agreement, BioNTech US has also been granted (i) a non-exclusive license under each institution’s respective interest in certain of its patent rights to exploit the licensed products in the field in the territory during the term of the license and (ii) a non-exclusive license under each institution’s licensed know-how, to exploit any diagnostic, prognostic, preventative or therapeutic product in the field in the territory during the term of the license. BioNTech US is also entitled to sub-license the rights granted to it under the Broad Agreement. In connection with the Broad Agreement, BioNTech US has a non-exclusive software license with Broad under which it licenses certain object and source codes for several software programs. These licenses and rights are subject to certain limitations and retained rights, including field restrictions.</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 consideration for the license, BioNTech US must pay Broad immaterial annual license maintenance fees. Under the Broad Agreement, BioNTech US agreed to reimburse Broad for future patent expenses related to the patents covered by the license agreement. BioNTech US could be obligated to make up to $12.6 million of developmental milestone payments to Broad if certain development milestones are achieved over the term of the license agreement. Additionally, under the terms of the license agreement, BioNTech US could be obligated to make up to an aggregate of $105 million of payments upon the achievement of specified sales milestones and to pay tiered royalties of low to mid single-digit percentages on net sales of products licensed under the agreement. BioNTech US is required to pay Broad a low double-digit percentage of any consideration received by BioNTech US from a sublicensee in consideration for a sublicense. No developmental or commercial milestones have been achieved to date. BioNTech US has the right to terminate the agreement for any reason, with or without cause.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Netherlands Cancer Institute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and License Agreements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Through our acquisition of Neon, BioNTech US became a party to certain license and collaboration agreements with the Netherlands Cancer Institute, or NKI, that grant it certain license and/or assignment rights to intellectual property, including to intellectual property within the T Cell Induction/Expansion Filings.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Through our acquisition of Neon, BioNTech US also became a party to a manufacturing agreement, or the NKI Manufacturing Agreement with NKI, whereby NKI performs manufacturing, analytical testing and quality assurance services related to the manufacture of BioNTech US’s autologous T cell therapy drug product NEO-PTC-01 (now BNT221) for use in preclinical and clinical activities. The NKI Manufacturing Agreement has a three-year term, which can be extended for an additional six months at BioNTech US’s sole discretion, and can be terminated by BioNTech US for convenience with three-months’ notice. All amounts incurred under the NKI Manufacturing Agreement are recognized as research and development expense as incurred.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Trademark Portfolio</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Certain features of our business and our product candidates are protected by trademarks. Our trademark portfolio includes, but is not limited to, registrations for each of FixVac</w:t>
      </w:r>
      <w:r>
        <w:rPr>
          <w:rFonts w:ascii="Arial" w:cs="Arial" w:eastAsia="Arial" w:hAnsi="Arial"/>
          <w:sz w:val="15"/>
          <w:szCs w:val="15"/>
          <w:color w:val="auto"/>
        </w:rPr>
        <w:t>®</w:t>
      </w:r>
      <w:r>
        <w:rPr>
          <w:rFonts w:ascii="Arial" w:cs="Arial" w:eastAsia="Arial" w:hAnsi="Arial"/>
          <w:sz w:val="18"/>
          <w:szCs w:val="18"/>
          <w:color w:val="auto"/>
        </w:rPr>
        <w:t>, IVAC</w:t>
      </w:r>
      <w:r>
        <w:rPr>
          <w:rFonts w:ascii="Arial" w:cs="Arial" w:eastAsia="Arial" w:hAnsi="Arial"/>
          <w:sz w:val="15"/>
          <w:szCs w:val="15"/>
          <w:color w:val="auto"/>
        </w:rPr>
        <w:t>®</w:t>
      </w:r>
      <w:r>
        <w:rPr>
          <w:rFonts w:ascii="Arial" w:cs="Arial" w:eastAsia="Arial" w:hAnsi="Arial"/>
          <w:sz w:val="18"/>
          <w:szCs w:val="18"/>
          <w:color w:val="auto"/>
        </w:rPr>
        <w:t>, MammaTyper</w:t>
      </w:r>
      <w:r>
        <w:rPr>
          <w:rFonts w:ascii="Arial" w:cs="Arial" w:eastAsia="Arial" w:hAnsi="Arial"/>
          <w:sz w:val="15"/>
          <w:szCs w:val="15"/>
          <w:color w:val="auto"/>
        </w:rPr>
        <w:t>®</w:t>
      </w:r>
      <w:r>
        <w:rPr>
          <w:rFonts w:ascii="Arial" w:cs="Arial" w:eastAsia="Arial" w:hAnsi="Arial"/>
          <w:sz w:val="18"/>
          <w:szCs w:val="18"/>
          <w:color w:val="auto"/>
        </w:rPr>
        <w:t>, RiboCytokine</w:t>
      </w:r>
      <w:r>
        <w:rPr>
          <w:rFonts w:ascii="Arial" w:cs="Arial" w:eastAsia="Arial" w:hAnsi="Arial"/>
          <w:sz w:val="15"/>
          <w:szCs w:val="15"/>
          <w:color w:val="auto"/>
        </w:rPr>
        <w:t>®</w:t>
      </w:r>
      <w:r>
        <w:rPr>
          <w:rFonts w:ascii="Arial" w:cs="Arial" w:eastAsia="Arial" w:hAnsi="Arial"/>
          <w:sz w:val="18"/>
          <w:szCs w:val="18"/>
          <w:color w:val="auto"/>
        </w:rPr>
        <w:t xml:space="preserve"> and RiboMab</w:t>
      </w:r>
      <w:r>
        <w:rPr>
          <w:rFonts w:ascii="Arial" w:cs="Arial" w:eastAsia="Arial" w:hAnsi="Arial"/>
          <w:sz w:val="15"/>
          <w:szCs w:val="15"/>
          <w:color w:val="auto"/>
        </w:rPr>
        <w:t>®</w:t>
      </w:r>
      <w:r>
        <w:rPr>
          <w:rFonts w:ascii="Arial" w:cs="Arial" w:eastAsia="Arial" w:hAnsi="Arial"/>
          <w:sz w:val="18"/>
          <w:szCs w:val="18"/>
          <w:color w:val="auto"/>
        </w:rPr>
        <w:t>. Our acquisition of Neon included registrations for certain trademarks, including NEON THERAPEUTICS</w:t>
      </w:r>
      <w:r>
        <w:rPr>
          <w:rFonts w:ascii="Arial" w:cs="Arial" w:eastAsia="Arial" w:hAnsi="Arial"/>
          <w:sz w:val="15"/>
          <w:szCs w:val="15"/>
          <w:color w:val="auto"/>
        </w:rPr>
        <w:t>®</w:t>
      </w:r>
      <w:r>
        <w:rPr>
          <w:rFonts w:ascii="Arial" w:cs="Arial" w:eastAsia="Arial" w:hAnsi="Arial"/>
          <w:sz w:val="18"/>
          <w:szCs w:val="18"/>
          <w:color w:val="auto"/>
        </w:rPr>
        <w:t>, RECON</w:t>
      </w:r>
      <w:r>
        <w:rPr>
          <w:rFonts w:ascii="Arial" w:cs="Arial" w:eastAsia="Arial" w:hAnsi="Arial"/>
          <w:sz w:val="15"/>
          <w:szCs w:val="15"/>
          <w:color w:val="auto"/>
        </w:rPr>
        <w:t>®</w:t>
      </w:r>
      <w:r>
        <w:rPr>
          <w:rFonts w:ascii="Arial" w:cs="Arial" w:eastAsia="Arial" w:hAnsi="Arial"/>
          <w:sz w:val="18"/>
          <w:szCs w:val="18"/>
          <w:color w:val="auto"/>
        </w:rPr>
        <w:t>, NEO-STIM</w:t>
      </w:r>
      <w:r>
        <w:rPr>
          <w:rFonts w:ascii="Arial" w:cs="Arial" w:eastAsia="Arial" w:hAnsi="Arial"/>
          <w:sz w:val="15"/>
          <w:szCs w:val="15"/>
          <w:color w:val="auto"/>
        </w:rPr>
        <w:t>®</w:t>
      </w:r>
      <w:r>
        <w:rPr>
          <w:rFonts w:ascii="Arial" w:cs="Arial" w:eastAsia="Arial" w:hAnsi="Arial"/>
          <w:sz w:val="18"/>
          <w:szCs w:val="18"/>
          <w:color w:val="auto"/>
        </w:rPr>
        <w:t>, Precision NEO-STIM</w:t>
      </w:r>
      <w:r>
        <w:rPr>
          <w:rFonts w:ascii="Arial" w:cs="Arial" w:eastAsia="Arial" w:hAnsi="Arial"/>
          <w:sz w:val="15"/>
          <w:szCs w:val="15"/>
          <w:color w:val="auto"/>
        </w:rPr>
        <w:t>®</w:t>
      </w:r>
      <w:r>
        <w:rPr>
          <w:rFonts w:ascii="Arial" w:cs="Arial" w:eastAsia="Arial" w:hAnsi="Arial"/>
          <w:sz w:val="18"/>
          <w:szCs w:val="18"/>
          <w:color w:val="auto"/>
        </w:rPr>
        <w:t xml:space="preserve"> and MAPTAC</w:t>
      </w:r>
      <w:r>
        <w:rPr>
          <w:rFonts w:ascii="Arial" w:cs="Arial" w:eastAsia="Arial" w:hAnsi="Arial"/>
          <w:sz w:val="15"/>
          <w:szCs w:val="15"/>
          <w:color w:val="auto"/>
        </w:rPr>
        <w:t>®</w:t>
      </w:r>
      <w:r>
        <w:rPr>
          <w:rFonts w:ascii="Arial" w:cs="Arial" w:eastAsia="Arial" w:hAnsi="Arial"/>
          <w:sz w:val="18"/>
          <w:szCs w:val="18"/>
          <w:color w:val="auto"/>
        </w:rPr>
        <w:t>, as well as certain other trademarks, including design versions of some of these trademarks.</w:t>
      </w:r>
    </w:p>
    <w:p>
      <w:pPr>
        <w:spacing w:after="0" w:line="183"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Trade Secret Protection</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Certain of our technologies, including in particular certain proprietary manufacturing processes or technologies and/or neoantigen prediction technologies, are protected as trade secrets.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in our Annual Report on Form 20-F incorporated by reference herein for a more comprehensive description of risks related to our intellectual property.</w:t>
      </w:r>
    </w:p>
    <w:p>
      <w:pPr>
        <w:spacing w:after="0" w:line="278"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b w:val="1"/>
          <w:bCs w:val="1"/>
          <w:color w:val="auto"/>
        </w:rPr>
        <w:t>XVII.</w:t>
      </w:r>
      <w:r>
        <w:rPr>
          <w:sz w:val="20"/>
          <w:szCs w:val="20"/>
          <w:color w:val="auto"/>
        </w:rPr>
        <w:tab/>
      </w:r>
      <w:r>
        <w:rPr>
          <w:rFonts w:ascii="Arial" w:cs="Arial" w:eastAsia="Arial" w:hAnsi="Arial"/>
          <w:sz w:val="16"/>
          <w:szCs w:val="16"/>
          <w:b w:val="1"/>
          <w:bCs w:val="1"/>
          <w:color w:val="auto"/>
        </w:rPr>
        <w:t>Competition</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competition surrounding each of our technologies.</w:t>
      </w:r>
    </w:p>
    <w:p>
      <w:pPr>
        <w:spacing w:after="0" w:line="225"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i w:val="1"/>
          <w:iCs w:val="1"/>
          <w:color w:val="auto"/>
        </w:rPr>
        <w:t>mRNA Therapies</w:t>
      </w:r>
      <w:r>
        <w:rPr>
          <w:rFonts w:ascii="Arial" w:cs="Arial" w:eastAsia="Arial" w:hAnsi="Arial"/>
          <w:sz w:val="17"/>
          <w:szCs w:val="17"/>
          <w:color w:val="auto"/>
        </w:rPr>
        <w:t>. mRNA therapies are a new medical frontier, and we expect competition in this space to be robust across diverse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areas. We compete with a number of companies focused on developing mRNA technologies for a wide range of applications, including Moderna, CureVac, eTheRNA immunotherapies, Translate Bio, Arcturus Therapeutics, ethris, Genevant and GlaxoSmithKline.</w:t>
      </w:r>
    </w:p>
    <w:p>
      <w:pPr>
        <w:spacing w:after="0" w:line="16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The oncology therapeutics landscape in general is highly competitive and includes large and specialty pharmaceutical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Companies such as AstraZeneca, Amgen, Bristol-Myers Squibb, Celgene, Eli Lilly, GlaxoSmithKline, Incyte, Janssen Pharmaceuticals, Merck &amp; Co., Novartis, Pfizer, Roche and Sanofi are developing diversified immuno-oncology programs and have substantial resources.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expect our intratumoral immunotherapy candidates for the treatment of solid tumors to face direct competition from companies such as Moderna and CureVac.</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also expect our FixVac and iNeST candidates to face competition from smaller specialized oncology companies such as Agenus, Gritstone, Moderna in collaboration with Merck &amp; Co., Aduro Biotech, Advaxis Immunotherapies, Achilles Therapeutics, NousCom, ISA Pharmaceuticals, CureVac in collaboration with Eli Lilly, Genocea Biosciences, Vaccibody, PACT Pharma and ZIOPHARM Oncology in the antigen-based therapy space.</w:t>
      </w:r>
    </w:p>
    <w:p>
      <w:pPr>
        <w:spacing w:after="0" w:line="149"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i w:val="1"/>
          <w:iCs w:val="1"/>
          <w:color w:val="auto"/>
        </w:rPr>
        <w:t>Cell Therapy Drug Class</w:t>
      </w:r>
      <w:r>
        <w:rPr>
          <w:rFonts w:ascii="Arial" w:cs="Arial" w:eastAsia="Arial" w:hAnsi="Arial"/>
          <w:sz w:val="17"/>
          <w:szCs w:val="17"/>
          <w:color w:val="auto"/>
        </w:rPr>
        <w:t>. We compete with a number of companies focused on adoptive cell therapies, including Novartis Pharmaceuticals,</w:t>
      </w:r>
      <w:r>
        <w:rPr>
          <w:rFonts w:ascii="Arial" w:cs="Arial" w:eastAsia="Arial" w:hAnsi="Arial"/>
          <w:sz w:val="17"/>
          <w:szCs w:val="17"/>
          <w:i w:val="1"/>
          <w:iCs w:val="1"/>
          <w:color w:val="auto"/>
        </w:rPr>
        <w:t xml:space="preserve"> </w:t>
      </w:r>
      <w:r>
        <w:rPr>
          <w:rFonts w:ascii="Arial" w:cs="Arial" w:eastAsia="Arial" w:hAnsi="Arial"/>
          <w:sz w:val="17"/>
          <w:szCs w:val="17"/>
          <w:color w:val="auto"/>
        </w:rPr>
        <w:t>Gilead Sciences, Celgene, Allogene Therapeutics, CRISPR Therapeutics, bluebird bio, Medigene, Adaptimmune Therapeutics, Amgen, Atara Biotherapeutics, Autolus Limited, Cellectis, PACT, Mustang Bio, Iovance Biotherapeutics, TCR2 Therapeutics, Editas Medicine, Celyad, Celularity, Unum Therapeutics, Intrexon, and Bellicum Pharmaceuticals and Precision Biosciences.</w:t>
      </w:r>
    </w:p>
    <w:p>
      <w:pPr>
        <w:spacing w:after="0" w:line="17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i w:val="1"/>
          <w:iCs w:val="1"/>
          <w:color w:val="auto"/>
        </w:rPr>
        <w:t xml:space="preserve">Antibodies Drug Class. </w:t>
      </w:r>
      <w:r>
        <w:rPr>
          <w:rFonts w:ascii="Arial" w:cs="Arial" w:eastAsia="Arial" w:hAnsi="Arial"/>
          <w:sz w:val="18"/>
          <w:szCs w:val="18"/>
          <w:color w:val="auto"/>
        </w:rPr>
        <w:t>We compete with a number of companies with operations focused on checkpoint immunomodulators,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AstraZeneca, Merck, Pfizer, Novartis, Roche and Bristol-Myers Squibb.</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i w:val="1"/>
          <w:iCs w:val="1"/>
          <w:color w:val="auto"/>
        </w:rPr>
        <w:t xml:space="preserve">Small Molecule Immunomodulator Drug Class. </w:t>
      </w:r>
      <w:r>
        <w:rPr>
          <w:rFonts w:ascii="Arial" w:cs="Arial" w:eastAsia="Arial" w:hAnsi="Arial"/>
          <w:sz w:val="16"/>
          <w:szCs w:val="16"/>
          <w:color w:val="auto"/>
        </w:rPr>
        <w:t>We are aware of a number of other companies developing TLR agonists, including Checkmate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Dynavax Technologies, Exicure, Gilead, GlaxoSmithKline, Hoffmann-La Roche, Mologen and Nektar Therapeutics.</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The infectious disease space includes general competition from well-established pharmaceutical companies such as AbbVie,</w:t>
      </w:r>
      <w:r>
        <w:rPr>
          <w:rFonts w:ascii="Arial" w:cs="Arial" w:eastAsia="Arial" w:hAnsi="Arial"/>
          <w:sz w:val="18"/>
          <w:szCs w:val="18"/>
          <w:i w:val="1"/>
          <w:iCs w:val="1"/>
          <w:color w:val="auto"/>
        </w:rPr>
        <w:t xml:space="preserve"> </w:t>
      </w:r>
      <w:r>
        <w:rPr>
          <w:rFonts w:ascii="Arial" w:cs="Arial" w:eastAsia="Arial" w:hAnsi="Arial"/>
          <w:sz w:val="18"/>
          <w:szCs w:val="18"/>
          <w:color w:val="auto"/>
        </w:rPr>
        <w:t>Bayer, Gilead, Janssen Pharmaceuticals, Merck &amp; Co. and Novartis. In addition, Seqirus UK, Sanofi Pasteur, GlaxoSmithKline, Biomedical Corp. of Quebec and AstraZeneca produce influenza vaccines.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Specifically, a large number of vaccine manufacturers, academic institutions and other organizations currently have programs to develop COVID-19 vaccine candidates. While we are not aware of all of our competitors’ efforts, we believe that the University of Oxford/AstraZeneca plc, CanSino Biologics Inc., Sanofi/GlaxoSmithKline plc, Inovio Pharmaceuticals, Inc., China National Pharmaceutical Group (Sinopharm)/Beijing Institute of Biological Products and Wuhan Institute of Biological Products, Moderna, Inc., Johnson &amp; Johnson, Novavax, Inc. and other companies are all in the early stages of developing vaccine candidates against COVID-19.</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Rare Diseases</w:t>
      </w:r>
      <w:r>
        <w:rPr>
          <w:rFonts w:ascii="Arial" w:cs="Arial" w:eastAsia="Arial" w:hAnsi="Arial"/>
          <w:sz w:val="18"/>
          <w:szCs w:val="18"/>
          <w:color w:val="auto"/>
        </w:rPr>
        <w:t>. We compete with a number of companies focused on rare diseases, including Roche, Alexion Pharmaceuticals, Novartis, Bristol-Myers Squibb, Sanofi Novo Nordisk and Pfizer.</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Pfizer and Sanofi,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anticipate that the key competitive factors affecting our technologies will be efficacy, safety, cost and convenience, as well as our ability to build a fully-integrated biotechnology company. The availability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96" w:lineRule="auto"/>
        <w:rPr>
          <w:sz w:val="20"/>
          <w:szCs w:val="20"/>
          <w:color w:val="auto"/>
        </w:rPr>
      </w:pPr>
      <w:r>
        <w:rPr>
          <w:rFonts w:ascii="Arial" w:cs="Arial" w:eastAsia="Arial" w:hAnsi="Arial"/>
          <w:sz w:val="16"/>
          <w:szCs w:val="16"/>
          <w:color w:val="auto"/>
        </w:rPr>
        <w:t>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65"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18"/>
          <w:szCs w:val="18"/>
          <w:b w:val="1"/>
          <w:bCs w:val="1"/>
          <w:color w:val="auto"/>
        </w:rPr>
        <w:t>XVIII.</w:t>
      </w:r>
      <w:r>
        <w:rPr>
          <w:sz w:val="20"/>
          <w:szCs w:val="20"/>
          <w:color w:val="auto"/>
        </w:rPr>
        <w:tab/>
      </w:r>
      <w:r>
        <w:rPr>
          <w:rFonts w:ascii="Arial" w:cs="Arial" w:eastAsia="Arial" w:hAnsi="Arial"/>
          <w:sz w:val="15"/>
          <w:szCs w:val="15"/>
          <w:b w:val="1"/>
          <w:bCs w:val="1"/>
          <w:color w:val="auto"/>
        </w:rPr>
        <w:t>Employees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May 31, 2020, we had 1,474 full-time equivalent employees working for BioNTech, of whom 400 hold a doctoral degree or higher. The following tables provide breakdowns of our full-time equivalent employees as of May 31, 2020 by function and by region (full-time equivalent numbers are presented rounded to the nearest whole number and accordingly may not add up to 1,474):</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Function</w:t>
            </w:r>
          </w:p>
        </w:tc>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r>
      <w:tr>
        <w:trPr>
          <w:trHeight w:val="203"/>
        </w:trPr>
        <w:tc>
          <w:tcPr>
            <w:tcW w:w="6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Clinical Research &amp; Development</w:t>
            </w: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113</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Scientific Research &amp; Development</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523</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Quality</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166</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Supporting Functions</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rPr>
              <w:t>Commercial &amp; Business Development</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29</w:t>
            </w:r>
          </w:p>
        </w:tc>
      </w:tr>
      <w:tr>
        <w:trPr>
          <w:trHeight w:val="397"/>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Region</w:t>
            </w:r>
          </w:p>
        </w:tc>
        <w:tc>
          <w:tcPr>
            <w:tcW w:w="6440" w:type="dxa"/>
            <w:vAlign w:val="bottom"/>
            <w:gridSpan w:val="2"/>
          </w:tcPr>
          <w:p>
            <w:pPr>
              <w:spacing w:after="0"/>
              <w:rPr>
                <w:sz w:val="24"/>
                <w:szCs w:val="24"/>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Number</w:t>
            </w:r>
          </w:p>
        </w:tc>
      </w:tr>
      <w:tr>
        <w:trPr>
          <w:trHeight w:val="203"/>
        </w:trPr>
        <w:tc>
          <w:tcPr>
            <w:tcW w:w="6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Mainz (Headquarters)</w:t>
            </w: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1,037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Munich (Neuried, Martinsried)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Idar-Oberstein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Halle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Berlin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Since December 2016, our workforce has grown by 300%. Within the next several years, two further new production sites are planned to be built in Mainz and Idar-Oberstein.</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None of our employees has engaged in any labor strikes. We have no collective bargaining agreements with our employees, but we maintain a company agreement (Betriebsvereinbarungen) with respect to certain topics at our Idar-Obarstein site. We have a workers’ council at our Idar-Oberstein and Mainz sites. However, we consider our relationship with our employees to be positive and have not experienced any major labor disputes.</w:t>
      </w:r>
    </w:p>
    <w:p>
      <w:pPr>
        <w:spacing w:after="0" w:line="253"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b w:val="1"/>
          <w:bCs w:val="1"/>
          <w:color w:val="auto"/>
        </w:rPr>
        <w:t>XIX.</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headquarters are located in Mainz, Germany, where we occupy:</w:t>
      </w:r>
    </w:p>
    <w:p>
      <w:pPr>
        <w:spacing w:after="0" w:line="131" w:lineRule="exact"/>
        <w:rPr>
          <w:sz w:val="20"/>
          <w:szCs w:val="20"/>
          <w:color w:val="auto"/>
        </w:rPr>
      </w:pPr>
    </w:p>
    <w:p>
      <w:pPr>
        <w:ind w:left="1080" w:right="260" w:hanging="424"/>
        <w:spacing w:after="0" w:line="263"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Approximately 9,416 square meters (equivalent to approximately 101,353 square feet) of laboratory, GMP manufacturing, storage and office space under a lease for the entire building located at An der Goldgrube 12, 55131 Mainz under a lease that has an initial term that expires on October 31, 2027, but which we have the option to extend until October, 2042.</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Approximately 1,069 square meters (equivalent to approximately 11,507 square feet) of office and GMP manufacturing space under a lease for part of the building located at Kupferbergterrasse 15, 17019, 44116 Mainz under a lease that expires in March 31, 2022.</w:t>
      </w:r>
    </w:p>
    <w:p>
      <w:pPr>
        <w:spacing w:after="0" w:line="51"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Approximately 4,882 square meters (equivalent to approximately 52,549 square feet) of flexible use space under a lease for the entire building at Adam-Opel-Strasse 10, 55129 Mainz-Hechtsheim that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an initial term that expires on December 31, 2024, but which we have the option to extend until December 31, 2027. If the lease has not been terminated prior to December 31, 2024, and the option has not been exercised prior to this date, the lease will convert to an unlimited period terminable by either party on 12 months’ prior written notice.</w:t>
      </w:r>
    </w:p>
    <w:p>
      <w:pPr>
        <w:spacing w:after="0" w:line="89" w:lineRule="exact"/>
        <w:rPr>
          <w:sz w:val="20"/>
          <w:szCs w:val="20"/>
          <w:color w:val="auto"/>
        </w:rPr>
      </w:pPr>
    </w:p>
    <w:p>
      <w:pPr>
        <w:ind w:left="1080" w:hanging="424"/>
        <w:spacing w:after="0" w:line="263"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Approximately 82,881 square meters (equivalent to approximately 892,124 square feet) of office space and a further area of land associated with this office space of approximately 12,600 square meters (equivalent to approximately 135,625 square feet), which is owned by BioNTech.</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We also own a plot of land of approximately 8,753 square meters (equivalent to 94,216 square feet) at Hechtsheimer Strasse, 55131 Mainz.</w:t>
      </w:r>
    </w:p>
    <w:p>
      <w:pPr>
        <w:spacing w:after="0" w:line="24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our BioNTech IMFS facility in Idar-Oberstein, Germany, occupies approximately 2,800 square meters (equivalent to approximately 30,140 square feet). This includes 650 square meters (approximately 7,000 square feet) of clean room area, and 700 square meters (approximately 7,500 square feet) of development and quality control laboratories. We occupy approximately 575 square meters (equivalent to approximately 6,200 square feet) of this space, which is used primarily for storage, under a lease that has an initial expiry date of October 1, 2021, but which we have the right to extend by an additional five years. We occupy approximately 100 square meters (equivalent to approximately 1,075 square feet) of this space, which is used primarily for storage, under a lease that can be terminated by either party on six months’ written notice (but not earlier than May 1, 2020). We occupy approximately 80 square meters (equivalent to approximately 860 square feet) of this space, which is used as office space, under a lease that can be terminated by either party on three months’ written notice. The rest of this facility, including the GMP-certified manufacturing suites, is owned by BioNTech. We also recently purchased a building of approximately 802 square meters (equivalent to 8,632 square feet) near our IMFS facility in Idar-Oberstein, which will be used as office space.</w:t>
      </w:r>
    </w:p>
    <w:p>
      <w:pPr>
        <w:spacing w:after="0" w:line="18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At our JPT facility in Berlin, Germany, we occupy approximately 1,794 square meters (equivalent to approximately 19,299 square feet) of office, laboratory and other space. Approximately 250 square meters of that space (equivalent to approximately 2,690 square feet) is occupied under a lease which has an expiry date of June 20, 2020 and will continue for further six-month periods, unless terminated by either party on three months’ prior written notice. Approximately 1,523 square meters (equivalent to approximately 16,199 square feet) are occupied under a lease for an indeterminate period of time but which may be terminated by either party on 12 months’ prior written notice. The remaining approximately 20 square meters (equivalent to approximately 215 square feet) of storage space is occupied under a lease on a monthly basis and can be terminated by either party giving two weeks’ written notice.</w:t>
      </w:r>
    </w:p>
    <w:p>
      <w:pPr>
        <w:spacing w:after="0" w:line="19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In Martinsried, Germany, outside Munich, Germany, we occupy approximately 1,681 square meters (equivalent to approximately 18,100 square feet) under a lease that has an initial term that expires on December 31, 2020, but which we have the option to extend until December 31, 2022.</w:t>
      </w:r>
    </w:p>
    <w:p>
      <w:pPr>
        <w:spacing w:after="0" w:line="12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Neuried, Germany, outside Munich, Germany, we occupy approximately 725 square meters (equivalent to approximately 7,800 square feet) of laboratory and office space under a lease that expires on December 31, 2021, but which we have the option to extend until December 31, 2026. If the lease is not terminated before December 31, 2021 (where the option is not exercised) or December 31, 2026 (where the option is exercised) the lease will renew automatically for an additional one-year period until terminated by either party on 12 months’ prior written notice.</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Halle (Saale), Germany, we have since the beginning of 2020 occupied approximately 415 square meters (equivalent to approximately 4,467 square feet) of office and other space under a lease that expires on February 28, 2022. We further occupy 90 square meters (equivalent to approximately 968 square feet) of laboratory space under a lease that also expires on February 28, 2022. Each lease will renew automatically for an additional one-year period until terminated by either party on six months’ prior written notice to expire at the end of the lease period (or any extension thereof).</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San Diego, we occupy approximately 14,971 square feet of laboratory and office space under a lease to part of a building located at 11535 Sorrento Valley Road, San Diego, California, that expires on February 28,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expand our capacity as follows:</w:t>
      </w:r>
    </w:p>
    <w:p>
      <w:pPr>
        <w:spacing w:after="0" w:line="131" w:lineRule="exact"/>
        <w:rPr>
          <w:sz w:val="20"/>
          <w:szCs w:val="20"/>
          <w:color w:val="auto"/>
        </w:rPr>
      </w:pPr>
    </w:p>
    <w:p>
      <w:pPr>
        <w:ind w:left="1080" w:hanging="424"/>
        <w:spacing w:after="0" w:line="25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third quarter of 2020, we anticipate completing the construction of two new buildings at our BioNTech IMFS facility in Idar-Oberstein, Germany, which we will own, and as a result of which we will occupy an additional 780 square meters (equivalent to approximately 8,395 square feet) of clean room space and 550 square meters (equivalent to approximately 5,900 square feet) of laboratory space, expanding our capacity for GMP cell therapy manufacturing and 650 square meters (equivalent to approximately 7,000 square feet) of office space.</w:t>
      </w:r>
    </w:p>
    <w:p>
      <w:pPr>
        <w:spacing w:after="0" w:line="93" w:lineRule="exact"/>
        <w:rPr>
          <w:rFonts w:ascii="Arial" w:cs="Arial" w:eastAsia="Arial" w:hAnsi="Arial"/>
          <w:sz w:val="18"/>
          <w:szCs w:val="18"/>
          <w:color w:val="auto"/>
        </w:rPr>
      </w:pPr>
    </w:p>
    <w:p>
      <w:pPr>
        <w:jc w:val="both"/>
        <w:ind w:left="1080" w:right="340" w:hanging="424"/>
        <w:spacing w:after="0" w:line="286"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We anticipate completing the construction of a new complex of building for our JPT business in Berlin, Germany, possibly as early as 2023. Upon completion of the construction project we will occupy up to approximately 5,000 additional square meters (equivalent to approximately 53,820 square feet) of useable floor space split between laboratories, offices and storage.</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are committed to the continued development of world-class laboratory as well as manufacturing operations to support our research and development as well as clinical manufacturing needs, to prepare for commercial scale manufacturing of our product candidates, and to realize external commercial opportunities. We expect to commit approximately an additional €250 million through 2023. Our planned laboratory and manufacturing investments include:</w:t>
      </w:r>
    </w:p>
    <w:p>
      <w:pPr>
        <w:spacing w:after="0" w:line="92" w:lineRule="exact"/>
        <w:rPr>
          <w:sz w:val="20"/>
          <w:szCs w:val="20"/>
          <w:color w:val="auto"/>
        </w:rPr>
      </w:pPr>
    </w:p>
    <w:p>
      <w:pPr>
        <w:ind w:left="1080" w:right="380" w:hanging="424"/>
        <w:spacing w:after="0" w:line="277" w:lineRule="auto"/>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two new buildings at our BioNTech IMFS facility, including three floors each of clean rooms and additional development and quality control laboratories;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our planned commercial scale facility in Mainz, which will occupy more than 100,000 square feet and will house cleanrooms, laboratories and offices;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 expansion of our JPT facility, which is designed to more than double our capacity;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 expansion of our laboratory space for research and development on our Mainz campus.</w:t>
      </w:r>
    </w:p>
    <w:p>
      <w:pPr>
        <w:spacing w:after="0" w:line="32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b w:val="1"/>
          <w:bCs w:val="1"/>
          <w:color w:val="auto"/>
        </w:rPr>
        <w:t>XX.  Legal Proceedings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From time to time, we may be involved in legal proceedings in the ordinary course of business. We are currently not a party to any material legal or administrative proceedings. In addition, we are not aware of any material legal or administrative proceedings contemplated to be brought against us. Regardless of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60"/>
          </w:cols>
          <w:pgMar w:left="320" w:top="459"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presents information, as of June 30, 2020, regarding the beneficial ownership of our ordinary shares (i) prior to the consummation of the Global Offering, (ii) as adjusted to reflect the sale of the ADSs in the Underwritten Offering and (iii) as further adjusted to reflect full subscription of the Rights Offering, for:</w:t>
      </w:r>
    </w:p>
    <w:p>
      <w:pPr>
        <w:spacing w:after="0" w:line="89"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member of our Supervisory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member of our Management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members of our Supervisory Board and Management Board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Selling Shareholder for purposes of the underwriters’ option to purchase additional ADSs.</w:t>
      </w:r>
    </w:p>
    <w:p>
      <w:pPr>
        <w:spacing w:after="0" w:line="22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June 30, 2020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percentage of outstanding ordinary shares before the Global Offering is computed on the basis of 232,673,455 ordinary shares outstanding as of June 30, 2020. This amount excludes 5,524,506 shares held in treasury and does not reflect the issuance of 2,595,996 of our ordinary shares to be issued in the June 2020 Private Placement, which is expected to close in August 2020.</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percentage of shares beneficially owned on an adjusted basis after the Underwritten Offering is based on shares to be outstanding after the Underwritten Offering after giving effect to the completion of the Underwritten Offering. The percentage of shares beneficially owned on an adjusted basis after the Global Offering is based on 240,062,644 shares to be outstanding after the Global Offering after giving effect to the completion of the Underwritten Offering and assuming full subscription of the Rights Offering. Ordinary shares that a person has the right to acquire within 60 days of June 30, 2020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our Management Board as a group. Unless otherwise indicated, the address for each beneficial owner is An der Goldgrube 12, D-55131 Mainz, Germany.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8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1"/>
              </w:rPr>
              <w:t>Shares Beneficially Owned</w:t>
            </w:r>
          </w:p>
        </w:tc>
        <w:tc>
          <w:tcPr>
            <w:tcW w:w="1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Owned After the Global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1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Offering, Assuming Full</w:t>
            </w:r>
          </w:p>
        </w:tc>
        <w:tc>
          <w:tcPr>
            <w:tcW w:w="0" w:type="dxa"/>
            <w:vAlign w:val="bottom"/>
          </w:tcPr>
          <w:p>
            <w:pPr>
              <w:spacing w:after="0"/>
              <w:rPr>
                <w:sz w:val="1"/>
                <w:szCs w:val="1"/>
                <w:color w:val="auto"/>
              </w:rPr>
            </w:pPr>
          </w:p>
        </w:tc>
      </w:tr>
      <w:tr>
        <w:trPr>
          <w:trHeight w:val="148"/>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w:t>
            </w:r>
          </w:p>
        </w:tc>
        <w:tc>
          <w:tcPr>
            <w:tcW w:w="21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Before the Global</w:t>
            </w:r>
          </w:p>
        </w:tc>
        <w:tc>
          <w:tcPr>
            <w:tcW w:w="1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Subscription</w:t>
            </w:r>
            <w:r>
              <w:rPr>
                <w:rFonts w:ascii="Arial" w:cs="Arial" w:eastAsia="Arial" w:hAnsi="Arial"/>
                <w:sz w:val="12"/>
                <w:szCs w:val="12"/>
                <w:b w:val="1"/>
                <w:bCs w:val="1"/>
                <w:color w:val="auto"/>
                <w:w w:val="93"/>
              </w:rPr>
              <w:t>(1)</w:t>
            </w:r>
            <w:r>
              <w:rPr>
                <w:rFonts w:ascii="Arial" w:cs="Arial" w:eastAsia="Arial" w:hAnsi="Arial"/>
                <w:sz w:val="14"/>
                <w:szCs w:val="14"/>
                <w:b w:val="1"/>
                <w:bCs w:val="1"/>
                <w:color w:val="auto"/>
                <w:w w:val="93"/>
              </w:rPr>
              <w:t xml:space="preserve"> in the</w:t>
            </w:r>
          </w:p>
        </w:tc>
        <w:tc>
          <w:tcPr>
            <w:tcW w:w="0" w:type="dxa"/>
            <w:vAlign w:val="bottom"/>
          </w:tcPr>
          <w:p>
            <w:pPr>
              <w:spacing w:after="0"/>
              <w:rPr>
                <w:sz w:val="1"/>
                <w:szCs w:val="1"/>
                <w:color w:val="auto"/>
              </w:rPr>
            </w:pPr>
          </w:p>
        </w:tc>
      </w:tr>
      <w:tr>
        <w:trPr>
          <w:trHeight w:val="165"/>
        </w:trPr>
        <w:tc>
          <w:tcPr>
            <w:tcW w:w="6920" w:type="dxa"/>
            <w:vAlign w:val="bottom"/>
            <w:gridSpan w:val="2"/>
            <w:vMerge w:val="continue"/>
          </w:tcPr>
          <w:p>
            <w:pPr>
              <w:spacing w:after="0"/>
              <w:rPr>
                <w:sz w:val="14"/>
                <w:szCs w:val="14"/>
                <w:color w:val="auto"/>
              </w:rPr>
            </w:pPr>
          </w:p>
        </w:tc>
        <w:tc>
          <w:tcPr>
            <w:tcW w:w="1260" w:type="dxa"/>
            <w:vAlign w:val="bottom"/>
            <w:gridSpan w:val="2"/>
          </w:tcPr>
          <w:p>
            <w:pPr>
              <w:jc w:val="center"/>
              <w:ind w:left="414"/>
              <w:spacing w:after="0" w:line="158" w:lineRule="exact"/>
              <w:rPr>
                <w:sz w:val="20"/>
                <w:szCs w:val="20"/>
                <w:color w:val="auto"/>
              </w:rPr>
            </w:pPr>
            <w:r>
              <w:rPr>
                <w:rFonts w:ascii="Arial" w:cs="Arial" w:eastAsia="Arial" w:hAnsi="Arial"/>
                <w:sz w:val="14"/>
                <w:szCs w:val="14"/>
                <w:b w:val="1"/>
                <w:bCs w:val="1"/>
                <w:color w:val="auto"/>
                <w:w w:val="95"/>
              </w:rPr>
              <w:t>Offering</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Rights Offering</w:t>
            </w:r>
          </w:p>
        </w:tc>
        <w:tc>
          <w:tcPr>
            <w:tcW w:w="0" w:type="dxa"/>
            <w:vAlign w:val="bottom"/>
          </w:tcPr>
          <w:p>
            <w:pPr>
              <w:spacing w:after="0"/>
              <w:rPr>
                <w:sz w:val="1"/>
                <w:szCs w:val="1"/>
                <w:color w:val="auto"/>
              </w:rPr>
            </w:pPr>
          </w:p>
        </w:tc>
      </w:tr>
      <w:tr>
        <w:trPr>
          <w:trHeight w:val="149"/>
        </w:trPr>
        <w:tc>
          <w:tcPr>
            <w:tcW w:w="760" w:type="dxa"/>
            <w:vAlign w:val="bottom"/>
            <w:tcBorders>
              <w:top w:val="single" w:sz="8" w:color="auto"/>
            </w:tcBorders>
          </w:tcPr>
          <w:p>
            <w:pPr>
              <w:spacing w:after="0"/>
              <w:rPr>
                <w:sz w:val="12"/>
                <w:szCs w:val="12"/>
                <w:color w:val="auto"/>
              </w:rPr>
            </w:pPr>
          </w:p>
        </w:tc>
        <w:tc>
          <w:tcPr>
            <w:tcW w:w="6160" w:type="dxa"/>
            <w:vAlign w:val="bottom"/>
          </w:tcPr>
          <w:p>
            <w:pPr>
              <w:spacing w:after="0"/>
              <w:rPr>
                <w:sz w:val="12"/>
                <w:szCs w:val="12"/>
                <w:color w:val="auto"/>
              </w:rPr>
            </w:pPr>
          </w:p>
        </w:tc>
        <w:tc>
          <w:tcPr>
            <w:tcW w:w="126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ATHOS KG</w:t>
            </w:r>
            <w:r>
              <w:rPr>
                <w:rFonts w:ascii="Arial" w:cs="Arial" w:eastAsia="Arial" w:hAnsi="Arial"/>
                <w:sz w:val="15"/>
                <w:szCs w:val="15"/>
                <w:color w:val="auto"/>
              </w:rPr>
              <w:t>(2)</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114,141,520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49.06%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114,141,520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47.55%</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Medine GmbH</w:t>
            </w:r>
            <w:r>
              <w:rPr>
                <w:rFonts w:ascii="Arial" w:cs="Arial" w:eastAsia="Arial" w:hAnsi="Arial"/>
                <w:sz w:val="15"/>
                <w:szCs w:val="15"/>
                <w:color w:val="auto"/>
              </w:rPr>
              <w:t>(3)</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41,690,970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41,690,970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17.37%</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Members of the Supervisory Board and the Management Board</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 Ugur Sahin, M.D.</w:t>
            </w:r>
            <w:r>
              <w:rPr>
                <w:rFonts w:ascii="Arial" w:cs="Arial" w:eastAsia="Arial" w:hAnsi="Arial"/>
                <w:sz w:val="15"/>
                <w:szCs w:val="15"/>
                <w:color w:val="auto"/>
              </w:rPr>
              <w:t>(4)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41,690,970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41,690,970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17.37%</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Sean Marett</w:t>
            </w:r>
            <w:r>
              <w:rPr>
                <w:rFonts w:ascii="Arial" w:cs="Arial" w:eastAsia="Arial" w:hAnsi="Arial"/>
                <w:sz w:val="15"/>
                <w:szCs w:val="15"/>
                <w:color w:val="auto"/>
              </w:rPr>
              <w:t>(5)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1,091,502</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1,091,502</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r>
              <w:rPr>
                <w:rFonts w:ascii="Arial" w:cs="Arial" w:eastAsia="Arial" w:hAnsi="Arial"/>
                <w:sz w:val="15"/>
                <w:szCs w:val="15"/>
                <w:color w:val="auto"/>
              </w:rPr>
              <w:t>(6)</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711,828</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711,828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Ryan Richardson</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Helmut Jeggle</w:t>
            </w:r>
            <w:r>
              <w:rPr>
                <w:rFonts w:ascii="Arial" w:cs="Arial" w:eastAsia="Arial" w:hAnsi="Arial"/>
                <w:sz w:val="15"/>
                <w:szCs w:val="15"/>
                <w:color w:val="auto"/>
              </w:rPr>
              <w:t>(7)</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116,798,941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50.20%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116,798,941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48.65%</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Motschmann</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Prof. Christoph Huber, M.D.</w:t>
            </w:r>
            <w:r>
              <w:rPr>
                <w:rFonts w:ascii="Arial" w:cs="Arial" w:eastAsia="Arial" w:hAnsi="Arial"/>
                <w:sz w:val="15"/>
                <w:szCs w:val="15"/>
                <w:color w:val="auto"/>
              </w:rPr>
              <w:t>(8)</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2,552,040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2,552,040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Ulrich Wandschneider</w:t>
            </w:r>
            <w:r>
              <w:rPr>
                <w:rFonts w:ascii="Arial" w:cs="Arial" w:eastAsia="Arial" w:hAnsi="Arial"/>
                <w:sz w:val="15"/>
                <w:szCs w:val="15"/>
                <w:color w:val="auto"/>
              </w:rPr>
              <w:t>(9)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All members of our Supervisory Board and Management Board, as a group</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162,849,961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69.99%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162,849,961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67.84%</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Selling Shareholder</w:t>
            </w:r>
            <w:r>
              <w:rPr>
                <w:rFonts w:ascii="Arial" w:cs="Arial" w:eastAsia="Arial" w:hAnsi="Arial"/>
                <w:sz w:val="15"/>
                <w:szCs w:val="15"/>
                <w:b w:val="1"/>
                <w:bCs w:val="1"/>
                <w:color w:val="auto"/>
              </w:rPr>
              <w:t>(10)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10,268,124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9,443,124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140" w:hanging="424"/>
        <w:spacing w:after="0" w:line="250"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Excluding rights attributable to holders that have irrevocably agreed not to transfer or exercise rights. Assumes no exercise of rights in the Rights Offering by any person listed in this section.</w:t>
      </w:r>
    </w:p>
    <w:p>
      <w:pPr>
        <w:ind w:left="540" w:right="60" w:hanging="424"/>
        <w:spacing w:after="0" w:line="265" w:lineRule="auto"/>
        <w:tabs>
          <w:tab w:leader="none" w:pos="5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Consists of 114,141,520 ordinary shares held by AT Impf GmbH. The sole member of AT Impf GmbH is ATHOS KG, and, as a result, ATHOS KG is deemed to be the beneficial owner of the securities held by AT Impf GmbH. Helmut Jeggle and Thomas Maier are each general partners (</w:t>
      </w:r>
      <w:r>
        <w:rPr>
          <w:rFonts w:ascii="Arial" w:cs="Arial" w:eastAsia="Arial" w:hAnsi="Arial"/>
          <w:sz w:val="17"/>
          <w:szCs w:val="17"/>
          <w:i w:val="1"/>
          <w:iCs w:val="1"/>
          <w:color w:val="auto"/>
        </w:rPr>
        <w:t>Komplementär</w:t>
      </w:r>
      <w:r>
        <w:rPr>
          <w:rFonts w:ascii="Arial" w:cs="Arial" w:eastAsia="Arial" w:hAnsi="Arial"/>
          <w:sz w:val="17"/>
          <w:szCs w:val="17"/>
          <w:color w:val="auto"/>
        </w:rPr>
        <w:t>) of ATHOS KG and may be deemed to be beneficial owners of the securities held by AT Impf GmbH. Each of Messrs. Jeggle and Maier disclaim beneficial ownership of such shares except to the extent of their pecuniary interest therein.</w:t>
      </w:r>
    </w:p>
    <w:p>
      <w:pPr>
        <w:ind w:left="540" w:right="240" w:hanging="424"/>
        <w:spacing w:after="0" w:line="250"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sole shareholder of Medine GmbH is Prof. Sahin, and, as a result, Prof. Sahin is deemed to be the beneficial owner of the securities held by Medine GmbH.</w:t>
      </w: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Consists of the shares described in note 3 above. Prof. Sahin is the sole shareholder of Medine GmbH.</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Consists of 1,091,502 ordinary shares held by RLG GmbH. Mr. Marett is the sole shareholder of RLG GmbH.</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Consists of 711,828 ordinary shares held by Tofino GmbH. Dr. Poetting is the sole shareholder of Tofino GmbH.</w:t>
      </w:r>
    </w:p>
    <w:p>
      <w:pPr>
        <w:spacing w:after="0" w:line="9"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Consists of (a) the shares described in note 2 above, (b) 332,316 ordinary shares held directly by Mr. Jeggle, (c) 2,273,886 ordinary shares held by Salvia GmbH and (d) 51,219 ordinary shares held by Nils GmbH. Mr. Jeggle is the sole shareholder of Salvia GmbH and Mr. Jeggle and his wife are the sole shareholders of Nils GmbH. Mr. Jeggle has no voting or dispositive power with regard to such shares described in note 1 above and disclaims beneficial ownership of such shares except to the extent of his pecuniary interest therein.</w:t>
      </w:r>
    </w:p>
    <w:p>
      <w:pPr>
        <w:ind w:left="540" w:hanging="424"/>
        <w:spacing w:after="0"/>
        <w:tabs>
          <w:tab w:leader="none" w:pos="5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Consists of 2,552,040 ordinary shares held by CHuber 2008 GmbH. Prof. Huber and his wife are the shareholders of CHuber 2008 GmbH.</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Consists of 4,680 shares held by beebusy capital gmbh.</w:t>
      </w:r>
    </w:p>
    <w:p>
      <w:pPr>
        <w:spacing w:after="0" w:line="9" w:lineRule="exact"/>
        <w:rPr>
          <w:rFonts w:ascii="Arial" w:cs="Arial" w:eastAsia="Arial" w:hAnsi="Arial"/>
          <w:sz w:val="18"/>
          <w:szCs w:val="18"/>
          <w:color w:val="auto"/>
        </w:rPr>
      </w:pPr>
    </w:p>
    <w:p>
      <w:pPr>
        <w:ind w:left="540" w:right="120" w:hanging="424"/>
        <w:spacing w:after="0" w:line="273" w:lineRule="auto"/>
        <w:tabs>
          <w:tab w:leader="none" w:pos="5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Consists of (a) 4,162,321 ordinary shares held by MIG GmbH &amp; Co. Fonds 7 KG, Munich, (b) 1,348,268 ordinary shares held by MIG GmbH &amp; Co. Fonds 8 KG, Munich and (c) 4,757,535 ordinary shares held by MIG GmbH &amp; Co. Fonds 9 KG, Munich. The underwriters have an option to purchase 825,000 ADSs to be sold by funds associated with MIG Verwaltungs AG, Ismaninger Strasse 102. D-81675 Munich, Germany. If the underwriters exercise in full their option to purchase additional ADSs from funds associated with MIG</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Verwaltungs AG, MIG Verwaltungs AG will hold 9,443,124 ordinary shares, or 3.93% beneficial ownership of our outstanding ordinary shares (including those held in the form of ADSs) after the Global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Holdings by U.S.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the completion of the Global Offering, we estimate that approximately 23.89% of our outstanding ordinary shares were held by three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record holders.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SHARE CAPITAL AND ARTICLES OF ASSOCIATION (</w:t>
      </w:r>
      <w:r>
        <w:rPr>
          <w:rFonts w:ascii="Arial" w:cs="Arial" w:eastAsia="Arial" w:hAnsi="Arial"/>
          <w:sz w:val="18"/>
          <w:szCs w:val="18"/>
          <w:b w:val="1"/>
          <w:bCs w:val="1"/>
          <w:i w:val="1"/>
          <w:iCs w:val="1"/>
          <w:color w:val="auto"/>
        </w:rPr>
        <w:t>SATZUNG</w:t>
      </w:r>
      <w:r>
        <w:rPr>
          <w:rFonts w:ascii="Arial" w:cs="Arial" w:eastAsia="Arial" w:hAnsi="Arial"/>
          <w:sz w:val="18"/>
          <w:szCs w:val="18"/>
          <w:b w:val="1"/>
          <w:bCs w:val="1"/>
          <w:color w:val="auto"/>
        </w:rPr>
        <w: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were incorporated as a German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with the legal name Petersberg 91. V 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of the local court (</w:t>
      </w:r>
      <w:r>
        <w:rPr>
          <w:rFonts w:ascii="Arial" w:cs="Arial" w:eastAsia="Arial" w:hAnsi="Arial"/>
          <w:sz w:val="16"/>
          <w:szCs w:val="16"/>
          <w:i w:val="1"/>
          <w:iCs w:val="1"/>
          <w:color w:val="auto"/>
        </w:rPr>
        <w:t>Amtsgericht</w:t>
      </w:r>
      <w:r>
        <w:rPr>
          <w:rFonts w:ascii="Arial" w:cs="Arial" w:eastAsia="Arial" w:hAnsi="Arial"/>
          <w:sz w:val="16"/>
          <w:szCs w:val="16"/>
          <w:color w:val="auto"/>
        </w:rPr>
        <w:t xml:space="preserve">) of Mainz, Germany, we converted to a </w:t>
      </w:r>
      <w:r>
        <w:rPr>
          <w:rFonts w:ascii="Arial" w:cs="Arial" w:eastAsia="Arial" w:hAnsi="Arial"/>
          <w:sz w:val="16"/>
          <w:szCs w:val="16"/>
          <w:i w:val="1"/>
          <w:iCs w:val="1"/>
          <w:color w:val="auto"/>
        </w:rPr>
        <w:t>Societas Europaea</w:t>
      </w:r>
      <w:r>
        <w:rPr>
          <w:rFonts w:ascii="Arial" w:cs="Arial" w:eastAsia="Arial" w:hAnsi="Arial"/>
          <w:sz w:val="16"/>
          <w:szCs w:val="16"/>
          <w:color w:val="auto"/>
        </w:rPr>
        <w:t xml:space="preserve"> with the legal name BioNTech SE. We completed our initial public offering in October 2019.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16"/>
          <w:szCs w:val="16"/>
          <w:i w:val="1"/>
          <w:iCs w:val="1"/>
          <w:color w:val="auto"/>
        </w:rPr>
        <w:t>Gesetz zur Ausführung der Verordnung (EG) NR. 2157/2001 des Rates vom 8. Oktober 2001 über das Statut der</w:t>
      </w:r>
      <w:r>
        <w:rPr>
          <w:rFonts w:ascii="Arial" w:cs="Arial" w:eastAsia="Arial" w:hAnsi="Arial"/>
          <w:sz w:val="16"/>
          <w:szCs w:val="16"/>
          <w:color w:val="auto"/>
        </w:rPr>
        <w:t xml:space="preserve"> </w:t>
      </w:r>
      <w:r>
        <w:rPr>
          <w:rFonts w:ascii="Arial" w:cs="Arial" w:eastAsia="Arial" w:hAnsi="Arial"/>
          <w:sz w:val="16"/>
          <w:szCs w:val="16"/>
          <w:i w:val="1"/>
          <w:iCs w:val="1"/>
          <w:color w:val="auto"/>
        </w:rPr>
        <w:t>Europäischen Gesellschaft (SE) (SE-Ausführungsgesetz—SEAG)</w:t>
      </w:r>
      <w:r>
        <w:rPr>
          <w:rFonts w:ascii="Arial" w:cs="Arial" w:eastAsia="Arial" w:hAnsi="Arial"/>
          <w:sz w:val="16"/>
          <w:szCs w:val="16"/>
          <w:color w:val="auto"/>
        </w:rPr>
        <w:t>) and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in each case as amended.</w:t>
      </w:r>
    </w:p>
    <w:p>
      <w:pPr>
        <w:spacing w:after="0" w:line="16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are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in Mainz, Germany, under number HRB 48720. Our statutory seat is in Mainz, Germany, and our registered office is An der Goldgrube 12, 55131 Mainz, Germany. Copies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will be publicly available from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at the local court of Mainz, Germany, electronically at www.unternehmensregister.de and as an exhibit to the registration statement of which this prospectus forms a part.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740" w:firstLine="440"/>
        <w:spacing w:after="0" w:line="263" w:lineRule="auto"/>
        <w:rPr>
          <w:sz w:val="20"/>
          <w:szCs w:val="20"/>
          <w:color w:val="auto"/>
        </w:rPr>
      </w:pPr>
      <w:r>
        <w:rPr>
          <w:rFonts w:ascii="Arial" w:cs="Arial" w:eastAsia="Arial" w:hAnsi="Arial"/>
          <w:sz w:val="18"/>
          <w:szCs w:val="18"/>
          <w:color w:val="auto"/>
        </w:rPr>
        <w:t>We have share capital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in the amount of €238,197,961.00, which is divided into 238,197,961 registered shares (</w:t>
      </w:r>
      <w:r>
        <w:rPr>
          <w:rFonts w:ascii="Arial" w:cs="Arial" w:eastAsia="Arial" w:hAnsi="Arial"/>
          <w:sz w:val="18"/>
          <w:szCs w:val="18"/>
          <w:i w:val="1"/>
          <w:iCs w:val="1"/>
          <w:color w:val="auto"/>
        </w:rPr>
        <w:t>Namensaktien</w:t>
      </w:r>
      <w:r>
        <w:rPr>
          <w:rFonts w:ascii="Arial" w:cs="Arial" w:eastAsia="Arial" w:hAnsi="Arial"/>
          <w:sz w:val="18"/>
          <w:szCs w:val="18"/>
          <w:color w:val="auto"/>
        </w:rPr>
        <w:t>). All shares are shares with no par value (</w:t>
      </w:r>
      <w:r>
        <w:rPr>
          <w:rFonts w:ascii="Arial" w:cs="Arial" w:eastAsia="Arial" w:hAnsi="Arial"/>
          <w:sz w:val="18"/>
          <w:szCs w:val="18"/>
          <w:i w:val="1"/>
          <w:iCs w:val="1"/>
          <w:color w:val="auto"/>
        </w:rPr>
        <w:t>Stückaktien ohne Nennbetrag</w:t>
      </w:r>
      <w:r>
        <w:rPr>
          <w:rFonts w:ascii="Arial" w:cs="Arial" w:eastAsia="Arial" w:hAnsi="Arial"/>
          <w:sz w:val="18"/>
          <w:szCs w:val="18"/>
          <w:color w:val="auto"/>
        </w:rPr>
        <w:t>) with a notional amount attributable to each ordinary share of €1.00. Each issued ordinary share is fully paid.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Certification and Transferability of Shares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shares are freely transferable under German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Our Share Capital During the Last Three Fiscal Years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amounts to 238,197,961. Since January 1, 2017, (up until and including the capital increase of August 16, 2019, without giving effect to the 18-to-1 stock split which became effective on September 18, 2019), our share capital has changed as follows:</w:t>
      </w:r>
    </w:p>
    <w:p>
      <w:pPr>
        <w:spacing w:after="0" w:line="89" w:lineRule="exact"/>
        <w:rPr>
          <w:sz w:val="20"/>
          <w:szCs w:val="20"/>
          <w:color w:val="auto"/>
        </w:rPr>
      </w:pPr>
    </w:p>
    <w:p>
      <w:pPr>
        <w:ind w:left="1080" w:right="2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September 14, 2017,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9,083,000 shares;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February 1,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1,254,884 shares;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September 12,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32,373 shares;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9" w:right="5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October 18,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186,715 shares;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January 29,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282,678 shares;</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On April 24,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131,933 shares against contributions in kind (swap of shares in our company against shares in one of our subsidiary companies);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On June 26, 2019, our share capital 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was increased by issuing 666,123 shares;</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August 16,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333,310 shares;</w:t>
      </w:r>
    </w:p>
    <w:p>
      <w:pPr>
        <w:spacing w:after="0" w:line="75" w:lineRule="exact"/>
        <w:rPr>
          <w:rFonts w:ascii="Arial" w:cs="Arial" w:eastAsia="Arial" w:hAnsi="Arial"/>
          <w:sz w:val="18"/>
          <w:szCs w:val="18"/>
          <w:color w:val="auto"/>
        </w:rPr>
      </w:pPr>
    </w:p>
    <w:p>
      <w:pPr>
        <w:ind w:left="1080" w:right="840" w:hanging="424"/>
        <w:spacing w:after="0" w:line="308"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On September 18,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206,595,492 shares by way of a capital increase from our funds; thus, no contribution by investors was made;</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September 26,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3,038,674 shares;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October 14,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10,000,000 shares;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November 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517,408 shares;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April 23, 2020,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1,580,777 shares;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 May 5, 2020,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2,377,446 shares;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On May 8, 2020, our share capital 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was increased by issuing 1,935,488 shares.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 of Our Charter Documents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Changes to the 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the relevant law, the general meeting of a European stock corporation (</w:t>
      </w:r>
      <w:r>
        <w:rPr>
          <w:rFonts w:ascii="Arial" w:cs="Arial" w:eastAsia="Arial" w:hAnsi="Arial"/>
          <w:sz w:val="17"/>
          <w:szCs w:val="17"/>
          <w:i w:val="1"/>
          <w:iCs w:val="1"/>
          <w:color w:val="auto"/>
        </w:rPr>
        <w:t>Societas Europaea</w:t>
      </w:r>
      <w:r>
        <w:rPr>
          <w:rFonts w:ascii="Arial" w:cs="Arial" w:eastAsia="Arial" w:hAnsi="Arial"/>
          <w:sz w:val="17"/>
          <w:szCs w:val="17"/>
          <w:color w:val="auto"/>
        </w:rPr>
        <w:t>) governed by German law can authorize the Management Board to, with the consent of the Supervisory Board, issue shares in a specified aggregate nominal amount of up to 50% of the issued share capital of such company at the time the resolution becomes effective. The shareholders’ authorization becomes effective upon registration in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and may extend for a period of no more than five years thereafter. Under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hanging="4"/>
        <w:spacing w:after="0" w:line="263" w:lineRule="auto"/>
        <w:tabs>
          <w:tab w:leader="none" w:pos="2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4(5)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the Management Board is authorized to increase our share capital, on one or more occasions, by a total of up to €99,924,291.00 by issuing, on one or more occasions, up to 99,924,291 new, registered shares with no par value (</w:t>
      </w:r>
      <w:r>
        <w:rPr>
          <w:rFonts w:ascii="Arial" w:cs="Arial" w:eastAsia="Arial" w:hAnsi="Arial"/>
          <w:sz w:val="18"/>
          <w:szCs w:val="18"/>
          <w:i w:val="1"/>
          <w:iCs w:val="1"/>
          <w:color w:val="auto"/>
        </w:rPr>
        <w:t>Genehmigtes Kapital</w:t>
      </w:r>
      <w:r>
        <w:rPr>
          <w:rFonts w:ascii="Arial" w:cs="Arial" w:eastAsia="Arial" w:hAnsi="Arial"/>
          <w:sz w:val="18"/>
          <w:szCs w:val="18"/>
          <w:color w:val="auto"/>
        </w:rPr>
        <w:t>), in each case with consent of the Supervisory Board. This authorization expires on August 18, 2024.</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Any new shares issued from the authorized capital will participate in the profits starting with the fiscal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Pursuant to § 4(6)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our share capital is conditionally increased by €21,874,806.00 through issuance of new, registered shares with no par value (</w:t>
      </w:r>
      <w:r>
        <w:rPr>
          <w:rFonts w:ascii="Arial" w:cs="Arial" w:eastAsia="Arial" w:hAnsi="Arial"/>
          <w:sz w:val="17"/>
          <w:szCs w:val="17"/>
          <w:i w:val="1"/>
          <w:iCs w:val="1"/>
          <w:color w:val="auto"/>
        </w:rPr>
        <w:t>Bedingtes Kapital ESOP 2017/2019</w:t>
      </w:r>
      <w:r>
        <w:rPr>
          <w:rFonts w:ascii="Arial" w:cs="Arial" w:eastAsia="Arial" w:hAnsi="Arial"/>
          <w:sz w:val="17"/>
          <w:szCs w:val="17"/>
          <w:color w:val="auto"/>
        </w:rPr>
        <w:t>). The conditional capital may only be used to issue shares to the holders of option rights granted under our ESOP to members of our Management Board and to certain of our employees.</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conditional capital increase will only be implemented to the extent that stock options under our ESOP are exercised and said stock options are not serviced by our providing treasury shares or through cash payments. Any new shares issued under the conditional capital pursuant to the said § 4(6)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Pursuant to § 4(7) of our Articles of Association (</w:t>
      </w:r>
      <w:r>
        <w:rPr>
          <w:rFonts w:ascii="Arial" w:cs="Arial" w:eastAsia="Arial" w:hAnsi="Arial"/>
          <w:sz w:val="16"/>
          <w:szCs w:val="16"/>
          <w:i w:val="1"/>
          <w:iCs w:val="1"/>
          <w:color w:val="auto"/>
        </w:rPr>
        <w:t>Satzung</w:t>
      </w:r>
      <w:r>
        <w:rPr>
          <w:rFonts w:ascii="Arial" w:cs="Arial" w:eastAsia="Arial" w:hAnsi="Arial"/>
          <w:sz w:val="16"/>
          <w:szCs w:val="16"/>
          <w:color w:val="auto"/>
        </w:rPr>
        <w:t>), our share capital is conditionally increased by €87,499,260.00 through issuance of new, registered shares with no par value (</w:t>
      </w:r>
      <w:r>
        <w:rPr>
          <w:rFonts w:ascii="Arial" w:cs="Arial" w:eastAsia="Arial" w:hAnsi="Arial"/>
          <w:sz w:val="16"/>
          <w:szCs w:val="16"/>
          <w:i w:val="1"/>
          <w:iCs w:val="1"/>
          <w:color w:val="auto"/>
        </w:rPr>
        <w:t>Bedingtes Kapital WSV 2019</w:t>
      </w:r>
      <w:r>
        <w:rPr>
          <w:rFonts w:ascii="Arial" w:cs="Arial" w:eastAsia="Arial" w:hAnsi="Arial"/>
          <w:sz w:val="16"/>
          <w:szCs w:val="16"/>
          <w:color w:val="auto"/>
        </w:rPr>
        <w:t>). The conditional 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utilized for servicing.</w:t>
      </w:r>
    </w:p>
    <w:p>
      <w:pPr>
        <w:spacing w:after="0" w:line="16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Any new shares issued under the said conditional capital pursuant to the said § 4(7) of our Articles of Association shall carry an entitlement to dividends from the beginning of the financial year in which they are created; however, as far as the law permits, the Management Board can confer dividend rights for new shares in derogation of the foregoing.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18"/>
          <w:szCs w:val="18"/>
          <w:i w:val="1"/>
          <w:iCs w:val="1"/>
          <w:color w:val="auto"/>
        </w:rPr>
        <w:t>mittelbares Bezugsrecht</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Further, it is possible for a shareholder resolution approved by three-quarters of the share capital voting on the resolution to exclude preemptive rights both where the general meeting itself resolves that the new securities to be issued and in relation to the authorized capital, </w:t>
      </w:r>
      <w:r>
        <w:rPr>
          <w:rFonts w:ascii="Arial" w:cs="Arial" w:eastAsia="Arial" w:hAnsi="Arial"/>
          <w:sz w:val="18"/>
          <w:szCs w:val="18"/>
          <w:i w:val="1"/>
          <w:iCs w:val="1"/>
          <w:color w:val="auto"/>
        </w:rPr>
        <w:t>i.e.,</w:t>
      </w:r>
      <w:r>
        <w:rPr>
          <w:rFonts w:ascii="Arial" w:cs="Arial" w:eastAsia="Arial" w:hAnsi="Arial"/>
          <w:sz w:val="18"/>
          <w:szCs w:val="18"/>
          <w:color w:val="auto"/>
        </w:rPr>
        <w:t xml:space="preserve"> an authorization to the Management Board to, with the consent of the Supervisory Board, resolve on the issuance of new securities; provided, however, that in each case the exclusion or the authorization to so exclude preemptive rights, respectively, must be justified by specific facts, in accordance with established case law of the German Federal Court of Justice (</w:t>
      </w:r>
      <w:r>
        <w:rPr>
          <w:rFonts w:ascii="Arial" w:cs="Arial" w:eastAsia="Arial" w:hAnsi="Arial"/>
          <w:sz w:val="18"/>
          <w:szCs w:val="18"/>
          <w:i w:val="1"/>
          <w:iCs w:val="1"/>
          <w:color w:val="auto"/>
        </w:rPr>
        <w:t>BGH</w:t>
      </w:r>
      <w:r>
        <w:rPr>
          <w:rFonts w:ascii="Arial" w:cs="Arial" w:eastAsia="Arial" w:hAnsi="Arial"/>
          <w:sz w:val="18"/>
          <w:szCs w:val="18"/>
          <w:color w:val="auto"/>
        </w:rPr>
        <w:t>). The German Federal Court of Justice (</w:t>
      </w:r>
      <w:r>
        <w:rPr>
          <w:rFonts w:ascii="Arial" w:cs="Arial" w:eastAsia="Arial" w:hAnsi="Arial"/>
          <w:sz w:val="18"/>
          <w:szCs w:val="18"/>
          <w:i w:val="1"/>
          <w:iCs w:val="1"/>
          <w:color w:val="auto"/>
        </w:rPr>
        <w:t>BGH</w:t>
      </w:r>
      <w:r>
        <w:rPr>
          <w:rFonts w:ascii="Arial" w:cs="Arial" w:eastAsia="Arial" w:hAnsi="Arial"/>
          <w:sz w:val="18"/>
          <w:szCs w:val="18"/>
          <w:color w:val="auto"/>
        </w:rPr>
        <w:t>) considers the exclusion of subscription rights justified if it (i) serves a purpose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Accordingly, under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the Management Board may, with the consent of the Supervisory Board, exclude such preemptive rights in a capital increase from the authorized capital in the following circumstances:</w:t>
      </w:r>
    </w:p>
    <w:p>
      <w:pPr>
        <w:spacing w:after="0" w:line="76"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exclude fractional amounts from the subscription right;</w:t>
      </w:r>
    </w:p>
    <w:p>
      <w:pPr>
        <w:spacing w:after="0" w:line="130" w:lineRule="exact"/>
        <w:rPr>
          <w:rFonts w:ascii="Arial" w:cs="Arial" w:eastAsia="Arial" w:hAnsi="Arial"/>
          <w:sz w:val="18"/>
          <w:szCs w:val="18"/>
          <w:color w:val="auto"/>
        </w:rPr>
      </w:pPr>
    </w:p>
    <w:p>
      <w:pPr>
        <w:ind w:left="1080" w:right="280" w:hanging="424"/>
        <w:spacing w:after="0" w:line="287"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w:t>
      </w:r>
    </w:p>
    <w:p>
      <w:pPr>
        <w:spacing w:after="0" w:line="2" w:lineRule="exact"/>
        <w:rPr>
          <w:rFonts w:ascii="Arial" w:cs="Arial" w:eastAsia="Arial" w:hAnsi="Arial"/>
          <w:sz w:val="16"/>
          <w:szCs w:val="16"/>
          <w:color w:val="auto"/>
        </w:rPr>
      </w:pPr>
    </w:p>
    <w:p>
      <w:pPr>
        <w:jc w:val="both"/>
        <w:ind w:left="1080" w:right="160"/>
        <w:spacing w:after="0" w:line="281" w:lineRule="auto"/>
        <w:rPr>
          <w:rFonts w:ascii="Arial" w:cs="Arial" w:eastAsia="Arial" w:hAnsi="Arial"/>
          <w:sz w:val="16"/>
          <w:szCs w:val="16"/>
          <w:color w:val="auto"/>
        </w:rPr>
      </w:pPr>
      <w:r>
        <w:rPr>
          <w:rFonts w:ascii="Arial" w:cs="Arial" w:eastAsia="Arial" w:hAnsi="Arial"/>
          <w:sz w:val="16"/>
          <w:szCs w:val="16"/>
          <w:color w:val="auto"/>
        </w:rPr>
        <w:t>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w:t>
      </w:r>
    </w:p>
    <w:p>
      <w:pPr>
        <w:spacing w:after="0" w:line="1" w:lineRule="exact"/>
        <w:rPr>
          <w:rFonts w:ascii="Arial" w:cs="Arial" w:eastAsia="Arial" w:hAnsi="Arial"/>
          <w:sz w:val="16"/>
          <w:szCs w:val="16"/>
          <w:color w:val="auto"/>
        </w:rPr>
      </w:pPr>
    </w:p>
    <w:p>
      <w:pPr>
        <w:ind w:left="1080" w:right="100"/>
        <w:spacing w:after="0" w:line="253" w:lineRule="auto"/>
        <w:rPr>
          <w:rFonts w:ascii="Arial" w:cs="Arial" w:eastAsia="Arial" w:hAnsi="Arial"/>
          <w:sz w:val="16"/>
          <w:szCs w:val="16"/>
          <w:color w:val="auto"/>
        </w:rPr>
      </w:pPr>
      <w:r>
        <w:rPr>
          <w:rFonts w:ascii="Arial" w:cs="Arial" w:eastAsia="Arial" w:hAnsi="Arial"/>
          <w:sz w:val="18"/>
          <w:szCs w:val="18"/>
          <w:color w:val="auto"/>
        </w:rPr>
        <w:t>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96" w:lineRule="exact"/>
        <w:rPr>
          <w:rFonts w:ascii="Arial" w:cs="Arial" w:eastAsia="Arial" w:hAnsi="Arial"/>
          <w:sz w:val="16"/>
          <w:szCs w:val="16"/>
          <w:color w:val="auto"/>
        </w:rPr>
      </w:pPr>
    </w:p>
    <w:p>
      <w:pPr>
        <w:ind w:left="1080" w:right="380" w:hanging="424"/>
        <w:spacing w:after="0" w:line="342"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implement an election dividend by which shareholders are given the option to contribute their dividend entitlements (either in whole or part) as a contribution in kind against issuance of our new shares;</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case shares are to be issued to a member of our Management Board or to another person who is employed by us or one of our affiliates and a minimum holding period of at least one year and the obligation to transfer back the shares in the event that the beneficiary is not employed by us or one of our affiliated companies for the entire duration of the holding period or any other agreed period is agreed upon. Additional restrictions with regard to the shares issued may be agreed upon;</w:t>
      </w:r>
    </w:p>
    <w:p>
      <w:pPr>
        <w:spacing w:after="0" w:line="92"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after listing on Nasdaq, if excluding subscription rights, according to the written declaration of an internationally renowned investment bank,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such declaration, does not exceed the extent necessary for a successful placement; and</w:t>
      </w:r>
    </w:p>
    <w:p>
      <w:pPr>
        <w:spacing w:after="0" w:line="62"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total number of new shares issued from the authorized capital and under exclusion of subscription rights pursuant to bullets one through three and seven above may not exceed 20% of the share capital, either at the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this authorization becomes effective or, if lower, at the time it is utilized.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 authorization (except in the case of certain exceptions of the resolution to item no. 8 of the general meeting of August 19, 2019).</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With the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change to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resolved upon by our shareholders on June 26, 2020, the list of authorizations to exclude subscription rights would be modified as follows:</w:t>
      </w:r>
    </w:p>
    <w:p>
      <w:pPr>
        <w:spacing w:after="0" w:line="76"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second-to-last bullet of the list above would be deleted; and</w:t>
      </w:r>
    </w:p>
    <w:p>
      <w:pPr>
        <w:spacing w:after="0" w:line="130"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authorization would be added to exclude subscription rights in capital increases, in each case if excluding subscription rights, according to the assessment by the Management Board,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the assessment by the Management Board, does not exceed the extent necessary for a successful placement and in any case does not exceed 10% of either the latest available closing price at the time when the issue price is fixed or the volume-weighted average price over a period of up to five trading days ending on the day on which the issue price is so fixed.</w:t>
      </w:r>
    </w:p>
    <w:p>
      <w:pPr>
        <w:spacing w:after="0" w:line="19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For the purposes of limiting the amount of shares to be issued under exclusion of subscription rights to 20% (as described above), this newly introduced authorization would, effective upon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replace the one that will be deleted. Also, in order to calculate the actual maximum number of shares in this regard (as described above), the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would no longer reference the share capital at the time the authorization originally came into effect, but the share capital at the time this amendment to the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resolved upon by the general meeting of June 26, 2020, will come into effect by way of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Purpose of our Company</w:t>
      </w:r>
    </w:p>
    <w:p>
      <w:pPr>
        <w:spacing w:after="0" w:line="12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business objective, as described in § 2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is to research and develop, as well as to manufacture and market immunological and RNA-based drugs and test methods for the diagnosis, prevention and treatment of cancer, infectious diseases and other serious diseases.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Voting Rights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shareholders’ meetings may be held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€500,000.00 may request the addition of one or several items to the agenda of any shareholders’ meeting. Shareholders’ meetings may be summoned either via publication in the German Federal Gazette (</w:t>
      </w:r>
      <w:r>
        <w:rPr>
          <w:rFonts w:ascii="Arial" w:cs="Arial" w:eastAsia="Arial" w:hAnsi="Arial"/>
          <w:sz w:val="18"/>
          <w:szCs w:val="18"/>
          <w:i w:val="1"/>
          <w:iCs w:val="1"/>
          <w:color w:val="auto"/>
        </w:rPr>
        <w:t>Bundesanzeiger</w:t>
      </w:r>
      <w:r>
        <w:rPr>
          <w:rFonts w:ascii="Arial" w:cs="Arial" w:eastAsia="Arial" w:hAnsi="Arial"/>
          <w:sz w:val="18"/>
          <w:szCs w:val="18"/>
          <w:color w:val="auto"/>
        </w:rPr>
        <w:t>) or via mail or (after the pertinent amendment of our articles of association resolved upon by our annual general meeting of 2020 becoming effective) even via email, in each case generally at least 36 days before the meeting.</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Shareholders may participate in and vote in the shareholders’ meeting if they are registered as a shareholder with the Company’s share register. A shareholder who wishes to attend the shareholders’ meeting—either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person or by proxy, which may also be appointed by us (</w:t>
      </w:r>
      <w:r>
        <w:rPr>
          <w:rFonts w:ascii="Arial" w:cs="Arial" w:eastAsia="Arial" w:hAnsi="Arial"/>
          <w:sz w:val="18"/>
          <w:szCs w:val="18"/>
          <w:i w:val="1"/>
          <w:iCs w:val="1"/>
          <w:color w:val="auto"/>
        </w:rPr>
        <w:t>Stimmrechtsvertreter</w:t>
      </w:r>
      <w:r>
        <w:rPr>
          <w:rFonts w:ascii="Arial" w:cs="Arial" w:eastAsia="Arial" w:hAnsi="Arial"/>
          <w:sz w:val="18"/>
          <w:szCs w:val="18"/>
          <w:color w:val="auto"/>
        </w:rPr>
        <w:t>)—must register for the meeting, which registration must occur no later than six days before the meeting (or at a later date, if so determined by our Management Board).</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Each share carries one vote at a shareholders’ meeting. Resolutions are, in accordance with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Claims against Directors and Shareholders’ Derivative Actions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the company is unable to fulfill its third-party obligations, the company’s creditors may pursue the company’s damage claims against members of the Management Board for certain wrongdoings.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Under German law, distributions of dividends on shares for a given fiscal year are generally determined by a process in which the Management Board and Supervisory Board submit a proposal to the company’s annual general shareholders’ meeting held in the subsequent fiscal year and such annual general shareholders’ meeting adopts a resolution.</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Authorization to Purchase and Sell Our Own Shares</w:t>
      </w:r>
    </w:p>
    <w:p>
      <w:pPr>
        <w:spacing w:after="0" w:line="12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may not purchase our own shares unless authorized by the shareholders’ meeting or in other very limited circumstances as set out in the German Stock Corporation Act. The Company’s shareholders’ meeting held on August 19, 2019 authorized the Management Board until August 18, 2024,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Squeeze-Out of Minority Shareholders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8"/>
          <w:szCs w:val="18"/>
          <w:i w:val="1"/>
          <w:iCs w:val="1"/>
          <w:color w:val="auto"/>
        </w:rPr>
        <w:t>Ausschluss von Minderheitsaktionären</w:t>
      </w:r>
      <w:r>
        <w:rPr>
          <w:rFonts w:ascii="Arial" w:cs="Arial" w:eastAsia="Arial" w:hAnsi="Arial"/>
          <w:sz w:val="18"/>
          <w:szCs w:val="18"/>
          <w:color w:val="auto"/>
        </w:rPr>
        <w:t>). This amount must take into account the full value of the company at the time of the resolution, which is generally determined using the future earnings value method (</w:t>
      </w:r>
      <w:r>
        <w:rPr>
          <w:rFonts w:ascii="Arial" w:cs="Arial" w:eastAsia="Arial" w:hAnsi="Arial"/>
          <w:sz w:val="18"/>
          <w:szCs w:val="18"/>
          <w:i w:val="1"/>
          <w:iCs w:val="1"/>
          <w:color w:val="auto"/>
        </w:rPr>
        <w:t>Ertragswertmethode</w:t>
      </w:r>
      <w:r>
        <w:rPr>
          <w:rFonts w:ascii="Arial" w:cs="Arial" w:eastAsia="Arial" w:hAnsi="Arial"/>
          <w:sz w:val="18"/>
          <w:szCs w:val="18"/>
          <w:color w:val="auto"/>
        </w:rPr>
        <w:t>).</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squeeze-out in the context of a merger (</w:t>
      </w:r>
      <w:r>
        <w:rPr>
          <w:rFonts w:ascii="Arial" w:cs="Arial" w:eastAsia="Arial" w:hAnsi="Arial"/>
          <w:sz w:val="18"/>
          <w:szCs w:val="18"/>
          <w:i w:val="1"/>
          <w:iCs w:val="1"/>
          <w:color w:val="auto"/>
        </w:rPr>
        <w:t>umwandlungsrechtlicher Squeeze-Out</w:t>
      </w:r>
      <w:r>
        <w:rPr>
          <w:rFonts w:ascii="Arial" w:cs="Arial" w:eastAsia="Arial" w:hAnsi="Arial"/>
          <w:sz w:val="18"/>
          <w:szCs w:val="18"/>
          <w:color w:val="auto"/>
        </w:rPr>
        <w:t>) only requires a majority shareholder to hold at least 90% of the share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59" w:right="51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440" w:type="dxa"/>
            <w:vAlign w:val="bottom"/>
            <w:vMerge w:val="restart"/>
          </w:tcPr>
          <w:p>
            <w:pPr>
              <w:spacing w:after="0"/>
              <w:rPr>
                <w:sz w:val="20"/>
                <w:szCs w:val="20"/>
                <w:color w:val="auto"/>
              </w:rPr>
            </w:pPr>
            <w:r>
              <w:rPr>
                <w:rFonts w:ascii="Arial" w:cs="Arial" w:eastAsia="Arial" w:hAnsi="Arial"/>
                <w:sz w:val="18"/>
                <w:szCs w:val="18"/>
                <w:color w:val="auto"/>
              </w:rPr>
              <w:t>Board System</w:t>
            </w: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European Union/Federal Republic of Germany</w:t>
            </w:r>
          </w:p>
        </w:tc>
        <w:tc>
          <w:tcPr>
            <w:tcW w:w="0" w:type="dxa"/>
            <w:vAlign w:val="bottom"/>
          </w:tcPr>
          <w:p>
            <w:pPr>
              <w:spacing w:after="0"/>
              <w:rPr>
                <w:sz w:val="1"/>
                <w:szCs w:val="1"/>
                <w:color w:val="auto"/>
              </w:rPr>
            </w:pPr>
          </w:p>
        </w:tc>
      </w:tr>
      <w:tr>
        <w:trPr>
          <w:trHeight w:val="195"/>
        </w:trPr>
        <w:tc>
          <w:tcPr>
            <w:tcW w:w="2440" w:type="dxa"/>
            <w:vAlign w:val="bottom"/>
            <w:vMerge w:val="continue"/>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0"/>
              </w:rPr>
              <w:t>A European stock corporation may choose to have a two-tier</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board structure composed of the Management Board</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Vorstand</w:t>
            </w:r>
            <w:r>
              <w:rPr>
                <w:rFonts w:ascii="Arial" w:cs="Arial" w:eastAsia="Arial" w:hAnsi="Arial"/>
                <w:sz w:val="18"/>
                <w:szCs w:val="18"/>
                <w:color w:val="auto"/>
                <w:w w:val="97"/>
              </w:rPr>
              <w:t>) and the Supervisory Board (</w:t>
            </w:r>
            <w:r>
              <w:rPr>
                <w:rFonts w:ascii="Arial" w:cs="Arial" w:eastAsia="Arial" w:hAnsi="Arial"/>
                <w:sz w:val="18"/>
                <w:szCs w:val="18"/>
                <w:i w:val="1"/>
                <w:iCs w:val="1"/>
                <w:color w:val="auto"/>
                <w:w w:val="97"/>
              </w:rPr>
              <w:t>Aufsichtsrat</w:t>
            </w:r>
            <w:r>
              <w:rPr>
                <w:rFonts w:ascii="Arial" w:cs="Arial" w:eastAsia="Arial" w:hAnsi="Arial"/>
                <w:sz w:val="18"/>
                <w:szCs w:val="18"/>
                <w:color w:val="auto"/>
                <w:w w:val="97"/>
              </w:rPr>
              <w:t>). We</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have chosen this structure.</w:t>
            </w:r>
          </w:p>
        </w:tc>
        <w:tc>
          <w:tcPr>
            <w:tcW w:w="0" w:type="dxa"/>
            <w:vAlign w:val="bottom"/>
          </w:tcPr>
          <w:p>
            <w:pPr>
              <w:spacing w:after="0"/>
              <w:rPr>
                <w:sz w:val="1"/>
                <w:szCs w:val="1"/>
                <w:color w:val="auto"/>
              </w:rPr>
            </w:pPr>
          </w:p>
        </w:tc>
      </w:tr>
      <w:tr>
        <w:trPr>
          <w:trHeight w:val="323"/>
        </w:trPr>
        <w:tc>
          <w:tcPr>
            <w:tcW w:w="2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Management Board is responsible for running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company’s affairs and representing the company in dealings</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with third parties.</w:t>
            </w:r>
          </w:p>
        </w:tc>
        <w:tc>
          <w:tcPr>
            <w:tcW w:w="0" w:type="dxa"/>
            <w:vAlign w:val="bottom"/>
          </w:tcPr>
          <w:p>
            <w:pPr>
              <w:spacing w:after="0"/>
              <w:rPr>
                <w:sz w:val="1"/>
                <w:szCs w:val="1"/>
                <w:color w:val="auto"/>
              </w:rPr>
            </w:pPr>
          </w:p>
        </w:tc>
      </w:tr>
      <w:tr>
        <w:trPr>
          <w:trHeight w:val="323"/>
        </w:trPr>
        <w:tc>
          <w:tcPr>
            <w:tcW w:w="2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8"/>
              </w:rPr>
              <w:t>The Supervisory Board of a European stock corporation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under German law has a control and supervisory function.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Supervisory Board does not actively manage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company but certain Management Board actions require the</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Management is responsible for running the corporation and overseeing its day-to-day operations.</w:t>
      </w:r>
    </w:p>
    <w:p>
      <w:pPr>
        <w:spacing w:after="0" w:line="1230" w:lineRule="exact"/>
        <w:rPr>
          <w:sz w:val="20"/>
          <w:szCs w:val="20"/>
          <w:color w:val="auto"/>
        </w:rPr>
      </w:pPr>
    </w:p>
    <w:p>
      <w:pPr>
        <w:sectPr>
          <w:pgSz w:w="11900" w:h="16838" w:orient="portrait"/>
          <w:cols w:equalWidth="0" w:num="2">
            <w:col w:w="6960" w:space="100"/>
            <w:col w:w="4000"/>
          </w:cols>
          <w:pgMar w:left="320" w:top="459" w:right="51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Appointment and</w:t>
      </w:r>
      <w:r>
        <w:rPr>
          <w:sz w:val="20"/>
          <w:szCs w:val="20"/>
          <w:color w:val="auto"/>
        </w:rPr>
        <w:tab/>
      </w:r>
      <w:r>
        <w:rPr>
          <w:rFonts w:ascii="Arial" w:cs="Arial" w:eastAsia="Arial" w:hAnsi="Arial"/>
          <w:sz w:val="16"/>
          <w:szCs w:val="16"/>
          <w:color w:val="auto"/>
        </w:rPr>
        <w:t>Under applicable European and German law, a European</w:t>
      </w:r>
    </w:p>
    <w:p>
      <w:pPr>
        <w:spacing w:after="0" w:line="2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Number of Directors</w:t>
      </w:r>
      <w:r>
        <w:rPr>
          <w:sz w:val="20"/>
          <w:szCs w:val="20"/>
          <w:color w:val="auto"/>
        </w:rPr>
        <w:tab/>
      </w:r>
      <w:r>
        <w:rPr>
          <w:rFonts w:ascii="Arial" w:cs="Arial" w:eastAsia="Arial" w:hAnsi="Arial"/>
          <w:sz w:val="16"/>
          <w:szCs w:val="16"/>
          <w:color w:val="auto"/>
        </w:rPr>
        <w:t>stock corporation governed by German law with a share</w:t>
      </w:r>
    </w:p>
    <w:p>
      <w:pPr>
        <w:spacing w:after="0" w:line="9" w:lineRule="exact"/>
        <w:rPr>
          <w:sz w:val="20"/>
          <w:szCs w:val="20"/>
          <w:color w:val="auto"/>
        </w:rPr>
      </w:pPr>
    </w:p>
    <w:p>
      <w:pPr>
        <w:ind w:left="2560"/>
        <w:spacing w:after="0" w:line="273" w:lineRule="auto"/>
        <w:rPr>
          <w:sz w:val="20"/>
          <w:szCs w:val="20"/>
          <w:color w:val="auto"/>
        </w:rPr>
      </w:pPr>
      <w:r>
        <w:rPr>
          <w:rFonts w:ascii="Arial" w:cs="Arial" w:eastAsia="Arial" w:hAnsi="Arial"/>
          <w:sz w:val="17"/>
          <w:szCs w:val="17"/>
          <w:color w:val="auto"/>
        </w:rPr>
        <w:t>capital of at least €3 million generally must have at least two members on its Management Board and the number of members shall be determined by or in the manner provided in the company’s articles of association.</w:t>
      </w:r>
    </w:p>
    <w:p>
      <w:pPr>
        <w:spacing w:after="0" w:line="68" w:lineRule="exact"/>
        <w:rPr>
          <w:sz w:val="20"/>
          <w:szCs w:val="20"/>
          <w:color w:val="auto"/>
        </w:rPr>
      </w:pPr>
    </w:p>
    <w:p>
      <w:pPr>
        <w:ind w:left="2560" w:right="160"/>
        <w:spacing w:after="0" w:line="254" w:lineRule="auto"/>
        <w:rPr>
          <w:sz w:val="20"/>
          <w:szCs w:val="20"/>
          <w:color w:val="auto"/>
        </w:rPr>
      </w:pPr>
      <w:r>
        <w:rPr>
          <w:rFonts w:ascii="Arial" w:cs="Arial" w:eastAsia="Arial" w:hAnsi="Arial"/>
          <w:sz w:val="18"/>
          <w:szCs w:val="18"/>
          <w:color w:val="auto"/>
        </w:rPr>
        <w:t>The Supervisory Board must consist of at least three but— depending on the share capital—no more than 21 Supervisory Board members, whereby the number of Supervisory Board members must be divisible by three if this is necessary for the fulfilment of co-determination requirements. The articles of association of the company must specify if the Supervisory Board has more than three members.</w:t>
      </w:r>
    </w:p>
    <w:p>
      <w:pPr>
        <w:spacing w:after="0" w:line="97" w:lineRule="exact"/>
        <w:rPr>
          <w:sz w:val="20"/>
          <w:szCs w:val="20"/>
          <w:color w:val="auto"/>
        </w:rPr>
      </w:pPr>
    </w:p>
    <w:p>
      <w:pPr>
        <w:ind w:left="2560" w:right="120"/>
        <w:spacing w:after="0" w:line="288" w:lineRule="auto"/>
        <w:rPr>
          <w:sz w:val="20"/>
          <w:szCs w:val="20"/>
          <w:color w:val="auto"/>
        </w:rPr>
      </w:pPr>
      <w:r>
        <w:rPr>
          <w:rFonts w:ascii="Arial" w:cs="Arial" w:eastAsia="Arial" w:hAnsi="Arial"/>
          <w:sz w:val="16"/>
          <w:szCs w:val="16"/>
          <w:color w:val="auto"/>
        </w:rPr>
        <w:t>Supervisory Board members are either appointed by the shareholders’ meeting or delegated by one or more individual shareholders if so provided for in the company’s articles of association. If the Supervisory Board consists of fewer members than is required to meet the quorum for resolutions (either statutory or pursuant to the company’s articles of association), a competent court may appoint additional members as needed to meet the quorum. The provisions of German law in relation to employees’ co-determination do not apply to the Company.</w:t>
      </w:r>
    </w:p>
    <w:p>
      <w:pPr>
        <w:spacing w:after="0" w:line="1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br w:type="column"/>
      </w:r>
    </w:p>
    <w:p>
      <w:pPr>
        <w:jc w:val="both"/>
        <w:ind w:right="80"/>
        <w:spacing w:after="0" w:line="286"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w:t>
      </w:r>
    </w:p>
    <w:p>
      <w:pPr>
        <w:sectPr>
          <w:pgSz w:w="11900" w:h="16838" w:orient="portrait"/>
          <w:cols w:equalWidth="0" w:num="2">
            <w:col w:w="6940" w:space="120"/>
            <w:col w:w="4000"/>
          </w:cols>
          <w:pgMar w:left="320" w:top="459" w:right="519" w:bottom="1440" w:gutter="0" w:footer="0" w:header="0"/>
          <w:type w:val="continuous"/>
        </w:sectPr>
      </w:pPr>
    </w:p>
    <w:bookmarkStart w:id="216" w:name="page217"/>
    <w:bookmarkEnd w:id="2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440" w:type="dxa"/>
            <w:vAlign w:val="bottom"/>
            <w:vMerge w:val="restart"/>
          </w:tcPr>
          <w:p>
            <w:pPr>
              <w:spacing w:after="0"/>
              <w:rPr>
                <w:sz w:val="20"/>
                <w:szCs w:val="20"/>
                <w:color w:val="auto"/>
              </w:rPr>
            </w:pPr>
            <w:r>
              <w:rPr>
                <w:rFonts w:ascii="Arial" w:cs="Arial" w:eastAsia="Arial" w:hAnsi="Arial"/>
                <w:sz w:val="18"/>
                <w:szCs w:val="18"/>
                <w:color w:val="auto"/>
              </w:rPr>
              <w:t>Removal of Directors</w:t>
            </w: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European Union/Federal Republic of Germany</w:t>
            </w:r>
          </w:p>
        </w:tc>
        <w:tc>
          <w:tcPr>
            <w:tcW w:w="0" w:type="dxa"/>
            <w:vAlign w:val="bottom"/>
          </w:tcPr>
          <w:p>
            <w:pPr>
              <w:spacing w:after="0"/>
              <w:rPr>
                <w:sz w:val="1"/>
                <w:szCs w:val="1"/>
                <w:color w:val="auto"/>
              </w:rPr>
            </w:pPr>
          </w:p>
        </w:tc>
      </w:tr>
      <w:tr>
        <w:trPr>
          <w:trHeight w:val="195"/>
        </w:trPr>
        <w:tc>
          <w:tcPr>
            <w:tcW w:w="2440" w:type="dxa"/>
            <w:vAlign w:val="bottom"/>
            <w:vMerge w:val="continue"/>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6"/>
              </w:rPr>
              <w:t>Members of the Management Board of a European stock</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corporation are appointed by the Supervisory Board for a</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maximum period of six years with an opportunity to be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reelected. The articles of association may provide for a</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shorter term, which in our case is up to five years.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members of the Management Board may be reelected, even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89"/>
              </w:rPr>
              <w:t>repeatedly. The Supervisory Board may remove a member of</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the Management Board prior to the expiration of his or her</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term only for cause, such as gross breach of duties (</w:t>
            </w:r>
            <w:r>
              <w:rPr>
                <w:rFonts w:ascii="Arial" w:cs="Arial" w:eastAsia="Arial" w:hAnsi="Arial"/>
                <w:sz w:val="18"/>
                <w:szCs w:val="18"/>
                <w:i w:val="1"/>
                <w:iCs w:val="1"/>
                <w:color w:val="auto"/>
                <w:w w:val="94"/>
              </w:rPr>
              <w:t>grobe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i w:val="1"/>
                <w:iCs w:val="1"/>
                <w:color w:val="auto"/>
              </w:rPr>
              <w:t>Pflichtverletzung</w:t>
            </w:r>
            <w:r>
              <w:rPr>
                <w:rFonts w:ascii="Arial" w:cs="Arial" w:eastAsia="Arial" w:hAnsi="Arial"/>
                <w:sz w:val="18"/>
                <w:szCs w:val="18"/>
                <w:color w:val="auto"/>
              </w:rPr>
              <w:t>), the inability to manage the business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properly (</w:t>
            </w:r>
            <w:r>
              <w:rPr>
                <w:rFonts w:ascii="Arial" w:cs="Arial" w:eastAsia="Arial" w:hAnsi="Arial"/>
                <w:sz w:val="18"/>
                <w:szCs w:val="18"/>
                <w:i w:val="1"/>
                <w:iCs w:val="1"/>
                <w:color w:val="auto"/>
              </w:rPr>
              <w:t>Unfähigkeit zur ordnungsgemäßen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i w:val="1"/>
                <w:iCs w:val="1"/>
                <w:color w:val="auto"/>
              </w:rPr>
              <w:t>Pflichtausübung</w:t>
            </w:r>
            <w:r>
              <w:rPr>
                <w:rFonts w:ascii="Arial" w:cs="Arial" w:eastAsia="Arial" w:hAnsi="Arial"/>
                <w:sz w:val="18"/>
                <w:szCs w:val="18"/>
                <w:color w:val="auto"/>
              </w:rPr>
              <w:t>) or a vote of no-confidence during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shareholders’ meeting (</w:t>
            </w:r>
            <w:r>
              <w:rPr>
                <w:rFonts w:ascii="Arial" w:cs="Arial" w:eastAsia="Arial" w:hAnsi="Arial"/>
                <w:sz w:val="18"/>
                <w:szCs w:val="18"/>
                <w:i w:val="1"/>
                <w:iCs w:val="1"/>
                <w:color w:val="auto"/>
                <w:w w:val="90"/>
              </w:rPr>
              <w:t>Vertrauensentzug</w:t>
            </w:r>
            <w:r>
              <w:rPr>
                <w:rFonts w:ascii="Arial" w:cs="Arial" w:eastAsia="Arial" w:hAnsi="Arial"/>
                <w:sz w:val="18"/>
                <w:szCs w:val="18"/>
                <w:color w:val="auto"/>
                <w:w w:val="90"/>
              </w:rPr>
              <w:t>). The shareholders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themselves are not entitled to appoint or dismiss the</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members of the Management Board.</w:t>
            </w:r>
          </w:p>
        </w:tc>
        <w:tc>
          <w:tcPr>
            <w:tcW w:w="0" w:type="dxa"/>
            <w:vAlign w:val="bottom"/>
          </w:tcPr>
          <w:p>
            <w:pPr>
              <w:spacing w:after="0"/>
              <w:rPr>
                <w:sz w:val="1"/>
                <w:szCs w:val="1"/>
                <w:color w:val="auto"/>
              </w:rPr>
            </w:pPr>
          </w:p>
        </w:tc>
      </w:tr>
      <w:tr>
        <w:trPr>
          <w:trHeight w:val="310"/>
        </w:trPr>
        <w:tc>
          <w:tcPr>
            <w:tcW w:w="2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Under European law, a member of the Supervisory Board of</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a company may be elected for a term of up to six years.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articles of association may provide for a shorter term. Our</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Supervisory Board members are, if the general meeting does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not resolve on a shorter term, elected for a period up to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end of the general meeting deciding on the discharge for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2"/>
              </w:rPr>
              <w:t>fourth financial year after the election. Reelection, including</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repeated reelection, is permissible. Members of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Supervisory Board may be removed with or without cause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by way of a general meeting resolution, with the applicable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majority requirement depending on the relevant company’s</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articles of association.</w:t>
            </w:r>
          </w:p>
        </w:tc>
        <w:tc>
          <w:tcPr>
            <w:tcW w:w="0" w:type="dxa"/>
            <w:vAlign w:val="bottom"/>
          </w:tcPr>
          <w:p>
            <w:pPr>
              <w:spacing w:after="0"/>
              <w:rPr>
                <w:sz w:val="1"/>
                <w:szCs w:val="1"/>
                <w:color w:val="auto"/>
              </w:rPr>
            </w:pP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Vacancies on the</w:t>
            </w:r>
          </w:p>
        </w:tc>
        <w:tc>
          <w:tcPr>
            <w:tcW w:w="4400" w:type="dxa"/>
            <w:vAlign w:val="bottom"/>
          </w:tcPr>
          <w:p>
            <w:pPr>
              <w:spacing w:after="0"/>
              <w:rPr>
                <w:sz w:val="20"/>
                <w:szCs w:val="20"/>
                <w:color w:val="auto"/>
              </w:rPr>
            </w:pPr>
            <w:r>
              <w:rPr>
                <w:rFonts w:ascii="Arial" w:cs="Arial" w:eastAsia="Arial" w:hAnsi="Arial"/>
                <w:sz w:val="18"/>
                <w:szCs w:val="18"/>
                <w:color w:val="auto"/>
                <w:w w:val="93"/>
              </w:rPr>
              <w:t>Under the law, vacant positions on the Management Board</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Board of Directors</w:t>
            </w:r>
          </w:p>
        </w:tc>
        <w:tc>
          <w:tcPr>
            <w:tcW w:w="4400" w:type="dxa"/>
            <w:vAlign w:val="bottom"/>
          </w:tcPr>
          <w:p>
            <w:pPr>
              <w:spacing w:after="0"/>
              <w:rPr>
                <w:sz w:val="20"/>
                <w:szCs w:val="20"/>
                <w:color w:val="auto"/>
              </w:rPr>
            </w:pPr>
            <w:r>
              <w:rPr>
                <w:rFonts w:ascii="Arial" w:cs="Arial" w:eastAsia="Arial" w:hAnsi="Arial"/>
                <w:sz w:val="18"/>
                <w:szCs w:val="18"/>
                <w:color w:val="auto"/>
                <w:w w:val="95"/>
              </w:rPr>
              <w:t>are filled by the Supervisory Board in accordance with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general rules of appointment, which provide that vacancies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are filled by the simple majority of votes of Supervisory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Board members present or represented by proxy at the vote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(with, under certain circumstances, the chairman having a</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casting vote), unless otherwise provided by the company’s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8"/>
              </w:rPr>
              <w:t>articles of association. In case of emergencies, a vacant</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position on the Management Board</w:t>
            </w:r>
          </w:p>
        </w:tc>
        <w:tc>
          <w:tcPr>
            <w:tcW w:w="0" w:type="dxa"/>
            <w:vAlign w:val="bottom"/>
          </w:tcPr>
          <w:p>
            <w:pPr>
              <w:spacing w:after="0"/>
              <w:rPr>
                <w:sz w:val="1"/>
                <w:szCs w:val="1"/>
                <w:color w:val="auto"/>
              </w:rPr>
            </w:pPr>
          </w:p>
        </w:tc>
      </w:tr>
      <w:tr>
        <w:trPr>
          <w:trHeight w:val="365"/>
        </w:trPr>
        <w:tc>
          <w:tcPr>
            <w:tcW w:w="2440" w:type="dxa"/>
            <w:vAlign w:val="bottom"/>
          </w:tcPr>
          <w:p>
            <w:pPr>
              <w:spacing w:after="0"/>
              <w:rPr>
                <w:sz w:val="24"/>
                <w:szCs w:val="24"/>
                <w:color w:val="auto"/>
              </w:rPr>
            </w:pPr>
          </w:p>
        </w:tc>
        <w:tc>
          <w:tcPr>
            <w:tcW w:w="4400" w:type="dxa"/>
            <w:vAlign w:val="bottom"/>
          </w:tcPr>
          <w:p>
            <w:pPr>
              <w:ind w:left="29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w:t>
      </w:r>
    </w:p>
    <w:p>
      <w:pPr>
        <w:sectPr>
          <w:pgSz w:w="11900" w:h="16838" w:orient="portrait"/>
          <w:cols w:equalWidth="0" w:num="2">
            <w:col w:w="6960" w:space="100"/>
            <w:col w:w="4080"/>
          </w:cols>
          <w:pgMar w:left="320" w:top="459" w:right="439" w:bottom="1440" w:gutter="0" w:footer="0" w:header="0"/>
          <w:type w:val="continuous"/>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27946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may be filled by an individual appointed by the court.</w:t>
      </w:r>
    </w:p>
    <w:p>
      <w:pPr>
        <w:spacing w:after="0" w:line="151" w:lineRule="exact"/>
        <w:rPr>
          <w:sz w:val="20"/>
          <w:szCs w:val="20"/>
          <w:color w:val="auto"/>
        </w:rPr>
      </w:pPr>
    </w:p>
    <w:p>
      <w:pPr>
        <w:ind w:left="2560"/>
        <w:spacing w:after="0" w:line="342" w:lineRule="auto"/>
        <w:rPr>
          <w:sz w:val="20"/>
          <w:szCs w:val="20"/>
          <w:color w:val="auto"/>
        </w:rPr>
      </w:pPr>
      <w:r>
        <w:rPr>
          <w:rFonts w:ascii="Arial" w:cs="Arial" w:eastAsia="Arial" w:hAnsi="Arial"/>
          <w:sz w:val="16"/>
          <w:szCs w:val="16"/>
          <w:color w:val="auto"/>
        </w:rPr>
        <w:t>Vacant positions on the Supervisory Board are filled in accordance with the general rules of appointment.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remaining director elected by such class, will fill such vacancy.</w:t>
      </w:r>
    </w:p>
    <w:p>
      <w:pPr>
        <w:spacing w:after="0" w:line="415" w:lineRule="exact"/>
        <w:rPr>
          <w:sz w:val="20"/>
          <w:szCs w:val="20"/>
          <w:color w:val="auto"/>
        </w:rPr>
      </w:pPr>
    </w:p>
    <w:p>
      <w:pPr>
        <w:sectPr>
          <w:pgSz w:w="11900" w:h="16838" w:orient="portrait"/>
          <w:cols w:equalWidth="0" w:num="2">
            <w:col w:w="6500" w:space="560"/>
            <w:col w:w="4080"/>
          </w:cols>
          <w:pgMar w:left="320" w:top="459" w:right="43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6"/>
          <w:szCs w:val="16"/>
          <w:color w:val="auto"/>
        </w:rPr>
        <w:t>A European stock corporation which is governed by German</w:t>
      </w:r>
    </w:p>
    <w:p>
      <w:pPr>
        <w:spacing w:after="0" w:line="23" w:lineRule="exact"/>
        <w:rPr>
          <w:sz w:val="20"/>
          <w:szCs w:val="20"/>
          <w:color w:val="auto"/>
        </w:rPr>
      </w:pPr>
    </w:p>
    <w:p>
      <w:pPr>
        <w:ind w:left="2560"/>
        <w:spacing w:after="0" w:line="288" w:lineRule="auto"/>
        <w:rPr>
          <w:sz w:val="20"/>
          <w:szCs w:val="20"/>
          <w:color w:val="auto"/>
        </w:rPr>
      </w:pPr>
      <w:r>
        <w:rPr>
          <w:rFonts w:ascii="Arial" w:cs="Arial" w:eastAsia="Arial" w:hAnsi="Arial"/>
          <w:sz w:val="16"/>
          <w:szCs w:val="16"/>
          <w:color w:val="auto"/>
        </w:rPr>
        <w:t>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w:t>
      </w:r>
    </w:p>
    <w:p>
      <w:pPr>
        <w:spacing w:after="0" w:line="60"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6"/>
          <w:szCs w:val="16"/>
          <w:color w:val="auto"/>
        </w:rPr>
        <w:t>Under the law, extraordinary shareholders’ meetings, in</w:t>
      </w:r>
    </w:p>
    <w:p>
      <w:pPr>
        <w:spacing w:after="0" w:line="23" w:lineRule="exact"/>
        <w:rPr>
          <w:sz w:val="20"/>
          <w:szCs w:val="20"/>
          <w:color w:val="auto"/>
        </w:rPr>
      </w:pPr>
    </w:p>
    <w:p>
      <w:pPr>
        <w:ind w:left="2560" w:right="40"/>
        <w:spacing w:after="0" w:line="268" w:lineRule="auto"/>
        <w:rPr>
          <w:sz w:val="20"/>
          <w:szCs w:val="20"/>
          <w:color w:val="auto"/>
        </w:rPr>
      </w:pPr>
      <w:r>
        <w:rPr>
          <w:rFonts w:ascii="Arial" w:cs="Arial" w:eastAsia="Arial" w:hAnsi="Arial"/>
          <w:sz w:val="17"/>
          <w:szCs w:val="17"/>
          <w:color w:val="auto"/>
        </w:rPr>
        <w:t>addition to the annual shareholders’ meetings, may be called by either the Management Board, or by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7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Notice of General</w:t>
      </w:r>
      <w:r>
        <w:rPr>
          <w:sz w:val="20"/>
          <w:szCs w:val="20"/>
          <w:color w:val="auto"/>
        </w:rPr>
        <w:tab/>
      </w:r>
      <w:r>
        <w:rPr>
          <w:rFonts w:ascii="Arial" w:cs="Arial" w:eastAsia="Arial" w:hAnsi="Arial"/>
          <w:sz w:val="16"/>
          <w:szCs w:val="16"/>
          <w:color w:val="auto"/>
        </w:rPr>
        <w:t>Under applicable European and German law, unless a longer</w:t>
      </w:r>
    </w:p>
    <w:p>
      <w:pPr>
        <w:spacing w:after="0" w:line="2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6"/>
          <w:szCs w:val="16"/>
          <w:color w:val="auto"/>
        </w:rPr>
        <w:t>Meetings</w:t>
      </w:r>
      <w:r>
        <w:rPr>
          <w:sz w:val="20"/>
          <w:szCs w:val="20"/>
          <w:color w:val="auto"/>
        </w:rPr>
        <w:tab/>
      </w:r>
      <w:r>
        <w:rPr>
          <w:rFonts w:ascii="Arial" w:cs="Arial" w:eastAsia="Arial" w:hAnsi="Arial"/>
          <w:sz w:val="16"/>
          <w:szCs w:val="16"/>
          <w:color w:val="auto"/>
        </w:rPr>
        <w:t>period is otherwise provided for in the articles of association</w:t>
      </w:r>
    </w:p>
    <w:p>
      <w:pPr>
        <w:spacing w:after="0" w:line="32" w:lineRule="exact"/>
        <w:rPr>
          <w:sz w:val="20"/>
          <w:szCs w:val="20"/>
          <w:color w:val="auto"/>
        </w:rPr>
      </w:pPr>
    </w:p>
    <w:p>
      <w:pPr>
        <w:ind w:left="2560" w:right="60"/>
        <w:spacing w:after="0" w:line="286" w:lineRule="auto"/>
        <w:rPr>
          <w:sz w:val="20"/>
          <w:szCs w:val="20"/>
          <w:color w:val="auto"/>
        </w:rPr>
      </w:pPr>
      <w:r>
        <w:rPr>
          <w:rFonts w:ascii="Arial" w:cs="Arial" w:eastAsia="Arial" w:hAnsi="Arial"/>
          <w:sz w:val="16"/>
          <w:szCs w:val="16"/>
          <w:color w:val="auto"/>
        </w:rPr>
        <w:t>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75" w:lineRule="exact"/>
        <w:rPr>
          <w:sz w:val="20"/>
          <w:szCs w:val="20"/>
          <w:color w:val="auto"/>
        </w:rPr>
      </w:pPr>
    </w:p>
    <w:p>
      <w:pPr>
        <w:ind w:left="2560" w:right="180"/>
        <w:spacing w:after="0" w:line="263" w:lineRule="auto"/>
        <w:rPr>
          <w:sz w:val="20"/>
          <w:szCs w:val="20"/>
          <w:color w:val="auto"/>
        </w:rPr>
      </w:pPr>
      <w:r>
        <w:rPr>
          <w:rFonts w:ascii="Arial" w:cs="Arial" w:eastAsia="Arial" w:hAnsi="Arial"/>
          <w:sz w:val="18"/>
          <w:szCs w:val="18"/>
          <w:color w:val="auto"/>
        </w:rPr>
        <w:t>If all shareholders entitled to attend the shareholders’ meeting are present or represented and do not object to the meeting</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960" w:space="100"/>
            <w:col w:w="4080"/>
          </w:cols>
          <w:pgMar w:left="320" w:top="459" w:right="43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720"/>
        <w:spacing w:after="0"/>
        <w:tabs>
          <w:tab w:leader="none" w:pos="560" w:val="left"/>
        </w:tabs>
        <w:rPr>
          <w:sz w:val="20"/>
          <w:szCs w:val="20"/>
          <w:color w:val="auto"/>
        </w:rPr>
      </w:pPr>
      <w:r>
        <w:rPr>
          <w:rFonts w:ascii="Arial" w:cs="Arial" w:eastAsia="Arial" w:hAnsi="Arial"/>
          <w:sz w:val="14"/>
          <w:szCs w:val="14"/>
          <w:b w:val="1"/>
          <w:bCs w:val="1"/>
          <w:color w:val="auto"/>
        </w:rPr>
        <w:t>European Union/Federal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54432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being held, the formalities of calling and holding of a</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shareholders’ meeting do not apply.</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5"/>
          <w:szCs w:val="15"/>
          <w:color w:val="auto"/>
        </w:rPr>
        <w:t>Proxy</w:t>
      </w:r>
      <w:r>
        <w:rPr>
          <w:sz w:val="20"/>
          <w:szCs w:val="20"/>
          <w:color w:val="auto"/>
        </w:rPr>
        <w:tab/>
      </w:r>
      <w:r>
        <w:rPr>
          <w:rFonts w:ascii="Arial" w:cs="Arial" w:eastAsia="Arial" w:hAnsi="Arial"/>
          <w:sz w:val="15"/>
          <w:szCs w:val="15"/>
          <w:color w:val="auto"/>
        </w:rPr>
        <w:t>A shareholder may designate another person to attend, speak</w:t>
      </w:r>
    </w:p>
    <w:p>
      <w:pPr>
        <w:spacing w:after="0" w:line="58" w:lineRule="exact"/>
        <w:rPr>
          <w:sz w:val="20"/>
          <w:szCs w:val="20"/>
          <w:color w:val="auto"/>
        </w:rPr>
      </w:pPr>
    </w:p>
    <w:p>
      <w:pPr>
        <w:ind w:left="2560" w:right="60"/>
        <w:spacing w:after="0" w:line="260" w:lineRule="auto"/>
        <w:rPr>
          <w:sz w:val="20"/>
          <w:szCs w:val="20"/>
          <w:color w:val="auto"/>
        </w:rPr>
      </w:pPr>
      <w:r>
        <w:rPr>
          <w:rFonts w:ascii="Arial" w:cs="Arial" w:eastAsia="Arial" w:hAnsi="Arial"/>
          <w:sz w:val="18"/>
          <w:szCs w:val="18"/>
          <w:color w:val="auto"/>
        </w:rPr>
        <w:t>and vote at a shareholders’ meeting of the company on such shareholder’s behalf by proxy.</w:t>
      </w:r>
    </w:p>
    <w:p>
      <w:pPr>
        <w:spacing w:after="0" w:line="91" w:lineRule="exact"/>
        <w:rPr>
          <w:sz w:val="20"/>
          <w:szCs w:val="20"/>
          <w:color w:val="auto"/>
        </w:rPr>
      </w:pPr>
    </w:p>
    <w:p>
      <w:pPr>
        <w:ind w:left="2560" w:right="300"/>
        <w:spacing w:after="0" w:line="311" w:lineRule="auto"/>
        <w:rPr>
          <w:sz w:val="20"/>
          <w:szCs w:val="20"/>
          <w:color w:val="auto"/>
        </w:rPr>
      </w:pPr>
      <w:r>
        <w:rPr>
          <w:rFonts w:ascii="Arial" w:cs="Arial" w:eastAsia="Arial" w:hAnsi="Arial"/>
          <w:sz w:val="16"/>
          <w:szCs w:val="16"/>
          <w:color w:val="auto"/>
        </w:rPr>
        <w:t>With respect to Management Board meetings, a Management Board member may transmit its (written or verbal) vote via another Management Board member.</w:t>
      </w:r>
    </w:p>
    <w:p>
      <w:pPr>
        <w:spacing w:after="0" w:line="54" w:lineRule="exact"/>
        <w:rPr>
          <w:sz w:val="20"/>
          <w:szCs w:val="20"/>
          <w:color w:val="auto"/>
        </w:rPr>
      </w:pPr>
    </w:p>
    <w:p>
      <w:pPr>
        <w:ind w:left="2560"/>
        <w:spacing w:after="0" w:line="301" w:lineRule="auto"/>
        <w:rPr>
          <w:sz w:val="20"/>
          <w:szCs w:val="20"/>
          <w:color w:val="auto"/>
        </w:rPr>
      </w:pPr>
      <w:r>
        <w:rPr>
          <w:rFonts w:ascii="Arial" w:cs="Arial" w:eastAsia="Arial" w:hAnsi="Arial"/>
          <w:sz w:val="16"/>
          <w:szCs w:val="16"/>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6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the law applicable to European stock corporations</w:t>
      </w:r>
    </w:p>
    <w:p>
      <w:pPr>
        <w:spacing w:after="0" w:line="23" w:lineRule="exact"/>
        <w:rPr>
          <w:sz w:val="20"/>
          <w:szCs w:val="20"/>
          <w:color w:val="auto"/>
        </w:rPr>
      </w:pPr>
    </w:p>
    <w:p>
      <w:pPr>
        <w:ind w:left="2560" w:right="20"/>
        <w:spacing w:after="0" w:line="285" w:lineRule="auto"/>
        <w:rPr>
          <w:sz w:val="20"/>
          <w:szCs w:val="20"/>
          <w:color w:val="auto"/>
        </w:rPr>
      </w:pPr>
      <w:r>
        <w:rPr>
          <w:rFonts w:ascii="Arial" w:cs="Arial" w:eastAsia="Arial" w:hAnsi="Arial"/>
          <w:sz w:val="16"/>
          <w:szCs w:val="16"/>
          <w:color w:val="auto"/>
        </w:rPr>
        <w:t>governed by German 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1565" w:lineRule="exact"/>
        <w:rPr>
          <w:sz w:val="20"/>
          <w:szCs w:val="20"/>
          <w:color w:val="auto"/>
        </w:rPr>
      </w:pPr>
    </w:p>
    <w:p>
      <w:pPr>
        <w:sectPr>
          <w:pgSz w:w="11900" w:h="16838" w:orient="portrait"/>
          <w:cols w:equalWidth="0" w:num="2">
            <w:col w:w="6940" w:space="120"/>
            <w:col w:w="4060"/>
          </w:cols>
          <w:pgMar w:left="320" w:top="459" w:right="45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applicable European and German law, the</w:t>
      </w:r>
    </w:p>
    <w:p>
      <w:pPr>
        <w:spacing w:after="0" w:line="23" w:lineRule="exact"/>
        <w:rPr>
          <w:sz w:val="20"/>
          <w:szCs w:val="20"/>
          <w:color w:val="auto"/>
        </w:rPr>
      </w:pPr>
    </w:p>
    <w:p>
      <w:pPr>
        <w:ind w:left="2560"/>
        <w:spacing w:after="0" w:line="288" w:lineRule="auto"/>
        <w:rPr>
          <w:sz w:val="20"/>
          <w:szCs w:val="20"/>
          <w:color w:val="auto"/>
        </w:rPr>
      </w:pPr>
      <w:r>
        <w:rPr>
          <w:rFonts w:ascii="Arial" w:cs="Arial" w:eastAsia="Arial" w:hAnsi="Arial"/>
          <w:sz w:val="16"/>
          <w:szCs w:val="16"/>
          <w:color w:val="auto"/>
        </w:rPr>
        <w:t>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6880" w:space="180"/>
            <w:col w:w="4060"/>
          </w:cols>
          <w:pgMar w:left="320" w:top="459" w:right="459" w:bottom="1440" w:gutter="0" w:footer="0" w:header="0"/>
          <w:type w:val="continuous"/>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Liability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946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8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claims for damages against a negligent Management or Supervisory Board member only after the expiry of three years.</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relevant European and German law, each share, except for statutory non-voting preferred shares (</w:t>
      </w:r>
      <w:r>
        <w:rPr>
          <w:rFonts w:ascii="Arial" w:cs="Arial" w:eastAsia="Arial" w:hAnsi="Arial"/>
          <w:sz w:val="16"/>
          <w:szCs w:val="16"/>
          <w:i w:val="1"/>
          <w:iCs w:val="1"/>
          <w:color w:val="auto"/>
        </w:rPr>
        <w:t>nicht</w:t>
      </w:r>
      <w:r>
        <w:rPr>
          <w:rFonts w:ascii="Arial" w:cs="Arial" w:eastAsia="Arial" w:hAnsi="Arial"/>
          <w:sz w:val="16"/>
          <w:szCs w:val="16"/>
          <w:color w:val="auto"/>
        </w:rPr>
        <w:t xml:space="preserve"> </w:t>
      </w:r>
      <w:r>
        <w:rPr>
          <w:rFonts w:ascii="Arial" w:cs="Arial" w:eastAsia="Arial" w:hAnsi="Arial"/>
          <w:sz w:val="16"/>
          <w:szCs w:val="16"/>
          <w:i w:val="1"/>
          <w:iCs w:val="1"/>
          <w:color w:val="auto"/>
        </w:rPr>
        <w:t>stimmberechtigte Vorzugsaktien</w:t>
      </w:r>
      <w:r>
        <w:rPr>
          <w:rFonts w:ascii="Arial" w:cs="Arial" w:eastAsia="Arial" w:hAnsi="Arial"/>
          <w:sz w:val="16"/>
          <w:szCs w:val="16"/>
          <w:color w:val="auto"/>
        </w:rPr>
        <w:t>), entitles its holder to vote at</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shareholders’ meeting 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67" w:lineRule="exact"/>
        <w:rPr>
          <w:sz w:val="20"/>
          <w:szCs w:val="20"/>
          <w:color w:val="auto"/>
        </w:rPr>
      </w:pPr>
    </w:p>
    <w:p>
      <w:pPr>
        <w:ind w:left="720" w:right="80" w:hanging="262"/>
        <w:spacing w:after="0" w:line="308" w:lineRule="auto"/>
        <w:tabs>
          <w:tab w:leader="none" w:pos="70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51" w:lineRule="exact"/>
        <w:rPr>
          <w:rFonts w:ascii="Arial" w:cs="Arial" w:eastAsia="Arial" w:hAnsi="Arial"/>
          <w:sz w:val="17"/>
          <w:szCs w:val="17"/>
          <w:color w:val="auto"/>
        </w:rPr>
      </w:pPr>
    </w:p>
    <w:p>
      <w:pPr>
        <w:ind w:left="720" w:right="100" w:hanging="262"/>
        <w:spacing w:after="0" w:line="263" w:lineRule="auto"/>
        <w:tabs>
          <w:tab w:leader="none" w:pos="70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89" w:lineRule="exact"/>
        <w:rPr>
          <w:rFonts w:ascii="Arial" w:cs="Arial" w:eastAsia="Arial" w:hAnsi="Arial"/>
          <w:sz w:val="18"/>
          <w:szCs w:val="18"/>
          <w:color w:val="auto"/>
        </w:rPr>
      </w:pPr>
    </w:p>
    <w:p>
      <w:pPr>
        <w:jc w:val="both"/>
        <w:ind w:left="720" w:right="80" w:hanging="262"/>
        <w:spacing w:after="0" w:line="263" w:lineRule="auto"/>
        <w:tabs>
          <w:tab w:leader="none" w:pos="70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89" w:lineRule="exact"/>
        <w:rPr>
          <w:rFonts w:ascii="Arial" w:cs="Arial" w:eastAsia="Arial" w:hAnsi="Arial"/>
          <w:sz w:val="18"/>
          <w:szCs w:val="18"/>
          <w:color w:val="auto"/>
        </w:rPr>
      </w:pPr>
    </w:p>
    <w:p>
      <w:pPr>
        <w:ind w:left="720" w:right="500" w:hanging="262"/>
        <w:spacing w:after="0" w:line="342" w:lineRule="auto"/>
        <w:tabs>
          <w:tab w:leader="none" w:pos="70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transaction from which the director derives an improper personal benefit.</w:t>
      </w:r>
    </w:p>
    <w:p>
      <w:pPr>
        <w:spacing w:after="0" w:line="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1590" w:lineRule="exact"/>
        <w:rPr>
          <w:sz w:val="20"/>
          <w:szCs w:val="20"/>
          <w:color w:val="auto"/>
        </w:rPr>
      </w:pPr>
    </w:p>
    <w:p>
      <w:pPr>
        <w:sectPr>
          <w:pgSz w:w="11900" w:h="16838" w:orient="portrait"/>
          <w:cols w:equalWidth="0" w:num="3">
            <w:col w:w="1840" w:space="720"/>
            <w:col w:w="4400" w:space="100"/>
            <w:col w:w="4060"/>
          </w:cols>
          <w:pgMar w:left="320" w:top="459" w:right="45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Shareholder Vote on Certain</w:t>
      </w:r>
      <w:r>
        <w:rPr>
          <w:sz w:val="20"/>
          <w:szCs w:val="20"/>
          <w:color w:val="auto"/>
        </w:rPr>
        <w:tab/>
      </w:r>
      <w:r>
        <w:rPr>
          <w:rFonts w:ascii="Arial" w:cs="Arial" w:eastAsia="Arial" w:hAnsi="Arial"/>
          <w:sz w:val="16"/>
          <w:szCs w:val="16"/>
          <w:color w:val="auto"/>
        </w:rPr>
        <w:t>Under applicable European and German law, certain</w:t>
      </w:r>
    </w:p>
    <w:p>
      <w:pPr>
        <w:spacing w:after="0" w:line="2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6"/>
          <w:szCs w:val="16"/>
          <w:color w:val="auto"/>
        </w:rPr>
        <w:t>Transactions</w:t>
      </w:r>
      <w:r>
        <w:rPr>
          <w:sz w:val="20"/>
          <w:szCs w:val="20"/>
          <w:color w:val="auto"/>
        </w:rPr>
        <w:tab/>
      </w:r>
      <w:r>
        <w:rPr>
          <w:rFonts w:ascii="Arial" w:cs="Arial" w:eastAsia="Arial" w:hAnsi="Arial"/>
          <w:sz w:val="16"/>
          <w:szCs w:val="16"/>
          <w:color w:val="auto"/>
        </w:rPr>
        <w:t>shareholders’ resolutions of fundamental importance require</w:t>
      </w:r>
    </w:p>
    <w:p>
      <w:pPr>
        <w:spacing w:after="0" w:line="32" w:lineRule="exact"/>
        <w:rPr>
          <w:sz w:val="20"/>
          <w:szCs w:val="20"/>
          <w:color w:val="auto"/>
        </w:rPr>
      </w:pPr>
    </w:p>
    <w:p>
      <w:pPr>
        <w:ind w:left="2560"/>
        <w:spacing w:after="0" w:line="292" w:lineRule="auto"/>
        <w:rPr>
          <w:sz w:val="20"/>
          <w:szCs w:val="20"/>
          <w:color w:val="auto"/>
        </w:rPr>
      </w:pPr>
      <w:r>
        <w:rPr>
          <w:rFonts w:ascii="Arial" w:cs="Arial" w:eastAsia="Arial" w:hAnsi="Arial"/>
          <w:sz w:val="16"/>
          <w:szCs w:val="16"/>
          <w:color w:val="auto"/>
        </w:rPr>
        <w:t>the vote of at least three-quarters of the share capital present or represented in the voting at the time of adoption of the resolution. Resolutions of fundamental importance include, in particular, capital increases with exclusion of subscription rights, capital decreases, the creation of authorized or</w:t>
      </w:r>
    </w:p>
    <w:p>
      <w:pPr>
        <w:spacing w:after="0" w:line="9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67" w:lineRule="exact"/>
        <w:rPr>
          <w:sz w:val="20"/>
          <w:szCs w:val="20"/>
          <w:color w:val="auto"/>
        </w:rPr>
      </w:pPr>
    </w:p>
    <w:p>
      <w:pPr>
        <w:ind w:left="720" w:hanging="262"/>
        <w:spacing w:after="0"/>
        <w:tabs>
          <w:tab w:leader="none" w:pos="72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approval of the board of directors; and</w:t>
      </w:r>
    </w:p>
    <w:p>
      <w:pPr>
        <w:sectPr>
          <w:pgSz w:w="11900" w:h="16838" w:orient="portrait"/>
          <w:cols w:equalWidth="0" w:num="2">
            <w:col w:w="6920" w:space="140"/>
            <w:col w:w="4060"/>
          </w:cols>
          <w:pgMar w:left="320" w:top="459" w:right="459" w:bottom="1440" w:gutter="0" w:footer="0" w:header="0"/>
          <w:type w:val="continuous"/>
        </w:sectPr>
      </w:pPr>
    </w:p>
    <w:bookmarkStart w:id="220" w:name="page221"/>
    <w:bookmarkEnd w:id="2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European Union/Federal Republic of Germany</w:t>
            </w:r>
          </w:p>
        </w:tc>
      </w:tr>
      <w:tr>
        <w:trPr>
          <w:trHeight w:val="195"/>
        </w:trPr>
        <w:tc>
          <w:tcPr>
            <w:tcW w:w="244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7"/>
              </w:rPr>
              <w:t>conditional share capital, the dissolution of a company, a</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merger into or with another company, split-offs and</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split-ups, the conclusion of inter-company agreements</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Unternehmensverträge</w:t>
            </w:r>
            <w:r>
              <w:rPr>
                <w:rFonts w:ascii="Arial" w:cs="Arial" w:eastAsia="Arial" w:hAnsi="Arial"/>
                <w:sz w:val="18"/>
                <w:szCs w:val="18"/>
                <w:color w:val="auto"/>
              </w:rPr>
              <w:t>), in particular domination</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7"/>
              </w:rPr>
              <w:t>agreements (</w:t>
            </w:r>
            <w:r>
              <w:rPr>
                <w:rFonts w:ascii="Arial" w:cs="Arial" w:eastAsia="Arial" w:hAnsi="Arial"/>
                <w:sz w:val="18"/>
                <w:szCs w:val="18"/>
                <w:i w:val="1"/>
                <w:iCs w:val="1"/>
                <w:color w:val="auto"/>
                <w:w w:val="97"/>
              </w:rPr>
              <w:t>Beherrschungsverträge</w:t>
            </w:r>
            <w:r>
              <w:rPr>
                <w:rFonts w:ascii="Arial" w:cs="Arial" w:eastAsia="Arial" w:hAnsi="Arial"/>
                <w:sz w:val="18"/>
                <w:szCs w:val="18"/>
                <w:color w:val="auto"/>
                <w:w w:val="97"/>
              </w:rPr>
              <w:t>) and profit and loss</w:t>
            </w: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transfer agreements (</w:t>
            </w:r>
            <w:r>
              <w:rPr>
                <w:rFonts w:ascii="Arial" w:cs="Arial" w:eastAsia="Arial" w:hAnsi="Arial"/>
                <w:sz w:val="18"/>
                <w:szCs w:val="18"/>
                <w:i w:val="1"/>
                <w:iCs w:val="1"/>
                <w:color w:val="auto"/>
              </w:rPr>
              <w:t>Ergebnisabführungsverträge</w:t>
            </w:r>
            <w:r>
              <w:rPr>
                <w:rFonts w:ascii="Arial" w:cs="Arial" w:eastAsia="Arial" w:hAnsi="Arial"/>
                <w:sz w:val="18"/>
                <w:szCs w:val="18"/>
                <w:color w:val="auto"/>
              </w:rPr>
              <w:t>).</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Standard of Conduct for</w:t>
            </w:r>
          </w:p>
        </w:tc>
        <w:tc>
          <w:tcPr>
            <w:tcW w:w="4400" w:type="dxa"/>
            <w:vAlign w:val="bottom"/>
          </w:tcPr>
          <w:p>
            <w:pPr>
              <w:spacing w:after="0"/>
              <w:rPr>
                <w:sz w:val="20"/>
                <w:szCs w:val="20"/>
                <w:color w:val="auto"/>
              </w:rPr>
            </w:pPr>
            <w:r>
              <w:rPr>
                <w:rFonts w:ascii="Arial" w:cs="Arial" w:eastAsia="Arial" w:hAnsi="Arial"/>
                <w:sz w:val="18"/>
                <w:szCs w:val="18"/>
                <w:color w:val="auto"/>
              </w:rPr>
              <w:t>Under applicable European and German law, both</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Directors</w:t>
            </w:r>
          </w:p>
        </w:tc>
        <w:tc>
          <w:tcPr>
            <w:tcW w:w="4400" w:type="dxa"/>
            <w:vAlign w:val="bottom"/>
          </w:tcPr>
          <w:p>
            <w:pPr>
              <w:spacing w:after="0"/>
              <w:rPr>
                <w:sz w:val="20"/>
                <w:szCs w:val="20"/>
                <w:color w:val="auto"/>
              </w:rPr>
            </w:pPr>
            <w:r>
              <w:rPr>
                <w:rFonts w:ascii="Arial" w:cs="Arial" w:eastAsia="Arial" w:hAnsi="Arial"/>
                <w:sz w:val="18"/>
                <w:szCs w:val="18"/>
                <w:color w:val="auto"/>
                <w:w w:val="90"/>
              </w:rPr>
              <w:t>Management and Supervisory Board members must conduct</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their affairs with “the care and diligence of a prudent</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business man” and act in the best interest of the company.</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scope of the fiduciary duties of Management and</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8"/>
              </w:rPr>
              <w:t>Supervisory Board members is generally determined by</w:t>
            </w: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European and German legislation and by the courts.</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left="720" w:right="60" w:hanging="262"/>
        <w:spacing w:after="0" w:line="293" w:lineRule="auto"/>
        <w:tabs>
          <w:tab w:leader="none" w:pos="70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5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70" w:lineRule="exact"/>
        <w:rPr>
          <w:sz w:val="20"/>
          <w:szCs w:val="20"/>
          <w:color w:val="auto"/>
        </w:rPr>
      </w:pPr>
    </w:p>
    <w:p>
      <w:pPr>
        <w:sectPr>
          <w:pgSz w:w="11900" w:h="16838" w:orient="portrait"/>
          <w:cols w:equalWidth="0" w:num="2">
            <w:col w:w="6960" w:space="100"/>
            <w:col w:w="4060"/>
          </w:cols>
          <w:pgMar w:left="320" w:top="459" w:right="459" w:bottom="1440" w:gutter="0" w:footer="0" w:header="0"/>
          <w:type w:val="continuous"/>
        </w:sectPr>
      </w:pPr>
    </w:p>
    <w:p>
      <w:pPr>
        <w:ind w:left="256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Management Board to the company include, among others:</w:t>
      </w:r>
    </w:p>
    <w:p>
      <w:pPr>
        <w:spacing w:after="0" w:line="139" w:lineRule="exact"/>
        <w:rPr>
          <w:sz w:val="20"/>
          <w:szCs w:val="20"/>
          <w:color w:val="auto"/>
        </w:rPr>
      </w:pPr>
    </w:p>
    <w:p>
      <w:pPr>
        <w:jc w:val="both"/>
        <w:ind w:left="3280" w:right="60" w:hanging="271"/>
        <w:spacing w:after="0" w:line="311" w:lineRule="auto"/>
        <w:tabs>
          <w:tab w:leader="none" w:pos="326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act in accordance with the law, the company’s articles of association and the rules of procedure for the Management Board, if any;</w:t>
      </w:r>
    </w:p>
    <w:p>
      <w:pPr>
        <w:spacing w:after="0" w:line="54" w:lineRule="exact"/>
        <w:rPr>
          <w:rFonts w:ascii="Arial" w:cs="Arial" w:eastAsia="Arial" w:hAnsi="Arial"/>
          <w:sz w:val="16"/>
          <w:szCs w:val="16"/>
          <w:color w:val="auto"/>
        </w:rPr>
      </w:pPr>
    </w:p>
    <w:p>
      <w:pPr>
        <w:jc w:val="both"/>
        <w:ind w:left="3280" w:right="140" w:hanging="271"/>
        <w:spacing w:after="0" w:line="342" w:lineRule="auto"/>
        <w:tabs>
          <w:tab w:leader="none" w:pos="326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report to the Supervisory Board on a regular basis as well as on certain important occasions;</w:t>
      </w:r>
    </w:p>
    <w:p>
      <w:pPr>
        <w:spacing w:after="0" w:line="29" w:lineRule="exact"/>
        <w:rPr>
          <w:rFonts w:ascii="Arial" w:cs="Arial" w:eastAsia="Arial" w:hAnsi="Arial"/>
          <w:sz w:val="16"/>
          <w:szCs w:val="16"/>
          <w:color w:val="auto"/>
        </w:rPr>
      </w:pPr>
    </w:p>
    <w:p>
      <w:pPr>
        <w:ind w:left="3260" w:hanging="251"/>
        <w:spacing w:after="0"/>
        <w:tabs>
          <w:tab w:leader="none" w:pos="32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exercise reasonable care, skill and diligence;</w:t>
      </w:r>
    </w:p>
    <w:p>
      <w:pPr>
        <w:spacing w:after="0" w:line="153" w:lineRule="exact"/>
        <w:rPr>
          <w:rFonts w:ascii="Arial" w:cs="Arial" w:eastAsia="Arial" w:hAnsi="Arial"/>
          <w:sz w:val="16"/>
          <w:szCs w:val="16"/>
          <w:color w:val="auto"/>
        </w:rPr>
      </w:pPr>
    </w:p>
    <w:p>
      <w:pPr>
        <w:ind w:left="3260" w:hanging="251"/>
        <w:spacing w:after="0"/>
        <w:tabs>
          <w:tab w:leader="none" w:pos="3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maintain a proper accounting system;</w:t>
      </w:r>
    </w:p>
    <w:p>
      <w:pPr>
        <w:spacing w:after="0" w:line="130" w:lineRule="exact"/>
        <w:rPr>
          <w:rFonts w:ascii="Arial" w:cs="Arial" w:eastAsia="Arial" w:hAnsi="Arial"/>
          <w:sz w:val="18"/>
          <w:szCs w:val="18"/>
          <w:color w:val="auto"/>
        </w:rPr>
      </w:pPr>
    </w:p>
    <w:p>
      <w:pPr>
        <w:ind w:left="3280" w:right="80" w:hanging="271"/>
        <w:spacing w:after="0" w:line="263" w:lineRule="auto"/>
        <w:tabs>
          <w:tab w:leader="none" w:pos="32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not compete, directly or indirectly, with the company without permission by the supervisory board; and</w:t>
      </w:r>
    </w:p>
    <w:p>
      <w:pPr>
        <w:spacing w:after="0" w:line="89" w:lineRule="exact"/>
        <w:rPr>
          <w:rFonts w:ascii="Arial" w:cs="Arial" w:eastAsia="Arial" w:hAnsi="Arial"/>
          <w:sz w:val="18"/>
          <w:szCs w:val="18"/>
          <w:color w:val="auto"/>
        </w:rPr>
      </w:pPr>
    </w:p>
    <w:p>
      <w:pPr>
        <w:ind w:left="3280" w:right="40" w:hanging="271"/>
        <w:spacing w:after="0" w:line="277" w:lineRule="auto"/>
        <w:tabs>
          <w:tab w:leader="none" w:pos="326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secure that no further transactions are made in case of insolvency.</w:t>
      </w:r>
    </w:p>
    <w:p>
      <w:pPr>
        <w:spacing w:after="0" w:line="7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Supervisory Board to the company include, among others:</w:t>
      </w:r>
    </w:p>
    <w:p>
      <w:pPr>
        <w:spacing w:after="0" w:line="139" w:lineRule="exact"/>
        <w:rPr>
          <w:sz w:val="20"/>
          <w:szCs w:val="20"/>
          <w:color w:val="auto"/>
        </w:rPr>
      </w:pPr>
    </w:p>
    <w:p>
      <w:pPr>
        <w:ind w:left="3280" w:right="20" w:hanging="271"/>
        <w:spacing w:after="0" w:line="277" w:lineRule="auto"/>
        <w:tabs>
          <w:tab w:leader="none" w:pos="326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to effectively supervise the Management Board’s handling of the company’s affairs;</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 addition, under Delaware law, when the board of directors of a Delaware</w:t>
      </w:r>
    </w:p>
    <w:p>
      <w:pPr>
        <w:sectPr>
          <w:pgSz w:w="11900" w:h="16838" w:orient="portrait"/>
          <w:cols w:equalWidth="0" w:num="2">
            <w:col w:w="6820" w:space="240"/>
            <w:col w:w="4060"/>
          </w:cols>
          <w:pgMar w:left="320" w:top="459" w:right="459" w:bottom="1440" w:gutter="0" w:footer="0" w:header="0"/>
          <w:type w:val="continuous"/>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24"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27946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ind w:left="3280" w:hanging="271"/>
        <w:spacing w:after="0" w:line="259" w:lineRule="auto"/>
        <w:tabs>
          <w:tab w:leader="none" w:pos="32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evaluate and issue a resolution on certain transactions which can only be conducted by the Management Board after approval of the Supervisory Board;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corporation approves the sale or break-up of a corporation, the board of directors may, in certain circumstances, have a duty to obtain the highest value reasonably available to the stockholders.</w:t>
      </w:r>
    </w:p>
    <w:p>
      <w:pPr>
        <w:spacing w:after="0" w:line="198" w:lineRule="exact"/>
        <w:rPr>
          <w:sz w:val="20"/>
          <w:szCs w:val="20"/>
          <w:color w:val="auto"/>
        </w:rPr>
      </w:pPr>
    </w:p>
    <w:p>
      <w:pPr>
        <w:sectPr>
          <w:pgSz w:w="11900" w:h="16838" w:orient="portrait"/>
          <w:cols w:equalWidth="0" w:num="2">
            <w:col w:w="6780" w:space="280"/>
            <w:col w:w="4020"/>
          </w:cols>
          <w:pgMar w:left="320" w:top="459" w:right="499" w:bottom="1440" w:gutter="0" w:footer="0" w:header="0"/>
          <w:type w:val="continuous"/>
        </w:sectPr>
      </w:pPr>
    </w:p>
    <w:p>
      <w:pPr>
        <w:ind w:left="3000"/>
        <w:spacing w:after="0"/>
        <w:tabs>
          <w:tab w:leader="none" w:pos="3240" w:val="left"/>
        </w:tabs>
        <w:rPr>
          <w:sz w:val="20"/>
          <w:szCs w:val="20"/>
          <w:color w:val="auto"/>
        </w:rPr>
      </w:pPr>
      <w:r>
        <w:rPr>
          <w:rFonts w:ascii="Arial" w:cs="Arial" w:eastAsia="Arial" w:hAnsi="Arial"/>
          <w:sz w:val="17"/>
          <w:szCs w:val="17"/>
          <w:color w:val="auto"/>
        </w:rPr>
        <w:t>•</w:t>
        <w:tab/>
        <w:t>to approve the company’s financial statements;</w:t>
      </w:r>
    </w:p>
    <w:p>
      <w:pPr>
        <w:spacing w:after="0" w:line="142" w:lineRule="exact"/>
        <w:rPr>
          <w:sz w:val="20"/>
          <w:szCs w:val="20"/>
          <w:color w:val="auto"/>
        </w:rPr>
      </w:pPr>
    </w:p>
    <w:p>
      <w:pPr>
        <w:ind w:left="3000"/>
        <w:spacing w:after="0"/>
        <w:tabs>
          <w:tab w:leader="none" w:pos="3240" w:val="left"/>
        </w:tabs>
        <w:rPr>
          <w:sz w:val="20"/>
          <w:szCs w:val="20"/>
          <w:color w:val="auto"/>
        </w:rPr>
      </w:pPr>
      <w:r>
        <w:rPr>
          <w:rFonts w:ascii="Arial" w:cs="Arial" w:eastAsia="Arial" w:hAnsi="Arial"/>
          <w:sz w:val="16"/>
          <w:szCs w:val="16"/>
          <w:color w:val="auto"/>
        </w:rPr>
        <w:t>•</w:t>
        <w:tab/>
        <w:t>to appoint the Management Board members and to</w:t>
      </w:r>
    </w:p>
    <w:p>
      <w:pPr>
        <w:spacing w:after="0" w:line="46"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represent the company in transactions between the</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company and members of the Management Board;</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and</w:t>
      </w:r>
    </w:p>
    <w:p>
      <w:pPr>
        <w:spacing w:after="0" w:line="116" w:lineRule="exact"/>
        <w:rPr>
          <w:sz w:val="20"/>
          <w:szCs w:val="20"/>
          <w:color w:val="auto"/>
        </w:rPr>
      </w:pPr>
    </w:p>
    <w:p>
      <w:pPr>
        <w:ind w:left="3000"/>
        <w:spacing w:after="0"/>
        <w:tabs>
          <w:tab w:leader="none" w:pos="3240" w:val="left"/>
        </w:tabs>
        <w:rPr>
          <w:sz w:val="20"/>
          <w:szCs w:val="20"/>
          <w:color w:val="auto"/>
        </w:rPr>
      </w:pPr>
      <w:r>
        <w:rPr>
          <w:rFonts w:ascii="Arial" w:cs="Arial" w:eastAsia="Arial" w:hAnsi="Arial"/>
          <w:sz w:val="17"/>
          <w:szCs w:val="17"/>
          <w:color w:val="auto"/>
        </w:rPr>
        <w:t>•</w:t>
        <w:tab/>
        <w:t>to approve service contracts between individual</w:t>
      </w:r>
    </w:p>
    <w:p>
      <w:pPr>
        <w:spacing w:after="0" w:line="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members of the Supervisory Board and the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company.</w:t>
      </w:r>
    </w:p>
    <w:p>
      <w:pPr>
        <w:spacing w:after="0" w:line="116"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Stockholder Actions</w:t>
      </w:r>
      <w:r>
        <w:rPr>
          <w:sz w:val="20"/>
          <w:szCs w:val="20"/>
          <w:color w:val="auto"/>
        </w:rPr>
        <w:tab/>
      </w:r>
      <w:r>
        <w:rPr>
          <w:rFonts w:ascii="Arial" w:cs="Arial" w:eastAsia="Arial" w:hAnsi="Arial"/>
          <w:sz w:val="16"/>
          <w:szCs w:val="16"/>
          <w:color w:val="auto"/>
        </w:rPr>
        <w:t>Under German law, generally, the company, rather than its</w:t>
      </w:r>
    </w:p>
    <w:p>
      <w:pPr>
        <w:spacing w:after="0" w:line="23" w:lineRule="exact"/>
        <w:rPr>
          <w:sz w:val="20"/>
          <w:szCs w:val="20"/>
          <w:color w:val="auto"/>
        </w:rPr>
      </w:pPr>
    </w:p>
    <w:p>
      <w:pPr>
        <w:ind w:left="2560" w:right="20"/>
        <w:spacing w:after="0" w:line="251" w:lineRule="auto"/>
        <w:rPr>
          <w:sz w:val="20"/>
          <w:szCs w:val="20"/>
          <w:color w:val="auto"/>
        </w:rPr>
      </w:pPr>
      <w:r>
        <w:rPr>
          <w:rFonts w:ascii="Arial" w:cs="Arial" w:eastAsia="Arial" w:hAnsi="Arial"/>
          <w:sz w:val="18"/>
          <w:szCs w:val="18"/>
          <w:color w:val="auto"/>
        </w:rPr>
        <w:t>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w:t>
      </w:r>
    </w:p>
    <w:p>
      <w:pPr>
        <w:spacing w:after="0" w:line="103" w:lineRule="exact"/>
        <w:rPr>
          <w:sz w:val="20"/>
          <w:szCs w:val="20"/>
          <w:color w:val="auto"/>
        </w:rPr>
      </w:pPr>
    </w:p>
    <w:p>
      <w:pPr>
        <w:ind w:left="2560" w:right="60"/>
        <w:spacing w:after="0" w:line="259" w:lineRule="auto"/>
        <w:rPr>
          <w:sz w:val="20"/>
          <w:szCs w:val="20"/>
          <w:color w:val="auto"/>
        </w:rPr>
      </w:pPr>
      <w:r>
        <w:rPr>
          <w:rFonts w:ascii="Arial" w:cs="Arial" w:eastAsia="Arial" w:hAnsi="Arial"/>
          <w:sz w:val="18"/>
          <w:szCs w:val="18"/>
          <w:color w:val="auto"/>
        </w:rPr>
        <w:t>Additionally, pursuant to German case law, the Supervisory Board is obliged to pursue the company’s claims against the Management Board, unless the interest of the company keeps them from doing so.</w:t>
      </w:r>
    </w:p>
    <w:p>
      <w:pPr>
        <w:spacing w:after="0" w:line="92" w:lineRule="exact"/>
        <w:rPr>
          <w:sz w:val="20"/>
          <w:szCs w:val="20"/>
          <w:color w:val="auto"/>
        </w:rPr>
      </w:pPr>
    </w:p>
    <w:p>
      <w:pPr>
        <w:ind w:left="2560"/>
        <w:spacing w:after="0" w:line="291" w:lineRule="auto"/>
        <w:rPr>
          <w:sz w:val="20"/>
          <w:szCs w:val="20"/>
          <w:color w:val="auto"/>
        </w:rPr>
      </w:pPr>
      <w:r>
        <w:rPr>
          <w:rFonts w:ascii="Arial" w:cs="Arial" w:eastAsia="Arial" w:hAnsi="Arial"/>
          <w:sz w:val="16"/>
          <w:szCs w:val="16"/>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72" w:lineRule="exact"/>
        <w:rPr>
          <w:sz w:val="20"/>
          <w:szCs w:val="20"/>
          <w:color w:val="auto"/>
        </w:rPr>
      </w:pPr>
    </w:p>
    <w:p>
      <w:pPr>
        <w:ind w:left="2560" w:right="40"/>
        <w:spacing w:after="0" w:line="259" w:lineRule="auto"/>
        <w:rPr>
          <w:sz w:val="20"/>
          <w:szCs w:val="20"/>
          <w:color w:val="auto"/>
        </w:rPr>
      </w:pPr>
      <w:r>
        <w:rPr>
          <w:rFonts w:ascii="Arial" w:cs="Arial" w:eastAsia="Arial" w:hAnsi="Arial"/>
          <w:sz w:val="18"/>
          <w:szCs w:val="18"/>
          <w:color w:val="auto"/>
        </w:rPr>
        <w:t>If the company is unable to fulfill its third-party obligations, the company’s creditors may pursue the company’s damage claims against members of the Management Board for certain wrongdoings.</w:t>
      </w:r>
    </w:p>
    <w:p>
      <w:pPr>
        <w:spacing w:after="0" w:line="1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92" w:lineRule="exact"/>
        <w:rPr>
          <w:sz w:val="20"/>
          <w:szCs w:val="20"/>
          <w:color w:val="auto"/>
        </w:rPr>
      </w:pPr>
    </w:p>
    <w:p>
      <w:pPr>
        <w:ind w:left="720" w:hanging="262"/>
        <w:spacing w:after="0" w:line="257" w:lineRule="auto"/>
        <w:tabs>
          <w:tab w:leader="none" w:pos="70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93" w:lineRule="exact"/>
        <w:rPr>
          <w:rFonts w:ascii="Arial" w:cs="Arial" w:eastAsia="Arial" w:hAnsi="Arial"/>
          <w:sz w:val="18"/>
          <w:szCs w:val="18"/>
          <w:color w:val="auto"/>
        </w:rPr>
      </w:pPr>
    </w:p>
    <w:p>
      <w:pPr>
        <w:ind w:left="720" w:right="20" w:hanging="262"/>
        <w:spacing w:after="0" w:line="273" w:lineRule="auto"/>
        <w:tabs>
          <w:tab w:leader="none" w:pos="70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8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940" w:space="120"/>
            <w:col w:w="4020"/>
          </w:cols>
          <w:pgMar w:left="320" w:top="459" w:right="49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739"/>
        <w:spacing w:after="0"/>
        <w:tabs>
          <w:tab w:leader="none" w:pos="560" w:val="left"/>
        </w:tabs>
        <w:rPr>
          <w:sz w:val="20"/>
          <w:szCs w:val="20"/>
          <w:color w:val="auto"/>
        </w:rPr>
      </w:pPr>
      <w:r>
        <w:rPr>
          <w:rFonts w:ascii="Arial" w:cs="Arial" w:eastAsia="Arial" w:hAnsi="Arial"/>
          <w:sz w:val="14"/>
          <w:szCs w:val="14"/>
          <w:b w:val="1"/>
          <w:bCs w:val="1"/>
          <w:color w:val="auto"/>
        </w:rPr>
        <w:t>European Union/Federal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54432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Under certain circumstances, shareholders can bring forward</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damage claims of the company against its management on</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their own behalf. In order to bring forward such a claim one</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shareholder alone or together with other shareholders needs</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to hold at least one percent of the company’s share capital or</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 participation of €100,000 in the share capital. Additionally,</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 claimant(s) need(s) to pass through special claim</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approval procedures.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ADSs representing our ordinary shares are listed on the Nasdaq Global Select Market under the symbol “BNTX.”</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0139"/>
          </w:cols>
          <w:pgMar w:left="320" w:top="459" w:right="1440"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of New York Mellon, as depositary, will register and deliver the American Depositary Shares, or the ADSs. Each ADS will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 one share (or a right to receive one share) deposited with The Bank of New York Mellon SA/NV as custodian for the depositary in Germany.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ADS will also represent any other securities, cash or other property which may be held by the depositary. The deposited shares together with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securities, cash or other property held by the depositary are referred to as the deposited securities. The depositary’s office at which the ADSs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 administered and its principal executive office are located at 240 Greenwich Street, New York, New York 10286.</w:t>
      </w:r>
    </w:p>
    <w:p>
      <w:pPr>
        <w:spacing w:after="0" w:line="21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Those documents are filed as exhibits to the registration statement of which this prospectus forms a part.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ADS holders receive dividends and other distributions on the shares?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“Taxation” included elsewhere in this prospectus. The depositary will distribute only whole U.S. dollars and cents and will round fractional cents to the nearest whole cent.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the exchange rates fluctuate during a time when the depositary cannot convert the foreign currency, you may lose some of the value of the distribution.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i w:val="1"/>
          <w:iCs w:val="1"/>
          <w:color w:val="auto"/>
        </w:rPr>
        <w:t xml:space="preserve">Rights to purchase additional shares.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b w:val="1"/>
          <w:b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7"/>
          <w:szCs w:val="17"/>
          <w:b w:val="1"/>
          <w:bCs w:val="1"/>
          <w:color w:val="auto"/>
        </w:rPr>
        <w:t>This means that you may not receive the distributions we make on 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or any value for them if it is illegal or impractical for us to make them available to you.</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vote?</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3"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7"/>
          <w:szCs w:val="17"/>
          <w:color w:val="auto"/>
        </w:rPr>
        <w:t>In any event, the depositary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77" w:lineRule="exact"/>
        <w:rPr>
          <w:sz w:val="20"/>
          <w:szCs w:val="20"/>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wish the depositary to vote uninstructed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reasonably do not know of any substantial shareholder opposition to a particular question;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particular question is not materially adverse to the interests of shareholders,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ind w:left="120" w:right="760"/>
        <w:spacing w:after="0" w:line="260" w:lineRule="auto"/>
        <w:rPr>
          <w:sz w:val="20"/>
          <w:szCs w:val="20"/>
          <w:color w:val="auto"/>
        </w:rPr>
      </w:pPr>
      <w:r>
        <w:rPr>
          <w:rFonts w:ascii="Arial" w:cs="Arial" w:eastAsia="Arial" w:hAnsi="Arial"/>
          <w:sz w:val="18"/>
          <w:szCs w:val="18"/>
          <w:b w:val="1"/>
          <w:bCs w:val="1"/>
          <w:color w:val="auto"/>
        </w:rPr>
        <w:t>This means that you may not be able to exercise voting rights and there may be nothing you can do if your shares are not voted as you requested.</w:t>
      </w:r>
    </w:p>
    <w:p>
      <w:pPr>
        <w:spacing w:after="0" w:line="18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251" w:lineRule="exact"/>
        <w:rPr>
          <w:sz w:val="20"/>
          <w:szCs w:val="20"/>
          <w:color w:val="auto"/>
        </w:rPr>
      </w:pPr>
    </w:p>
    <w:p>
      <w:pPr>
        <w:ind w:left="2060"/>
        <w:spacing w:after="0"/>
        <w:rPr>
          <w:sz w:val="20"/>
          <w:szCs w:val="20"/>
          <w:color w:val="auto"/>
        </w:rPr>
      </w:pPr>
      <w:r>
        <w:rPr>
          <w:rFonts w:ascii="Arial" w:cs="Arial" w:eastAsia="Arial" w:hAnsi="Arial"/>
          <w:sz w:val="14"/>
          <w:szCs w:val="14"/>
          <w:b w:val="1"/>
          <w:bCs w:val="1"/>
          <w:i w:val="1"/>
          <w:iCs w:val="1"/>
          <w:color w:val="auto"/>
        </w:rPr>
        <w:t>Persons depositing or withdrawing</w:t>
      </w:r>
    </w:p>
    <w:p>
      <w:pPr>
        <w:ind w:left="2100"/>
        <w:spacing w:after="0" w:line="233" w:lineRule="auto"/>
        <w:rPr>
          <w:sz w:val="20"/>
          <w:szCs w:val="20"/>
          <w:color w:val="auto"/>
        </w:rPr>
      </w:pPr>
      <w:r>
        <w:rPr>
          <w:rFonts w:ascii="Arial" w:cs="Arial" w:eastAsia="Arial" w:hAnsi="Arial"/>
          <w:sz w:val="14"/>
          <w:szCs w:val="14"/>
          <w:b w:val="1"/>
          <w:bCs w:val="1"/>
          <w:i w:val="1"/>
          <w:iCs w:val="1"/>
          <w:color w:val="auto"/>
        </w:rPr>
        <w:t>shares or ADS holders must pay</w:t>
      </w:r>
      <w:r>
        <w:rPr>
          <w:rFonts w:ascii="Arial" w:cs="Arial" w:eastAsia="Arial" w:hAnsi="Arial"/>
          <w:sz w:val="14"/>
          <w:szCs w:val="14"/>
          <w:b w:val="1"/>
          <w:bCs w:val="1"/>
          <w:color w:val="auto"/>
        </w:rPr>
        <w: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(or less) per ADS</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 fee equivalent to the fee that would be payable if securities distributed to you had been shares and the shares had been deposited for issuance of ADSs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(or less) per ADS per calendar year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6"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76" w:lineRule="exact"/>
        <w:rPr>
          <w:sz w:val="20"/>
          <w:szCs w:val="20"/>
          <w:color w:val="auto"/>
        </w:rPr>
      </w:pPr>
    </w:p>
    <w:p>
      <w:pPr>
        <w:ind w:right="1800"/>
        <w:spacing w:after="0" w:line="418" w:lineRule="auto"/>
        <w:rPr>
          <w:sz w:val="20"/>
          <w:szCs w:val="20"/>
          <w:color w:val="auto"/>
        </w:rPr>
      </w:pPr>
      <w:r>
        <w:rPr>
          <w:rFonts w:ascii="Arial" w:cs="Arial" w:eastAsia="Arial" w:hAnsi="Arial"/>
          <w:sz w:val="18"/>
          <w:szCs w:val="18"/>
          <w:color w:val="auto"/>
        </w:rPr>
        <w:t>Converting foreign currency to U.S. dollars As necessary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6000" w:space="180"/>
            <w:col w:w="4940"/>
          </w:cols>
          <w:pgMar w:left="320" w:top="459" w:right="459" w:bottom="1440" w:gutter="0" w:footer="0" w:header="0"/>
        </w:sectPr>
      </w:pPr>
    </w:p>
    <w:p>
      <w:pPr>
        <w:ind w:left="120" w:right="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312" w:lineRule="auto"/>
        <w:rPr>
          <w:sz w:val="20"/>
          <w:szCs w:val="20"/>
          <w:color w:val="auto"/>
        </w:rPr>
      </w:pPr>
      <w:r>
        <w:rPr>
          <w:rFonts w:ascii="Arial" w:cs="Arial" w:eastAsia="Arial" w:hAnsi="Arial"/>
          <w:sz w:val="17"/>
          <w:szCs w:val="17"/>
          <w:color w:val="auto"/>
        </w:rPr>
        <w:t xml:space="preserve">depositary notifies ADS holders of the amendment. </w:t>
      </w:r>
      <w:r>
        <w:rPr>
          <w:rFonts w:ascii="Arial" w:cs="Arial" w:eastAsia="Arial" w:hAnsi="Arial"/>
          <w:sz w:val="17"/>
          <w:szCs w:val="17"/>
          <w:b w:val="1"/>
          <w:bCs w:val="1"/>
          <w:color w:val="auto"/>
        </w:rPr>
        <w:t>At the time an amendment becomes effective, you are considered, by continuing to hold your</w:t>
      </w:r>
      <w:r>
        <w:rPr>
          <w:rFonts w:ascii="Arial" w:cs="Arial" w:eastAsia="Arial" w:hAnsi="Arial"/>
          <w:sz w:val="17"/>
          <w:szCs w:val="17"/>
          <w:color w:val="auto"/>
        </w:rPr>
        <w:t xml:space="preserve"> </w:t>
      </w:r>
      <w:r>
        <w:rPr>
          <w:rFonts w:ascii="Arial" w:cs="Arial" w:eastAsia="Arial" w:hAnsi="Arial"/>
          <w:sz w:val="17"/>
          <w:szCs w:val="17"/>
          <w:b w:val="1"/>
          <w:bCs w:val="1"/>
          <w:color w:val="auto"/>
        </w:rPr>
        <w:t>ADSs, to agree to the amendment and to be bound by the ADRs and the deposit agreement as amended.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80" w:right="46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delist our ordinary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80" w:right="4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80" w:right="3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80" w:right="140" w:hanging="424"/>
        <w:spacing w:after="0" w:line="308" w:lineRule="auto"/>
        <w:tabs>
          <w:tab w:leader="none" w:pos="1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and the rules and regulations promulgated thereunder.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2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Prior to our initial public offering, there was no market for our ordinary shares or ADSs representing our ordinary shares. Future sales of substantial amounts of our ordinary shares or ADSs representing our ordinary shares in the public market, or the perception that such sales may occur, could adversely affect prevailing market prices of our ordinary shares or ADSs representing our ordinary shares.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226,779,744 ordinary shares that were outstanding on March 31, 2020, upon the closing of the Underwritten Offering, 238,173,455</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including 63,796,755 ADSs representing 63,796,755 of those ordinary shares, will be outstanding, and also including (i) the issuance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1,935,488 ADSs representing our ordinary shares in connection with our acquisition of Neon, (ii) the issuance of 1,580,777 of our ordinary shares in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private placement to Fosun Pharma for proceeds of €45.6 million ($50.0 million, using the exchange rate then in effect as published by the German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the issuance of 2,377,446 of our ordinary shares in a private placement to Pfizer for proceeds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€103.9 million ($113.0 million, using the exchange rate then in effect as published by the German Central Bank (</w:t>
      </w:r>
      <w:r>
        <w:rPr>
          <w:rFonts w:ascii="Arial" w:cs="Arial" w:eastAsia="Arial" w:hAnsi="Arial"/>
          <w:sz w:val="16"/>
          <w:szCs w:val="16"/>
          <w:i w:val="1"/>
          <w:iCs w:val="1"/>
          <w:color w:val="auto"/>
        </w:rPr>
        <w:t>Deutsche Bundesbank</w:t>
      </w:r>
      <w:r>
        <w:rPr>
          <w:rFonts w:ascii="Arial" w:cs="Arial" w:eastAsia="Arial" w:hAnsi="Arial"/>
          <w:sz w:val="16"/>
          <w:szCs w:val="16"/>
          <w:color w:val="auto"/>
        </w:rPr>
        <w:t>)). The 5,500,000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ADSs sold in the Underwritten Offering will be freely tradable without restriction or further registration under the Securities Act of 1933, as amended,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the Securities Act, except for any ADSs purchased by our “affiliates,” as that term is defined in Rule 144 under the Securities Act, or Rule 144, whose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sales would be subject to the Rule 144 resale restrictions described below. The 216,262,336 ordinary shares we issued prior to our initial public offering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only be sold in the public market if registered or sold pursuant to an exemption from registration, such as Rule 144 or Rule 701 under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 or Rule 701.</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general, under Rule 144, a person who is not an affiliate of ours and has held their ordinary shares for at least six months, including the holding period of any prior owner other than one of our affiliates, may sell those shares without restriction, subject to the availability of current public information about us. In addition, under Rule 144, any person who is not an affiliate of ours and has not been an affiliate of ours at any time during the preceding three months and has held their ordinary shares for at least one year, including the holding period of any prior owner other than one of our affiliates, would be entitled to sell an unlimited number of shares immediately upon the closing of the Underwritten Offering without regard to whether current public information about us is available.</w:t>
      </w:r>
    </w:p>
    <w:p>
      <w:pPr>
        <w:spacing w:after="0" w:line="19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 person who is an affiliate of ours or who was an affiliate of ours at any time during the preceding three months and who has beneficially owned restricted securities for at least six months, including the holding period of any prior owner other than one of our affiliates, is entitled to sell within any three-month period only a number of securities that does not exceed the greater of either of:</w:t>
      </w:r>
    </w:p>
    <w:p>
      <w:pPr>
        <w:spacing w:after="0" w:line="89" w:lineRule="exact"/>
        <w:rPr>
          <w:sz w:val="20"/>
          <w:szCs w:val="20"/>
          <w:color w:val="auto"/>
        </w:rPr>
      </w:pPr>
    </w:p>
    <w:p>
      <w:pPr>
        <w:ind w:left="1080" w:right="2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1% of the number of our ordinary shares then outstanding, including ordinary shares represented by ADSs, which will equal approximately 2,381,734 ordinary shares immediately after the Underwritten Offering;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the sale.</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Such sales both by affiliates and by non-affiliates must also comply with the manner-of-sale, current public information and notice provisions of Rule 144, to the extent applicable. Rule 144 also requires that affiliates relying on Rule 144 to sell securities that are not restricted securities must nonetheless comply with the same restrictions applicable to restricted securities, other than the holding period requirement.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Regulation S under the Securities Act provides that ordinary shares or ADSs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or ADSs may be sold outside the United States without registration in the United States being required.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under Rule 701, any of our employees, board members, executive management, consultants or advisors who purchased ordinary shares from us in connection with a compensatory share or option plan or other written agreement before the closing of the Underwritten Offering is entitled to resell such shares.</w:t>
      </w:r>
    </w:p>
    <w:p>
      <w:pPr>
        <w:spacing w:after="0" w:line="184"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Securities Exchange Act of 1934, as amended, along with the shares acquired upon exercise of such options, including exercises after the date of this prospectus. Securities issued in reliance on Rule 701 are restricted securities and may be sold in reliance on Rule 144 by:</w:t>
      </w:r>
    </w:p>
    <w:p>
      <w:pPr>
        <w:spacing w:after="0" w:line="54" w:lineRule="exact"/>
        <w:rPr>
          <w:sz w:val="20"/>
          <w:szCs w:val="20"/>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subject only to the manner-of-sale provisions of Rule 144;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For a description of the lock-up agreements that we, members of our Supervisory Board and Management Board and certain significant shareholders have entered into in connection with the Underwritten Offering, see “Underwriting.”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 and Form S-8 Registration Statement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of March 31, 2020, options to purchase a total of 16,338,305 ordinary shares were issued and outstanding. Of the total number of issued and outstanding options, 2,101,842 have vested. Certain of our ordinary shares issuable under these options are subject to contractual lock-up agreements with us or the underwriters. For a description of the lock-up agreements that we, members of our Supervisory Board and Management Board and certain significant shareholders have entered into in connection with the Underwritten Offering, see “Underwriting.”</w:t>
      </w:r>
    </w:p>
    <w:p>
      <w:pPr>
        <w:spacing w:after="0" w:line="17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to register ordinary shares, issued or reserved for issuance under the ESOP. The registration statement on Form S-8 will become effective automatically upon filing. 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90-day lock-up period in connection with the Underwritten Offering.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Taxation</w:t>
      </w:r>
    </w:p>
    <w:p>
      <w:pPr>
        <w:spacing w:after="0" w:line="12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following discussion addresses certain German tax consequences of acquiring, owning or disposing of the ADSs. With the exception of “— Taxation of Holders Tax Resident in Germany” below, which provides an overview of dividend taxation and of capital gains taxation with respect to holders that are residents of Germany, this discussion applies only to U.S. treaty beneficiaries (defined below) that acquire ADSs in the offering.</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discussion is based on domestic German tax laws, including, but not limited to, circulars issued by German tax authorities, which, e.g., are not binding on the German courts, and the Treaty (defined below). It is based upon tax laws in effect at the time of filing of this prospectus. These laws are subject to change, possibly with retroactive effect. For example, certain member states of the European Union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 In addition, in Germany, for example, there are currently ongoing discussions on an increase of the top tax rate, which may also have an effect on the German tax consequences of acquiring, owning and disposing of the ADSs. There is no assurance that German tax authorities will not challenge one or more of the tax consequences described in this section.</w:t>
      </w:r>
    </w:p>
    <w:p>
      <w:pPr>
        <w:spacing w:after="0" w:line="19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tax information presented in this prospectus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withheld. Only an individual tax consultation can appropriately account for the particular tax situation of each investor.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Based on the circular issued by the German Federal Ministry of Finance (</w:t>
      </w:r>
      <w:r>
        <w:rPr>
          <w:rFonts w:ascii="Arial" w:cs="Arial" w:eastAsia="Arial" w:hAnsi="Arial"/>
          <w:sz w:val="16"/>
          <w:szCs w:val="16"/>
          <w:i w:val="1"/>
          <w:iCs w:val="1"/>
          <w:color w:val="auto"/>
        </w:rPr>
        <w:t>BMF-Schreiben</w:t>
      </w:r>
      <w:r>
        <w:rPr>
          <w:rFonts w:ascii="Arial" w:cs="Arial" w:eastAsia="Arial" w:hAnsi="Arial"/>
          <w:sz w:val="16"/>
          <w:szCs w:val="16"/>
          <w:color w:val="auto"/>
        </w:rPr>
        <w:t>), dated May 24, 2013, reference number IV C 1-S2204/12/10003, as amended by the circular dated December 18, 2018 (reference number IV C 1 – S 2204/12/10003), in respect of the taxation of American Depositary Receipts, or ADRs, on domestic shares, or the ADR Tax Circular, for German tax purposes, the ADSs should represent a beneficial ownership interest in the underlying shares of BioNTech and qualify as ADRs for the purpose of the ADR Tax Circular. If the ADSs qualify as ADRs under the ADR Tax Circular, dividends will accordingly be attributable to holders of the ADSs for German tax purposes, and not to the legal owner of the ordinary shares (</w:t>
      </w:r>
      <w:r>
        <w:rPr>
          <w:rFonts w:ascii="Arial" w:cs="Arial" w:eastAsia="Arial" w:hAnsi="Arial"/>
          <w:sz w:val="16"/>
          <w:szCs w:val="16"/>
          <w:i w:val="1"/>
          <w:iCs w:val="1"/>
          <w:color w:val="auto"/>
        </w:rPr>
        <w:t>i.e</w:t>
      </w:r>
      <w:r>
        <w:rPr>
          <w:rFonts w:ascii="Arial" w:cs="Arial" w:eastAsia="Arial" w:hAnsi="Arial"/>
          <w:sz w:val="16"/>
          <w:szCs w:val="16"/>
          <w:color w:val="auto"/>
        </w:rPr>
        <w:t>., the financial institution on behalf of which the ordinary shares are stored at a domestic depository for the ADS holders). Furthermore, holders of the ADSs should, in light of the ADR Tax Circular,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e.g., binding on German courts, including German tax courts, and it is unclear whether a German court would follow the ADR Tax Circular in determining the German tax treatment of the ADSs. For the purpose of this German tax section, it is assumed that the ADSs qualify as ADRs within the meaning of the ADR Tax Circular.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Holders Not Tax Resident in Germany</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discussion describes selected German tax consequences of acquiring, owning and disposing of the ADSs to a holder that is a U.S. treaty beneficiary. For purposes of this discussion, a “U.S. treaty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beneficiary” is a resident of the United States for purposes of the Convention between the Federal Republic of Germany and United States of America for the Avoidance of Double Taxation and the Prevention of Fiscal Evasion with respect to Taxes on Income and on Capital and Certain Other Taxes of 1989, as amended by the Protocol as of June 4, 2008 (</w:t>
      </w:r>
      <w:r>
        <w:rPr>
          <w:rFonts w:ascii="Arial" w:cs="Arial" w:eastAsia="Arial" w:hAnsi="Arial"/>
          <w:sz w:val="18"/>
          <w:szCs w:val="18"/>
          <w:i w:val="1"/>
          <w:iCs w:val="1"/>
          <w:color w:val="auto"/>
        </w:rPr>
        <w:t>Abkommen zwischen der Bundesrepublik Deutschland und den Vereinigten Staaten von Amerika</w:t>
      </w:r>
      <w:r>
        <w:rPr>
          <w:rFonts w:ascii="Arial" w:cs="Arial" w:eastAsia="Arial" w:hAnsi="Arial"/>
          <w:sz w:val="18"/>
          <w:szCs w:val="18"/>
          <w:color w:val="auto"/>
        </w:rPr>
        <w:t xml:space="preserve"> </w:t>
      </w:r>
      <w:r>
        <w:rPr>
          <w:rFonts w:ascii="Arial" w:cs="Arial" w:eastAsia="Arial" w:hAnsi="Arial"/>
          <w:sz w:val="18"/>
          <w:szCs w:val="18"/>
          <w:i w:val="1"/>
          <w:iCs w:val="1"/>
          <w:color w:val="auto"/>
        </w:rPr>
        <w:t>zur Vermeidung der Doppelbesteuerung und zur Verhinderung der Steuerverkürzung auf dem Gebiet der Steuern vom Einkommen und vom Vermögen und einiger anderer Steuern in der Fassung vom 4. Juni 2008</w:t>
      </w:r>
      <w:r>
        <w:rPr>
          <w:rFonts w:ascii="Arial" w:cs="Arial" w:eastAsia="Arial" w:hAnsi="Arial"/>
          <w:sz w:val="18"/>
          <w:szCs w:val="18"/>
          <w:color w:val="auto"/>
        </w:rPr>
        <w:t>), hereinafter referred to as the “Treaty,” who is eligible for relevant benefits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131"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U.S. tax resident corporation or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 subject to the limitation on benefits (</w:t>
      </w:r>
      <w:r>
        <w:rPr>
          <w:rFonts w:ascii="Arial" w:cs="Arial" w:eastAsia="Arial" w:hAnsi="Arial"/>
          <w:sz w:val="18"/>
          <w:szCs w:val="18"/>
          <w:i w:val="1"/>
          <w:iCs w:val="1"/>
          <w:color w:val="auto"/>
        </w:rPr>
        <w:t>i.e.</w:t>
      </w:r>
      <w:r>
        <w:rPr>
          <w:rFonts w:ascii="Arial" w:cs="Arial" w:eastAsia="Arial" w:hAnsi="Arial"/>
          <w:sz w:val="18"/>
          <w:szCs w:val="18"/>
          <w:color w:val="auto"/>
        </w:rPr>
        <w:t>, anti-treaty shopping) article of the Treaty that applies in limited circumstances.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Rules for the Taxation of Holders Not Tax Resident in Germany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Non-German resident holders of ADSs are subject to German taxation with respect to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 of the ADSs for German tax purposes. As a consequence, income from the ADSs should be treated as German source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Withholding Taxation of Dividends of the U.S. Treaty Beneficiaries of the ADSs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The basis for the withholding tax is the dividend approved for distribution by our general shareholder’s meeting.</w:t>
      </w:r>
    </w:p>
    <w:p>
      <w:pPr>
        <w:spacing w:after="0" w:line="18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German withholding tax is withheld and remitted to the German tax authorities by (i) the disbursing agent (</w:t>
      </w:r>
      <w:r>
        <w:rPr>
          <w:rFonts w:ascii="Arial" w:cs="Arial" w:eastAsia="Arial" w:hAnsi="Arial"/>
          <w:sz w:val="16"/>
          <w:szCs w:val="16"/>
          <w:i w:val="1"/>
          <w:iCs w:val="1"/>
          <w:color w:val="auto"/>
        </w:rPr>
        <w:t>i.e.</w:t>
      </w:r>
      <w:r>
        <w:rPr>
          <w:rFonts w:ascii="Arial" w:cs="Arial" w:eastAsia="Arial" w:hAnsi="Arial"/>
          <w:sz w:val="16"/>
          <w:szCs w:val="16"/>
          <w:color w:val="auto"/>
        </w:rPr>
        <w:t>, the German credit institution, financial services institution, securities trading enterprise or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and in each case including a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Arial" w:cs="Arial" w:eastAsia="Arial" w:hAnsi="Arial"/>
          <w:sz w:val="16"/>
          <w:szCs w:val="16"/>
          <w:i w:val="1"/>
          <w:iCs w:val="1"/>
          <w:color w:val="auto"/>
        </w:rPr>
        <w:t>Wertpapiersammelbank</w:t>
      </w:r>
      <w:r>
        <w:rPr>
          <w:rFonts w:ascii="Arial" w:cs="Arial" w:eastAsia="Arial" w:hAnsi="Arial"/>
          <w:sz w:val="16"/>
          <w:szCs w:val="16"/>
          <w:color w:val="auto"/>
        </w:rPr>
        <w:t>) in terms of the German Depositary Act (</w:t>
      </w:r>
      <w:r>
        <w:rPr>
          <w:rFonts w:ascii="Arial" w:cs="Arial" w:eastAsia="Arial" w:hAnsi="Arial"/>
          <w:sz w:val="16"/>
          <w:szCs w:val="16"/>
          <w:i w:val="1"/>
          <w:iCs w:val="1"/>
          <w:color w:val="auto"/>
        </w:rPr>
        <w:t>Depotgesetz</w:t>
      </w:r>
      <w:r>
        <w:rPr>
          <w:rFonts w:ascii="Arial" w:cs="Arial" w:eastAsia="Arial" w:hAnsi="Arial"/>
          <w:sz w:val="16"/>
          <w:szCs w:val="16"/>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Dividend payments, to the extent funded from BioNTech’s tax-recognized contribution account (</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do not, subject to certain prerequisites, form part of the taxable dividend income but should lower the holder’s acquisition costs for the ADSs.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Pursuant to the Treaty, the German withholding tax may generally not exceed (i) 15% of the gross amount of the dividends received by a U.S. treaty beneficiary other than a company holding ADSs which represent 10% 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However, it should be noted that there is uncertainty as to how the German tax authorities will apply the refund process to dividends on the ADSs with respect to non-German resident holders. Further, such refund is subject to the German anti-avoidance treaty shopping rule (as described below in “—Withholding Tax Refund for U.S. Treaty Beneficiaries”).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Withholding Taxation of Capital Gains of the U.S. Treaty Beneficiaries of the ADSs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Qualifying Participation. A Qualifying Participation exists if a holder at any time during the five years preceding the disposition, directly or indirectly, owned at least 1% of BioNTech’s share capital, irrespective of whether through the ADSs or shares of BioNTech. If such holder had acquired the ADSs without consideration, the previous owner’s holding period and quota would be taken into account.</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Pursuant to the Treaty, capital gains from the disposal of a Qualifying Participation realized by a U.S. treaty beneficiary are, however, generally exempt from German taxation. Pursuant to the Treaty, U.S. treaty beneficiaries are not subject to German tax in relation to capital gains from the disposal of a Qualifying Participation even under the circumstances described in the preceding paragraph and therefore should not be subject to German taxation on capital gains from the disposition of the ADSs.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German statutory law requires the disbursing agent to levy withholding tax on capital gains from the sale of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ADSs in custody or administers the ADSs for the investor or conducts sales or other dispositions and disburses or credits the income from the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7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However, a circular issued by the German Federal Ministry of Finance, dated January 18, 2016, reference number IV C 1-S2252/08/10004 :017, as most recently amended by circular dated September 16, 2019, reference number IV C 1-S2252/08/10004 :027,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at least 1% of the share capital of a German corporation.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 agent did not follow the abovementioned guidance. In this case, the U.S. treaty beneficiary may be entitled to claim a refund of the withholding tax from</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German tax authorities under the Treaty, as described below in “—Withholding Tax Refund for U.S. Treaty Beneficiaries.” A refund of taxes withheld on capital gains from the disposition of the ADSs which do not qualify as Qualifying Participations may also be claimed based on German statutory domestic law.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Withholding Tax Refund for U.S. Treaty Beneficiaries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U.S. treaty beneficiaries are generally eligible for treaty benefits under the Treaty, as described above in “—Taxation of Holders Not Tax Resident in Germany.” Accordingly, U.S. treaty beneficiaries are in general entitled to claim a refund of (i) the portion of the otherwise applicable 26.375%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dividends that exceeds the applicable Treaty rate and (ii) the full amount of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capital gains from the disposition of ADSs. The application for such claim is generally to be filed with the Federal Central Office of Taxation (</w:t>
      </w:r>
      <w:r>
        <w:rPr>
          <w:rFonts w:ascii="Arial" w:cs="Arial" w:eastAsia="Arial" w:hAnsi="Arial"/>
          <w:sz w:val="18"/>
          <w:szCs w:val="18"/>
          <w:i w:val="1"/>
          <w:iCs w:val="1"/>
          <w:color w:val="auto"/>
        </w:rPr>
        <w:t>Bundeszentralamt für Steuern</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w:t>
      </w:r>
    </w:p>
    <w:p>
      <w:pPr>
        <w:spacing w:after="0" w:line="18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general, as previously discussed, investors should note that it is unclear how the German tax administration will apply the refund process to dividends on the ADSs. 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6"/>
          <w:szCs w:val="16"/>
          <w:i w:val="1"/>
          <w:iCs w:val="1"/>
          <w:color w:val="auto"/>
        </w:rPr>
        <w:t>Investmentsteuergesetz</w:t>
      </w:r>
      <w:r>
        <w:rPr>
          <w:rFonts w:ascii="Arial" w:cs="Arial" w:eastAsia="Arial" w:hAnsi="Arial"/>
          <w:sz w:val="16"/>
          <w:szCs w:val="16"/>
          <w:color w:val="auto"/>
        </w:rPr>
        <w:t>). Whether or not and to which extent the anti-avoidance 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17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Due to the legal structure of the ADSs, only limited guidance from the German tax authorities exists on the practical application of the procedure with respect to the ADSs and the respective limitations.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Recently, the German tax authorities have indicated that for ADR programs (which are considered comparable to ADS programs) a collective tax certificate may no longer be issued by the domestic depositary of the shares upon request of the foreign depositary agents. Moreover, the simplified refund procedure based on electronic data exchange (</w:t>
      </w:r>
      <w:r>
        <w:rPr>
          <w:rFonts w:ascii="Arial" w:cs="Arial" w:eastAsia="Arial" w:hAnsi="Arial"/>
          <w:sz w:val="18"/>
          <w:szCs w:val="18"/>
          <w:i w:val="1"/>
          <w:iCs w:val="1"/>
          <w:color w:val="auto"/>
        </w:rPr>
        <w:t>Datenträgerverfahren</w:t>
      </w:r>
      <w:r>
        <w:rPr>
          <w:rFonts w:ascii="Arial" w:cs="Arial" w:eastAsia="Arial" w:hAnsi="Arial"/>
          <w:sz w:val="18"/>
          <w:szCs w:val="18"/>
          <w:color w:val="auto"/>
        </w:rPr>
        <w:t>) for claims for reimbursement based on ADRs has been temporarily suspended by the tax authorities.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Holders Tax Resident in Germany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subsection provides an overview of dividend taxation and of capital gains taxation with regard to the general principles applicable to ADS holders that are tax resident in Germany. A holder is a German tax resident if, in case of an individual, he or she maintains a domicile (</w:t>
      </w:r>
      <w:r>
        <w:rPr>
          <w:rFonts w:ascii="Arial" w:cs="Arial" w:eastAsia="Arial" w:hAnsi="Arial"/>
          <w:sz w:val="18"/>
          <w:szCs w:val="18"/>
          <w:i w:val="1"/>
          <w:iCs w:val="1"/>
          <w:color w:val="auto"/>
        </w:rPr>
        <w:t>Wohnsitz</w:t>
      </w:r>
      <w:r>
        <w:rPr>
          <w:rFonts w:ascii="Arial" w:cs="Arial" w:eastAsia="Arial" w:hAnsi="Arial"/>
          <w:sz w:val="18"/>
          <w:szCs w:val="18"/>
          <w:color w:val="auto"/>
        </w:rPr>
        <w:t>) or a usual residence (</w:t>
      </w:r>
      <w:r>
        <w:rPr>
          <w:rFonts w:ascii="Arial" w:cs="Arial" w:eastAsia="Arial" w:hAnsi="Arial"/>
          <w:sz w:val="18"/>
          <w:szCs w:val="18"/>
          <w:i w:val="1"/>
          <w:iCs w:val="1"/>
          <w:color w:val="auto"/>
        </w:rPr>
        <w:t>gewöhnlicher Aufenthalt</w:t>
      </w:r>
      <w:r>
        <w:rPr>
          <w:rFonts w:ascii="Arial" w:cs="Arial" w:eastAsia="Arial" w:hAnsi="Arial"/>
          <w:sz w:val="18"/>
          <w:szCs w:val="18"/>
          <w:color w:val="auto"/>
        </w:rPr>
        <w:t>) in Germany or if, in case of a corporation, it has its place of management (</w:t>
      </w:r>
      <w:r>
        <w:rPr>
          <w:rFonts w:ascii="Arial" w:cs="Arial" w:eastAsia="Arial" w:hAnsi="Arial"/>
          <w:sz w:val="18"/>
          <w:szCs w:val="18"/>
          <w:i w:val="1"/>
          <w:iCs w:val="1"/>
          <w:color w:val="auto"/>
        </w:rPr>
        <w:t>Geschäftsleitung</w:t>
      </w:r>
      <w:r>
        <w:rPr>
          <w:rFonts w:ascii="Arial" w:cs="Arial" w:eastAsia="Arial" w:hAnsi="Arial"/>
          <w:sz w:val="18"/>
          <w:szCs w:val="18"/>
          <w:color w:val="auto"/>
        </w:rPr>
        <w:t>) or registered seat (Sitz) in Germany.</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such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 as Private Assets (Privatvermögen)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ADSs are held as private assets by a German tax resident, dividends and capital gains (other than capital gains from the disposition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Qualifying Participation) are taxed as investment income and are principally subject to 25% German flat income tax on capital income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Abgeltungsteuer</w:t>
      </w:r>
      <w:r>
        <w:rPr>
          <w:rFonts w:ascii="Arial" w:cs="Arial" w:eastAsia="Arial" w:hAnsi="Arial"/>
          <w:sz w:val="16"/>
          <w:szCs w:val="16"/>
          <w:color w:val="auto"/>
        </w:rPr>
        <w:t>) (plus a 5.5%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thereon, resulting in an aggregate rate of 26.375%), which is levied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 of withholding tax (</w:t>
      </w:r>
      <w:r>
        <w:rPr>
          <w:rFonts w:ascii="Arial" w:cs="Arial" w:eastAsia="Arial" w:hAnsi="Arial"/>
          <w:sz w:val="16"/>
          <w:szCs w:val="16"/>
          <w:i w:val="1"/>
          <w:iCs w:val="1"/>
          <w:color w:val="auto"/>
        </w:rPr>
        <w:t>Kapitalertragsteuer</w:t>
      </w:r>
      <w:r>
        <w:rPr>
          <w:rFonts w:ascii="Arial" w:cs="Arial" w:eastAsia="Arial" w:hAnsi="Arial"/>
          <w:sz w:val="16"/>
          <w:szCs w:val="16"/>
          <w:color w:val="auto"/>
        </w:rPr>
        <w:t>). In other words, once deducted, the holder’s income tax liability on the dividends will be settled. Dividend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payments to the extent funded from BioNTech’s tax-recognized contribution account (</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do not, subject to certain prerequisites,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 part of the taxable dividend income but lower the holder’s acquisition costs for the ADSs.</w:t>
      </w:r>
    </w:p>
    <w:p>
      <w:pPr>
        <w:spacing w:after="0" w:line="21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Holders of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ADSs), less the saver’s allowance of €801 for an individual or €1,602 for a married couple and a registered civil union (</w:t>
      </w:r>
      <w:r>
        <w:rPr>
          <w:rFonts w:ascii="Arial" w:cs="Arial" w:eastAsia="Arial" w:hAnsi="Arial"/>
          <w:sz w:val="17"/>
          <w:szCs w:val="17"/>
          <w:i w:val="1"/>
          <w:iCs w:val="1"/>
          <w:color w:val="auto"/>
        </w:rPr>
        <w:t>eingetragene Lebenspartnerschaft</w:t>
      </w:r>
      <w:r>
        <w:rPr>
          <w:rFonts w:ascii="Arial" w:cs="Arial" w:eastAsia="Arial" w:hAnsi="Arial"/>
          <w:sz w:val="17"/>
          <w:szCs w:val="17"/>
          <w:color w:val="auto"/>
        </w:rPr>
        <w:t>) filing taxes jointly. The deduction of expenses related to the investment income (including dividends or gains with respect to ADSs) is generally not possible for private investors.</w:t>
      </w:r>
    </w:p>
    <w:p>
      <w:pPr>
        <w:spacing w:after="0" w:line="176"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Losses resulting from the disposal of ADSs can only be offset against capital gains from the sale of any shares (</w:t>
      </w:r>
      <w:r>
        <w:rPr>
          <w:rFonts w:ascii="Arial" w:cs="Arial" w:eastAsia="Arial" w:hAnsi="Arial"/>
          <w:sz w:val="16"/>
          <w:szCs w:val="16"/>
          <w:i w:val="1"/>
          <w:iCs w:val="1"/>
          <w:color w:val="auto"/>
        </w:rPr>
        <w:t>Aktien</w:t>
      </w:r>
      <w:r>
        <w:rPr>
          <w:rFonts w:ascii="Arial" w:cs="Arial" w:eastAsia="Arial" w:hAnsi="Arial"/>
          <w:sz w:val="16"/>
          <w:szCs w:val="16"/>
          <w:color w:val="auto"/>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Church tax generally has to be withheld, if applicable, based on an automatic data access procedure, unless the holder of ADSs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 Where church tax is not levied by way of withholding, it is determined by means of income tax assessment.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 as Business Assets (Betriebsvermögen)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case the ADSs are held as business assets, the taxation depends on the legal form of the holder (</w:t>
      </w:r>
      <w:r>
        <w:rPr>
          <w:rFonts w:ascii="Arial" w:cs="Arial" w:eastAsia="Arial" w:hAnsi="Arial"/>
          <w:sz w:val="18"/>
          <w:szCs w:val="18"/>
          <w:i w:val="1"/>
          <w:iCs w:val="1"/>
          <w:color w:val="auto"/>
        </w:rPr>
        <w:t>i.e.</w:t>
      </w:r>
      <w:r>
        <w:rPr>
          <w:rFonts w:ascii="Arial" w:cs="Arial" w:eastAsia="Arial" w:hAnsi="Arial"/>
          <w:sz w:val="18"/>
          <w:szCs w:val="18"/>
          <w:color w:val="auto"/>
        </w:rPr>
        <w:t>, whether the holder is a corporation or an individual).</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w:t>
      </w:r>
    </w:p>
    <w:p>
      <w:pPr>
        <w:spacing w:after="0" w:line="18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 the extent the amount withheld exceeds the income tax liability, the withholding tax will be refunded, provided that certain requirements are met (including the aforementioned requirements).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Special rules apply to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and pension funds.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principle, dividends that a corporation receives from German or foreign corporations are subject to corporate tax (and solidarity surcharge thereon) at a rate of 15.825% and also subject to trade tax of between 7.0% and generally 19.0%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inter alia, if the holder held at least 10% of the registered share capital (</w:t>
      </w:r>
      <w:r>
        <w:rPr>
          <w:rFonts w:ascii="Arial" w:cs="Arial" w:eastAsia="Arial" w:hAnsi="Arial"/>
          <w:sz w:val="17"/>
          <w:szCs w:val="17"/>
          <w:i w:val="1"/>
          <w:iCs w:val="1"/>
          <w:color w:val="auto"/>
        </w:rPr>
        <w:t>Grundkapital oder Stammkapital</w:t>
      </w:r>
      <w:r>
        <w:rPr>
          <w:rFonts w:ascii="Arial" w:cs="Arial" w:eastAsia="Arial" w:hAnsi="Arial"/>
          <w:sz w:val="17"/>
          <w:szCs w:val="17"/>
          <w:color w:val="auto"/>
        </w:rPr>
        <w:t>) of BioNTech at the beginning of the calendar year, or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the respective partner only on a pro rata basis at the ratio of its entitlement to the profits of the partnership.</w:t>
      </w:r>
    </w:p>
    <w:p>
      <w:pPr>
        <w:spacing w:after="0" w:line="18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Further, capital gains and dividend income of a German tax resident corporation are generally subject to German trade tax. The aforementioned 95% exemption for capital gains generally applies also for trade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However, the amount of any dividends after deducting business expenses related to the dividends is not subject to trade tax if the corporation held at least 15% of BioNTech’s registered share capital at the beginning of the relevant tax assessment period. In the latter case, the aforementioned exemption of 95% of the dividend income also applies for trade tax purposes. Losses from the sale of ADSs are generally not tax deductible for corporate income tax and trade tax purposes.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 income tax purposes.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Inheritance and Gift Tax (Erbschaft- und Schenkungsteuer)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of ADSs to another person by inheritance or gift generally should be subject to German inheritance and gift tax only if:</w:t>
      </w:r>
    </w:p>
    <w:p>
      <w:pPr>
        <w:spacing w:after="0" w:line="131" w:lineRule="exact"/>
        <w:rPr>
          <w:sz w:val="20"/>
          <w:szCs w:val="20"/>
          <w:color w:val="auto"/>
        </w:rPr>
      </w:pPr>
    </w:p>
    <w:p>
      <w:pPr>
        <w:ind w:left="540" w:hanging="424"/>
        <w:spacing w:after="0" w:line="254"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decedent or donor or heir, beneficiary or other transferee (a) maintained his or her domicile or a usual residence in Germany, (b) had its place of management or registered office in Germany at the time of the 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100"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 the time of the transfer, the ADSs are held by the decedent or donor as business assets forming part of a permanent establishment in Germany or for which a permanent representative in Germany has been appointed; or</w:t>
      </w:r>
    </w:p>
    <w:p>
      <w:pPr>
        <w:spacing w:after="0" w:line="75" w:lineRule="exact"/>
        <w:rPr>
          <w:rFonts w:ascii="Arial" w:cs="Arial" w:eastAsia="Arial" w:hAnsi="Arial"/>
          <w:sz w:val="18"/>
          <w:szCs w:val="18"/>
          <w:color w:val="auto"/>
        </w:rPr>
      </w:pPr>
    </w:p>
    <w:p>
      <w:pPr>
        <w:ind w:left="540" w:right="140" w:hanging="424"/>
        <w:spacing w:after="0" w:line="308" w:lineRule="auto"/>
        <w:tabs>
          <w:tab w:leader="none" w:pos="5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4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8"/>
          <w:szCs w:val="18"/>
          <w:i w:val="1"/>
          <w:iCs w:val="1"/>
          <w:color w:val="auto"/>
        </w:rPr>
        <w:t>Abkommen zwischen der Bundesrepublik Deutschland und den Vereinigten Staaten von</w:t>
      </w:r>
      <w:r>
        <w:rPr>
          <w:rFonts w:ascii="Arial" w:cs="Arial" w:eastAsia="Arial" w:hAnsi="Arial"/>
          <w:sz w:val="18"/>
          <w:szCs w:val="18"/>
          <w:color w:val="auto"/>
        </w:rPr>
        <w:t xml:space="preserve"> </w:t>
      </w:r>
      <w:r>
        <w:rPr>
          <w:rFonts w:ascii="Arial" w:cs="Arial" w:eastAsia="Arial" w:hAnsi="Arial"/>
          <w:sz w:val="18"/>
          <w:szCs w:val="18"/>
          <w:i w:val="1"/>
          <w:iCs w:val="1"/>
          <w:color w:val="auto"/>
        </w:rPr>
        <w:t>Amerika zur Vermeidung der Doppelbesteuerung auf dem Gebiet der Nachlass-, Erbschaft- und Schenkungssteuern in der Fassung vom 21. Dezember 2000</w:t>
      </w:r>
      <w:r>
        <w:rPr>
          <w:rFonts w:ascii="Arial" w:cs="Arial" w:eastAsia="Arial" w:hAnsi="Arial"/>
          <w:sz w:val="18"/>
          <w:szCs w:val="18"/>
          <w:color w:val="auto"/>
        </w:rPr>
        <w:t>), hereinafter referred to as the “United States-Germany Inheritance and Gifts Tax Treaty,” provides that the German inheritance tax or gift tax can,</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restrictions, only be levied in the cases of (i) and (ii) above. Special provisions apply to certain German citizens living outside of Germany and former German citizens.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 German transfer tax, value-added tax, stamp duty or similar taxes are assessed on the purchase, sale or other transfer of ADSs. Provided that certain requirements are met, an entrepreneur may, however, opt for value-added tax on transactions that are otherwise tax-exempt.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imposed in Germany.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discussion describes material U.S. federal income tax considerations relating to the acquisition, ownership and disposition of ADSs by a U.S. Holder (as defined below) that acquires the ADSs representing our ordinary shares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purposes of this discussion, a “U.S. Holder” is a beneficial owner of the ADSs representing our ordinary shares that, for U.S. federal income tax purposes, is:</w:t>
      </w:r>
    </w:p>
    <w:p>
      <w:pPr>
        <w:spacing w:after="0" w:line="76"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domestic corporation (or other entity taxable as a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have the authority to control all substantial decisions of the trust or (ii) a valid election under the Treasury regulations is in effect for the trust to be treated as a U.S. person.</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pass-through entities, corporations that accumulate earnings to avoid U.S. federal income tax, tax-exempt organizations, pension plans, persons that hold more than 10% of our stock (by vote or by value), persons that hold the ADSs representing our ordinary shares as part of a straddle, hedge or other integrated investment, persons subject to alternative minimum tax or whose “functional currency” is not the U.S. dollar).</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the ADSs representing our ordinary shares,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general, and taking into account the earlier assumptions, for U.S. federal income tax purposes, a holder of ADSs will be treated as the owner of the shares represented by those ADSs. Exchanges of shares for ADSs, and ADSs for shares, generally will not be subject to U.S. federal income or to German tax.</w:t>
      </w:r>
    </w:p>
    <w:p>
      <w:pPr>
        <w:spacing w:after="0" w:line="292"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 U.S. Holder must include any German tax withheld from the dividend payment, as described above under “—German Taxation—General Rules for the Taxation of Holders Not Tax Resident in Germany,” in the gross amount of dividend paid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To the extent a distribution with respect to ADSs exceeds our current or accumulated earnings and profits, as determined under U.S. federal income tax principles, the distribution will be treated, first, as a tax-free return of the U.S. Holder’s investment, up to the holder’s adjusted tax basis in its ADSs, and, thereafter, as capital gain, which is subject to the tax treatment described below in “—Gain on Sale, Exchange or Other Taxable Disposition.”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Subject to certain limitations, the German tax withheld in accordance with the Treaty and paid over to the German taxing authority will be creditable or deductible against a U.S. Holder’s U.S. federal income tax liability. To the extent a 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Sale, Exchange or Other Taxable Disposition</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Long-term capital gains of non-corporate U.S. Holders are generally taxed at preferential rates. The gain or loss generally will be income or loss from sources within the United States for foreign tax credit limitation purposes. A U.S. Holder’s ability to deduct capital losses is subject to limitations.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We do not believe that we should be treated as, and do not expect to become, a PFIC. Because the determination of our PFIC status is made annually based on the factual tests described below, however, we cannot provide any assurances regarding our PFIC status for the current or future taxable years or that the IRS will agree with our conclusion regarding our PFIC status.</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If we were classified as a PFIC in any taxable year, a U.S. Holder would be subject to special rules with respect to distributions on and sales, exchanges and other dispositions of the ADSs. We will be treated as a PFIC for any taxable year in which at least 75% of our gross income is “passive income” or at least 50%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If we were a PFIC with respect to a U.S. Holder, then unless such U.S. Holder makes one of the elections described below, a special tax regime would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w:t>
      </w:r>
    </w:p>
    <w:p>
      <w:pPr>
        <w:spacing w:after="0" w:line="2" w:lineRule="exact"/>
        <w:rPr>
          <w:sz w:val="20"/>
          <w:szCs w:val="20"/>
          <w:color w:val="auto"/>
        </w:rPr>
      </w:pPr>
    </w:p>
    <w:p>
      <w:pPr>
        <w:ind w:left="120" w:hanging="4"/>
        <w:spacing w:after="0" w:line="268" w:lineRule="auto"/>
        <w:tabs>
          <w:tab w:leader="none" w:pos="38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any gain realized on the sale or other disposition of the ADSs. Under this regime, any excess distribution and realized gain will be treated as ordinary income and will be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If we were determined to be a PFIC, this tax treatment for U.S. Holders would apply also to indirect distributions and gains deemed realized by U.S. Holders in respect of stock of any of our subsidiaries determined to be PFICs. In addition, dividend distributions would not qualify for the lower rates of taxation applicable to long-term capital gains discussed above under “—Taxation of Dividends.”</w:t>
      </w:r>
    </w:p>
    <w:p>
      <w:pPr>
        <w:spacing w:after="0" w:line="18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U.S. Holder that holds the ADSs at any time during a taxable year in which we are classified as a PFIC generally will be required to continue to treat such ADSs as ADSs in a PFIC, even if we no longer satisfy the income and asset tests described above, unless the U.S. Holder elects to recognize gain, which will be taxed under the excess distribution rules as if such ADSs had been sold on the last day of the last taxable year for which we were a PFIC.</w:t>
      </w:r>
    </w:p>
    <w:p>
      <w:pPr>
        <w:spacing w:after="0" w:line="187"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Certain elections may be available to a U.S. Holder if we were a PFIC that might alleviate some of the adverse consequences of PFIC status and would result in an alternative treatment of the ADSs.</w:t>
      </w:r>
    </w:p>
    <w:p>
      <w:pPr>
        <w:spacing w:after="0" w:line="278"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U.S. Holders are urged to consult their tax advisors as to our status as a PFIC, and the tax consequences to them if we were a PFIC, including the reporting requirements and the desirability of making, and the availability of, a qualified electing fund election or a mark-to-market election with respect to the ADSs.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Investment Income Tax</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Non-corporate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 encouraged to consult its tax advisors regarding the applicability of this net investment income tax to its income and gains in respect of any investment in ADSs.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 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Backup withholding is not an additional tax. A U.S. Holder generally may obtain a refund of any amounts withheld under the backup withholding rules that exceed the U.S. Holder’s income tax liability by filing a refund claim with the IRS.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060"/>
          </w:cols>
          <w:pgMar w:left="320" w:top="459" w:right="5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offering ordinary shares represented by ADSs described in this prospectus through a number of underwriters. J.P. Morgan Securities LLC, BofA Securities, Inc. and Berenberg Capital Markets LLC are acting as representatives of the underwriters. We and the Selling Shareholder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16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8"/>
        </w:trPr>
        <w:tc>
          <w:tcPr>
            <w:tcW w:w="6440" w:type="dxa"/>
            <w:vAlign w:val="bottom"/>
            <w:gridSpan w:val="3"/>
            <w:vMerge w:val="continue"/>
          </w:tcPr>
          <w:p>
            <w:pPr>
              <w:spacing w:after="0"/>
              <w:rPr>
                <w:sz w:val="13"/>
                <w:szCs w:val="13"/>
                <w:color w:val="auto"/>
              </w:rPr>
            </w:pPr>
          </w:p>
        </w:tc>
        <w:tc>
          <w:tcPr>
            <w:tcW w:w="10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1,915,100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1,689,600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Berenberg Capital Markets LLC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COMMERZBANK Aktiengesellschaft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Bryan, Garnier &amp; Co. Limited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underwriters are committed to purchase all the ADSs offered by us if they purchase any ADSs. The underwriting agreement also provides that if an underwriter defaults, the purchase commitments of non-defaulting underwriters may also be increased or the Underwritten Offering may be terminated.</w:t>
      </w:r>
    </w:p>
    <w:p>
      <w:pPr>
        <w:spacing w:after="0" w:line="184"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The underwriters propose to offer the ADSs directly to the public at the public offering price set forth on the cover page of this prospectus and to certain dealers at that price less a concession not in excess of $2.89596 per ADS. After the initial offering of the ADSs to the public, if all of the ADSs are not sold at the public offering price, the underwriters may change the offering price and the other selling terms. Sales of ADSs made outside of the United States may be made by affiliates of the underwriters.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underwriters have an option to buy up to 825,000 additional ADSs from the Selling Shareholder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reasons of German law, Joh. Berenberg, Gossler &amp; Co. KG will initially subscribe for all of the new ordinary shares represented by the new ADSs on behalf of and for the account of the underwriters, at an issue price of €1.00 per new ordinary share. This issue price will be credited against the amount due from the underwriters at closing.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underwriting fee is equal to the public offering price per ADS less the amount paid by the underwriters to us per ADS. The underwriting fee is $5.29161 per ADS for the ADSs offered by us and $0.23250 per ADS for the ADSs offered by the Selling Shareholder. The following table shows the per ADS and total underwriting discounts and commissions to be paid to the underwriters assuming both no exercise and full exercise of the underwriters’ option to purchase additional ADSs.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Without exercise of the</w:t>
            </w: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With full exercise of</w:t>
            </w:r>
          </w:p>
        </w:tc>
      </w:tr>
      <w:tr>
        <w:trPr>
          <w:trHeight w:val="148"/>
        </w:trPr>
        <w:tc>
          <w:tcPr>
            <w:tcW w:w="27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13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option to purchase</w:t>
            </w:r>
          </w:p>
        </w:tc>
      </w:tr>
      <w:tr>
        <w:trPr>
          <w:trHeight w:val="171"/>
        </w:trPr>
        <w:tc>
          <w:tcPr>
            <w:tcW w:w="2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additional ADSs</w:t>
            </w: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additional ADSs</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5.29161</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4.63173</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29,103,855.00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29,295,668.00</w:t>
            </w:r>
          </w:p>
        </w:tc>
      </w:tr>
    </w:tbl>
    <w:p>
      <w:pPr>
        <w:spacing w:after="0" w:line="18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estimate that the total expenses of the Global Offering, including registration, filing and listing fees, printing fees and legal and accounting expenses, but excluding the underwriting discounts and commissions, will be approximately $4.4 million. We have agreed to reimburse the underwriters up to $40,000 for expenses relating to clearance of the Underwritten Offering with the Financial Industry Regulatory Authority.</w:t>
      </w:r>
    </w:p>
    <w:p>
      <w:pPr>
        <w:spacing w:after="0" w:line="14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Underwritten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ordinary shares or ADSs representing our ordinary shares or securities convertible into or exchangeable or exercisable for any of our ordinary shares or ADSs representing our ordinary shares, or publicly disclose the intention to undertake any of the foregoing, or (ii) enter into any swap or other agreement that transfers, in whole or in part, any of the economic consequences of ownership of any ADSs representing our ordinary shares, ordinary shares or any such other securities (regardless of whether any of the transactions described in clause</w:t>
      </w:r>
    </w:p>
    <w:p>
      <w:pPr>
        <w:spacing w:after="0" w:line="4" w:lineRule="exact"/>
        <w:rPr>
          <w:sz w:val="20"/>
          <w:szCs w:val="20"/>
          <w:color w:val="auto"/>
        </w:rPr>
      </w:pPr>
    </w:p>
    <w:p>
      <w:pPr>
        <w:ind w:left="120" w:right="80" w:hanging="4"/>
        <w:spacing w:after="0" w:line="268" w:lineRule="auto"/>
        <w:tabs>
          <w:tab w:leader="none" w:pos="33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or (ii) above is to be settled by the delivery of ADSs representing our ordinary shares, ordinary shares or such other securities, in cash or otherwise), without the prior written consent of J.P. Morgan Securities LLC and BofA Securities, Inc. for a period of 90 days after the date of this prospectus, other than (A) the ordinary shares and ADSs representing our ordinary shares to be sold in the Global Offering, (B) any of our ordinary shares or ADSs representing our ordinary shares issued upon the exercise of options granted under our existing share-based compensation plans, (C) the filing by us of any registration statement on Form S-8 or a successor form thereto relating to a company share plan and (D) any ADSs representing our ordinary shares or other securities issued in connection with a transaction with an unaffiliated third party that includes a bona fide commercial relationship (including joint ventures, marketing or distribution arrangements, collaboration agreements or licensing agreements) or any acquisition of assets of not less than a majority or controlling portion of the equity of another entity, provided that the aggregate number of the shares issued pursuant to this clause (D) shall not exceed more than five percent (5%) of the total number of outstanding ordinary shares immediately following the issuance and sale of the ADSs representing our ordinary shares hereunder.</w:t>
      </w:r>
    </w:p>
    <w:p>
      <w:pPr>
        <w:spacing w:after="0" w:line="17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directors and executive officers, and certain of our significant shareholders (including the Selling Shareholder), collectively representing approximately 74% of our outstanding ordinary shares (including ordinary shares represented by ADSs), have entered into lock-up agreements with the underwriters prior to the commencement of the Global Offering pursuant to which each of these persons or entities, with limited exceptions, for a period of 90 days (or 30 days in the case of the Selling Shareholder) after the date of this prospectus, may not,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any of our ordinary shares or ADSs representing our ordinary shares or any securities convertible into or exercisable or exchangeable for our ordinary shares (including, without limitation, ordinary shares, ADSs representing our ordinary shares, restricted shares, share options or such other securities which may be deemed to be beneficially owned by such directors, executive officers, and shareholders in accordance with the rules and regulations of the SEC and securities which may be issued upon exercise of a stock option or warrant), or publicly disclose the intention to undertake any of the foregoing, (2) enter into any swap or other agreement that transfers, in whole or in part, any of the economic consequences of ownership of the ADSs representing our ordinary shares, ordinary shares or such other securities, whether any such transaction described in clause (1) or (2) above is to be settled by delivery of ADSs representing our ordinary shares, ordinary shares or such other securities, in cash or otherwise, or (3) make any demand for or exercise any right with respect to the registration of any of our ordinary shares or ADSs representing our ordinary shares or any security convertible into or exercisable or exchangeable for ADSs representing our ordinary shares or ordinary shares.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 the terms of the lock-up agreements do not apply to or prohibit, among others, the items described below:</w:t>
      </w:r>
    </w:p>
    <w:p>
      <w:pPr>
        <w:spacing w:after="0" w:line="142" w:lineRule="exact"/>
        <w:rPr>
          <w:sz w:val="20"/>
          <w:szCs w:val="20"/>
          <w:color w:val="auto"/>
        </w:rPr>
      </w:pPr>
    </w:p>
    <w:p>
      <w:pPr>
        <w:ind w:left="1080" w:right="240" w:hanging="424"/>
        <w:spacing w:after="0" w:line="259"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transactions relating to our ordinary shares or ADSs representing our ordinary shares acquired in the Global Offering or open market transactions on or after the date of this prospectus, provided that no filing by any party (donor, donee, transferor or transferee) under the Exchange Act (or the equivalent thereof in non-U.S. jurisdictions) (other than a filing on a Schedule 13F or 13G) or other public announcement shall be required or shall be made voluntarily;</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exercise of a warrant or the exercise of a stock option granted under an existing or future stock incentive plan for our ordinary shares or ADSs representing our ordinary shares through a “cashless” exercise;</w:t>
      </w:r>
    </w:p>
    <w:p>
      <w:pPr>
        <w:spacing w:after="0" w:line="75" w:lineRule="exact"/>
        <w:rPr>
          <w:rFonts w:ascii="Arial" w:cs="Arial" w:eastAsia="Arial" w:hAnsi="Arial"/>
          <w:sz w:val="18"/>
          <w:szCs w:val="18"/>
          <w:color w:val="auto"/>
        </w:rPr>
      </w:pPr>
    </w:p>
    <w:p>
      <w:pPr>
        <w:ind w:left="1080" w:right="20" w:hanging="424"/>
        <w:spacing w:after="0" w:line="293" w:lineRule="auto"/>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transfers or dispositions of our ordinary shares or ADSs representing our ordinary shares in connection with the conversion of any security convertible or exercisable into securities in accordance with their terms (including the settlement of restricted stock units), provided that any such ordinary shares or ADSs representing our ordinary shares received by such party shall be subject to the lock-up restrictions, and provided, further,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representing our ordinary shares was made solely to us in connection with a conversion;</w:t>
      </w:r>
    </w:p>
    <w:p>
      <w:pPr>
        <w:spacing w:after="0" w:line="69" w:lineRule="exact"/>
        <w:rPr>
          <w:rFonts w:ascii="Arial" w:cs="Arial" w:eastAsia="Arial" w:hAnsi="Arial"/>
          <w:sz w:val="16"/>
          <w:szCs w:val="16"/>
          <w:color w:val="auto"/>
        </w:rPr>
      </w:pPr>
    </w:p>
    <w:p>
      <w:pPr>
        <w:ind w:left="1080" w:right="40" w:hanging="424"/>
        <w:spacing w:after="0" w:line="273"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transfers or dispositions of our ordinary shares or ADSs representing our ordinary shares pursuant to (i) any outstanding equity award or any current or future employee benefit plan or (ii) any contractual arrangement that provides for the repurchase of the party subject to the lock-up restrictions or a right of first refusal with respect to transfers of such ordinary shares or ADSs representing our ordinary shares, provided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representing our ordinary shares was made solely to us;</w:t>
      </w:r>
    </w:p>
    <w:p>
      <w:pPr>
        <w:spacing w:after="0" w:line="83"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ordinary shares or ADSs representing our ordinary shares, provided that (i) such plan does not provide for the transfer of our ordinary shares and ADSs representing our ordinary shares representing our ordinary shares during the lock-up period and (ii) the entry into such plan is not publicly disclosed, included in any filings under the Exchange Act (or the equivalent thereof in non-U.S. jurisdictions) or otherwise, during the lock-up period; and</w:t>
      </w:r>
    </w:p>
    <w:p>
      <w:pPr>
        <w:spacing w:after="0" w:line="93"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pursuant to a bona fide third-party tender offer for all our outstanding ordinary shares or ADSs representing our ordinary shares, merger, consolidation or other similar transaction approved by our Supervisory Board and made to all holders of our ordinary shares or ADSs representing our ordinary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96" w:lineRule="auto"/>
        <w:rPr>
          <w:sz w:val="20"/>
          <w:szCs w:val="20"/>
          <w:color w:val="auto"/>
        </w:rPr>
      </w:pPr>
      <w:r>
        <w:rPr>
          <w:rFonts w:ascii="Arial" w:cs="Arial" w:eastAsia="Arial" w:hAnsi="Arial"/>
          <w:sz w:val="16"/>
          <w:szCs w:val="16"/>
          <w:color w:val="auto"/>
        </w:rPr>
        <w:t>shares involving a change of control (including, without limitation, the entering into of any lock-up, voting or similar agreement pursuant to which the party subject to the lock-up restrictions may agree to transfer, sell, tender or otherwise dispose of our ordinary shares or ADSs representing our ordinary shares in connection with such transaction, or vote any ordinary shares or ADSs representing our ordinary shares in favor of any such transaction), provided that in the event that such tender offer, merger, consolidation or other such transaction is not completed, such ordinary shares or ADSs representing our ordinary shares shall remain subject to the lock-up restrictions.</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pursuant to the terms of our share options, holders of share options are restricted from exercising such share options for a period of at least one year following our initial public offering without our consent.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of 1933.</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ADSs representing our ordinary shares are listed on the Nasdaq Global Select Market under the symbol “BNTX.”</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connection with the Underwritten Offering, the underwriters may engage in stabilizing transactions, which involves making bids for, purchasing and selling ADSs in the open market for the purpose of preventing or retarding a decline in the market price of the ADSs while the Underwritten Offering is in progress. These stabilizing transactions may include making short sales of the ADSs, which involves the sale by the underwriters of a greater number of ADSs than they are required to purchase in the Underwritten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the Underwritten Offering. To the extent that the underwriters create a naked short position, they will purchase ADSs in the open market to cover the position.</w:t>
      </w:r>
    </w:p>
    <w:p>
      <w:pPr>
        <w:spacing w:after="0" w:line="17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shares as part of the Underwritten Offering to repay the underwriting discount received by them.</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4" w:lineRule="exact"/>
        <w:rPr>
          <w:sz w:val="20"/>
          <w:szCs w:val="20"/>
          <w:color w:val="auto"/>
        </w:rPr>
      </w:pPr>
    </w:p>
    <w:p>
      <w:pPr>
        <w:ind w:left="120" w:right="480" w:firstLine="440"/>
        <w:spacing w:after="0" w:line="258" w:lineRule="auto"/>
        <w:rPr>
          <w:sz w:val="20"/>
          <w:szCs w:val="20"/>
          <w:color w:val="auto"/>
        </w:rPr>
      </w:pPr>
      <w:r>
        <w:rPr>
          <w:rFonts w:ascii="Arial" w:cs="Arial" w:eastAsia="Arial" w:hAnsi="Arial"/>
          <w:sz w:val="18"/>
          <w:szCs w:val="18"/>
          <w:color w:val="auto"/>
        </w:rPr>
        <w:t>Certain of the underwriters and their affiliates have provided to us and our affiliates and may provide from time to time in the future, certain commercial banking, financial advisory, investment banking and other services</w:t>
      </w:r>
    </w:p>
    <w:p>
      <w:pPr>
        <w:spacing w:after="0" w:line="1" w:lineRule="exact"/>
        <w:rPr>
          <w:sz w:val="20"/>
          <w:szCs w:val="20"/>
          <w:color w:val="auto"/>
        </w:rPr>
      </w:pPr>
    </w:p>
    <w:p>
      <w:pPr>
        <w:ind w:left="120" w:right="40"/>
        <w:spacing w:after="0" w:line="295" w:lineRule="auto"/>
        <w:rPr>
          <w:sz w:val="20"/>
          <w:szCs w:val="20"/>
          <w:color w:val="auto"/>
        </w:rPr>
      </w:pPr>
      <w:r>
        <w:rPr>
          <w:rFonts w:ascii="Arial" w:cs="Arial" w:eastAsia="Arial" w:hAnsi="Arial"/>
          <w:sz w:val="16"/>
          <w:szCs w:val="16"/>
          <w:color w:val="auto"/>
        </w:rPr>
        <w:t>for us and such affiliates in the ordinary course of their business, for which they have received and may continue to receive customary fees and commissions. For instance, certain of the underwriters and their affiliates will serve as dealer-managers or subscription agents in the Rights Offering.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COMMERZBANK Aktiengesellschaft as an underwriter is not a broker-dealer registered with the SEC. COMMERZBANK Aktiengesellschaft will only make sales of ADS in the United States, or to nationals or residents of the United States (including its territories and possessions), through one or more SEC registered broker-dealers in compliance with applicable securities laws and the rules of FINRA.</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address of the Selling Shareholder is Ismaninger Strasse 102. D-81675 Munich, Germany.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Global Offering</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The Underwritten Offering is part of a Global Offering consisting of a rights offering and the Underwritten Offering. Certain holders of our ordinary shares (representing 74.83% of our outstanding ordinary shares (including ordinary shares represented by ADSs)) have entered into irrevocable, binding agreements not to transfer or exercise their rights to subscribe for new ordinary shares in the Rights Offering. Under German law, the law of our jurisdiction of organization, we are permitted to offer new ordinary shares in an amount equal to the percentage of securities represented by the irrevocable agreements not to transfer or exercise rights to new investors in advance of the Rights Offering. We intend to accomplish this through the Underwritten Offering. Following the Underwritten Offering, our shareholders and ADS holders as of the respective record dates who have not agreed to forego exercising their rights will have the opportunity in the Rights Offering to subscribe for up to 1,889,189 new ordinary shares or new ADSs (representing approximately 0.81% of our outstanding ordinary shares (including ordinary shares by ADSs)) at a subscription price equal to the price to the public in the Underwritten Offering. </w:t>
      </w:r>
      <w:r>
        <w:rPr>
          <w:rFonts w:ascii="Arial" w:cs="Arial" w:eastAsia="Arial" w:hAnsi="Arial"/>
          <w:sz w:val="17"/>
          <w:szCs w:val="17"/>
          <w:b w:val="1"/>
          <w:bCs w:val="1"/>
          <w:color w:val="auto"/>
        </w:rPr>
        <w:t>ADSs PURCHASED IN THE UNDERWRITTEN OFFERING ARE NOT ENTITLED TO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RECEIVE RIGHTS TO SUBSCRIBE FOR NEW ORDINARY SHARES OR NEW ADSs IN THE RIGHTS OFFERING. </w:t>
      </w:r>
      <w:r>
        <w:rPr>
          <w:rFonts w:ascii="Arial" w:cs="Arial" w:eastAsia="Arial" w:hAnsi="Arial"/>
          <w:sz w:val="17"/>
          <w:szCs w:val="17"/>
          <w:color w:val="auto"/>
        </w:rPr>
        <w:t>Accordingly, a total of</w:t>
      </w:r>
      <w:r>
        <w:rPr>
          <w:rFonts w:ascii="Arial" w:cs="Arial" w:eastAsia="Arial" w:hAnsi="Arial"/>
          <w:sz w:val="17"/>
          <w:szCs w:val="17"/>
          <w:b w:val="1"/>
          <w:bCs w:val="1"/>
          <w:color w:val="auto"/>
        </w:rPr>
        <w:t xml:space="preserve"> </w:t>
      </w:r>
      <w:r>
        <w:rPr>
          <w:rFonts w:ascii="Arial" w:cs="Arial" w:eastAsia="Arial" w:hAnsi="Arial"/>
          <w:sz w:val="17"/>
          <w:szCs w:val="17"/>
          <w:color w:val="auto"/>
        </w:rPr>
        <w:t>up to 7,389,189 ordinary shares (including ordinary shares represented by ADSs) may be sold by us in the Global Offering.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82" w:lineRule="exact"/>
        <w:rPr>
          <w:sz w:val="20"/>
          <w:szCs w:val="20"/>
          <w:color w:val="auto"/>
        </w:rPr>
      </w:pPr>
    </w:p>
    <w:p>
      <w:pPr>
        <w:ind w:left="5480" w:right="3440" w:hanging="4932"/>
        <w:spacing w:after="0" w:line="449" w:lineRule="auto"/>
        <w:tabs>
          <w:tab w:leader="none" w:pos="107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 230</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ADSs shall require us or any representative to publish a prospectus pursuant to Article 3 of the Prospectus Regulation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Prospectus Regulation and each person who initially acquires any ADSs or to whom any offer is made will be deemed to have represented, acknowledged and agreed to and with each of the representatives and the Company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representatives have been obtained to each such proposed offer or resale.</w:t>
      </w:r>
    </w:p>
    <w:p>
      <w:pPr>
        <w:spacing w:after="0" w:line="18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United Kingdom within the meaning of the Financial Services and Markets Act 2000.</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080"/>
          </w:cols>
          <w:pgMar w:left="32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the Underwritten Offering.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ADSs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 Neither this document nor any other offering or marketing material relating to the offering, the Company or the ADSs have been or will be filed with or approved by any Swiss regulatory authority. In particular, this document will not be filed with, and the offer of the ADSs will not be supervised by, the Swiss Financial Market Supervisory Authority, or FINMA, and the offer of the ADSs has not been and will not be authorized under the Swiss Federal Act on Collective Investment Schemes (“CISA”). The investor protection afforded to acquirers of interests in collective investment schemes under the CISA does not extend to acquirers of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w:t>
      </w:r>
    </w:p>
    <w:p>
      <w:pPr>
        <w:spacing w:after="0" w:line="52" w:lineRule="exact"/>
        <w:rPr>
          <w:sz w:val="20"/>
          <w:szCs w:val="20"/>
          <w:color w:val="auto"/>
        </w:rPr>
      </w:pPr>
    </w:p>
    <w:p>
      <w:pPr>
        <w:ind w:left="1080" w:right="2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080" w:right="900" w:hanging="424"/>
        <w:spacing w:after="0" w:line="308" w:lineRule="auto"/>
        <w:tabs>
          <w:tab w:leader="none" w:pos="10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9" w:lineRule="exact"/>
        <w:rPr>
          <w:sz w:val="20"/>
          <w:szCs w:val="20"/>
          <w:color w:val="auto"/>
        </w:rPr>
      </w:pPr>
    </w:p>
    <w:p>
      <w:pPr>
        <w:ind w:left="1080" w:hanging="424"/>
        <w:spacing w:after="0"/>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Singapore Securities and Futures Act Product Classification: Solely for the purposes of our obligations pursuant to sections 309B(1)(a) and 309B(1)(c) of the SFA, we have determined, and hereby notify all relevant persons (as defined in Section 309A of the SFA), that the ADSs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is being distributed only to, and is directed only at, and any offer of the ADSs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040"/>
          </w:cols>
          <w:pgMar w:left="320" w:top="459" w:right="5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OF THE GLOBAL OFFERING</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sets forth the total costs and expenses, other than underwriting discounts and commissions and fees, that we expect to incur in connection with the offer and sale of the ordinary shares and ADSs in the Global Offering, constituting our costs and expenses in the Underwritten Offering and our costs and expenses in the Rights Offering. All of these amounts, except for the Securities and Exchange Commission registration fee and the FINRA filing fee, are estimates:</w:t>
      </w:r>
    </w:p>
    <w:p>
      <w:pPr>
        <w:sectPr>
          <w:pgSz w:w="11900" w:h="16838" w:orient="portrait"/>
          <w:cols w:equalWidth="0" w:num="1">
            <w:col w:w="11080"/>
          </w:cols>
          <w:pgMar w:left="320" w:top="459" w:right="499" w:bottom="1440" w:gutter="0" w:footer="0" w:header="0"/>
        </w:sectPr>
      </w:pPr>
    </w:p>
    <w:p>
      <w:pPr>
        <w:spacing w:after="0" w:line="205"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Securities and Exchange Commission registration fee</w:t>
      </w:r>
    </w:p>
    <w:p>
      <w:pPr>
        <w:spacing w:after="0" w:line="3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Depositary’s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Miscellaneous costs</w:t>
      </w:r>
    </w:p>
    <w:p>
      <w:pPr>
        <w:spacing w:after="0" w:line="1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Total</w:t>
      </w:r>
    </w:p>
    <w:p>
      <w:pPr>
        <w:spacing w:after="0" w:line="216" w:lineRule="exact"/>
        <w:rPr>
          <w:sz w:val="20"/>
          <w:szCs w:val="20"/>
          <w:color w:val="auto"/>
        </w:rPr>
      </w:pPr>
    </w:p>
    <w:p>
      <w:pPr>
        <w:jc w:val="right"/>
        <w:ind w:right="1898"/>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02"/>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342" w:hanging="342"/>
        <w:spacing w:after="0"/>
        <w:tabs>
          <w:tab w:leader="none" w:pos="34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166,955</w:t>
      </w:r>
    </w:p>
    <w:p>
      <w:pPr>
        <w:spacing w:after="0" w:line="30"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6"/>
          <w:szCs w:val="16"/>
          <w:color w:val="auto"/>
        </w:rPr>
        <w:t>193,937</w:t>
      </w:r>
    </w:p>
    <w:p>
      <w:pPr>
        <w:spacing w:after="0" w:line="32"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6"/>
          <w:szCs w:val="16"/>
          <w:color w:val="auto"/>
        </w:rPr>
        <w:t>450,000</w:t>
      </w:r>
    </w:p>
    <w:p>
      <w:pPr>
        <w:spacing w:after="0" w:line="32"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1,900,000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300,000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700,000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689,108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ind w:left="2"/>
        <w:spacing w:after="0"/>
        <w:rPr>
          <w:sz w:val="20"/>
          <w:szCs w:val="20"/>
          <w:color w:val="auto"/>
        </w:rPr>
      </w:pPr>
      <w:r>
        <w:rPr>
          <w:rFonts w:ascii="Arial" w:cs="Arial" w:eastAsia="Arial" w:hAnsi="Arial"/>
          <w:sz w:val="17"/>
          <w:szCs w:val="17"/>
          <w:u w:val="single" w:color="auto"/>
          <w:color w:val="auto"/>
        </w:rPr>
        <w:t>$ 4,400,000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2">
            <w:col w:w="7658" w:space="720"/>
            <w:col w:w="2702"/>
          </w:cols>
          <w:pgMar w:left="320" w:top="459" w:right="499" w:bottom="1440" w:gutter="0" w:footer="0" w:header="0"/>
          <w:type w:val="continuous"/>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validity of the ordinary shares and certain other matters of German law will be passed upon for us by Freshfields Bruckhaus Deringer LLP, Hamburg, Germany. Certain matters of U.S. law will be passed upon for us by Covington &amp; Burling LLP, New York, New York. Legal counsel to the underwriters in connection with the Underwritten Offering are Skadden, Arps, Slate, Meagher &amp; Flom LLP, Frankfurt, Germany with respect to German law and Davis Polk &amp; Wardwell LLP, New York, New York with respect to U.S. law. Members of Freshfields Bruckhaus Deringer LLP are the beneficial owners of less than 1% of our ordinary shares.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consolidated financial statements of BioNTech SE incorporated by reference from BioNTech SE’s Annual Report on Form 20-F as of December 31, 2019 and 2018 and for each of the years in the three-year period ended December 31, 2019 have been audited by Ernst &amp; Young GmbH Wirtschaftsprüfungsgesellschaft, independent registered public accounting firm, as set forth in their report thereon included therein, and are incorporated herein by reference. Such consolidated financial statements are incorporated herein by reference in reliance upon such report given on the authority of said firm as experts in accounting and auditing. The registered business address of Ernst &amp; Young GmbH Wirtschaftsprüfungsgesellschaft is Börsenplatz 1, 50667 Cologne, Germany.</w:t>
      </w:r>
    </w:p>
    <w:p>
      <w:pPr>
        <w:spacing w:after="0" w:line="19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financial statements of Neon Therapeutics, Inc. incorporated in this Prospectus by reference to Neon Therapeutics, Inc.’s Annual Report on Form 10-K for the year ended December 31, 2019 have been so incorporated in reliance on the report (which contains an explanatory paragraph relating to Neon Therapeutics, Inc.’s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incorporated and currently existing under European laws and the laws of the Federal Republic of Germany. In addition, all of our directors and officers reside outside of the United States and our assets and those of our non-U.S. subsidiaries are located outside of the United States. As a result, it may not be possible for investors to effect service of process on us or those persons in the United States or to enforce in the United States judgments obtained in U.S. courts against us or those persons based on the civil liability or other provisions of the U.S. securities laws or other laws.</w:t>
      </w:r>
    </w:p>
    <w:p>
      <w:pPr>
        <w:spacing w:after="0" w:line="15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Awards of punitive damages in actions brought in the United States or elsewhere may be unenforceable in Germany. In addition, actions brought in a German court against BioNTech or the members of our supervisory Board and Management Board, our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liability provisions of the U.S. federal securities laws against us, certain members of our Management and Supervisory Boards and senior management and the experts named in this 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our company, the members of our Management Board, Supervisory Board, senior management or the experts named in this prospectus based on the civil liability provisions of the U.S. federal securities laws is obtained, a U.S. investor may not be able to enforce it in U.S. or German courts.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080"/>
          </w:cols>
          <w:pgMar w:left="320" w:top="459"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the Underwritten Offering. This prospectus, which constitutes part of the registration statement, does not include all of the information contained in the registration statement and the exhibits, schedules and amendments to the registration statement. For further information with respect to us and our ordinary shares and the ADSs representing our ordinary shares, we refer you to the registration statement and the exhibits and schedules included and incorporated by reference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 or incorporate by reference any of these documents as an exhibit to the registration statement, we refer you to the copy of the document that has been filed for a complete description of its terms. Each statement in this prospectus relating to a document filed or incorporated by reference as an exhibit is qualified in all respects by the filed exhibit.</w:t>
      </w:r>
    </w:p>
    <w:p>
      <w:pPr>
        <w:spacing w:after="0" w:line="18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are subject to the information reporting requirements of the Exchange Act that are applicable to foreign private issuers. Accordingly, we are required to file reports and other information with the SEC, including annual reports on Form 20-F and reports on Form 6-K. The SEC maintains a website that contains reports, proxy and information statements and other information regarding registrants that file electronically with the SEC. These filings and our filings with the SEC are available to the public through the SEC’s website at http://www.sec.gov.</w:t>
      </w:r>
    </w:p>
    <w:p>
      <w:pPr>
        <w:spacing w:after="0" w:line="171"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We maintain a corporate website at https://www.biontech.de. Information contained on, or that can be accessed through, our website does not constitute a part of this prospectus and our website address is included in this prospectus as an inactive textual reference only.</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000"/>
          </w:cols>
          <w:pgMar w:left="320" w:top="459" w:right="5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file annual and special reports and other information with the SEC (File Number 001-39081). These filings contain important information that does not appear in this prospectus. 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w:t>
      </w:r>
    </w:p>
    <w:p>
      <w:pPr>
        <w:spacing w:after="0" w:line="92"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52">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with the SEC on March 31, 2020;</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Our </w:t>
      </w:r>
      <w:hyperlink r:id="rId353">
        <w:r>
          <w:rPr>
            <w:rFonts w:ascii="Arial" w:cs="Arial" w:eastAsia="Arial" w:hAnsi="Arial"/>
            <w:sz w:val="16"/>
            <w:szCs w:val="16"/>
            <w:u w:val="single" w:color="auto"/>
            <w:color w:val="0000EE"/>
          </w:rPr>
          <w:t>Form 6-K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with the SEC on May 12, 2020, containing our unaudited interim condensed consolidated financial statements as of and for the three months ended March 31, 2020, our Forms 6-K filed with the SEC on </w:t>
      </w:r>
      <w:hyperlink r:id="rId354">
        <w:r>
          <w:rPr>
            <w:rFonts w:ascii="Arial" w:cs="Arial" w:eastAsia="Arial" w:hAnsi="Arial"/>
            <w:sz w:val="16"/>
            <w:szCs w:val="16"/>
            <w:u w:val="single" w:color="auto"/>
            <w:color w:val="0000EE"/>
          </w:rPr>
          <w:t>July 1, 2020</w:t>
        </w:r>
      </w:hyperlink>
      <w:r>
        <w:rPr>
          <w:rFonts w:ascii="Arial" w:cs="Arial" w:eastAsia="Arial" w:hAnsi="Arial"/>
          <w:sz w:val="16"/>
          <w:szCs w:val="16"/>
          <w:color w:val="auto"/>
        </w:rPr>
        <w:t xml:space="preserve">, </w:t>
      </w:r>
      <w:hyperlink r:id="rId355">
        <w:r>
          <w:rPr>
            <w:rFonts w:ascii="Arial" w:cs="Arial" w:eastAsia="Arial" w:hAnsi="Arial"/>
            <w:sz w:val="16"/>
            <w:szCs w:val="16"/>
            <w:u w:val="single" w:color="auto"/>
            <w:color w:val="0000EE"/>
          </w:rPr>
          <w:t>July 20,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356">
        <w:r>
          <w:rPr>
            <w:rFonts w:ascii="Arial" w:cs="Arial" w:eastAsia="Arial" w:hAnsi="Arial"/>
            <w:sz w:val="16"/>
            <w:szCs w:val="16"/>
            <w:u w:val="single" w:color="auto"/>
            <w:color w:val="0000EE"/>
          </w:rPr>
          <w:t>July 20, 2020</w:t>
        </w:r>
      </w:hyperlink>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92"/>
        </w:numPr>
        <w:rPr>
          <w:rFonts w:ascii="Arial" w:cs="Arial" w:eastAsia="Arial" w:hAnsi="Arial"/>
          <w:sz w:val="18"/>
          <w:szCs w:val="18"/>
          <w:color w:val="0000EE"/>
        </w:rPr>
      </w:pPr>
      <w:r>
        <w:rPr>
          <w:rFonts w:ascii="Arial" w:cs="Arial" w:eastAsia="Arial" w:hAnsi="Arial"/>
          <w:sz w:val="18"/>
          <w:szCs w:val="18"/>
          <w:color w:val="auto"/>
        </w:rPr>
        <w:t xml:space="preserve">Neon Therapeutics, Inc.’s audited consolidated financial statements as of December 31, 2019 and 2018 and for the years then ended and the audit report of the independent registered public accounting firm, included on pages F-1 through F-28 of Neon Therapeutics, Inc.’s </w:t>
      </w:r>
      <w:hyperlink r:id="rId357">
        <w:r>
          <w:rPr>
            <w:rFonts w:ascii="Arial" w:cs="Arial" w:eastAsia="Arial" w:hAnsi="Arial"/>
            <w:sz w:val="18"/>
            <w:szCs w:val="18"/>
            <w:u w:val="single" w:color="auto"/>
            <w:color w:val="0000EE"/>
          </w:rPr>
          <w:t>Form 10-K</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SEC on March 2, 2020;</w:t>
      </w:r>
    </w:p>
    <w:p>
      <w:pPr>
        <w:spacing w:after="0" w:line="89" w:lineRule="exact"/>
        <w:rPr>
          <w:rFonts w:ascii="Arial" w:cs="Arial" w:eastAsia="Arial" w:hAnsi="Arial"/>
          <w:sz w:val="18"/>
          <w:szCs w:val="18"/>
          <w:color w:val="0000EE"/>
        </w:rPr>
      </w:pPr>
    </w:p>
    <w:p>
      <w:pPr>
        <w:ind w:left="1080" w:right="180" w:hanging="424"/>
        <w:spacing w:after="0" w:line="263"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Neon Therapeutics, Inc.’s unaudited interim condensed consolidated financial statements as of March 31, 2020 and for the three-month periods ended March 31, 2020 and 2019 included in Item 1 of Neon Therapeutics, Inc.’s </w:t>
      </w:r>
      <w:hyperlink r:id="rId35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1, 2020; and</w:t>
      </w:r>
    </w:p>
    <w:p>
      <w:pPr>
        <w:spacing w:after="0" w:line="89"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description of the ADSs and ordinary shares contained in our </w:t>
      </w:r>
      <w:hyperlink r:id="rId35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October 7, 2019, including any amendment or report filed for the purpose of updating such description.</w:t>
      </w:r>
    </w:p>
    <w:p>
      <w:pPr>
        <w:spacing w:after="0" w:line="170" w:lineRule="exact"/>
        <w:rPr>
          <w:rFonts w:ascii="Arial" w:cs="Arial" w:eastAsia="Arial" w:hAnsi="Arial"/>
          <w:sz w:val="18"/>
          <w:szCs w:val="18"/>
          <w:color w:val="auto"/>
        </w:rPr>
      </w:pPr>
    </w:p>
    <w:p>
      <w:pPr>
        <w:ind w:left="120" w:firstLine="440"/>
        <w:spacing w:after="0" w:line="263" w:lineRule="auto"/>
        <w:rPr>
          <w:sz w:val="20"/>
          <w:szCs w:val="20"/>
          <w:color w:val="auto"/>
        </w:rPr>
      </w:pPr>
      <w:r>
        <w:rPr>
          <w:rFonts w:ascii="Arial" w:cs="Arial" w:eastAsia="Arial" w:hAnsi="Arial"/>
          <w:sz w:val="18"/>
          <w:szCs w:val="18"/>
          <w:color w:val="auto"/>
        </w:rPr>
        <w:t>If you find inconsistencies between the documents and this prospectus, you should rely on the statements made in this prospectus. All information appearing in this prospectus is qualified in its entirety by the information and financial statements, including the notes thereto, contained in the documents incorporated by reference herein.</w:t>
      </w:r>
    </w:p>
    <w:p>
      <w:pPr>
        <w:spacing w:after="0" w:line="184" w:lineRule="exact"/>
        <w:rPr>
          <w:rFonts w:ascii="Arial" w:cs="Arial" w:eastAsia="Arial" w:hAnsi="Arial"/>
          <w:sz w:val="18"/>
          <w:szCs w:val="18"/>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170"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BioNTech SE</w:t>
      </w:r>
    </w:p>
    <w:p>
      <w:pPr>
        <w:spacing w:after="0" w:line="2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An der Goldgrube 12</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D-55131 Mainz</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Germany</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Attention: James Ryan, Vice President, Legal and IP</w:t>
      </w:r>
    </w:p>
    <w:p>
      <w:pPr>
        <w:spacing w:after="0" w:line="211" w:lineRule="exact"/>
        <w:rPr>
          <w:rFonts w:ascii="Arial" w:cs="Arial" w:eastAsia="Arial" w:hAnsi="Arial"/>
          <w:sz w:val="18"/>
          <w:szCs w:val="18"/>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Our SEC filings are also available (free of charge) from our web site at </w:t>
      </w:r>
      <w:r>
        <w:rPr>
          <w:rFonts w:ascii="Arial" w:cs="Arial" w:eastAsia="Arial" w:hAnsi="Arial"/>
          <w:sz w:val="18"/>
          <w:szCs w:val="18"/>
          <w:i w:val="1"/>
          <w:iCs w:val="1"/>
          <w:color w:val="auto"/>
        </w:rPr>
        <w:t>www.biontech.de</w:t>
      </w:r>
      <w:r>
        <w:rPr>
          <w:rFonts w:ascii="Arial" w:cs="Arial" w:eastAsia="Arial" w:hAnsi="Arial"/>
          <w:sz w:val="18"/>
          <w:szCs w:val="18"/>
          <w:color w:val="auto"/>
        </w:rPr>
        <w:t>. The information contained on, or that can be accessed from, our website does not form part of this prospectus.</w:t>
      </w:r>
    </w:p>
    <w:p>
      <w:pPr>
        <w:spacing w:after="0" w:line="170" w:lineRule="exact"/>
        <w:rPr>
          <w:rFonts w:ascii="Arial" w:cs="Arial" w:eastAsia="Arial" w:hAnsi="Arial"/>
          <w:sz w:val="18"/>
          <w:szCs w:val="18"/>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or such earlier date, that is indicated in this prospectus. Our business, financial condition, results of operations and prospects may have changed since that date.</w:t>
      </w:r>
    </w:p>
    <w:p>
      <w:pPr>
        <w:spacing w:after="0" w:line="10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80"/>
          </w:cols>
          <w:pgMar w:left="320" w:top="459"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Arial" w:cs="Arial" w:eastAsia="Arial" w:hAnsi="Arial"/>
          <w:sz w:val="26"/>
          <w:szCs w:val="26"/>
          <w:b w:val="1"/>
          <w:bCs w:val="1"/>
          <w:color w:val="auto"/>
        </w:rPr>
        <w:t>5,500,000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2925445</wp:posOffset>
            </wp:positionV>
            <wp:extent cx="6995160" cy="7886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69951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2019"/>
        <w:spacing w:after="0"/>
        <w:rPr>
          <w:sz w:val="20"/>
          <w:szCs w:val="20"/>
          <w:color w:val="auto"/>
        </w:rPr>
      </w:pPr>
      <w:r>
        <w:rPr>
          <w:rFonts w:ascii="Arial" w:cs="Arial" w:eastAsia="Arial" w:hAnsi="Arial"/>
          <w:sz w:val="29"/>
          <w:szCs w:val="29"/>
          <w:b w:val="1"/>
          <w:bCs w:val="1"/>
          <w:color w:val="auto"/>
        </w:rPr>
        <w:t>Representing 5,500,000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1677670</wp:posOffset>
            </wp:positionV>
            <wp:extent cx="1474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139"/>
          </w:cols>
          <w:pgMar w:left="320" w:top="459" w:right="1440" w:bottom="734" w:gutter="0" w:footer="0" w:header="0"/>
        </w:sectPr>
      </w:pPr>
    </w:p>
    <w:bookmarkStart w:id="259" w:name="page260"/>
    <w:bookmarkEnd w:id="2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298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5160" w:type="dxa"/>
            <w:vAlign w:val="bottom"/>
          </w:tcPr>
          <w:p>
            <w:pPr>
              <w:ind w:left="1620"/>
              <w:spacing w:after="0"/>
              <w:rPr>
                <w:sz w:val="20"/>
                <w:szCs w:val="20"/>
                <w:color w:val="auto"/>
              </w:rPr>
            </w:pPr>
            <w:r>
              <w:rPr>
                <w:rFonts w:ascii="Arial" w:cs="Arial" w:eastAsia="Arial" w:hAnsi="Arial"/>
                <w:sz w:val="29"/>
                <w:szCs w:val="29"/>
                <w:b w:val="1"/>
                <w:bCs w:val="1"/>
                <w:color w:val="auto"/>
              </w:rPr>
              <w:t>BofA Securities</w:t>
            </w:r>
          </w:p>
        </w:tc>
        <w:tc>
          <w:tcPr>
            <w:tcW w:w="2880" w:type="dxa"/>
            <w:vAlign w:val="bottom"/>
          </w:tcPr>
          <w:p>
            <w:pPr>
              <w:jc w:val="right"/>
              <w:spacing w:after="0"/>
              <w:rPr>
                <w:sz w:val="20"/>
                <w:szCs w:val="20"/>
                <w:color w:val="auto"/>
              </w:rPr>
            </w:pPr>
            <w:r>
              <w:rPr>
                <w:rFonts w:ascii="Arial" w:cs="Arial" w:eastAsia="Arial" w:hAnsi="Arial"/>
                <w:sz w:val="29"/>
                <w:szCs w:val="29"/>
                <w:b w:val="1"/>
                <w:bCs w:val="1"/>
                <w:color w:val="auto"/>
              </w:rPr>
              <w:t>Berenberg</w:t>
            </w:r>
          </w:p>
        </w:tc>
      </w:tr>
      <w:tr>
        <w:trPr>
          <w:trHeight w:val="491"/>
        </w:trPr>
        <w:tc>
          <w:tcPr>
            <w:tcW w:w="2980" w:type="dxa"/>
            <w:vAlign w:val="bottom"/>
          </w:tcPr>
          <w:p>
            <w:pPr>
              <w:spacing w:after="0"/>
              <w:rPr>
                <w:sz w:val="20"/>
                <w:szCs w:val="20"/>
                <w:color w:val="auto"/>
              </w:rPr>
            </w:pPr>
            <w:r>
              <w:rPr>
                <w:rFonts w:ascii="Arial" w:cs="Arial" w:eastAsia="Arial" w:hAnsi="Arial"/>
                <w:sz w:val="22"/>
                <w:szCs w:val="22"/>
                <w:b w:val="1"/>
                <w:bCs w:val="1"/>
                <w:color w:val="auto"/>
              </w:rPr>
              <w:t>UBS Investment Bank</w:t>
            </w:r>
          </w:p>
        </w:tc>
        <w:tc>
          <w:tcPr>
            <w:tcW w:w="51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Canaccord Genuity</w:t>
            </w:r>
          </w:p>
        </w:tc>
      </w:tr>
      <w:tr>
        <w:trPr>
          <w:trHeight w:val="311"/>
        </w:trPr>
        <w:tc>
          <w:tcPr>
            <w:tcW w:w="2980" w:type="dxa"/>
            <w:vAlign w:val="bottom"/>
          </w:tcPr>
          <w:p>
            <w:pPr>
              <w:spacing w:after="0"/>
              <w:rPr>
                <w:sz w:val="20"/>
                <w:szCs w:val="20"/>
                <w:color w:val="auto"/>
              </w:rPr>
            </w:pPr>
            <w:r>
              <w:rPr>
                <w:rFonts w:ascii="Arial" w:cs="Arial" w:eastAsia="Arial" w:hAnsi="Arial"/>
                <w:sz w:val="22"/>
                <w:szCs w:val="22"/>
                <w:b w:val="1"/>
                <w:bCs w:val="1"/>
                <w:color w:val="auto"/>
              </w:rPr>
              <w:t>COMMERZBANK</w:t>
            </w:r>
          </w:p>
        </w:tc>
        <w:tc>
          <w:tcPr>
            <w:tcW w:w="5160" w:type="dxa"/>
            <w:vAlign w:val="bottom"/>
          </w:tcPr>
          <w:p>
            <w:pPr>
              <w:ind w:left="940"/>
              <w:spacing w:after="0"/>
              <w:rPr>
                <w:sz w:val="20"/>
                <w:szCs w:val="20"/>
                <w:color w:val="auto"/>
              </w:rPr>
            </w:pPr>
            <w:r>
              <w:rPr>
                <w:rFonts w:ascii="Arial" w:cs="Arial" w:eastAsia="Arial" w:hAnsi="Arial"/>
                <w:sz w:val="22"/>
                <w:szCs w:val="22"/>
                <w:b w:val="1"/>
                <w:bCs w:val="1"/>
                <w:color w:val="auto"/>
              </w:rPr>
              <w:t>Wolfe Capital Markets and Advisory</w:t>
            </w: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Bryan, Garnier &amp; 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July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428625</wp:posOffset>
            </wp:positionV>
            <wp:extent cx="6995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488950</wp:posOffset>
            </wp:positionV>
            <wp:extent cx="699516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decimal"/>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1)"/>
      <w:numFmt w:val="decimal"/>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1)"/>
      <w:numFmt w:val="decimal"/>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1)"/>
      <w:numFmt w:val="decimal"/>
      <w:start w:val="1"/>
    </w:lvl>
  </w:abstractNum>
  <w:abstractNum w:abstractNumId="21">
    <w:nsid w:val="1D545C4D"/>
    <w:multiLevelType w:val="hybridMultilevel"/>
    <w:lvl w:ilvl="0">
      <w:lvlJc w:val="left"/>
      <w:lvlText w:val="(%1)"/>
      <w:numFmt w:val="decimal"/>
      <w:start w:val="1"/>
    </w:lvl>
  </w:abstractNum>
  <w:abstractNum w:abstractNumId="22">
    <w:nsid w:val="59ADEA3D"/>
    <w:multiLevelType w:val="hybridMultilevel"/>
    <w:lvl w:ilvl="0">
      <w:lvlJc w:val="left"/>
      <w:lvlText w:val="(%1)"/>
      <w:numFmt w:val="decimal"/>
      <w:start w:val="1"/>
    </w:lvl>
  </w:abstractNum>
  <w:abstractNum w:abstractNumId="23">
    <w:nsid w:val="288F1A34"/>
    <w:multiLevelType w:val="hybridMultilevel"/>
    <w:lvl w:ilvl="0">
      <w:lvlJc w:val="left"/>
      <w:lvlText w:val="1"/>
      <w:numFmt w:val="bullet"/>
      <w:start w:val="1"/>
    </w:lvl>
  </w:abstractNum>
  <w:abstractNum w:abstractNumId="24">
    <w:nsid w:val="2A155DBC"/>
    <w:multiLevelType w:val="hybridMultilevel"/>
    <w:lvl w:ilvl="0">
      <w:lvlJc w:val="left"/>
      <w:lvlText w:val="(%1)"/>
      <w:numFmt w:val="decimal"/>
      <w:start w:val="3"/>
    </w:lvl>
  </w:abstractNum>
  <w:abstractNum w:abstractNumId="25">
    <w:nsid w:val="1D9F6E5F"/>
    <w:multiLevelType w:val="hybridMultilevel"/>
    <w:lvl w:ilvl="0">
      <w:lvlJc w:val="left"/>
      <w:lvlText w:val="2"/>
      <w:numFmt w:val="bullet"/>
      <w:start w:val="1"/>
    </w:lvl>
  </w:abstractNum>
  <w:abstractNum w:abstractNumId="26">
    <w:nsid w:val="97E1B4E"/>
    <w:multiLevelType w:val="hybridMultilevel"/>
    <w:lvl w:ilvl="0">
      <w:lvlJc w:val="left"/>
      <w:lvlText w:val="%1)"/>
      <w:numFmt w:val="lowerLetter"/>
      <w:start w:val="1"/>
    </w:lvl>
    <w:lvl w:ilvl="1">
      <w:lvlJc w:val="left"/>
      <w:lvlText w:val="•"/>
      <w:numFmt w:val="bullet"/>
      <w:start w:val="1"/>
    </w:lvl>
  </w:abstractNum>
  <w:abstractNum w:abstractNumId="27">
    <w:nsid w:val="51088277"/>
    <w:multiLevelType w:val="hybridMultilevel"/>
    <w:lvl w:ilvl="0">
      <w:lvlJc w:val="left"/>
      <w:lvlText w:val="3"/>
      <w:numFmt w:val="bullet"/>
      <w:start w:val="1"/>
    </w:lvl>
  </w:abstractNum>
  <w:abstractNum w:abstractNumId="28">
    <w:nsid w:val="1CA0C5FA"/>
    <w:multiLevelType w:val="hybridMultilevel"/>
    <w:lvl w:ilvl="0">
      <w:lvlJc w:val="left"/>
      <w:lvlText w:val="4"/>
      <w:numFmt w:val="bullet"/>
      <w:start w:val="1"/>
    </w:lvl>
  </w:abstractNum>
  <w:abstractNum w:abstractNumId="29">
    <w:nsid w:val="53584BCB"/>
    <w:multiLevelType w:val="hybridMultilevel"/>
    <w:lvl w:ilvl="0">
      <w:lvlJc w:val="left"/>
      <w:lvlText w:val="5"/>
      <w:numFmt w:val="bullet"/>
      <w:start w:val="1"/>
    </w:lvl>
  </w:abstractNum>
  <w:abstractNum w:abstractNumId="30">
    <w:nsid w:val="415E286C"/>
    <w:multiLevelType w:val="hybridMultilevel"/>
    <w:lvl w:ilvl="0">
      <w:lvlJc w:val="left"/>
      <w:lvlText w:val="%1)"/>
      <w:numFmt w:val="lowerLetter"/>
      <w:start w:val="1"/>
    </w:lvl>
  </w:abstractNum>
  <w:abstractNum w:abstractNumId="31">
    <w:nsid w:val="7C58FD05"/>
    <w:multiLevelType w:val="hybridMultilevel"/>
    <w:lvl w:ilvl="0">
      <w:lvlJc w:val="left"/>
      <w:lvlText w:val="%1)"/>
      <w:numFmt w:val="lowerLetter"/>
      <w:start w:val="4"/>
    </w:lvl>
  </w:abstractNum>
  <w:abstractNum w:abstractNumId="32">
    <w:nsid w:val="23D86AAC"/>
    <w:multiLevelType w:val="hybridMultilevel"/>
    <w:lvl w:ilvl="0">
      <w:lvlJc w:val="left"/>
      <w:lvlText w:val="%1)"/>
      <w:numFmt w:val="lowerLetter"/>
      <w:start w:val="5"/>
    </w:lvl>
  </w:abstractNum>
  <w:abstractNum w:abstractNumId="33">
    <w:nsid w:val="45E6D486"/>
    <w:multiLevelType w:val="hybridMultilevel"/>
    <w:lvl w:ilvl="0">
      <w:lvlJc w:val="left"/>
      <w:lvlText w:val="%1."/>
      <w:numFmt w:val="upperLetter"/>
      <w:start w:val="9"/>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
      <w:numFmt w:val="bullet"/>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
      <w:numFmt w:val="bullet"/>
      <w:start w:val="1"/>
    </w:lvl>
    <w:lvl w:ilvl="1">
      <w:lvlJc w:val="left"/>
      <w:lvlText w:val="•"/>
      <w:numFmt w:val="bullet"/>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
      <w:numFmt w:val="bullet"/>
      <w:start w:val="1"/>
    </w:lvl>
  </w:abstractNum>
  <w:abstractNum w:abstractNumId="47">
    <w:nsid w:val="1DF029D3"/>
    <w:multiLevelType w:val="hybridMultilevel"/>
    <w:lvl w:ilvl="0">
      <w:lvlJc w:val="left"/>
      <w:lvlText w:val="%1"/>
      <w:numFmt w:val="upperLetter"/>
      <w:start w:val="1"/>
    </w:lvl>
    <w:lvl w:ilvl="1">
      <w:lvlJc w:val="left"/>
      <w:lvlText w:val="•"/>
      <w:numFmt w:val="bullet"/>
      <w:start w:val="1"/>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
      <w:numFmt w:val="bullet"/>
      <w:start w:val="1"/>
    </w:lvl>
  </w:abstractNum>
  <w:abstractNum w:abstractNumId="50">
    <w:nsid w:val="3DB012B3"/>
    <w:multiLevelType w:val="hybridMultilevel"/>
    <w:lvl w:ilvl="0">
      <w:lvlJc w:val="left"/>
      <w:lvlText w:val="•"/>
      <w:numFmt w:val="bullet"/>
      <w:start w:val="1"/>
    </w:lvl>
  </w:abstractNum>
  <w:abstractNum w:abstractNumId="51">
    <w:nsid w:val="2708C9AF"/>
    <w:multiLevelType w:val="hybridMultilevel"/>
    <w:lvl w:ilvl="0">
      <w:lvlJc w:val="left"/>
      <w:lvlText w:val="•"/>
      <w:numFmt w:val="bullet"/>
      <w:start w:val="1"/>
    </w:lvl>
  </w:abstractNum>
  <w:abstractNum w:abstractNumId="52">
    <w:nsid w:val="5B25ACE2"/>
    <w:multiLevelType w:val="hybridMultilevel"/>
    <w:lvl w:ilvl="0">
      <w:lvlJc w:val="left"/>
      <w:lvlText w:val="•"/>
      <w:numFmt w:val="bullet"/>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
      <w:numFmt w:val="bullet"/>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1."/>
      <w:numFmt w:val="decimal"/>
      <w:start w:val="1"/>
    </w:lvl>
  </w:abstractNum>
  <w:abstractNum w:abstractNumId="60">
    <w:nsid w:val="2C6E4AFD"/>
    <w:multiLevelType w:val="hybridMultilevel"/>
    <w:lvl w:ilvl="0">
      <w:lvlJc w:val="left"/>
      <w:lvlText w:val="•"/>
      <w:numFmt w:val="bullet"/>
      <w:start w:val="1"/>
    </w:lvl>
  </w:abstractNum>
  <w:abstractNum w:abstractNumId="61">
    <w:nsid w:val="17A1B582"/>
    <w:multiLevelType w:val="hybridMultilevel"/>
    <w:lvl w:ilvl="0">
      <w:lvlJc w:val="left"/>
      <w:lvlText w:val="•"/>
      <w:numFmt w:val="bullet"/>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
      <w:numFmt w:val="bullet"/>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
      <w:numFmt w:val="bullet"/>
      <w:start w:val="1"/>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
      <w:numFmt w:val="bullet"/>
      <w:start w:val="1"/>
    </w:lvl>
  </w:abstractNum>
  <w:abstractNum w:abstractNumId="68">
    <w:nsid w:val="75E0858A"/>
    <w:multiLevelType w:val="hybridMultilevel"/>
    <w:lvl w:ilvl="0">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1)"/>
      <w:numFmt w:val="lowerLetter"/>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1)"/>
      <w:numFmt w:val="lowerLetter"/>
      <w:start w:val="2"/>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1"/>
      <w:numFmt w:val="bullet"/>
      <w:start w:val="1"/>
    </w:lvl>
  </w:abstractNum>
  <w:abstractNum w:abstractNumId="77">
    <w:nsid w:val="BFFAE18"/>
    <w:multiLevelType w:val="hybridMultilevel"/>
    <w:lvl w:ilvl="0">
      <w:lvlJc w:val="left"/>
      <w:lvlText w:val="%1)"/>
      <w:numFmt w:val="lowerLetter"/>
      <w:start w:val="3"/>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
      <w:numFmt w:val="bullet"/>
      <w:start w:val="1"/>
    </w:lvl>
  </w:abstractNum>
  <w:abstractNum w:abstractNumId="80">
    <w:nsid w:val="49D0FEAC"/>
    <w:multiLevelType w:val="hybridMultilevel"/>
    <w:lvl w:ilvl="0">
      <w:lvlJc w:val="left"/>
      <w:lvlText w:val="*"/>
      <w:numFmt w:val="bullet"/>
      <w:start w:val="1"/>
    </w:lvl>
  </w:abstractNum>
  <w:abstractNum w:abstractNumId="81">
    <w:nsid w:val="4BEE5A5B"/>
    <w:multiLevelType w:val="hybridMultilevel"/>
    <w:lvl w:ilvl="0">
      <w:lvlJc w:val="left"/>
      <w:lvlText w:val="%1."/>
      <w:numFmt w:val="decimal"/>
      <w:start w:val="2"/>
    </w:lvl>
  </w:abstractNum>
  <w:abstractNum w:abstractNumId="82">
    <w:nsid w:val="5551B9F3"/>
    <w:multiLevelType w:val="hybridMultilevel"/>
    <w:lvl w:ilvl="0">
      <w:lvlJc w:val="left"/>
      <w:lvlText w:val="•"/>
      <w:numFmt w:val="bullet"/>
      <w:start w:val="1"/>
    </w:lvl>
  </w:abstractNum>
  <w:abstractNum w:abstractNumId="83">
    <w:nsid w:val="24F6AB8E"/>
    <w:multiLevelType w:val="hybridMultilevel"/>
    <w:lvl w:ilvl="0">
      <w:lvlJc w:val="left"/>
      <w:lvlText w:val="%1."/>
      <w:numFmt w:val="decimal"/>
      <w:start w:val="3"/>
    </w:lvl>
  </w:abstractNum>
  <w:abstractNum w:abstractNumId="84">
    <w:nsid w:val="634C574C"/>
    <w:multiLevelType w:val="hybridMultilevel"/>
    <w:lvl w:ilvl="0">
      <w:lvlJc w:val="left"/>
      <w:lvlText w:val="•"/>
      <w:numFmt w:val="bullet"/>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
      <w:numFmt w:val="bullet"/>
      <w:start w:val="1"/>
    </w:lvl>
  </w:abstractNum>
  <w:abstractNum w:abstractNumId="87">
    <w:nsid w:val="1849C29B"/>
    <w:multiLevelType w:val="hybridMultilevel"/>
    <w:lvl w:ilvl="0">
      <w:lvlJc w:val="left"/>
      <w:lvlText w:val="•"/>
      <w:numFmt w:val="bullet"/>
      <w:start w:val="1"/>
    </w:lvl>
  </w:abstractNum>
  <w:abstractNum w:abstractNumId="88">
    <w:nsid w:val="7DFF9D09"/>
    <w:multiLevelType w:val="hybridMultilevel"/>
    <w:lvl w:ilvl="0">
      <w:lvlJc w:val="left"/>
      <w:lvlText w:val="•"/>
      <w:numFmt w:val="bullet"/>
      <w:start w:val="1"/>
    </w:lvl>
  </w:abstractNum>
  <w:abstractNum w:abstractNumId="89">
    <w:nsid w:val="754342"/>
    <w:multiLevelType w:val="hybridMultilevel"/>
    <w:lvl w:ilvl="0">
      <w:lvlJc w:val="left"/>
      <w:lvlText w:val="%1."/>
      <w:numFmt w:val="decimal"/>
      <w:start w:val="4"/>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1."/>
      <w:numFmt w:val="decimal"/>
      <w:start w:val="5"/>
    </w:lvl>
  </w:abstractNum>
  <w:abstractNum w:abstractNumId="92">
    <w:nsid w:val="1816F8C4"/>
    <w:multiLevelType w:val="hybridMultilevel"/>
    <w:lvl w:ilvl="0">
      <w:lvlJc w:val="left"/>
      <w:lvlText w:val="•"/>
      <w:numFmt w:val="bullet"/>
      <w:start w:val="1"/>
    </w:lvl>
  </w:abstractNum>
  <w:abstractNum w:abstractNumId="93">
    <w:nsid w:val="37DF2233"/>
    <w:multiLevelType w:val="hybridMultilevel"/>
    <w:lvl w:ilvl="0">
      <w:lvlJc w:val="left"/>
      <w:lvlText w:val="•"/>
      <w:numFmt w:val="bullet"/>
      <w:start w:val="1"/>
    </w:lvl>
  </w:abstractNum>
  <w:abstractNum w:abstractNumId="94">
    <w:nsid w:val="7AB49DAF"/>
    <w:multiLevelType w:val="hybridMultilevel"/>
    <w:lvl w:ilvl="0">
      <w:lvlJc w:val="left"/>
      <w:lvlText w:val="•"/>
      <w:numFmt w:val="bullet"/>
      <w:start w:val="1"/>
    </w:lvl>
  </w:abstractNum>
  <w:abstractNum w:abstractNumId="95">
    <w:nsid w:val="759F82CD"/>
    <w:multiLevelType w:val="hybridMultilevel"/>
    <w:lvl w:ilvl="0">
      <w:lvlJc w:val="left"/>
      <w:lvlText w:val="•"/>
      <w:numFmt w:val="bullet"/>
      <w:start w:val="1"/>
    </w:lvl>
  </w:abstractNum>
  <w:abstractNum w:abstractNumId="96">
    <w:nsid w:val="61E74EA3"/>
    <w:multiLevelType w:val="hybridMultilevel"/>
    <w:lvl w:ilvl="0">
      <w:lvlJc w:val="left"/>
      <w:lvlText w:val="•"/>
      <w:numFmt w:val="bullet"/>
      <w:start w:val="1"/>
    </w:lvl>
  </w:abstractNum>
  <w:abstractNum w:abstractNumId="97">
    <w:nsid w:val="597B4D84"/>
    <w:multiLevelType w:val="hybridMultilevel"/>
    <w:lvl w:ilvl="0">
      <w:lvlJc w:val="left"/>
      <w:lvlText w:val="•"/>
      <w:numFmt w:val="bullet"/>
      <w:start w:val="1"/>
    </w:lvl>
  </w:abstractNum>
  <w:abstractNum w:abstractNumId="98">
    <w:nsid w:val="F819E7F"/>
    <w:multiLevelType w:val="hybridMultilevel"/>
    <w:lvl w:ilvl="0">
      <w:lvlJc w:val="left"/>
      <w:lvlText w:val="•"/>
      <w:numFmt w:val="bullet"/>
      <w:start w:val="1"/>
    </w:lvl>
  </w:abstractNum>
  <w:abstractNum w:abstractNumId="99">
    <w:nsid w:val="57C7D42D"/>
    <w:multiLevelType w:val="hybridMultilevel"/>
    <w:lvl w:ilvl="0">
      <w:lvlJc w:val="left"/>
      <w:lvlText w:val="(%1)"/>
      <w:numFmt w:val="upperLetter"/>
      <w:start w:val="2"/>
    </w:lvl>
  </w:abstractNum>
  <w:abstractNum w:abstractNumId="100">
    <w:nsid w:val="312167AD"/>
    <w:multiLevelType w:val="hybridMultilevel"/>
    <w:lvl w:ilvl="0">
      <w:lvlJc w:val="left"/>
      <w:lvlText w:val="•"/>
      <w:numFmt w:val="bullet"/>
      <w:start w:val="1"/>
    </w:lvl>
  </w:abstractNum>
  <w:abstractNum w:abstractNumId="101">
    <w:nsid w:val="631B64D4"/>
    <w:multiLevelType w:val="hybridMultilevel"/>
    <w:lvl w:ilvl="0">
      <w:lvlJc w:val="left"/>
      <w:lvlText w:val="•"/>
      <w:numFmt w:val="bullet"/>
      <w:start w:val="1"/>
    </w:lvl>
  </w:abstractNum>
  <w:abstractNum w:abstractNumId="102">
    <w:nsid w:val="78B5E776"/>
    <w:multiLevelType w:val="hybridMultilevel"/>
    <w:lvl w:ilvl="0">
      <w:lvlJc w:val="left"/>
      <w:lvlText w:val="%1."/>
      <w:numFmt w:val="upperLetter"/>
      <w:start w:val="23"/>
    </w:lvl>
    <w:lvl w:ilvl="1">
      <w:lvlJc w:val="left"/>
      <w:lvlText w:val="•"/>
      <w:numFmt w:val="bullet"/>
      <w:start w:val="1"/>
    </w:lvl>
  </w:abstractNum>
  <w:abstractNum w:abstractNumId="103">
    <w:nsid w:val="75486E47"/>
    <w:multiLevelType w:val="hybridMultilevel"/>
    <w:lvl w:ilvl="0">
      <w:lvlJc w:val="left"/>
      <w:lvlText w:val="•"/>
      <w:numFmt w:val="bullet"/>
      <w:start w:val="1"/>
    </w:lvl>
  </w:abstractNum>
  <w:abstractNum w:abstractNumId="104">
    <w:nsid w:val="6E534CDE"/>
    <w:multiLevelType w:val="hybridMultilevel"/>
    <w:lvl w:ilvl="0">
      <w:lvlJc w:val="left"/>
      <w:lvlText w:val="•"/>
      <w:numFmt w:val="bullet"/>
      <w:start w:val="1"/>
    </w:lvl>
  </w:abstractNum>
  <w:abstractNum w:abstractNumId="105">
    <w:nsid w:val="1A0DDE32"/>
    <w:multiLevelType w:val="hybridMultilevel"/>
    <w:lvl w:ilvl="0">
      <w:lvlJc w:val="left"/>
      <w:lvlText w:val="•"/>
      <w:numFmt w:val="bullet"/>
      <w:start w:val="1"/>
    </w:lvl>
  </w:abstractNum>
  <w:abstractNum w:abstractNumId="106">
    <w:nsid w:val="65968C1C"/>
    <w:multiLevelType w:val="hybridMultilevel"/>
    <w:lvl w:ilvl="0">
      <w:lvlJc w:val="left"/>
      <w:lvlText w:val="%1."/>
      <w:numFmt w:val="decimal"/>
      <w:start w:val="1"/>
    </w:lvl>
  </w:abstractNum>
  <w:abstractNum w:abstractNumId="107">
    <w:nsid w:val="46263DEC"/>
    <w:multiLevelType w:val="hybridMultilevel"/>
    <w:lvl w:ilvl="0">
      <w:lvlJc w:val="left"/>
      <w:lvlText w:val="%1."/>
      <w:numFmt w:val="decimal"/>
      <w:start w:val="2"/>
    </w:lvl>
  </w:abstractNum>
  <w:abstractNum w:abstractNumId="108">
    <w:nsid w:val="260D8C4A"/>
    <w:multiLevelType w:val="hybridMultilevel"/>
    <w:lvl w:ilvl="0">
      <w:lvlJc w:val="left"/>
      <w:lvlText w:val="•"/>
      <w:numFmt w:val="bullet"/>
      <w:start w:val="1"/>
    </w:lvl>
  </w:abstractNum>
  <w:abstractNum w:abstractNumId="109">
    <w:nsid w:val="73D4D3C4"/>
    <w:multiLevelType w:val="hybridMultilevel"/>
    <w:lvl w:ilvl="0">
      <w:lvlJc w:val="left"/>
      <w:lvlText w:val="%1."/>
      <w:numFmt w:val="decimal"/>
      <w:start w:val="1"/>
    </w:lvl>
  </w:abstractNum>
  <w:abstractNum w:abstractNumId="110">
    <w:nsid w:val="746F2E30"/>
    <w:multiLevelType w:val="hybridMultilevel"/>
    <w:lvl w:ilvl="0">
      <w:lvlJc w:val="left"/>
      <w:lvlText w:val="%1)"/>
      <w:numFmt w:val="lowerLetter"/>
      <w:start w:val="1"/>
    </w:lvl>
  </w:abstractNum>
  <w:abstractNum w:abstractNumId="111">
    <w:nsid w:val="6FDE8AF6"/>
    <w:multiLevelType w:val="hybridMultilevel"/>
    <w:lvl w:ilvl="0">
      <w:lvlJc w:val="left"/>
      <w:lvlText w:val="•"/>
      <w:numFmt w:val="bullet"/>
      <w:start w:val="1"/>
    </w:lvl>
  </w:abstractNum>
  <w:abstractNum w:abstractNumId="112">
    <w:nsid w:val="3FC32E20"/>
    <w:multiLevelType w:val="hybridMultilevel"/>
    <w:lvl w:ilvl="0">
      <w:lvlJc w:val="left"/>
      <w:lvlText w:val="%1)"/>
      <w:numFmt w:val="lowerLetter"/>
      <w:start w:val="3"/>
    </w:lvl>
  </w:abstractNum>
  <w:abstractNum w:abstractNumId="113">
    <w:nsid w:val="49C0E823"/>
    <w:multiLevelType w:val="hybridMultilevel"/>
    <w:lvl w:ilvl="0">
      <w:lvlJc w:val="left"/>
      <w:lvlText w:val="%1)"/>
      <w:numFmt w:val="lowerLetter"/>
      <w:start w:val="4"/>
    </w:lvl>
  </w:abstractNum>
  <w:abstractNum w:abstractNumId="114">
    <w:nsid w:val="14D53685"/>
    <w:multiLevelType w:val="hybridMultilevel"/>
    <w:lvl w:ilvl="0">
      <w:lvlJc w:val="left"/>
      <w:lvlText w:val="%1)"/>
      <w:numFmt w:val="lowerLetter"/>
      <w:start w:val="5"/>
    </w:lvl>
  </w:abstractNum>
  <w:abstractNum w:abstractNumId="115">
    <w:nsid w:val="230F856C"/>
    <w:multiLevelType w:val="hybridMultilevel"/>
    <w:lvl w:ilvl="0">
      <w:lvlJc w:val="left"/>
      <w:lvlText w:val="%1)"/>
      <w:numFmt w:val="lowerLetter"/>
      <w:start w:val="6"/>
    </w:lvl>
  </w:abstractNum>
  <w:abstractNum w:abstractNumId="116">
    <w:nsid w:val="6EAA85FB"/>
    <w:multiLevelType w:val="hybridMultilevel"/>
    <w:lvl w:ilvl="0">
      <w:lvlJc w:val="left"/>
      <w:lvlText w:val="%1."/>
      <w:numFmt w:val="decimal"/>
      <w:start w:val="2"/>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
      <w:numFmt w:val="bullet"/>
      <w:start w:val="1"/>
    </w:lvl>
  </w:abstractNum>
  <w:abstractNum w:abstractNumId="119">
    <w:nsid w:val="6CAA2304"/>
    <w:multiLevelType w:val="hybridMultilevel"/>
    <w:lvl w:ilvl="0">
      <w:lvlJc w:val="left"/>
      <w:lvlText w:val="•"/>
      <w:numFmt w:val="bullet"/>
      <w:start w:val="1"/>
    </w:lvl>
  </w:abstractNum>
  <w:abstractNum w:abstractNumId="120">
    <w:nsid w:val="3F7C2FF4"/>
    <w:multiLevelType w:val="hybridMultilevel"/>
    <w:lvl w:ilvl="0">
      <w:lvlJc w:val="left"/>
      <w:lvlText w:val="%1."/>
      <w:numFmt w:val="decimal"/>
      <w:start w:val="3"/>
    </w:lvl>
  </w:abstractNum>
  <w:abstractNum w:abstractNumId="121">
    <w:nsid w:val="25413BEC"/>
    <w:multiLevelType w:val="hybridMultilevel"/>
    <w:lvl w:ilvl="0">
      <w:lvlJc w:val="left"/>
      <w:lvlText w:val="%1)"/>
      <w:numFmt w:val="lowerLetter"/>
      <w:start w:val="1"/>
    </w:lvl>
  </w:abstractNum>
  <w:abstractNum w:abstractNumId="122">
    <w:nsid w:val="17180B0B"/>
    <w:multiLevelType w:val="hybridMultilevel"/>
    <w:lvl w:ilvl="0">
      <w:lvlJc w:val="left"/>
      <w:lvlText w:val="%1)"/>
      <w:numFmt w:val="lowerLetter"/>
      <w:start w:val="3"/>
    </w:lvl>
  </w:abstractNum>
  <w:abstractNum w:abstractNumId="123">
    <w:nsid w:val="579328B9"/>
    <w:multiLevelType w:val="hybridMultilevel"/>
    <w:lvl w:ilvl="0">
      <w:lvlJc w:val="left"/>
      <w:lvlText w:val="%1)"/>
      <w:numFmt w:val="lowerLetter"/>
      <w:start w:val="1"/>
    </w:lvl>
  </w:abstractNum>
  <w:abstractNum w:abstractNumId="124">
    <w:nsid w:val="5D205E20"/>
    <w:multiLevelType w:val="hybridMultilevel"/>
    <w:lvl w:ilvl="0">
      <w:lvlJc w:val="left"/>
      <w:lvlText w:val="%1."/>
      <w:numFmt w:val="upperLetter"/>
      <w:start w:val="3"/>
    </w:lvl>
    <w:lvl w:ilvl="1">
      <w:lvlJc w:val="left"/>
      <w:lvlText w:val="%2."/>
      <w:numFmt w:val="decimal"/>
      <w:start w:val="1"/>
    </w:lvl>
  </w:abstractNum>
  <w:abstractNum w:abstractNumId="125">
    <w:nsid w:val="11CCA8BA"/>
    <w:multiLevelType w:val="hybridMultilevel"/>
    <w:lvl w:ilvl="0">
      <w:lvlJc w:val="left"/>
      <w:lvlText w:val="%1)"/>
      <w:numFmt w:val="lowerLetter"/>
      <w:start w:val="1"/>
    </w:lvl>
  </w:abstractNum>
  <w:abstractNum w:abstractNumId="126">
    <w:nsid w:val="4D32AB86"/>
    <w:multiLevelType w:val="hybridMultilevel"/>
    <w:lvl w:ilvl="0">
      <w:lvlJc w:val="left"/>
      <w:lvlText w:val="%1)"/>
      <w:numFmt w:val="lowerLetter"/>
      <w:start w:val="2"/>
    </w:lvl>
  </w:abstractNum>
  <w:abstractNum w:abstractNumId="127">
    <w:nsid w:val="3F07ACC3"/>
    <w:multiLevelType w:val="hybridMultilevel"/>
    <w:lvl w:ilvl="0">
      <w:lvlJc w:val="left"/>
      <w:lvlText w:val="%1)"/>
      <w:numFmt w:val="lowerLetter"/>
      <w:start w:val="1"/>
    </w:lvl>
  </w:abstractNum>
  <w:abstractNum w:abstractNumId="128">
    <w:nsid w:val="6B47F63E"/>
    <w:multiLevelType w:val="hybridMultilevel"/>
    <w:lvl w:ilvl="0">
      <w:lvlJc w:val="left"/>
      <w:lvlText w:val="%1."/>
      <w:numFmt w:val="decimal"/>
      <w:start w:val="1"/>
    </w:lvl>
  </w:abstractNum>
  <w:abstractNum w:abstractNumId="129">
    <w:nsid w:val="5CB44A05"/>
    <w:multiLevelType w:val="hybridMultilevel"/>
    <w:lvl w:ilvl="0">
      <w:lvlJc w:val="left"/>
      <w:lvlText w:val="%1."/>
      <w:numFmt w:val="upperLetter"/>
      <w:start w:val="5"/>
    </w:lvl>
    <w:lvl w:ilvl="1">
      <w:lvlJc w:val="left"/>
      <w:lvlText w:val="%2."/>
      <w:numFmt w:val="decimal"/>
      <w:start w:val="1"/>
    </w:lvl>
  </w:abstractNum>
  <w:abstractNum w:abstractNumId="130">
    <w:nsid w:val="16CF80F1"/>
    <w:multiLevelType w:val="hybridMultilevel"/>
    <w:lvl w:ilvl="0">
      <w:lvlJc w:val="left"/>
      <w:lvlText w:val="%1."/>
      <w:numFmt w:val="upperLetter"/>
      <w:start w:val="6"/>
    </w:lvl>
  </w:abstractNum>
  <w:abstractNum w:abstractNumId="131">
    <w:nsid w:val="1C695DEC"/>
    <w:multiLevelType w:val="hybridMultilevel"/>
    <w:lvl w:ilvl="0">
      <w:lvlJc w:val="left"/>
      <w:lvlText w:val="•"/>
      <w:numFmt w:val="bullet"/>
      <w:start w:val="1"/>
    </w:lvl>
  </w:abstractNum>
  <w:abstractNum w:abstractNumId="132">
    <w:nsid w:val="3FCFAED9"/>
    <w:multiLevelType w:val="hybridMultilevel"/>
    <w:lvl w:ilvl="0">
      <w:lvlJc w:val="left"/>
      <w:lvlText w:val="•"/>
      <w:numFmt w:val="bullet"/>
      <w:start w:val="1"/>
    </w:lvl>
  </w:abstractNum>
  <w:abstractNum w:abstractNumId="133">
    <w:nsid w:val="F856867"/>
    <w:multiLevelType w:val="hybridMultilevel"/>
    <w:lvl w:ilvl="0">
      <w:lvlJc w:val="left"/>
      <w:lvlText w:val="(%1)"/>
      <w:numFmt w:val="lowerRoman"/>
      <w:start w:val="2"/>
    </w:lvl>
  </w:abstractNum>
  <w:abstractNum w:abstractNumId="134">
    <w:nsid w:val="11B1CC33"/>
    <w:multiLevelType w:val="hybridMultilevel"/>
    <w:lvl w:ilvl="0">
      <w:lvlJc w:val="left"/>
      <w:lvlText w:val="(%1)"/>
      <w:numFmt w:val="lowerRoman"/>
      <w:start w:val="2"/>
    </w:lvl>
  </w:abstractNum>
  <w:abstractNum w:abstractNumId="135">
    <w:nsid w:val="2E22FBB7"/>
    <w:multiLevelType w:val="hybridMultilevel"/>
    <w:lvl w:ilvl="0">
      <w:lvlJc w:val="left"/>
      <w:lvlText w:val="(%1)"/>
      <w:numFmt w:val="lowerRoman"/>
      <w:start w:val="2"/>
    </w:lvl>
  </w:abstractNum>
  <w:abstractNum w:abstractNumId="136">
    <w:nsid w:val="29934699"/>
    <w:multiLevelType w:val="hybridMultilevel"/>
    <w:lvl w:ilvl="0">
      <w:lvlJc w:val="left"/>
      <w:lvlText w:val="•"/>
      <w:numFmt w:val="bullet"/>
      <w:start w:val="1"/>
    </w:lvl>
  </w:abstractNum>
  <w:abstractNum w:abstractNumId="137">
    <w:nsid w:val="77485850"/>
    <w:multiLevelType w:val="hybridMultilevel"/>
    <w:lvl w:ilvl="0">
      <w:lvlJc w:val="left"/>
      <w:lvlText w:val="•"/>
      <w:numFmt w:val="bullet"/>
      <w:start w:val="1"/>
    </w:lvl>
  </w:abstractNum>
  <w:abstractNum w:abstractNumId="138">
    <w:nsid w:val="744939A3"/>
    <w:multiLevelType w:val="hybridMultilevel"/>
    <w:lvl w:ilvl="0">
      <w:lvlJc w:val="left"/>
      <w:lvlText w:val="•"/>
      <w:numFmt w:val="bullet"/>
      <w:start w:val="1"/>
    </w:lvl>
  </w:abstractNum>
  <w:abstractNum w:abstractNumId="139">
    <w:nsid w:val="4FA0D2E3"/>
    <w:multiLevelType w:val="hybridMultilevel"/>
    <w:lvl w:ilvl="0">
      <w:lvlJc w:val="left"/>
      <w:lvlText w:val="•"/>
      <w:numFmt w:val="bullet"/>
      <w:start w:val="1"/>
    </w:lvl>
  </w:abstractNum>
  <w:abstractNum w:abstractNumId="140">
    <w:nsid w:val="6B1D2C14"/>
    <w:multiLevelType w:val="hybridMultilevel"/>
    <w:lvl w:ilvl="0">
      <w:lvlJc w:val="left"/>
      <w:lvlText w:val="•"/>
      <w:numFmt w:val="bullet"/>
      <w:start w:val="1"/>
    </w:lvl>
  </w:abstractNum>
  <w:abstractNum w:abstractNumId="141">
    <w:nsid w:val="68B867D3"/>
    <w:multiLevelType w:val="hybridMultilevel"/>
    <w:lvl w:ilvl="0">
      <w:lvlJc w:val="left"/>
      <w:lvlText w:val="•"/>
      <w:numFmt w:val="bullet"/>
      <w:start w:val="1"/>
    </w:lvl>
  </w:abstractNum>
  <w:abstractNum w:abstractNumId="142">
    <w:nsid w:val="3F7F5DD9"/>
    <w:multiLevelType w:val="hybridMultilevel"/>
    <w:lvl w:ilvl="0">
      <w:lvlJc w:val="left"/>
      <w:lvlText w:val="•"/>
      <w:numFmt w:val="bullet"/>
      <w:start w:val="1"/>
    </w:lvl>
  </w:abstractNum>
  <w:abstractNum w:abstractNumId="143">
    <w:nsid w:val="2AE05A34"/>
    <w:multiLevelType w:val="hybridMultilevel"/>
    <w:lvl w:ilvl="0">
      <w:lvlJc w:val="left"/>
      <w:lvlText w:val="•"/>
      <w:numFmt w:val="bullet"/>
      <w:start w:val="1"/>
    </w:lvl>
  </w:abstractNum>
  <w:abstractNum w:abstractNumId="144">
    <w:nsid w:val="32794FF7"/>
    <w:multiLevelType w:val="hybridMultilevel"/>
    <w:lvl w:ilvl="0">
      <w:lvlJc w:val="left"/>
      <w:lvlText w:val="•"/>
      <w:numFmt w:val="bullet"/>
      <w:start w:val="1"/>
    </w:lvl>
  </w:abstractNum>
  <w:abstractNum w:abstractNumId="145">
    <w:nsid w:val="5454945E"/>
    <w:multiLevelType w:val="hybridMultilevel"/>
    <w:lvl w:ilvl="0">
      <w:lvlJc w:val="left"/>
      <w:lvlText w:val="•"/>
      <w:numFmt w:val="bullet"/>
      <w:start w:val="1"/>
    </w:lvl>
  </w:abstractNum>
  <w:abstractNum w:abstractNumId="146">
    <w:nsid w:val="4DEFDFA0"/>
    <w:multiLevelType w:val="hybridMultilevel"/>
    <w:lvl w:ilvl="0">
      <w:lvlJc w:val="left"/>
      <w:lvlText w:val="(%1)"/>
      <w:numFmt w:val="lowerRoman"/>
      <w:start w:val="1"/>
    </w:lvl>
  </w:abstractNum>
  <w:abstractNum w:abstractNumId="147">
    <w:nsid w:val="2123D5F2"/>
    <w:multiLevelType w:val="hybridMultilevel"/>
    <w:lvl w:ilvl="0">
      <w:lvlJc w:val="left"/>
      <w:lvlText w:val="(%1)"/>
      <w:numFmt w:val="lowerRoman"/>
      <w:start w:val="4"/>
    </w:lvl>
  </w:abstractNum>
  <w:abstractNum w:abstractNumId="148">
    <w:nsid w:val="135B8110"/>
    <w:multiLevelType w:val="hybridMultilevel"/>
    <w:lvl w:ilvl="0">
      <w:lvlJc w:val="left"/>
      <w:lvlText w:val="%1."/>
      <w:numFmt w:val="upperLetter"/>
      <w:start w:val="2"/>
    </w:lvl>
  </w:abstractNum>
  <w:abstractNum w:abstractNumId="149">
    <w:nsid w:val="94927A8"/>
    <w:multiLevelType w:val="hybridMultilevel"/>
    <w:lvl w:ilvl="0">
      <w:lvlJc w:val="left"/>
      <w:lvlText w:val="%1."/>
      <w:numFmt w:val="decimal"/>
      <w:start w:val="1"/>
    </w:lvl>
  </w:abstractNum>
  <w:abstractNum w:abstractNumId="150">
    <w:nsid w:val="DCDF8F6"/>
    <w:multiLevelType w:val="hybridMultilevel"/>
    <w:lvl w:ilvl="0">
      <w:lvlJc w:val="left"/>
      <w:lvlText w:val="%1."/>
      <w:numFmt w:val="decimal"/>
      <w:start w:val="2"/>
    </w:lvl>
  </w:abstractNum>
  <w:abstractNum w:abstractNumId="151">
    <w:nsid w:val="52D7B105"/>
    <w:multiLevelType w:val="hybridMultilevel"/>
    <w:lvl w:ilvl="0">
      <w:lvlJc w:val="left"/>
      <w:lvlText w:val="%1."/>
      <w:numFmt w:val="decimal"/>
      <w:start w:val="4"/>
    </w:lvl>
  </w:abstractNum>
  <w:abstractNum w:abstractNumId="152">
    <w:nsid w:val="2E8A6394"/>
    <w:multiLevelType w:val="hybridMultilevel"/>
    <w:lvl w:ilvl="0">
      <w:lvlJc w:val="left"/>
      <w:lvlText w:val="•"/>
      <w:numFmt w:val="bullet"/>
      <w:start w:val="1"/>
    </w:lvl>
  </w:abstractNum>
  <w:abstractNum w:abstractNumId="153">
    <w:nsid w:val="24E60401"/>
    <w:multiLevelType w:val="hybridMultilevel"/>
    <w:lvl w:ilvl="0">
      <w:lvlJc w:val="left"/>
      <w:lvlText w:val="•"/>
      <w:numFmt w:val="bullet"/>
      <w:start w:val="1"/>
    </w:lvl>
  </w:abstractNum>
  <w:abstractNum w:abstractNumId="154">
    <w:nsid w:val="2A6AD9BE"/>
    <w:multiLevelType w:val="hybridMultilevel"/>
    <w:lvl w:ilvl="0">
      <w:lvlJc w:val="left"/>
      <w:lvlText w:val="•"/>
      <w:numFmt w:val="bullet"/>
      <w:start w:val="1"/>
    </w:lvl>
  </w:abstractNum>
  <w:abstractNum w:abstractNumId="155">
    <w:nsid w:val="BAAC1B4"/>
    <w:multiLevelType w:val="hybridMultilevel"/>
    <w:lvl w:ilvl="0">
      <w:lvlJc w:val="left"/>
      <w:lvlText w:val="%1"/>
      <w:numFmt w:val="upperLetter"/>
      <w:start w:val="1"/>
    </w:lvl>
    <w:lvl w:ilvl="1">
      <w:lvlJc w:val="left"/>
      <w:lvlText w:val="•"/>
      <w:numFmt w:val="bullet"/>
      <w:start w:val="1"/>
    </w:lvl>
  </w:abstractNum>
  <w:abstractNum w:abstractNumId="156">
    <w:nsid w:val="36B2ACBC"/>
    <w:multiLevelType w:val="hybridMultilevel"/>
    <w:lvl w:ilvl="0">
      <w:lvlJc w:val="left"/>
      <w:lvlText w:val="•"/>
      <w:numFmt w:val="bullet"/>
      <w:start w:val="1"/>
    </w:lvl>
  </w:abstractNum>
  <w:abstractNum w:abstractNumId="157">
    <w:nsid w:val="779D8544"/>
    <w:multiLevelType w:val="hybridMultilevel"/>
    <w:lvl w:ilvl="0">
      <w:lvlJc w:val="left"/>
      <w:lvlText w:val="*"/>
      <w:numFmt w:val="bullet"/>
      <w:start w:val="1"/>
    </w:lvl>
  </w:abstractNum>
  <w:abstractNum w:abstractNumId="158">
    <w:nsid w:val="4AB26E78"/>
    <w:multiLevelType w:val="hybridMultilevel"/>
    <w:lvl w:ilvl="0">
      <w:lvlJc w:val="left"/>
      <w:lvlText w:val="(%1)"/>
      <w:numFmt w:val="decimal"/>
      <w:start w:val="1"/>
    </w:lvl>
  </w:abstractNum>
  <w:abstractNum w:abstractNumId="159">
    <w:nsid w:val="21FAA2FA"/>
    <w:multiLevelType w:val="hybridMultilevel"/>
    <w:lvl w:ilvl="0">
      <w:lvlJc w:val="left"/>
      <w:lvlText w:val="•"/>
      <w:numFmt w:val="bullet"/>
      <w:start w:val="1"/>
    </w:lvl>
  </w:abstractNum>
  <w:abstractNum w:abstractNumId="160">
    <w:nsid w:val="5451CF49"/>
    <w:multiLevelType w:val="hybridMultilevel"/>
    <w:lvl w:ilvl="0">
      <w:lvlJc w:val="left"/>
      <w:lvlText w:val="•"/>
      <w:numFmt w:val="bullet"/>
      <w:start w:val="1"/>
    </w:lvl>
  </w:abstractNum>
  <w:abstractNum w:abstractNumId="161">
    <w:nsid w:val="6181EF69"/>
    <w:multiLevelType w:val="hybridMultilevel"/>
    <w:lvl w:ilvl="0">
      <w:lvlJc w:val="left"/>
      <w:lvlText w:val="§"/>
      <w:numFmt w:val="bullet"/>
      <w:start w:val="1"/>
    </w:lvl>
  </w:abstractNum>
  <w:abstractNum w:abstractNumId="162">
    <w:nsid w:val="3E6400E6"/>
    <w:multiLevelType w:val="hybridMultilevel"/>
    <w:lvl w:ilvl="0">
      <w:lvlJc w:val="left"/>
      <w:lvlText w:val="•"/>
      <w:numFmt w:val="bullet"/>
      <w:start w:val="1"/>
    </w:lvl>
  </w:abstractNum>
  <w:abstractNum w:abstractNumId="163">
    <w:nsid w:val="14217E23"/>
    <w:multiLevelType w:val="hybridMultilevel"/>
    <w:lvl w:ilvl="0">
      <w:lvlJc w:val="left"/>
      <w:lvlText w:val="•"/>
      <w:numFmt w:val="bullet"/>
      <w:start w:val="1"/>
    </w:lvl>
  </w:abstractNum>
  <w:abstractNum w:abstractNumId="164">
    <w:nsid w:val="710757D0"/>
    <w:multiLevelType w:val="hybridMultilevel"/>
    <w:lvl w:ilvl="0">
      <w:lvlJc w:val="left"/>
      <w:lvlText w:val="•"/>
      <w:numFmt w:val="bullet"/>
      <w:start w:val="1"/>
    </w:lvl>
  </w:abstractNum>
  <w:abstractNum w:abstractNumId="165">
    <w:nsid w:val="5015CD1A"/>
    <w:multiLevelType w:val="hybridMultilevel"/>
    <w:lvl w:ilvl="0">
      <w:lvlJc w:val="left"/>
      <w:lvlText w:val="•"/>
      <w:numFmt w:val="bullet"/>
      <w:start w:val="1"/>
    </w:lvl>
  </w:abstractNum>
  <w:abstractNum w:abstractNumId="166">
    <w:nsid w:val="424479DA"/>
    <w:multiLevelType w:val="hybridMultilevel"/>
    <w:lvl w:ilvl="0">
      <w:lvlJc w:val="left"/>
      <w:lvlText w:val="•"/>
      <w:numFmt w:val="bullet"/>
      <w:start w:val="1"/>
    </w:lvl>
  </w:abstractNum>
  <w:abstractNum w:abstractNumId="167">
    <w:nsid w:val="1A9A9E69"/>
    <w:multiLevelType w:val="hybridMultilevel"/>
    <w:lvl w:ilvl="0">
      <w:lvlJc w:val="left"/>
      <w:lvlText w:val="•"/>
      <w:numFmt w:val="bullet"/>
      <w:start w:val="1"/>
    </w:lvl>
  </w:abstractNum>
  <w:abstractNum w:abstractNumId="168">
    <w:nsid w:val="475E256A"/>
    <w:multiLevelType w:val="hybridMultilevel"/>
    <w:lvl w:ilvl="0">
      <w:lvlJc w:val="left"/>
      <w:lvlText w:val="•"/>
      <w:numFmt w:val="bullet"/>
      <w:start w:val="1"/>
    </w:lvl>
  </w:abstractNum>
  <w:abstractNum w:abstractNumId="169">
    <w:nsid w:val="368DB37E"/>
    <w:multiLevelType w:val="hybridMultilevel"/>
    <w:lvl w:ilvl="0">
      <w:lvlJc w:val="left"/>
      <w:lvlText w:val="•"/>
      <w:numFmt w:val="bullet"/>
      <w:start w:val="1"/>
    </w:lvl>
  </w:abstractNum>
  <w:abstractNum w:abstractNumId="170">
    <w:nsid w:val="6A3B714C"/>
    <w:multiLevelType w:val="hybridMultilevel"/>
    <w:lvl w:ilvl="0">
      <w:lvlJc w:val="left"/>
      <w:lvlText w:val="•"/>
      <w:numFmt w:val="bullet"/>
      <w:start w:val="1"/>
    </w:lvl>
  </w:abstractNum>
  <w:abstractNum w:abstractNumId="171">
    <w:nsid w:val="327B517E"/>
    <w:multiLevelType w:val="hybridMultilevel"/>
    <w:lvl w:ilvl="0">
      <w:lvlJc w:val="left"/>
      <w:lvlText w:val="•"/>
      <w:numFmt w:val="bullet"/>
      <w:start w:val="1"/>
    </w:lvl>
  </w:abstractNum>
  <w:abstractNum w:abstractNumId="172">
    <w:nsid w:val="1F461B51"/>
    <w:multiLevelType w:val="hybridMultilevel"/>
    <w:lvl w:ilvl="0">
      <w:lvlJc w:val="left"/>
      <w:lvlText w:val="•"/>
      <w:numFmt w:val="bullet"/>
      <w:start w:val="1"/>
    </w:lvl>
  </w:abstractNum>
  <w:abstractNum w:abstractNumId="173">
    <w:nsid w:val="29BACF25"/>
    <w:multiLevelType w:val="hybridMultilevel"/>
    <w:lvl w:ilvl="0">
      <w:lvlJc w:val="left"/>
      <w:lvlText w:val="•"/>
      <w:numFmt w:val="bullet"/>
      <w:start w:val="1"/>
    </w:lvl>
  </w:abstractNum>
  <w:abstractNum w:abstractNumId="174">
    <w:nsid w:val="5D5BABB3"/>
    <w:multiLevelType w:val="hybridMultilevel"/>
    <w:lvl w:ilvl="0">
      <w:lvlJc w:val="left"/>
      <w:lvlText w:val="•"/>
      <w:numFmt w:val="bullet"/>
      <w:start w:val="1"/>
    </w:lvl>
  </w:abstractNum>
  <w:abstractNum w:abstractNumId="175">
    <w:nsid w:val="51BF6B48"/>
    <w:multiLevelType w:val="hybridMultilevel"/>
    <w:lvl w:ilvl="0">
      <w:lvlJc w:val="left"/>
      <w:lvlText w:val="•"/>
      <w:numFmt w:val="bullet"/>
      <w:start w:val="1"/>
    </w:lvl>
  </w:abstractNum>
  <w:abstractNum w:abstractNumId="176">
    <w:nsid w:val="7E0F6384"/>
    <w:multiLevelType w:val="hybridMultilevel"/>
    <w:lvl w:ilvl="0">
      <w:lvlJc w:val="left"/>
      <w:lvlText w:val="•"/>
      <w:numFmt w:val="bullet"/>
      <w:start w:val="1"/>
    </w:lvl>
  </w:abstractNum>
  <w:abstractNum w:abstractNumId="177">
    <w:nsid w:val="2B4B8B53"/>
    <w:multiLevelType w:val="hybridMultilevel"/>
    <w:lvl w:ilvl="0">
      <w:lvlJc w:val="left"/>
      <w:lvlText w:val="•"/>
      <w:numFmt w:val="bullet"/>
      <w:start w:val="1"/>
    </w:lvl>
  </w:abstractNum>
  <w:abstractNum w:abstractNumId="178">
    <w:nsid w:val="72E3413A"/>
    <w:multiLevelType w:val="hybridMultilevel"/>
    <w:lvl w:ilvl="0">
      <w:lvlJc w:val="left"/>
      <w:lvlText w:val="•"/>
      <w:numFmt w:val="bullet"/>
      <w:start w:val="1"/>
    </w:lvl>
  </w:abstractNum>
  <w:abstractNum w:abstractNumId="179">
    <w:nsid w:val="116AE494"/>
    <w:multiLevelType w:val="hybridMultilevel"/>
    <w:lvl w:ilvl="0">
      <w:lvlJc w:val="left"/>
      <w:lvlText w:val="•"/>
      <w:numFmt w:val="bullet"/>
      <w:start w:val="1"/>
    </w:lvl>
  </w:abstractNum>
  <w:abstractNum w:abstractNumId="180">
    <w:nsid w:val="3494B2FB"/>
    <w:multiLevelType w:val="hybridMultilevel"/>
    <w:lvl w:ilvl="0">
      <w:lvlJc w:val="left"/>
      <w:lvlText w:val="(%1)"/>
      <w:numFmt w:val="lowerRoman"/>
      <w:start w:val="1"/>
    </w:lvl>
  </w:abstractNum>
  <w:abstractNum w:abstractNumId="181">
    <w:nsid w:val="B13A31"/>
    <w:multiLevelType w:val="hybridMultilevel"/>
    <w:lvl w:ilvl="0">
      <w:lvlJc w:val="left"/>
      <w:lvlText w:val="•"/>
      <w:numFmt w:val="bullet"/>
      <w:start w:val="1"/>
    </w:lvl>
  </w:abstractNum>
  <w:abstractNum w:abstractNumId="182">
    <w:nsid w:val="64429599"/>
    <w:multiLevelType w:val="hybridMultilevel"/>
    <w:lvl w:ilvl="0">
      <w:lvlJc w:val="left"/>
      <w:lvlText w:val="(%1)"/>
      <w:numFmt w:val="lowerRoman"/>
      <w:start w:val="2"/>
    </w:lvl>
  </w:abstractNum>
  <w:abstractNum w:abstractNumId="183">
    <w:nsid w:val="631F1690"/>
    <w:multiLevelType w:val="hybridMultilevel"/>
    <w:lvl w:ilvl="0">
      <w:lvlJc w:val="left"/>
      <w:lvlText w:val="(%1)"/>
      <w:numFmt w:val="lowerRoman"/>
      <w:start w:val="1"/>
    </w:lvl>
  </w:abstractNum>
  <w:abstractNum w:abstractNumId="184">
    <w:nsid w:val="25973E32"/>
    <w:multiLevelType w:val="hybridMultilevel"/>
    <w:lvl w:ilvl="0">
      <w:lvlJc w:val="left"/>
      <w:lvlText w:val="•"/>
      <w:numFmt w:val="bullet"/>
      <w:start w:val="1"/>
    </w:lvl>
  </w:abstractNum>
  <w:abstractNum w:abstractNumId="185">
    <w:nsid w:val="EAD6F57"/>
    <w:multiLevelType w:val="hybridMultilevel"/>
    <w:lvl w:ilvl="0">
      <w:lvlJc w:val="left"/>
      <w:lvlText w:val="(%1)"/>
      <w:numFmt w:val="lowerLetter"/>
      <w:start w:val="1"/>
    </w:lvl>
  </w:abstractNum>
  <w:abstractNum w:abstractNumId="186">
    <w:nsid w:val="6EC9D844"/>
    <w:multiLevelType w:val="hybridMultilevel"/>
    <w:lvl w:ilvl="0">
      <w:lvlJc w:val="left"/>
      <w:lvlText w:val="(%1)"/>
      <w:numFmt w:val="lowerLetter"/>
      <w:start w:val="2"/>
    </w:lvl>
  </w:abstractNum>
  <w:abstractNum w:abstractNumId="187">
    <w:nsid w:val="5C49EAEE"/>
    <w:multiLevelType w:val="hybridMultilevel"/>
    <w:lvl w:ilvl="0">
      <w:lvlJc w:val="left"/>
      <w:lvlText w:val="•"/>
      <w:numFmt w:val="bullet"/>
      <w:start w:val="1"/>
    </w:lvl>
  </w:abstractNum>
  <w:abstractNum w:abstractNumId="188">
    <w:nsid w:val="64AF49B"/>
    <w:multiLevelType w:val="hybridMultilevel"/>
    <w:lvl w:ilvl="0">
      <w:lvlJc w:val="left"/>
      <w:lvlText w:val="•"/>
      <w:numFmt w:val="bullet"/>
      <w:start w:val="1"/>
    </w:lvl>
  </w:abstractNum>
  <w:abstractNum w:abstractNumId="189">
    <w:nsid w:val="397C46BC"/>
    <w:multiLevelType w:val="hybridMultilevel"/>
    <w:lvl w:ilvl="0">
      <w:lvlJc w:val="left"/>
      <w:lvlText w:val="•"/>
      <w:numFmt w:val="bullet"/>
      <w:start w:val="1"/>
    </w:lvl>
  </w:abstractNum>
  <w:abstractNum w:abstractNumId="190">
    <w:nsid w:val="7E448DE9"/>
    <w:multiLevelType w:val="hybridMultilevel"/>
    <w:lvl w:ilvl="0">
      <w:lvlJc w:val="left"/>
      <w:lvlText w:val="$"/>
      <w:numFmt w:val="bullet"/>
      <w:start w:val="1"/>
    </w:lvl>
  </w:abstractNum>
  <w:abstractNum w:abstractNumId="191">
    <w:nsid w:val="5A9CC3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jpe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52" Type="http://schemas.openxmlformats.org/officeDocument/2006/relationships/hyperlink" Target="http://www.sec.gov/Archives/edgar/data/1776985/000156459020014536/bntx-20f_20191231.htm" TargetMode="External"/><Relationship Id="rId353" Type="http://schemas.openxmlformats.org/officeDocument/2006/relationships/hyperlink" Target="http://www.sec.gov/Archives/edgar/data/1776985/000156459020024741/bntx-6k_20200512.htm" TargetMode="External"/><Relationship Id="rId354" Type="http://schemas.openxmlformats.org/officeDocument/2006/relationships/hyperlink" Target="http://www.sec.gov/Archives/edgar/data/1776985/000156459020031413/bntx-6k_20200701.htm" TargetMode="External"/><Relationship Id="rId355" Type="http://schemas.openxmlformats.org/officeDocument/2006/relationships/hyperlink" Target="http://www.sec.gov/Archives/edgar/data/1776985/000156459020032688/bntx-6k_20200721.htm" TargetMode="External"/><Relationship Id="rId356" Type="http://schemas.openxmlformats.org/officeDocument/2006/relationships/hyperlink" Target="http://www.sec.gov/Archives/edgar/data/1776985/000156459020032665/bntx-6k_20200720.htm" TargetMode="External"/><Relationship Id="rId357" Type="http://schemas.openxmlformats.org/officeDocument/2006/relationships/hyperlink" Target="http://www.sec.gov/Archives/edgar/data/1694187/000169418720000020/ntgn-201910xk.htm" TargetMode="External"/><Relationship Id="rId358" Type="http://schemas.openxmlformats.org/officeDocument/2006/relationships/hyperlink" Target="http://www.sec.gov/Archives/edgar/data/1694187/000169418720000041/ntgn-20200331x10q.htm" TargetMode="External"/><Relationship Id="rId359" Type="http://schemas.openxmlformats.org/officeDocument/2006/relationships/hyperlink" Target="http://www.sec.gov/Archives/edgar/data/1776985/000119312519263738/d796520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2020-07-24T16:08:05Z</dcterms:created>
  <dcterms:modified xsi:type="dcterms:W3CDTF">2020-07-24T16:08:05Z</dcterms:modified>
</cp:coreProperties>
</file>