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80"/>
          </w:cols>
          <w:pgMar w:left="440" w:top="376" w:right="87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22, 2025, BioNTech SE (the “Company”) issued a press release announcing the commencement of its exchange offer for all outstanding shares of CureVac N.V. A copy of the press release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on Form 6-K shall be deemed to be filed and incorporated by reference in the Company’s registration statement on Form F-4 (File</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 333-289468) and registration statements on Form S-8 (File Nos. 333-277105, 333-269740 and 333-253263) and to be part thereof from the date on which this report is filed, to the extent not superseded by documents or reports subsequently filed.</w:t>
      </w:r>
    </w:p>
    <w:p>
      <w:pPr>
        <w:sectPr>
          <w:pgSz w:w="11900" w:h="16838" w:orient="portrait"/>
          <w:cols w:equalWidth="0" w:num="1">
            <w:col w:w="10900"/>
          </w:cols>
          <w:pgMar w:left="440"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BioNTech SE</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Prof. Dr. Ugur Sahin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By:  /s/ Dr. Sierk Poetting</w:t>
            </w:r>
          </w:p>
        </w:tc>
      </w:tr>
      <w:tr>
        <w:trPr>
          <w:trHeight w:val="205"/>
        </w:trPr>
        <w:tc>
          <w:tcPr>
            <w:tcW w:w="4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Prof. Dr. Ugur Sahin</w:t>
            </w:r>
          </w:p>
        </w:tc>
        <w:tc>
          <w:tcPr>
            <w:tcW w:w="1120" w:type="dxa"/>
            <w:vAlign w:val="bottom"/>
          </w:tcPr>
          <w:p>
            <w:pPr>
              <w:spacing w:after="0"/>
              <w:rPr>
                <w:sz w:val="17"/>
                <w:szCs w:val="17"/>
                <w:color w:val="auto"/>
              </w:rPr>
            </w:pPr>
          </w:p>
        </w:tc>
        <w:tc>
          <w:tcPr>
            <w:tcW w:w="47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Dr. Sierk Poetting</w:t>
            </w:r>
          </w:p>
        </w:tc>
      </w:tr>
      <w:tr>
        <w:trPr>
          <w:trHeight w:val="234"/>
        </w:trPr>
        <w:tc>
          <w:tcPr>
            <w:tcW w:w="4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1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Operating Officer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October 22, 2025</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u w:val="single" w:color="auto"/>
          <w:color w:val="auto"/>
        </w:rPr>
        <w:t>Description of Exhibit</w:t>
      </w:r>
    </w:p>
    <w:p>
      <w:pPr>
        <w:spacing w:after="0" w:line="11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BioNTech Commences Public Exchange Offer for All Outstanding Shares of CureVac N.V.</w:t>
      </w:r>
    </w:p>
    <w:p>
      <w:pPr>
        <w:sectPr>
          <w:pgSz w:w="11900" w:h="16838" w:orient="portrait"/>
          <w:cols w:equalWidth="0" w:num="1">
            <w:col w:w="10019"/>
          </w:cols>
          <w:pgMar w:left="4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173990</wp:posOffset>
            </wp:positionV>
            <wp:extent cx="237426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26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Commences Public Exchange Offer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CureVac N.V.</w:t>
      </w:r>
    </w:p>
    <w:p>
      <w:pPr>
        <w:spacing w:after="0" w:line="232" w:lineRule="exact"/>
        <w:rPr>
          <w:sz w:val="20"/>
          <w:szCs w:val="20"/>
          <w:color w:val="auto"/>
        </w:rPr>
      </w:pPr>
    </w:p>
    <w:p>
      <w:pPr>
        <w:ind w:left="960" w:right="20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aims to strengthen the research, development, manufacturing and commercialization of mRNA-based cancer immunotherapy candidates, marking BioNTech’s next milestone in the execution of its oncology strategy</w:t>
      </w:r>
    </w:p>
    <w:p>
      <w:pPr>
        <w:spacing w:after="0" w:line="63"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CureVac shareholders receive approximately $5.46 in BioNTech American Depositary Shares for each CureVac share, subject to a collar; an indicative exchange ratio will be available at www.envisionreports.com/CureVacOffer for the duration of the exchange offer</w:t>
      </w:r>
    </w:p>
    <w:p>
      <w:pPr>
        <w:spacing w:after="0" w:line="63"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on how CureVac shareholders can participate in the exchange offer is available via Georgeson LLC, the information agent for the exchange offer, at +1 888 686 7195 (toll free in the US), +1 732 353 1948 (collect), or </w:t>
      </w:r>
      <w:r>
        <w:rPr>
          <w:rFonts w:ascii="Times New Roman" w:cs="Times New Roman" w:eastAsia="Times New Roman" w:hAnsi="Times New Roman"/>
          <w:sz w:val="18"/>
          <w:szCs w:val="18"/>
          <w:i w:val="1"/>
          <w:iCs w:val="1"/>
          <w:u w:val="single" w:color="auto"/>
          <w:color w:val="auto"/>
        </w:rPr>
        <w:t>Curevacoffer@georgeson.com</w:t>
      </w:r>
    </w:p>
    <w:p>
      <w:pPr>
        <w:spacing w:after="0" w:line="63" w:lineRule="exact"/>
        <w:rPr>
          <w:rFonts w:ascii="Times New Roman" w:cs="Times New Roman" w:eastAsia="Times New Roman" w:hAnsi="Times New Roman"/>
          <w:sz w:val="18"/>
          <w:szCs w:val="18"/>
          <w:color w:val="auto"/>
        </w:rPr>
      </w:pPr>
    </w:p>
    <w:p>
      <w:pPr>
        <w:ind w:left="960" w:right="22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offer will expire at 9:00 a.m. (New York City time) on December 3, 2025, unless extended or terminated earlier, in accordance with the terms of the Purchase Agreement</w:t>
      </w:r>
    </w:p>
    <w:p>
      <w:pPr>
        <w:spacing w:after="0" w:line="15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MAINZ, Germany, October 22, 2025 (GLOBE NEWSWIRE)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BioNTech 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BNTX, “BioNTech”) today announced it had commenced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public exchange offer (the “Offer”) for all outstanding shares of CureVac N.V. (Nasdaq: CVAC, “CureVac”). The Offer is being made pursuant to the previously announced purchase agreement between BioNTech and CureVac, dated as of June 12, 2025 (the “Purchase Agreement”). Upon closing, the transaction will bring together two pioneers in mRNA science with complementary capabilities and technologies to advance the development of innovative and transformative investigational mRNA-based cancer immunotherapies for patients in need.</w:t>
      </w:r>
    </w:p>
    <w:p>
      <w:pPr>
        <w:spacing w:after="0" w:line="18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With the acquisition, BioNTech aims to strengthen its research, development, manufacturing, and commercialization capabilities, complementing its expertise in mRNA design, delivery formulations, and mRNA manufacturing. The transaction marks a milestone in the execution of BioNTech’s oncology strategy, which focuses on two pan-tumor programs: mRNA-based cancer immunotherapy candidates, and pumitamig (BNT327), a PD-L1xVEGF-A bispecific antibody candidate. BioNTech’s all-stock acquisition of CureVac is expected to create long-term value for shareholders of both companies, building on BioNTech’s proven track record in mRNA research, development, manufacturing, and commercialization.</w:t>
      </w:r>
    </w:p>
    <w:p>
      <w:pPr>
        <w:spacing w:after="0" w:line="183"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each CureVac share will be exchanged for approximately $5.46 in BioNTech American Depositary Shares (“ADSs”), resulting in an implied aggregate equity value for CureVac of approximately $1.25 billion (subject to the adjustments described below). The consideration is subject to a collar mechanism, such that if the 10-day volume weighted average price of a BioNTech ADS ending on, and including, the fifth business day prior to the closing of the Offer (“VWAP”) is greater than or equal to $126.55, each CureVac share will be exchanged (the “Exchange Ratio”) for 0.04318 of a BioNTech ADS, and if the VWAP is less than or equal to $84.37, the Exchange Ratio will be 0.06476 of a BioNTech ADS. For the duration of the Offer, an indicative Exchange Ratio will be available at www.envisionreports.com/CureVacOffer.</w:t>
      </w:r>
    </w:p>
    <w:p>
      <w:pPr>
        <w:spacing w:after="0" w:line="187"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CureVac shareholders who want to participate in the Offer should contact their broker, dealer, or other nominee through which they hold their CureVac shares for further information. Any CureVac shareholder who has any questions, including regarding how to participate, may reach out to the information agent for the Offer, Georgeson LLC, at +1 888 686 7195 (toll free in the US), +1 732 353 1948 (collect) or Curevacoffer@georgeson.com.</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 will expire at 9:00 a.m. (New York City time) on December 3, 2025, unless extended or terminated earlier, in each case in accordance with the terms of the Purchase Agreement. The Offer is subject to various conditions, including at least 80% of CureVac’s shares (threshold may be reduced to 75% unilaterally by BioNTech under certain circumstances) being tendered into the Offer and accepted for payment and the receipt of required regulatory approvals.</w:t>
      </w:r>
    </w:p>
    <w:p>
      <w:pPr>
        <w:sectPr>
          <w:pgSz w:w="11900" w:h="16838" w:orient="portrait"/>
          <w:cols w:equalWidth="0" w:num="1">
            <w:col w:w="11020"/>
          </w:cols>
          <w:pgMar w:left="440" w:top="117" w:right="43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182880</wp:posOffset>
            </wp:positionV>
            <wp:extent cx="2374265"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74320"/>
                    </a:xfrm>
                    <a:prstGeom prst="rect">
                      <a:avLst/>
                    </a:prstGeom>
                    <a:noFill/>
                  </pic:spPr>
                </pic:pic>
              </a:graphicData>
            </a:graphic>
          </wp:anchor>
        </w:drawing>
        <w:t>As promptly as practicable following the expiration of the Offer, including the contemplated subsequent offering period, BioNTech and CureVac will effectuate a corporate reorganization of CureVac and its subsidiaries, resulting in BioNTech owning 100% of CureVac’s business. As part of this corporate reorganization, any holders of CureVac shares who do not participate in the Offer will receive the same consideration as they would have received had they participated in the Offer; however, BioNTech ADSs (and cash in lieu of fractional BioNTech ADSs) received pursuant to such reorganization may be subject to Dutch dividend withholding tax at a rate of 15%. The exchange agent may withhold and sell BioNTech ADSs to satisfy any such withholding tax.</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commencement of the Offer, CureVac will convene an extraordinary general meeting of shareholders (the “EGM”) to be held on November 25, 2025. The EGM will be called to vote on certain resolutions by the CureVac shareholders relating to the proposed transaction with BioNTech, including the post-offer corporate reorganization of CureVac and its subsidiaries, and the appointment of new members to the management and supervisory boards, each as further to be set out in the agenda and explanatory notes that will be made available to CureVac’s shareholders. The convening notice, agenda, explanatory notes, and other relevant materials for the EGM will be made available free of charge at CureVac’s registered office and on its website (</w:t>
      </w:r>
      <w:r>
        <w:rPr>
          <w:rFonts w:ascii="Times New Roman" w:cs="Times New Roman" w:eastAsia="Times New Roman" w:hAnsi="Times New Roman"/>
          <w:sz w:val="18"/>
          <w:szCs w:val="18"/>
          <w:u w:val="single" w:color="auto"/>
          <w:color w:val="auto"/>
        </w:rPr>
        <w:t>http://www.curevac.com</w:t>
      </w:r>
      <w:r>
        <w:rPr>
          <w:rFonts w:ascii="Times New Roman" w:cs="Times New Roman" w:eastAsia="Times New Roman" w:hAnsi="Times New Roman"/>
          <w:sz w:val="18"/>
          <w:szCs w:val="18"/>
          <w:color w:val="auto"/>
        </w:rPr>
        <w:t>). The registration date for CureVac shareholders is October 28, 2025. CureVac shareholders will be able to attend and vote at the EGM, either in person or by proxy, subject to the procedures set forth in the convening notice, in particular complying with the notification cut-off date on November 20, 2025. The adoption of the proposed resolutions relating to the post-offer reorganization and the post-closing composition of the management and supervisory boards at the EGM is a condition to the expiration of the Offer.</w:t>
      </w:r>
    </w:p>
    <w:p>
      <w:pPr>
        <w:spacing w:after="0" w:line="188"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 xml:space="preserve">Should you need help or have questions relating to the EGM and to vote your shares, please contact CureVac’s information agent, Sodali, at </w:t>
      </w:r>
      <w:r>
        <w:rPr>
          <w:rFonts w:ascii="Times New Roman" w:cs="Times New Roman" w:eastAsia="Times New Roman" w:hAnsi="Times New Roman"/>
          <w:sz w:val="18"/>
          <w:szCs w:val="18"/>
          <w:u w:val="single" w:color="auto"/>
          <w:color w:val="auto"/>
        </w:rPr>
        <w:t>CureVac-EGM@investor.sodali.com</w:t>
      </w:r>
      <w:r>
        <w:rPr>
          <w:rFonts w:ascii="Times New Roman" w:cs="Times New Roman" w:eastAsia="Times New Roman" w:hAnsi="Times New Roman"/>
          <w:sz w:val="18"/>
          <w:szCs w:val="18"/>
          <w:color w:val="auto"/>
        </w:rPr>
        <w:t xml:space="preserve"> or +49 69 95179985.</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BioNTech has filed a registration statement on Form F-4 and amendments thereto (the “Registration Statement”) with the U.S. Securities and Exchange Commission (the “SEC”), which has not yet become effective. BioNTech has filed with the SEC a Tender Offer Statement on Schedule TO, including as exhibits an offer to exchange/prospectus and letter of transmittal, which include the terms of the Offer. Additionally, CureVac has filed a Solicitation/Recommendation Statement on Schedule 14D-9 with the SEC containing the recommendation of its management board and supervisory board that CureVac shareholders tender their shares into the Offer. The Schedule TO, Registration Statement, Schedule 14D-9, their exhibits and other Offer materials can be obtained free of charge at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contacting Georgeson LLC, the information agent for the Offer, as set out above.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BioNTech</w:t>
      </w:r>
    </w:p>
    <w:p>
      <w:pPr>
        <w:spacing w:after="0" w:line="121"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ectPr>
          <w:pgSz w:w="11900" w:h="16838" w:orient="portrait"/>
          <w:cols w:equalWidth="0" w:num="1">
            <w:col w:w="10980"/>
          </w:cols>
          <w:pgMar w:left="440" w:top="85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182880</wp:posOffset>
            </wp:positionV>
            <wp:extent cx="237426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74320"/>
                    </a:xfrm>
                    <a:prstGeom prst="rect">
                      <a:avLst/>
                    </a:prstGeom>
                    <a:noFill/>
                  </pic:spPr>
                </pic:pic>
              </a:graphicData>
            </a:graphic>
          </wp:anchor>
        </w:drawing>
        <w:t xml:space="preserve">For more information, please visit </w:t>
      </w:r>
      <w:r>
        <w:rPr>
          <w:rFonts w:ascii="Times New Roman" w:cs="Times New Roman" w:eastAsia="Times New Roman" w:hAnsi="Times New Roman"/>
          <w:sz w:val="18"/>
          <w:szCs w:val="18"/>
          <w:u w:val="single" w:color="auto"/>
          <w:color w:val="auto"/>
        </w:rPr>
        <w:t>www.BioNTech.com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CureVac</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CureVac (Nasdaq: CVAC) is a pioneering multinational biotech company founded in 2000 to advance the field of messenger RNA (mRNA) technology for application in human medicine. CureVac’s mRNA platform incorporates a series of novel technologies, designed to improve the efficacy, safety and cost-effectiveness of mRNA therapeutics aimed at resulting in enhanced immune responses at lower doses. Additionally, CureVac has developed LNPs, which have been optimized for indication specific use across infectious diseases and oncology. CureVac is leveraging mRNA technology, combined with advanced omics and computational tools, to design and develop off-the-shelf and personalized cancer vaccine product candidates. It also develops programs in prophylactic vaccines and in treatments that aim to enable the human body to produce its own therapeutic proteins. Headquartered in Tübingen, Germany, CureVac also operates sites in the Netherlands, Belgium, Switzerland, and the 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Further information can be found at </w:t>
      </w:r>
      <w:r>
        <w:rPr>
          <w:rFonts w:ascii="Times New Roman" w:cs="Times New Roman" w:eastAsia="Times New Roman" w:hAnsi="Times New Roman"/>
          <w:sz w:val="18"/>
          <w:szCs w:val="18"/>
          <w:u w:val="single" w:color="auto"/>
          <w:color w:val="auto"/>
        </w:rPr>
        <w:t>www.CureVac.com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w:t>
      </w:r>
    </w:p>
    <w:p>
      <w:pPr>
        <w:sectPr>
          <w:pgSz w:w="11900" w:h="16838" w:orient="portrait"/>
          <w:cols w:equalWidth="0" w:num="1">
            <w:col w:w="11020"/>
          </w:cols>
          <w:pgMar w:left="440" w:top="850" w:right="439" w:bottom="1440" w:gutter="0" w:footer="0" w:header="0"/>
        </w:sectPr>
      </w:pPr>
    </w:p>
    <w:bookmarkStart w:id="7" w:name="page8"/>
    <w:bookmarkEnd w:id="7"/>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182880</wp:posOffset>
            </wp:positionV>
            <wp:extent cx="2374265"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74320"/>
                    </a:xfrm>
                    <a:prstGeom prst="rect">
                      <a:avLst/>
                    </a:prstGeom>
                    <a:noFill/>
                  </pic:spPr>
                </pic:pic>
              </a:graphicData>
            </a:graphic>
          </wp:anchor>
        </w:drawing>
        <w:t>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 and Security 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Such Registration Statement has not yet been declared effective by the SEC.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850"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182880</wp:posOffset>
            </wp:positionV>
            <wp:extent cx="237426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74320"/>
                    </a:xfrm>
                    <a:prstGeom prst="rect">
                      <a:avLst/>
                    </a:prstGeom>
                    <a:noFill/>
                  </pic:spPr>
                </pic:pic>
              </a:graphicData>
            </a:graphic>
          </wp:anchor>
        </w:drawing>
        <w:t>EEA</w:t>
      </w:r>
    </w:p>
    <w:p>
      <w:pPr>
        <w:spacing w:after="0" w:line="11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be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pacing w:after="0" w:line="194"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w:t>
      </w:r>
    </w:p>
    <w:p>
      <w:pPr>
        <w:spacing w:after="0" w:line="5" w:lineRule="exact"/>
        <w:rPr>
          <w:sz w:val="20"/>
          <w:szCs w:val="20"/>
          <w:color w:val="auto"/>
        </w:rPr>
      </w:pPr>
    </w:p>
    <w:p>
      <w:pPr>
        <w:ind w:left="4" w:right="40" w:hanging="4"/>
        <w:spacing w:after="0" w:line="255"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6" w:lineRule="exact"/>
        <w:rPr>
          <w:sz w:val="20"/>
          <w:szCs w:val="20"/>
          <w:color w:val="auto"/>
        </w:rPr>
      </w:pPr>
    </w:p>
    <w:p>
      <w:pPr>
        <w:jc w:val="both"/>
        <w:ind w:left="4" w:right="16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172"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225" w:lineRule="exact"/>
        <w:rPr>
          <w:sz w:val="20"/>
          <w:szCs w:val="20"/>
          <w:color w:val="auto"/>
        </w:rPr>
      </w:pPr>
    </w:p>
    <w:p>
      <w:pPr>
        <w:ind w:left="4" w:right="16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ectPr>
          <w:pgSz w:w="11900" w:h="16838" w:orient="portrait"/>
          <w:cols w:equalWidth="0" w:num="1">
            <w:col w:w="11024"/>
          </w:cols>
          <w:pgMar w:left="436" w:top="850" w:right="439" w:bottom="1440" w:gutter="0" w:footer="0" w:header="0"/>
        </w:sectPr>
      </w:pPr>
    </w:p>
    <w:bookmarkStart w:id="9" w:name="page10"/>
    <w:bookmarkEnd w:id="9"/>
    <w:p>
      <w:pP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4897120</wp:posOffset>
            </wp:positionH>
            <wp:positionV relativeFrom="page">
              <wp:posOffset>182880</wp:posOffset>
            </wp:positionV>
            <wp:extent cx="237426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374265" cy="274320"/>
                    </a:xfrm>
                    <a:prstGeom prst="rect">
                      <a:avLst/>
                    </a:prstGeom>
                    <a:noFill/>
                  </pic:spPr>
                </pic:pic>
              </a:graphicData>
            </a:graphic>
          </wp:anchor>
        </w:drawing>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BioNTech: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Maffei, PhD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Investors@BioNTech.de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Jasmina Alatovic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Media@BioNTech.de</w:t>
      </w:r>
    </w:p>
    <w:sectPr>
      <w:pgSz w:w="11900" w:h="16838" w:orient="portrait"/>
      <w:cols w:equalWidth="0" w:num="1">
        <w:col w:w="10880"/>
      </w:cols>
      <w:pgMar w:left="440" w:top="84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2025-10-22T15:10:39Z</dcterms:created>
  <dcterms:modified xsi:type="dcterms:W3CDTF">2025-10-22T15:10:39Z</dcterms:modified>
</cp:coreProperties>
</file>