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SEPTEMBER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September 5, 2024, BioNTech SE announced that it will present clinical trial data for selected assets from its multi-platform oncology pipeline at the European Society for Molecular Oncology (ESMO) Congress 2024 in Barcelona, Spain from September 13-17, 2024. The press release is attached hereto as Exhibit 99.1.</w:t>
      </w:r>
    </w:p>
    <w:p>
      <w:pPr>
        <w:sectPr>
          <w:pgSz w:w="11900" w:h="16838" w:orient="portrait"/>
          <w:cols w:equalWidth="0" w:num="1">
            <w:col w:w="11180"/>
          </w:cols>
          <w:pgMar w:left="320" w:top="1094"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5,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8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8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BioNTech to Present Clinical Data Updates Across mRNA and Immunomodulatory Oncology Portfolio at ESMO</w:t>
            </w:r>
          </w:p>
        </w:tc>
      </w:tr>
      <w:tr>
        <w:trPr>
          <w:trHeight w:val="237"/>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rPr>
              <w:t>Congress 2024</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ectPr>
          <w:pgSz w:w="11900" w:h="16838" w:orient="portrait"/>
          <w:cols w:equalWidth="0" w:num="1">
            <w:col w:w="11040"/>
          </w:cols>
          <w:pgMar w:left="360" w:top="1094" w:right="49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97993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line="263" w:lineRule="auto"/>
        <w:rPr>
          <w:sz w:val="20"/>
          <w:szCs w:val="20"/>
          <w:color w:val="auto"/>
        </w:rPr>
      </w:pPr>
      <w:r>
        <w:rPr>
          <w:rFonts w:ascii="Arial" w:cs="Arial" w:eastAsia="Arial" w:hAnsi="Arial"/>
          <w:sz w:val="25"/>
          <w:szCs w:val="25"/>
          <w:b w:val="1"/>
          <w:bCs w:val="1"/>
          <w:color w:val="auto"/>
        </w:rPr>
        <w:t>BioNTech to Present Clinical Data Updates Across mRNA and Immunomodulatory Oncology Portfolio at ESMO Congress 2024</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MAINZ, Germany, September 05, 2024 </w:t>
      </w:r>
      <w:r>
        <w:rPr>
          <w:rFonts w:ascii="Arial" w:cs="Arial" w:eastAsia="Arial" w:hAnsi="Arial"/>
          <w:sz w:val="18"/>
          <w:szCs w:val="18"/>
          <w:color w:val="auto"/>
        </w:rPr>
        <w:t>– BioNTech SE (Nasdaq: BNTX, “BioNTech” or “the Company”) will present clinical trial data for</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assets from its multi-platform oncology pipeline at the European Society for Molecular Oncology (“ESMO”) Congress 2024 in Barcelona, Spain from September 13-17, 2024. The oral and poster presentations will feature programs across BioNTech’s clinical pipeline, including mRNA-based cancer vaccines, next-generation immunomodulators and targeted therapy approaches.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“We believe that the future of cancer treatment will be driven by the combination of modalities, including immunomodulators, targeted and mRNA-based therapies,” said </w:t>
      </w:r>
      <w:r>
        <w:rPr>
          <w:rFonts w:ascii="Arial" w:cs="Arial" w:eastAsia="Arial" w:hAnsi="Arial"/>
          <w:sz w:val="18"/>
          <w:szCs w:val="18"/>
          <w:b w:val="1"/>
          <w:bCs w:val="1"/>
          <w:color w:val="auto"/>
        </w:rPr>
        <w:t>Prof. Özlem Türeci, M.D., Co-Founder and Chief Medical Officer at BioNTech</w:t>
      </w:r>
      <w:r>
        <w:rPr>
          <w:rFonts w:ascii="Arial" w:cs="Arial" w:eastAsia="Arial" w:hAnsi="Arial"/>
          <w:sz w:val="18"/>
          <w:szCs w:val="18"/>
          <w:color w:val="auto"/>
        </w:rPr>
        <w:t>. “At this year’s ESMO, we will present data from three clinical trials with BNT327/PM8002, one of the key backbones for our combination treatment strategy. This bispecific antibody will be an element in multiple novel combination treatment approaches that may open up new synergistic mechanisms of action. Our mRNA platforms are another important component of our combination strategy. At ESMO, we will present clinical data that further support the proof of concept of our mRNA-based FixVac approach, which targets non-mutated tumor-associated antigens, showing early clinical activity across various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BioNTech’s clinical stage programs to be presented at ESMO Congress 2024:</w:t>
      </w:r>
    </w:p>
    <w:p>
      <w:pPr>
        <w:spacing w:after="0" w:line="252" w:lineRule="exact"/>
        <w:rPr>
          <w:sz w:val="20"/>
          <w:szCs w:val="20"/>
          <w:color w:val="auto"/>
        </w:rPr>
      </w:pPr>
    </w:p>
    <w:p>
      <w:pPr>
        <w:jc w:val="both"/>
        <w:ind w:left="660" w:hanging="328"/>
        <w:spacing w:after="0" w:line="26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Updates on several Phase 2 and Phase 1/2 clinical trials evaluating </w:t>
      </w:r>
      <w:r>
        <w:rPr>
          <w:rFonts w:ascii="Arial" w:cs="Arial" w:eastAsia="Arial" w:hAnsi="Arial"/>
          <w:sz w:val="18"/>
          <w:szCs w:val="18"/>
          <w:b w:val="1"/>
          <w:bCs w:val="1"/>
          <w:color w:val="auto"/>
        </w:rPr>
        <w:t>BNT327/PM8002</w:t>
      </w:r>
      <w:r>
        <w:rPr>
          <w:rFonts w:ascii="Arial" w:cs="Arial" w:eastAsia="Arial" w:hAnsi="Arial"/>
          <w:sz w:val="18"/>
          <w:szCs w:val="18"/>
          <w:color w:val="auto"/>
        </w:rPr>
        <w:t xml:space="preserve"> in various indications as monotherapy and in combination with chemotherapy will be presented. BNT327/PM8002 is an investigational bispecific antibody combining PD-L1 checkpoint inhibition with VEGF-A neutralization for vascular normalization and immunostimulation in the microenvironment of the tumor. Two oral presentations and one poster will provide clinical data updates for cohorts with advanced non-small cell lung cancer (“NSCLC”), locally advanced/metastatic triple-negative breast cancer (“TNBC”) and advanced renal cell carcinoma. BNT327/PM8002 is being developed in collaboration with Biotheus Inc. (“Biotheus”).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Preliminary data from an ongoing clinical Phase 2 trial (NCT04534205) evaluating </w:t>
      </w:r>
      <w:r>
        <w:rPr>
          <w:rFonts w:ascii="Arial" w:cs="Arial" w:eastAsia="Arial" w:hAnsi="Arial"/>
          <w:sz w:val="18"/>
          <w:szCs w:val="18"/>
          <w:b w:val="1"/>
          <w:bCs w:val="1"/>
          <w:color w:val="auto"/>
        </w:rPr>
        <w:t>BNT113</w:t>
      </w:r>
      <w:r>
        <w:rPr>
          <w:rFonts w:ascii="Arial" w:cs="Arial" w:eastAsia="Arial" w:hAnsi="Arial"/>
          <w:sz w:val="18"/>
          <w:szCs w:val="18"/>
          <w:color w:val="auto"/>
        </w:rPr>
        <w:t xml:space="preserve"> in combination with PD-1 blockade and data from an investigator-initiated Phase 1/2 clinical trial (NCT03418480) evaluating BNT113 as monotherapy in HPV16-driven cancers will be presented. The data show immunogenicity and antitumor activity in heavily pre-treated patients in several HPV16-positive indications, including head and neck cancer, and a manageable safety profile. BNT113 is an investigational lipoplex-formulated uridine mRNA immunotherapy encoding E6 and E7 antigens of HPV16.</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Preliminary data of the randomized Phase 2 clinical trial (NCT05446298) with </w:t>
      </w:r>
      <w:r>
        <w:rPr>
          <w:rFonts w:ascii="Arial" w:cs="Arial" w:eastAsia="Arial" w:hAnsi="Arial"/>
          <w:sz w:val="18"/>
          <w:szCs w:val="18"/>
          <w:b w:val="1"/>
          <w:bCs w:val="1"/>
          <w:color w:val="auto"/>
        </w:rPr>
        <w:t>BNT316/ONC-392 (gotistobart),</w:t>
      </w:r>
      <w:r>
        <w:rPr>
          <w:rFonts w:ascii="Arial" w:cs="Arial" w:eastAsia="Arial" w:hAnsi="Arial"/>
          <w:sz w:val="18"/>
          <w:szCs w:val="18"/>
          <w:color w:val="auto"/>
        </w:rPr>
        <w:t xml:space="preserve"> an investigational anti-CTLA-4 antibody, in combination with pembrolizumab in patients with platinum-resistant recurrent ovarian cancer (“PROC”) will be presented in a late-breaking session. BNT316/ONC-392 is being developed in collaboration with OncoC4, Inc. (“OncoC4”).</w:t>
      </w:r>
    </w:p>
    <w:p>
      <w:pPr>
        <w:jc w:val="both"/>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Follow-up data of activity and immune responses from the ongoing first-in-human Phase 1 clinical trial (NCT04503278) with </w:t>
      </w:r>
      <w:r>
        <w:rPr>
          <w:rFonts w:ascii="Arial" w:cs="Arial" w:eastAsia="Arial" w:hAnsi="Arial"/>
          <w:sz w:val="18"/>
          <w:szCs w:val="18"/>
          <w:b w:val="1"/>
          <w:bCs w:val="1"/>
          <w:color w:val="auto"/>
        </w:rPr>
        <w:t>BNT211</w:t>
      </w:r>
      <w:r>
        <w:rPr>
          <w:rFonts w:ascii="Arial" w:cs="Arial" w:eastAsia="Arial" w:hAnsi="Arial"/>
          <w:sz w:val="18"/>
          <w:szCs w:val="18"/>
          <w:color w:val="auto"/>
        </w:rPr>
        <w:t xml:space="preserve"> in patients with relapsed/refractory CLDN6+ solid tumors will be presented. BNT211 combines autologous CAR-T cells directed against the oncofetal antigen Claudin-6 (“CLDN6”) and an CLDN6-encoding CAR-T cell amplifying mRNA vaccine (“CARVac”). The</w:t>
      </w:r>
    </w:p>
    <w:p>
      <w:pPr>
        <w:spacing w:after="0" w:line="1" w:lineRule="exact"/>
        <w:rPr>
          <w:rFonts w:ascii="Times New Roman" w:cs="Times New Roman" w:eastAsia="Times New Roman" w:hAnsi="Times New Roman"/>
          <w:sz w:val="18"/>
          <w:szCs w:val="18"/>
          <w:color w:val="auto"/>
        </w:rPr>
      </w:pPr>
    </w:p>
    <w:p>
      <w:pPr>
        <w:jc w:val="both"/>
        <w:ind w:left="660"/>
        <w:spacing w:after="0" w:line="276" w:lineRule="auto"/>
        <w:rPr>
          <w:rFonts w:ascii="Times New Roman" w:cs="Times New Roman" w:eastAsia="Times New Roman" w:hAnsi="Times New Roman"/>
          <w:sz w:val="18"/>
          <w:szCs w:val="18"/>
          <w:color w:val="auto"/>
        </w:rPr>
      </w:pPr>
      <w:r>
        <w:rPr>
          <w:rFonts w:ascii="Arial" w:cs="Arial" w:eastAsia="Arial" w:hAnsi="Arial"/>
          <w:sz w:val="18"/>
          <w:szCs w:val="18"/>
          <w:color w:val="auto"/>
        </w:rPr>
        <w:t>data update shows signs of antitumor activity across all indications and an increased persistence of cancer-specific CAR-T cells when combined with CARVac, for example in patients with testicular and ovarian cancers. The safety profile is consistent with the previously published data of CAR-T therapies.</w:t>
      </w:r>
    </w:p>
    <w:p>
      <w:pPr>
        <w:spacing w:after="0" w:line="204"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BioNTech has established a diversified clinical oncology pipeline including mRNA-based therapeutic cancer vaccines, targeted therapies comprising cell therapies and ADCs, and novel</w:t>
      </w:r>
    </w:p>
    <w:p>
      <w:pPr>
        <w:sectPr>
          <w:pgSz w:w="11900" w:h="16838" w:orient="portrait"/>
          <w:cols w:equalWidth="0" w:num="1">
            <w:col w:w="11240"/>
          </w:cols>
          <w:pgMar w:left="320" w:top="134" w:right="339" w:bottom="1440" w:gutter="0" w:footer="0" w:header="0"/>
          <w:type w:val="continuous"/>
        </w:sectPr>
      </w:pPr>
    </w:p>
    <w:bookmarkStart w:id="5" w:name="page6"/>
    <w:bookmarkEnd w:id="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8"/>
          <w:szCs w:val="18"/>
          <w:color w:val="auto"/>
        </w:rPr>
        <w:t>immunomodulators in unmet medical need solid tumor indications. These investigational treatments are currently being evaluated in more than 32 clinical trials, including eight programs in advanced Phase 2 trials and two assets in pivotal Phase 3 trials globally. BioNTech is advancing the Company’s key programs into late-stage development with the aim of having ten or more potentially registrational trials in its oncology pipeline by the end of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full abstracts are available on the ESMO Congress website. Click here for further information on BioNTech’s pipeline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presentation 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Late-breaking presentation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BNT316/ONC-392 (gotistobart)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Session title: </w:t>
      </w:r>
      <w:r>
        <w:rPr>
          <w:rFonts w:ascii="Arial" w:cs="Arial" w:eastAsia="Arial" w:hAnsi="Arial"/>
          <w:sz w:val="18"/>
          <w:szCs w:val="18"/>
          <w:color w:val="auto"/>
        </w:rPr>
        <w:t>Mini oral session 1: Gynaecological cancers (ID 166)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Burgos Auditorium - Hall 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title</w:t>
      </w:r>
      <w:r>
        <w:rPr>
          <w:rFonts w:ascii="Arial" w:cs="Arial" w:eastAsia="Arial" w:hAnsi="Arial"/>
          <w:sz w:val="18"/>
          <w:szCs w:val="18"/>
          <w:color w:val="auto"/>
        </w:rPr>
        <w:t>: “A randomized, Phase 2, dose optimization of gotistobart, a pH-sensitive anti-CTLA-4, in combination with standard dose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pembrolizumab in platinum-resistant recurrent ovarian cancer: safety, efficacy and dose optimization (PRESERVE-004/GOG-3081)”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Presentation number: </w:t>
      </w:r>
      <w:r>
        <w:rPr>
          <w:rFonts w:ascii="Arial" w:cs="Arial" w:eastAsia="Arial" w:hAnsi="Arial"/>
          <w:sz w:val="18"/>
          <w:szCs w:val="18"/>
          <w:color w:val="auto"/>
        </w:rPr>
        <w:t>LBA32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Sunday, September 15,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Lecture time: </w:t>
      </w:r>
      <w:r>
        <w:rPr>
          <w:rFonts w:ascii="Arial" w:cs="Arial" w:eastAsia="Arial" w:hAnsi="Arial"/>
          <w:sz w:val="18"/>
          <w:szCs w:val="18"/>
          <w:color w:val="auto"/>
        </w:rPr>
        <w:t>09:10 AM – 09:15 AM CEST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 oral presentations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BNT113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Session title: Mini oral session: </w:t>
      </w:r>
      <w:r>
        <w:rPr>
          <w:rFonts w:ascii="Arial" w:cs="Arial" w:eastAsia="Arial" w:hAnsi="Arial"/>
          <w:sz w:val="18"/>
          <w:szCs w:val="18"/>
          <w:color w:val="auto"/>
        </w:rPr>
        <w:t>Investigational immunotherapy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Granada Auditorium - Hall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title</w:t>
      </w:r>
      <w:r>
        <w:rPr>
          <w:rFonts w:ascii="Arial" w:cs="Arial" w:eastAsia="Arial" w:hAnsi="Arial"/>
          <w:sz w:val="18"/>
          <w:szCs w:val="18"/>
          <w:color w:val="auto"/>
        </w:rPr>
        <w:t>: “HARE-40: A phase I/II trial of therapeutic HPV vaccine (BNT113) in patients with HPV16 driven carcinoma”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Presentation number: </w:t>
      </w:r>
      <w:r>
        <w:rPr>
          <w:rFonts w:ascii="Arial" w:cs="Arial" w:eastAsia="Arial" w:hAnsi="Arial"/>
          <w:sz w:val="18"/>
          <w:szCs w:val="18"/>
          <w:color w:val="auto"/>
        </w:rPr>
        <w:t>999MO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Monday, September 16, 2024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Lecture time: </w:t>
      </w:r>
      <w:r>
        <w:rPr>
          <w:rFonts w:ascii="Arial" w:cs="Arial" w:eastAsia="Arial" w:hAnsi="Arial"/>
          <w:sz w:val="18"/>
          <w:szCs w:val="18"/>
          <w:color w:val="auto"/>
        </w:rPr>
        <w:t>11:15 AM – 11:20 AM CEST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Session title: </w:t>
      </w:r>
      <w:r>
        <w:rPr>
          <w:rFonts w:ascii="Arial" w:cs="Arial" w:eastAsia="Arial" w:hAnsi="Arial"/>
          <w:sz w:val="18"/>
          <w:szCs w:val="18"/>
          <w:color w:val="auto"/>
        </w:rPr>
        <w:t>Proffered paper session 2: Developmental therapeutics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Salamanca Auditorium - Hall 5</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Presentation title</w:t>
      </w:r>
      <w:r>
        <w:rPr>
          <w:rFonts w:ascii="Arial" w:cs="Arial" w:eastAsia="Arial" w:hAnsi="Arial"/>
          <w:sz w:val="18"/>
          <w:szCs w:val="18"/>
          <w:color w:val="auto"/>
        </w:rPr>
        <w:t>: “Updated results from BNT211-01 (NCT04503278), an ongoing, first-in-human, Phase 1 study evaluating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efficacy of CLDN6 CAR T cells and a CLDN6-encoding mRNA vaccine in patients with relapsed/refractory CLDN6+ solid tumors” </w:t>
      </w:r>
      <w:r>
        <w:rPr>
          <w:rFonts w:ascii="Arial" w:cs="Arial" w:eastAsia="Arial" w:hAnsi="Arial"/>
          <w:sz w:val="18"/>
          <w:szCs w:val="18"/>
          <w:i w:val="1"/>
          <w:iCs w:val="1"/>
          <w:color w:val="auto"/>
        </w:rPr>
        <w:t xml:space="preserve">Presentation number: </w:t>
      </w:r>
      <w:r>
        <w:rPr>
          <w:rFonts w:ascii="Arial" w:cs="Arial" w:eastAsia="Arial" w:hAnsi="Arial"/>
          <w:sz w:val="18"/>
          <w:szCs w:val="18"/>
          <w:color w:val="auto"/>
        </w:rPr>
        <w:t>611O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Sunday, September 15, 2024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Lecture time: </w:t>
      </w:r>
      <w:r>
        <w:rPr>
          <w:rFonts w:ascii="Arial" w:cs="Arial" w:eastAsia="Arial" w:hAnsi="Arial"/>
          <w:sz w:val="18"/>
          <w:szCs w:val="18"/>
          <w:color w:val="auto"/>
        </w:rPr>
        <w:t>03:45 PM – 03:55 PM CEST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BNT327/PM8002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Session title: </w:t>
      </w:r>
      <w:r>
        <w:rPr>
          <w:rFonts w:ascii="Arial" w:cs="Arial" w:eastAsia="Arial" w:hAnsi="Arial"/>
          <w:sz w:val="18"/>
          <w:szCs w:val="18"/>
          <w:color w:val="auto"/>
        </w:rPr>
        <w:t>Mini oral session: NSCLC metastatic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Santander Auditorium - Hall 5</w:t>
      </w:r>
    </w:p>
    <w:p>
      <w:pPr>
        <w:spacing w:after="0" w:line="1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Presentation title</w:t>
      </w:r>
      <w:r>
        <w:rPr>
          <w:rFonts w:ascii="Arial" w:cs="Arial" w:eastAsia="Arial" w:hAnsi="Arial"/>
          <w:sz w:val="18"/>
          <w:szCs w:val="18"/>
          <w:color w:val="auto"/>
        </w:rPr>
        <w:t>: “A Phase II Safety and Efficacy Study of PM8002/BNT327 in Combination with Chemotherapy in Patients with EGFR-mutated Non-Small Cell Lung Cancer (NSCLC)”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Presentation number: </w:t>
      </w:r>
      <w:r>
        <w:rPr>
          <w:rFonts w:ascii="Arial" w:cs="Arial" w:eastAsia="Arial" w:hAnsi="Arial"/>
          <w:sz w:val="18"/>
          <w:szCs w:val="18"/>
          <w:color w:val="auto"/>
        </w:rPr>
        <w:t>1255MO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Saturday, September 14, 2024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Lecture time: </w:t>
      </w:r>
      <w:r>
        <w:rPr>
          <w:rFonts w:ascii="Arial" w:cs="Arial" w:eastAsia="Arial" w:hAnsi="Arial"/>
          <w:sz w:val="18"/>
          <w:szCs w:val="18"/>
          <w:color w:val="auto"/>
        </w:rPr>
        <w:t>10:20 AM – 10:25 AM CEST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BNT327/PM8002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Session title: </w:t>
      </w:r>
      <w:r>
        <w:rPr>
          <w:rFonts w:ascii="Arial" w:cs="Arial" w:eastAsia="Arial" w:hAnsi="Arial"/>
          <w:sz w:val="18"/>
          <w:szCs w:val="18"/>
          <w:color w:val="auto"/>
        </w:rPr>
        <w:t>Mini oral session 2: Breast cancer, metastatic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Room</w:t>
      </w:r>
      <w:r>
        <w:rPr>
          <w:rFonts w:ascii="Arial" w:cs="Arial" w:eastAsia="Arial" w:hAnsi="Arial"/>
          <w:sz w:val="18"/>
          <w:szCs w:val="18"/>
          <w:color w:val="auto"/>
        </w:rPr>
        <w:t>: Barcelona Auditorium - Hall 2</w:t>
      </w:r>
    </w:p>
    <w:p>
      <w:pPr>
        <w:sectPr>
          <w:pgSz w:w="11900" w:h="16838" w:orient="portrait"/>
          <w:cols w:equalWidth="0" w:num="1">
            <w:col w:w="11240"/>
          </w:cols>
          <w:pgMar w:left="320" w:top="1440" w:right="339" w:bottom="1440" w:gutter="0" w:footer="0" w:header="0"/>
        </w:sectPr>
      </w:pPr>
    </w:p>
    <w:bookmarkStart w:id="6" w:name="page7"/>
    <w:bookmarkEnd w:id="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8"/>
          <w:szCs w:val="18"/>
          <w:i w:val="1"/>
          <w:iCs w:val="1"/>
          <w:color w:val="auto"/>
        </w:rPr>
        <w:t>Presentation title</w:t>
      </w:r>
      <w:r>
        <w:rPr>
          <w:rFonts w:ascii="Arial" w:cs="Arial" w:eastAsia="Arial" w:hAnsi="Arial"/>
          <w:sz w:val="18"/>
          <w:szCs w:val="18"/>
          <w:color w:val="auto"/>
        </w:rPr>
        <w:t>: “A Phase Ib/II Study to Assess the Safety and Efficacy of PM8002/BNT327 in Combination with Nab-Paclitaxel for First</w:t>
      </w:r>
      <w:r>
        <w:rPr>
          <w:rFonts w:ascii="Arial" w:cs="Arial" w:eastAsia="Arial" w:hAnsi="Arial"/>
          <w:sz w:val="18"/>
          <w:szCs w:val="18"/>
          <w:i w:val="1"/>
          <w:iCs w:val="1"/>
          <w:color w:val="auto"/>
        </w:rPr>
        <w:t xml:space="preserve"> </w:t>
      </w:r>
      <w:r>
        <w:rPr>
          <w:rFonts w:ascii="Arial" w:cs="Arial" w:eastAsia="Arial" w:hAnsi="Arial"/>
          <w:sz w:val="18"/>
          <w:szCs w:val="18"/>
          <w:color w:val="auto"/>
        </w:rPr>
        <w:t>Line Treatment of Locally Advanced or Metastatic Triple-Negative Breast Cancer”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Presentation number: </w:t>
      </w:r>
      <w:r>
        <w:rPr>
          <w:rFonts w:ascii="Arial" w:cs="Arial" w:eastAsia="Arial" w:hAnsi="Arial"/>
          <w:sz w:val="18"/>
          <w:szCs w:val="18"/>
          <w:color w:val="auto"/>
        </w:rPr>
        <w:t>348MO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Monday, September 16, 2024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Lecture time: </w:t>
      </w:r>
      <w:r>
        <w:rPr>
          <w:rFonts w:ascii="Arial" w:cs="Arial" w:eastAsia="Arial" w:hAnsi="Arial"/>
          <w:sz w:val="18"/>
          <w:szCs w:val="18"/>
          <w:color w:val="auto"/>
        </w:rPr>
        <w:t>08:35 AM – 08:40 AM CEST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BNT113</w:t>
      </w:r>
    </w:p>
    <w:p>
      <w:pPr>
        <w:spacing w:after="0" w:line="3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i w:val="1"/>
          <w:iCs w:val="1"/>
          <w:color w:val="auto"/>
        </w:rPr>
        <w:t>Poster title</w:t>
      </w:r>
      <w:r>
        <w:rPr>
          <w:rFonts w:ascii="Arial" w:cs="Arial" w:eastAsia="Arial" w:hAnsi="Arial"/>
          <w:sz w:val="18"/>
          <w:szCs w:val="18"/>
          <w:color w:val="auto"/>
        </w:rPr>
        <w:t>: " Exploratory efficacy and translational results from the safety run in of AHEAD-MERIT, a phase II trial of first line pembrolizumab</w:t>
      </w:r>
      <w:r>
        <w:rPr>
          <w:rFonts w:ascii="Arial" w:cs="Arial" w:eastAsia="Arial" w:hAnsi="Arial"/>
          <w:sz w:val="18"/>
          <w:szCs w:val="18"/>
          <w:i w:val="1"/>
          <w:iCs w:val="1"/>
          <w:color w:val="auto"/>
        </w:rPr>
        <w:t xml:space="preserve"> </w:t>
      </w:r>
      <w:r>
        <w:rPr>
          <w:rFonts w:ascii="Arial" w:cs="Arial" w:eastAsia="Arial" w:hAnsi="Arial"/>
          <w:sz w:val="18"/>
          <w:szCs w:val="18"/>
          <w:color w:val="auto"/>
        </w:rPr>
        <w:t>plus the fixed-antigen cancer vaccine BNT113 in advanced HPV16+ HNSCC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Room: </w:t>
      </w:r>
      <w:r>
        <w:rPr>
          <w:rFonts w:ascii="Arial" w:cs="Arial" w:eastAsia="Arial" w:hAnsi="Arial"/>
          <w:sz w:val="18"/>
          <w:szCs w:val="18"/>
          <w:color w:val="auto"/>
        </w:rPr>
        <w:t>Hall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877P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Saturday, September 14,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BNT314/GEN1059</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Poster title</w:t>
      </w:r>
      <w:r>
        <w:rPr>
          <w:rFonts w:ascii="Arial" w:cs="Arial" w:eastAsia="Arial" w:hAnsi="Arial"/>
          <w:sz w:val="18"/>
          <w:szCs w:val="18"/>
          <w:color w:val="auto"/>
        </w:rPr>
        <w:t>: “Phase 1/2 dose escalation/expansion trial to evaluate safety and preliminary efficacy of DuoBody-EpCAMx4-1BB</w:t>
      </w:r>
      <w:r>
        <w:rPr>
          <w:rFonts w:ascii="Arial" w:cs="Arial" w:eastAsia="Arial" w:hAnsi="Arial"/>
          <w:sz w:val="18"/>
          <w:szCs w:val="18"/>
          <w:i w:val="1"/>
          <w:iCs w:val="1"/>
          <w:color w:val="auto"/>
        </w:rPr>
        <w:t xml:space="preserve"> </w:t>
      </w:r>
      <w:r>
        <w:rPr>
          <w:rFonts w:ascii="Arial" w:cs="Arial" w:eastAsia="Arial" w:hAnsi="Arial"/>
          <w:sz w:val="18"/>
          <w:szCs w:val="18"/>
          <w:color w:val="auto"/>
        </w:rPr>
        <w:t>(BNT314/GEN1059) alone or in combination with an immune checkpoint inhibitor in patients with malignant solid tumors”</w:t>
      </w:r>
    </w:p>
    <w:p>
      <w:pPr>
        <w:spacing w:after="0"/>
        <w:rPr>
          <w:sz w:val="20"/>
          <w:szCs w:val="20"/>
          <w:color w:val="auto"/>
        </w:rPr>
      </w:pPr>
      <w:r>
        <w:rPr>
          <w:rFonts w:ascii="Arial" w:cs="Arial" w:eastAsia="Arial" w:hAnsi="Arial"/>
          <w:sz w:val="18"/>
          <w:szCs w:val="18"/>
          <w:i w:val="1"/>
          <w:iCs w:val="1"/>
          <w:color w:val="auto"/>
        </w:rPr>
        <w:t xml:space="preserve">Room: </w:t>
      </w:r>
      <w:r>
        <w:rPr>
          <w:rFonts w:ascii="Arial" w:cs="Arial" w:eastAsia="Arial" w:hAnsi="Arial"/>
          <w:sz w:val="18"/>
          <w:szCs w:val="18"/>
          <w:color w:val="auto"/>
        </w:rPr>
        <w:t>Hall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1072TiP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Saturday, September 14,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BNT323/DB-1303</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Poster title</w:t>
      </w:r>
      <w:r>
        <w:rPr>
          <w:rFonts w:ascii="Arial" w:cs="Arial" w:eastAsia="Arial" w:hAnsi="Arial"/>
          <w:sz w:val="18"/>
          <w:szCs w:val="18"/>
          <w:color w:val="auto"/>
        </w:rPr>
        <w:t>: “DYNASTY-Breast02: A Phase 3 trial of BNT323/DB-1303 vs Investigator's Choice Chemotherapy in HER2-low, Hormone</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Positive, Metastatic Breast Cancer”</w:t>
      </w:r>
    </w:p>
    <w:p>
      <w:pPr>
        <w:spacing w:after="0"/>
        <w:rPr>
          <w:sz w:val="20"/>
          <w:szCs w:val="20"/>
          <w:color w:val="auto"/>
        </w:rPr>
      </w:pPr>
      <w:r>
        <w:rPr>
          <w:rFonts w:ascii="Arial" w:cs="Arial" w:eastAsia="Arial" w:hAnsi="Arial"/>
          <w:sz w:val="18"/>
          <w:szCs w:val="18"/>
          <w:i w:val="1"/>
          <w:iCs w:val="1"/>
          <w:color w:val="auto"/>
        </w:rPr>
        <w:t xml:space="preserve">Room: </w:t>
      </w:r>
      <w:r>
        <w:rPr>
          <w:rFonts w:ascii="Arial" w:cs="Arial" w:eastAsia="Arial" w:hAnsi="Arial"/>
          <w:sz w:val="18"/>
          <w:szCs w:val="18"/>
          <w:color w:val="auto"/>
        </w:rPr>
        <w:t>Hall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436TiP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Abstract number: </w:t>
      </w:r>
      <w:r>
        <w:rPr>
          <w:rFonts w:ascii="Arial" w:cs="Arial" w:eastAsia="Arial" w:hAnsi="Arial"/>
          <w:sz w:val="18"/>
          <w:szCs w:val="18"/>
          <w:color w:val="auto"/>
        </w:rPr>
        <w:t>7363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Monday, September 16, 2024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w:t>
      </w:r>
      <w:r>
        <w:rPr>
          <w:rFonts w:ascii="Arial" w:cs="Arial" w:eastAsia="Arial" w:hAnsi="Arial"/>
          <w:sz w:val="18"/>
          <w:szCs w:val="18"/>
          <w:color w:val="auto"/>
        </w:rPr>
        <w:t>: BNT327/PM8002</w:t>
      </w:r>
    </w:p>
    <w:p>
      <w:pPr>
        <w:spacing w:after="0" w:line="3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Poster title</w:t>
      </w:r>
      <w:r>
        <w:rPr>
          <w:rFonts w:ascii="Arial" w:cs="Arial" w:eastAsia="Arial" w:hAnsi="Arial"/>
          <w:sz w:val="18"/>
          <w:szCs w:val="18"/>
          <w:color w:val="auto"/>
        </w:rPr>
        <w:t>: “A Phase Ib/IIa Trial to Evaluate the Safety and Efficacy of PM8002/ BNT327, a Bispecific Antibody Targeting PD-L1 and VEGF-A, as a Monotherapy in Patients with advanced renal cell carcinoma”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Room: </w:t>
      </w:r>
      <w:r>
        <w:rPr>
          <w:rFonts w:ascii="Arial" w:cs="Arial" w:eastAsia="Arial" w:hAnsi="Arial"/>
          <w:sz w:val="18"/>
          <w:szCs w:val="18"/>
          <w:color w:val="auto"/>
        </w:rPr>
        <w:t>Hall 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Poster number</w:t>
      </w:r>
      <w:r>
        <w:rPr>
          <w:rFonts w:ascii="Arial" w:cs="Arial" w:eastAsia="Arial" w:hAnsi="Arial"/>
          <w:sz w:val="18"/>
          <w:szCs w:val="18"/>
          <w:color w:val="auto"/>
        </w:rPr>
        <w:t>: 1692P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 </w:t>
      </w:r>
      <w:r>
        <w:rPr>
          <w:rFonts w:ascii="Arial" w:cs="Arial" w:eastAsia="Arial" w:hAnsi="Arial"/>
          <w:sz w:val="18"/>
          <w:szCs w:val="18"/>
          <w:color w:val="auto"/>
        </w:rPr>
        <w:t>Sunday, September 15, 2024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ectPr>
          <w:pgSz w:w="11900" w:h="16838" w:orient="portrait"/>
          <w:cols w:equalWidth="0" w:num="1">
            <w:col w:w="11240"/>
          </w:cols>
          <w:pgMar w:left="320" w:top="1440" w:right="339" w:bottom="1440" w:gutter="0" w:footer="0" w:header="0"/>
        </w:sectPr>
      </w:pPr>
    </w:p>
    <w:bookmarkStart w:id="7" w:name="page8"/>
    <w:bookmarkEnd w:id="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studies and clinical trials in oncology, including the investigational lipoplex-formulated uridine mRNA immunotherapy BNT113, the investigational bispecific antibodies BNT327/PM8002 and BNT314/GEN1059, the investigational anti-CTLA-4 antibody BNT316/ONC-392 (gotistobart) in combination with pembrolizumab, the investigational CAR-T cell therapy BNT211, and the investigational ADC therapy BNT323/DB-1303;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2024, and in subsequent filings made by BioNTech with the SEC, which are available on the SEC’s website at www.sec.gov. These forward-looking statements speak only as of the date hereof. Except as required by law, BioNTech disclaims</w:t>
      </w:r>
    </w:p>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993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8"/>
          <w:szCs w:val="18"/>
          <w:color w:val="auto"/>
        </w:rPr>
        <w:t>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2024-09-05T07:57:03Z</dcterms:created>
  <dcterms:modified xsi:type="dcterms:W3CDTF">2024-09-05T07:57:03Z</dcterms:modified>
</cp:coreProperties>
</file>