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440" w:right="120"/>
        <w:spacing w:after="0" w:line="233" w:lineRule="auto"/>
        <w:rPr>
          <w:sz w:val="20"/>
          <w:szCs w:val="20"/>
          <w:color w:val="auto"/>
        </w:rPr>
      </w:pPr>
      <w:r>
        <w:rPr>
          <w:rFonts w:ascii="Arial" w:cs="Arial" w:eastAsia="Arial" w:hAnsi="Arial"/>
          <w:sz w:val="14"/>
          <w:szCs w:val="14"/>
          <w:b w:val="1"/>
          <w:bCs w:val="1"/>
          <w:color w:val="auto"/>
        </w:rPr>
        <w:t>As submitted confidentially with the Securities and Exchange Commission on June 19, 2019. This draft registration statement has not been publicly filed with the Securities and Exchange Commission and all information herein remains strictly confidential.</w:t>
      </w: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F-1</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6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BioNTech 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-287020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2"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6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Federal Republic of Germany</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2836</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rPr>
              <w:t>NOT APPLICABLE</w:t>
            </w:r>
          </w:p>
        </w:tc>
      </w:tr>
      <w:tr>
        <w:trPr>
          <w:trHeight w:val="149"/>
        </w:trPr>
        <w:tc>
          <w:tcPr>
            <w:tcW w:w="28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Prof. Ugur Sahin, M.D.</w:t>
      </w:r>
    </w:p>
    <w:p>
      <w:pPr>
        <w:jc w:val="center"/>
        <w:ind w:right="-99"/>
        <w:spacing w:after="0" w:line="226" w:lineRule="auto"/>
        <w:rPr>
          <w:sz w:val="20"/>
          <w:szCs w:val="20"/>
          <w:color w:val="auto"/>
        </w:rPr>
      </w:pPr>
      <w:r>
        <w:rPr>
          <w:rFonts w:ascii="Arial" w:cs="Arial" w:eastAsia="Arial" w:hAnsi="Arial"/>
          <w:sz w:val="14"/>
          <w:szCs w:val="14"/>
          <w:b w:val="1"/>
          <w:bCs w:val="1"/>
          <w:color w:val="auto"/>
        </w:rPr>
        <w:t>An der Goldgrube 12</w:t>
      </w:r>
    </w:p>
    <w:p>
      <w:pPr>
        <w:jc w:val="center"/>
        <w:ind w:right="-99"/>
        <w:spacing w:after="0" w:line="221" w:lineRule="auto"/>
        <w:rPr>
          <w:sz w:val="20"/>
          <w:szCs w:val="20"/>
          <w:color w:val="auto"/>
        </w:rPr>
      </w:pPr>
      <w:r>
        <w:rPr>
          <w:rFonts w:ascii="Arial" w:cs="Arial" w:eastAsia="Arial" w:hAnsi="Arial"/>
          <w:sz w:val="14"/>
          <w:szCs w:val="14"/>
          <w:b w:val="1"/>
          <w:bCs w:val="1"/>
          <w:color w:val="auto"/>
        </w:rPr>
        <w:t>D-55131 Mainz</w:t>
      </w:r>
    </w:p>
    <w:p>
      <w:pPr>
        <w:jc w:val="center"/>
        <w:ind w:right="-99"/>
        <w:spacing w:after="0" w:line="222" w:lineRule="auto"/>
        <w:rPr>
          <w:sz w:val="20"/>
          <w:szCs w:val="20"/>
          <w:color w:val="auto"/>
        </w:rPr>
      </w:pPr>
      <w:r>
        <w:rPr>
          <w:rFonts w:ascii="Arial" w:cs="Arial" w:eastAsia="Arial" w:hAnsi="Arial"/>
          <w:sz w:val="14"/>
          <w:szCs w:val="14"/>
          <w:b w:val="1"/>
          <w:bCs w:val="1"/>
          <w:color w:val="auto"/>
        </w:rPr>
        <w:t>Germany</w:t>
      </w:r>
    </w:p>
    <w:p>
      <w:pPr>
        <w:jc w:val="center"/>
        <w:ind w:right="-99"/>
        <w:spacing w:after="0" w:line="221" w:lineRule="auto"/>
        <w:rPr>
          <w:sz w:val="20"/>
          <w:szCs w:val="20"/>
          <w:color w:val="auto"/>
        </w:rPr>
      </w:pPr>
      <w:r>
        <w:rPr>
          <w:rFonts w:ascii="Arial" w:cs="Arial" w:eastAsia="Arial" w:hAnsi="Arial"/>
          <w:sz w:val="14"/>
          <w:szCs w:val="14"/>
          <w:b w:val="1"/>
          <w:bCs w:val="1"/>
          <w:color w:val="auto"/>
        </w:rPr>
        <w:t>Tel: +49 6131-9084-0</w:t>
      </w: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BioNTech USA Holding, LLC</w:t>
      </w:r>
    </w:p>
    <w:p>
      <w:pPr>
        <w:jc w:val="center"/>
        <w:ind w:right="-99"/>
        <w:spacing w:after="0" w:line="226" w:lineRule="auto"/>
        <w:rPr>
          <w:sz w:val="20"/>
          <w:szCs w:val="20"/>
          <w:color w:val="auto"/>
        </w:rPr>
      </w:pPr>
      <w:r>
        <w:rPr>
          <w:rFonts w:ascii="Arial" w:cs="Arial" w:eastAsia="Arial" w:hAnsi="Arial"/>
          <w:sz w:val="14"/>
          <w:szCs w:val="14"/>
          <w:b w:val="1"/>
          <w:bCs w:val="1"/>
          <w:color w:val="auto"/>
        </w:rPr>
        <w:t>228 E 45th Street, Suite 9e</w:t>
      </w:r>
    </w:p>
    <w:p>
      <w:pPr>
        <w:jc w:val="center"/>
        <w:ind w:right="-99"/>
        <w:spacing w:after="0" w:line="221" w:lineRule="auto"/>
        <w:rPr>
          <w:sz w:val="20"/>
          <w:szCs w:val="20"/>
          <w:color w:val="auto"/>
        </w:rPr>
      </w:pPr>
      <w:r>
        <w:rPr>
          <w:rFonts w:ascii="Arial" w:cs="Arial" w:eastAsia="Arial" w:hAnsi="Arial"/>
          <w:sz w:val="14"/>
          <w:szCs w:val="14"/>
          <w:b w:val="1"/>
          <w:bCs w:val="1"/>
          <w:color w:val="auto"/>
        </w:rPr>
        <w:t>New York, NY 10017</w:t>
      </w:r>
    </w:p>
    <w:p>
      <w:pPr>
        <w:jc w:val="center"/>
        <w:ind w:right="-99"/>
        <w:spacing w:after="0" w:line="222" w:lineRule="auto"/>
        <w:rPr>
          <w:sz w:val="20"/>
          <w:szCs w:val="20"/>
          <w:color w:val="auto"/>
        </w:rPr>
      </w:pPr>
      <w:r>
        <w:rPr>
          <w:rFonts w:ascii="Arial" w:cs="Arial" w:eastAsia="Arial" w:hAnsi="Arial"/>
          <w:sz w:val="14"/>
          <w:szCs w:val="14"/>
          <w:b w:val="1"/>
          <w:bCs w:val="1"/>
          <w:color w:val="auto"/>
        </w:rPr>
        <w:t>(347) 694-5321</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tbl>
      <w:tblPr>
        <w:tblLayout w:type="fixed"/>
        <w:tblInd w:w="580" w:type="dxa"/>
        <w:tblCellMar>
          <w:top w:w="0" w:type="dxa"/>
          <w:left w:w="0" w:type="dxa"/>
          <w:bottom w:w="0" w:type="dxa"/>
          <w:right w:w="0" w:type="dxa"/>
        </w:tblCellMar>
      </w:tblPr>
      <w:tr>
        <w:trPr>
          <w:trHeight w:val="182"/>
        </w:trPr>
        <w:tc>
          <w:tcPr>
            <w:tcW w:w="2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4"/>
                <w:szCs w:val="14"/>
                <w:b w:val="1"/>
                <w:bCs w:val="1"/>
                <w:i w:val="1"/>
                <w:iCs w:val="1"/>
                <w:color w:val="auto"/>
              </w:rPr>
              <w:t>Copies to:</w:t>
            </w:r>
          </w:p>
        </w:tc>
        <w:tc>
          <w:tcPr>
            <w:tcW w:w="2160" w:type="dxa"/>
            <w:vAlign w:val="bottom"/>
          </w:tcPr>
          <w:p>
            <w:pPr>
              <w:spacing w:after="0"/>
              <w:rPr>
                <w:sz w:val="15"/>
                <w:szCs w:val="15"/>
                <w:color w:val="auto"/>
              </w:rPr>
            </w:pPr>
          </w:p>
        </w:tc>
      </w:tr>
      <w:tr>
        <w:trPr>
          <w:trHeight w:val="151"/>
        </w:trPr>
        <w:tc>
          <w:tcPr>
            <w:tcW w:w="2020" w:type="dxa"/>
            <w:vAlign w:val="bottom"/>
          </w:tcPr>
          <w:p>
            <w:pPr>
              <w:jc w:val="center"/>
              <w:ind w:right="348"/>
              <w:spacing w:after="0" w:line="151" w:lineRule="exact"/>
              <w:rPr>
                <w:sz w:val="20"/>
                <w:szCs w:val="20"/>
                <w:color w:val="auto"/>
              </w:rPr>
            </w:pPr>
            <w:r>
              <w:rPr>
                <w:rFonts w:ascii="Arial" w:cs="Arial" w:eastAsia="Arial" w:hAnsi="Arial"/>
                <w:sz w:val="14"/>
                <w:szCs w:val="14"/>
                <w:b w:val="1"/>
                <w:bCs w:val="1"/>
                <w:color w:val="auto"/>
                <w:w w:val="94"/>
              </w:rPr>
              <w:t>Paul Claydon</w:t>
            </w:r>
          </w:p>
        </w:tc>
        <w:tc>
          <w:tcPr>
            <w:tcW w:w="2720" w:type="dxa"/>
            <w:vAlign w:val="bottom"/>
          </w:tcPr>
          <w:p>
            <w:pPr>
              <w:jc w:val="center"/>
              <w:ind w:left="328"/>
              <w:spacing w:after="0" w:line="151" w:lineRule="exact"/>
              <w:rPr>
                <w:sz w:val="20"/>
                <w:szCs w:val="20"/>
                <w:color w:val="auto"/>
              </w:rPr>
            </w:pPr>
            <w:r>
              <w:rPr>
                <w:rFonts w:ascii="Arial" w:cs="Arial" w:eastAsia="Arial" w:hAnsi="Arial"/>
                <w:sz w:val="14"/>
                <w:szCs w:val="14"/>
                <w:b w:val="1"/>
                <w:bCs w:val="1"/>
                <w:color w:val="auto"/>
                <w:w w:val="89"/>
              </w:rPr>
              <w:t>Jochen Dieselhorst</w:t>
            </w:r>
          </w:p>
        </w:tc>
        <w:tc>
          <w:tcPr>
            <w:tcW w:w="3140" w:type="dxa"/>
            <w:vAlign w:val="bottom"/>
          </w:tcPr>
          <w:p>
            <w:pPr>
              <w:jc w:val="center"/>
              <w:ind w:left="168"/>
              <w:spacing w:after="0" w:line="151" w:lineRule="exact"/>
              <w:rPr>
                <w:sz w:val="20"/>
                <w:szCs w:val="20"/>
                <w:color w:val="auto"/>
              </w:rPr>
            </w:pPr>
            <w:r>
              <w:rPr>
                <w:rFonts w:ascii="Arial" w:cs="Arial" w:eastAsia="Arial" w:hAnsi="Arial"/>
                <w:sz w:val="14"/>
                <w:szCs w:val="14"/>
                <w:b w:val="1"/>
                <w:bCs w:val="1"/>
                <w:color w:val="auto"/>
                <w:w w:val="98"/>
              </w:rPr>
              <w:t>Deanna Kirkpatrick</w:t>
            </w:r>
          </w:p>
        </w:tc>
        <w:tc>
          <w:tcPr>
            <w:tcW w:w="2160" w:type="dxa"/>
            <w:vAlign w:val="bottom"/>
          </w:tcPr>
          <w:p>
            <w:pPr>
              <w:jc w:val="center"/>
              <w:ind w:left="488"/>
              <w:spacing w:after="0" w:line="151" w:lineRule="exact"/>
              <w:rPr>
                <w:sz w:val="20"/>
                <w:szCs w:val="20"/>
                <w:color w:val="auto"/>
              </w:rPr>
            </w:pPr>
            <w:r>
              <w:rPr>
                <w:rFonts w:ascii="Arial" w:cs="Arial" w:eastAsia="Arial" w:hAnsi="Arial"/>
                <w:sz w:val="14"/>
                <w:szCs w:val="14"/>
                <w:b w:val="1"/>
                <w:bCs w:val="1"/>
                <w:color w:val="auto"/>
                <w:w w:val="95"/>
              </w:rPr>
              <w:t>Stephan Hutter</w:t>
            </w:r>
          </w:p>
        </w:tc>
      </w:tr>
      <w:tr>
        <w:trPr>
          <w:trHeight w:val="148"/>
        </w:trPr>
        <w:tc>
          <w:tcPr>
            <w:tcW w:w="202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5"/>
              </w:rPr>
              <w:t>Eric W. Blanchard</w:t>
            </w:r>
          </w:p>
        </w:tc>
        <w:tc>
          <w:tcPr>
            <w:tcW w:w="27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9"/>
              </w:rPr>
              <w:t>Peter Versteegen</w:t>
            </w:r>
          </w:p>
        </w:tc>
        <w:tc>
          <w:tcPr>
            <w:tcW w:w="3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Yasin Keshvargar</w:t>
            </w:r>
          </w:p>
        </w:tc>
        <w:tc>
          <w:tcPr>
            <w:tcW w:w="21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2"/>
              </w:rPr>
              <w:t>Skadden, Arps, Slate,</w:t>
            </w:r>
          </w:p>
        </w:tc>
      </w:tr>
      <w:tr>
        <w:trPr>
          <w:trHeight w:val="148"/>
        </w:trPr>
        <w:tc>
          <w:tcPr>
            <w:tcW w:w="202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6"/>
              </w:rPr>
              <w:t>Kristian Wiggert</w:t>
            </w:r>
          </w:p>
        </w:tc>
        <w:tc>
          <w:tcPr>
            <w:tcW w:w="27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4"/>
              </w:rPr>
              <w:t>Freshfields Bruckhaus Deringer LLP</w:t>
            </w:r>
          </w:p>
        </w:tc>
        <w:tc>
          <w:tcPr>
            <w:tcW w:w="31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c>
          <w:tcPr>
            <w:tcW w:w="21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9"/>
              </w:rPr>
              <w:t>Meagher &amp; Flom LLP</w:t>
            </w:r>
          </w:p>
        </w:tc>
      </w:tr>
      <w:tr>
        <w:trPr>
          <w:trHeight w:val="149"/>
        </w:trPr>
        <w:tc>
          <w:tcPr>
            <w:tcW w:w="202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6"/>
              </w:rPr>
              <w:t>Matthew T. Gehl</w:t>
            </w:r>
          </w:p>
        </w:tc>
        <w:tc>
          <w:tcPr>
            <w:tcW w:w="272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1"/>
              </w:rPr>
              <w:t>Hohe Bleichen 7</w:t>
            </w:r>
          </w:p>
        </w:tc>
        <w:tc>
          <w:tcPr>
            <w:tcW w:w="31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450 Lexington Avenue</w:t>
            </w:r>
          </w:p>
        </w:tc>
        <w:tc>
          <w:tcPr>
            <w:tcW w:w="21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4"/>
              </w:rPr>
              <w:t>TaunusTurm</w:t>
            </w:r>
          </w:p>
        </w:tc>
      </w:tr>
      <w:tr>
        <w:trPr>
          <w:trHeight w:val="148"/>
        </w:trPr>
        <w:tc>
          <w:tcPr>
            <w:tcW w:w="202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7"/>
              </w:rPr>
              <w:t>Covington &amp; Burling LLP</w:t>
            </w:r>
          </w:p>
        </w:tc>
        <w:tc>
          <w:tcPr>
            <w:tcW w:w="272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5"/>
              </w:rPr>
              <w:t>20354 Hamburg</w:t>
            </w:r>
          </w:p>
        </w:tc>
        <w:tc>
          <w:tcPr>
            <w:tcW w:w="3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5"/>
              </w:rPr>
              <w:t>New York, New York</w:t>
            </w:r>
          </w:p>
        </w:tc>
        <w:tc>
          <w:tcPr>
            <w:tcW w:w="21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2"/>
              </w:rPr>
              <w:t>Taunustor 1</w:t>
            </w:r>
          </w:p>
        </w:tc>
      </w:tr>
      <w:tr>
        <w:trPr>
          <w:trHeight w:val="148"/>
        </w:trPr>
        <w:tc>
          <w:tcPr>
            <w:tcW w:w="202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4"/>
              </w:rPr>
              <w:t>265 Strand</w:t>
            </w:r>
          </w:p>
        </w:tc>
        <w:tc>
          <w:tcPr>
            <w:tcW w:w="27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Germany</w:t>
            </w:r>
          </w:p>
        </w:tc>
        <w:tc>
          <w:tcPr>
            <w:tcW w:w="3140" w:type="dxa"/>
            <w:vAlign w:val="bottom"/>
          </w:tcPr>
          <w:p>
            <w:pPr>
              <w:jc w:val="right"/>
              <w:ind w:right="1188"/>
              <w:spacing w:after="0" w:line="149" w:lineRule="exact"/>
              <w:rPr>
                <w:sz w:val="20"/>
                <w:szCs w:val="20"/>
                <w:color w:val="auto"/>
              </w:rPr>
            </w:pPr>
            <w:r>
              <w:rPr>
                <w:rFonts w:ascii="Arial" w:cs="Arial" w:eastAsia="Arial" w:hAnsi="Arial"/>
                <w:sz w:val="14"/>
                <w:szCs w:val="14"/>
                <w:b w:val="1"/>
                <w:bCs w:val="1"/>
                <w:color w:val="auto"/>
              </w:rPr>
              <w:t>10017</w:t>
            </w:r>
          </w:p>
        </w:tc>
        <w:tc>
          <w:tcPr>
            <w:tcW w:w="21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7"/>
              </w:rPr>
              <w:t>60310 Frankfurt am Main</w:t>
            </w:r>
          </w:p>
        </w:tc>
      </w:tr>
      <w:tr>
        <w:trPr>
          <w:trHeight w:val="149"/>
        </w:trPr>
        <w:tc>
          <w:tcPr>
            <w:tcW w:w="202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8"/>
              </w:rPr>
              <w:t>London WC2R 1BH</w:t>
            </w:r>
          </w:p>
        </w:tc>
        <w:tc>
          <w:tcPr>
            <w:tcW w:w="27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2"/>
              </w:rPr>
              <w:t>+49 40 36 90 60</w:t>
            </w:r>
          </w:p>
        </w:tc>
        <w:tc>
          <w:tcPr>
            <w:tcW w:w="3140" w:type="dxa"/>
            <w:vAlign w:val="bottom"/>
          </w:tcPr>
          <w:p>
            <w:pPr>
              <w:jc w:val="right"/>
              <w:ind w:right="928"/>
              <w:spacing w:after="0" w:line="149" w:lineRule="exact"/>
              <w:rPr>
                <w:sz w:val="20"/>
                <w:szCs w:val="20"/>
                <w:color w:val="auto"/>
              </w:rPr>
            </w:pPr>
            <w:r>
              <w:rPr>
                <w:rFonts w:ascii="Arial" w:cs="Arial" w:eastAsia="Arial" w:hAnsi="Arial"/>
                <w:sz w:val="14"/>
                <w:szCs w:val="14"/>
                <w:b w:val="1"/>
                <w:bCs w:val="1"/>
                <w:color w:val="auto"/>
              </w:rPr>
              <w:t>(212) 450-4000</w:t>
            </w:r>
          </w:p>
        </w:tc>
        <w:tc>
          <w:tcPr>
            <w:tcW w:w="21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5"/>
              </w:rPr>
              <w:t>Germany</w:t>
            </w:r>
          </w:p>
        </w:tc>
      </w:tr>
      <w:tr>
        <w:trPr>
          <w:trHeight w:val="148"/>
        </w:trPr>
        <w:tc>
          <w:tcPr>
            <w:tcW w:w="202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4"/>
              </w:rPr>
              <w:t>United Kingdom</w:t>
            </w:r>
          </w:p>
        </w:tc>
        <w:tc>
          <w:tcPr>
            <w:tcW w:w="27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1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2"/>
              </w:rPr>
              <w:t>+49 69 74 22 00</w:t>
            </w:r>
          </w:p>
        </w:tc>
      </w:tr>
      <w:tr>
        <w:trPr>
          <w:trHeight w:val="186"/>
        </w:trPr>
        <w:tc>
          <w:tcPr>
            <w:tcW w:w="202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+44 20 7067 2000</w:t>
            </w:r>
          </w:p>
        </w:tc>
        <w:tc>
          <w:tcPr>
            <w:tcW w:w="27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1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ind w:left="120" w:right="460" w:firstLine="33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420" w:firstLine="33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60" w:firstLine="33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40" w:firstLine="33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21" w:lineRule="exact"/>
        <w:rPr>
          <w:sz w:val="24"/>
          <w:szCs w:val="24"/>
          <w:color w:val="auto"/>
        </w:rPr>
      </w:pPr>
    </w:p>
    <w:p>
      <w:pPr>
        <w:ind w:left="93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60" w:lineRule="exact"/>
        <w:rPr>
          <w:sz w:val="24"/>
          <w:szCs w:val="24"/>
          <w:color w:val="auto"/>
        </w:rPr>
      </w:pPr>
    </w:p>
    <w:p>
      <w:pPr>
        <w:ind w:left="120" w:right="520" w:firstLine="33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400" w:firstLine="326"/>
        <w:spacing w:after="0" w:line="253" w:lineRule="auto"/>
        <w:tabs>
          <w:tab w:leader="none" w:pos="558"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69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06"/>
        </w:trPr>
        <w:tc>
          <w:tcPr>
            <w:tcW w:w="698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r>
      <w:tr>
        <w:trPr>
          <w:trHeight w:val="148"/>
        </w:trPr>
        <w:tc>
          <w:tcPr>
            <w:tcW w:w="698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r>
      <w:tr>
        <w:trPr>
          <w:trHeight w:val="158"/>
        </w:trPr>
        <w:tc>
          <w:tcPr>
            <w:tcW w:w="6980" w:type="dxa"/>
            <w:vAlign w:val="bottom"/>
          </w:tcPr>
          <w:p>
            <w:pPr>
              <w:jc w:val="center"/>
              <w:ind w:left="888"/>
              <w:spacing w:after="0" w:line="158" w:lineRule="exact"/>
              <w:rPr>
                <w:sz w:val="20"/>
                <w:szCs w:val="20"/>
                <w:color w:val="auto"/>
              </w:rPr>
            </w:pPr>
            <w:r>
              <w:rPr>
                <w:rFonts w:ascii="Arial" w:cs="Arial" w:eastAsia="Arial" w:hAnsi="Arial"/>
                <w:sz w:val="14"/>
                <w:szCs w:val="14"/>
                <w:b w:val="1"/>
                <w:bCs w:val="1"/>
                <w:color w:val="auto"/>
                <w:w w:val="94"/>
              </w:rPr>
              <w:t>Title Of Each Class Of</w:t>
            </w:r>
          </w:p>
        </w:tc>
        <w:tc>
          <w:tcPr>
            <w:tcW w:w="98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Amount Of</w:t>
            </w:r>
          </w:p>
        </w:tc>
      </w:tr>
      <w:tr>
        <w:trPr>
          <w:trHeight w:val="175"/>
        </w:trPr>
        <w:tc>
          <w:tcPr>
            <w:tcW w:w="698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b w:val="1"/>
                <w:bCs w:val="1"/>
                <w:color w:val="auto"/>
                <w:w w:val="90"/>
              </w:rPr>
              <w:t>Securities To Be Registered</w:t>
            </w:r>
            <w:r>
              <w:rPr>
                <w:rFonts w:ascii="Arial" w:cs="Arial" w:eastAsia="Arial" w:hAnsi="Arial"/>
                <w:sz w:val="12"/>
                <w:szCs w:val="12"/>
                <w:b w:val="1"/>
                <w:bCs w:val="1"/>
                <w:color w:val="auto"/>
                <w:w w:val="90"/>
              </w:rPr>
              <w:t>(1)</w:t>
            </w:r>
          </w:p>
        </w:tc>
        <w:tc>
          <w:tcPr>
            <w:tcW w:w="98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(2)(3)</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(4)</w:t>
            </w:r>
          </w:p>
        </w:tc>
      </w:tr>
      <w:tr>
        <w:trPr>
          <w:trHeight w:val="142"/>
        </w:trPr>
        <w:tc>
          <w:tcPr>
            <w:tcW w:w="69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Ordinary shares, no par value per share</w:t>
            </w:r>
          </w:p>
        </w:tc>
        <w:tc>
          <w:tcPr>
            <w:tcW w:w="9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jc w:val="right"/>
              <w:ind w:right="850"/>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28"/>
              <w:spacing w:after="0" w:line="142" w:lineRule="exact"/>
              <w:rPr>
                <w:sz w:val="20"/>
                <w:szCs w:val="20"/>
                <w:color w:val="auto"/>
              </w:rPr>
            </w:pPr>
            <w:r>
              <w:rPr>
                <w:rFonts w:ascii="Arial" w:cs="Arial" w:eastAsia="Arial" w:hAnsi="Arial"/>
                <w:sz w:val="14"/>
                <w:szCs w:val="14"/>
                <w:color w:val="auto"/>
              </w:rPr>
              <w:t>$</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24"/>
        </w:trPr>
        <w:tc>
          <w:tcPr>
            <w:tcW w:w="6980" w:type="dxa"/>
            <w:vAlign w:val="bottom"/>
          </w:tcPr>
          <w:p>
            <w:pPr>
              <w:spacing w:after="0" w:line="124" w:lineRule="exact"/>
              <w:rPr>
                <w:sz w:val="20"/>
                <w:szCs w:val="20"/>
                <w:color w:val="auto"/>
              </w:rPr>
            </w:pPr>
            <w:r>
              <w:rPr>
                <w:rFonts w:ascii="Arial" w:cs="Arial" w:eastAsia="Arial" w:hAnsi="Arial"/>
                <w:sz w:val="14"/>
                <w:szCs w:val="14"/>
                <w:color w:val="auto"/>
                <w:w w:val="98"/>
              </w:rPr>
              <w:t>(1)  All ordinary shares will be represented by American Depositary Shares, or ADSs, with each ADS representing</w:t>
            </w:r>
          </w:p>
        </w:tc>
        <w:tc>
          <w:tcPr>
            <w:tcW w:w="4040" w:type="dxa"/>
            <w:vAlign w:val="bottom"/>
            <w:gridSpan w:val="3"/>
          </w:tcPr>
          <w:p>
            <w:pPr>
              <w:jc w:val="right"/>
              <w:ind w:right="208"/>
              <w:spacing w:after="0" w:line="124" w:lineRule="exact"/>
              <w:rPr>
                <w:sz w:val="20"/>
                <w:szCs w:val="20"/>
                <w:color w:val="auto"/>
              </w:rPr>
            </w:pPr>
            <w:r>
              <w:rPr>
                <w:rFonts w:ascii="Arial" w:cs="Arial" w:eastAsia="Arial" w:hAnsi="Arial"/>
                <w:sz w:val="14"/>
                <w:szCs w:val="14"/>
                <w:color w:val="auto"/>
              </w:rPr>
              <w:t>ordinary shares. ADSs issuable upon deposit of the ordinary</w:t>
            </w:r>
          </w:p>
        </w:tc>
      </w:tr>
      <w:tr>
        <w:trPr>
          <w:trHeight w:val="182"/>
        </w:trPr>
        <w:tc>
          <w:tcPr>
            <w:tcW w:w="6980" w:type="dxa"/>
            <w:vAlign w:val="bottom"/>
          </w:tcPr>
          <w:p>
            <w:pPr>
              <w:ind w:left="320"/>
              <w:spacing w:after="0"/>
              <w:rPr>
                <w:sz w:val="20"/>
                <w:szCs w:val="20"/>
                <w:color w:val="auto"/>
              </w:rPr>
            </w:pPr>
            <w:r>
              <w:rPr>
                <w:rFonts w:ascii="Arial" w:cs="Arial" w:eastAsia="Arial" w:hAnsi="Arial"/>
                <w:sz w:val="14"/>
                <w:szCs w:val="14"/>
                <w:color w:val="auto"/>
              </w:rPr>
              <w:t>shares registered hereby will be registered pursuant to a separate Registration Statement on Form F-6.</w:t>
            </w: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r>
    </w:tbl>
    <w:p>
      <w:pPr>
        <w:spacing w:after="0" w:line="7" w:lineRule="exact"/>
        <w:rPr>
          <w:sz w:val="24"/>
          <w:szCs w:val="24"/>
          <w:color w:val="auto"/>
        </w:rPr>
      </w:pPr>
    </w:p>
    <w:p>
      <w:pPr>
        <w:ind w:left="440" w:hanging="324"/>
        <w:spacing w:after="0"/>
        <w:tabs>
          <w:tab w:leader="none" w:pos="4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pursuant to Rule 457(o) of the Securities Act of 1933, as amended.</w:t>
      </w:r>
    </w:p>
    <w:p>
      <w:pPr>
        <w:sectPr>
          <w:pgSz w:w="11900" w:h="16838" w:orient="portrait"/>
          <w:cols w:equalWidth="0" w:num="1">
            <w:col w:w="11140"/>
          </w:cols>
          <w:pgMar w:left="320" w:top="230" w:right="439" w:bottom="1118" w:gutter="0" w:footer="0" w:header="0"/>
        </w:sectPr>
      </w:pPr>
    </w:p>
    <w:p>
      <w:pPr>
        <w:spacing w:after="0" w:line="28" w:lineRule="exact"/>
        <w:rPr>
          <w:sz w:val="24"/>
          <w:szCs w:val="24"/>
          <w:color w:val="auto"/>
        </w:rPr>
      </w:pPr>
    </w:p>
    <w:p>
      <w:pPr>
        <w:ind w:left="120"/>
        <w:spacing w:after="0"/>
        <w:tabs>
          <w:tab w:leader="none" w:pos="420" w:val="left"/>
        </w:tabs>
        <w:rPr>
          <w:sz w:val="20"/>
          <w:szCs w:val="20"/>
          <w:color w:val="auto"/>
        </w:rPr>
      </w:pPr>
      <w:r>
        <w:rPr>
          <w:rFonts w:ascii="Arial" w:cs="Arial" w:eastAsia="Arial" w:hAnsi="Arial"/>
          <w:sz w:val="12"/>
          <w:szCs w:val="12"/>
          <w:color w:val="auto"/>
        </w:rPr>
        <w:t>(3)</w:t>
        <w:tab/>
        <w:t>Includes</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additional ordinary shares represented by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ADSs that may be sold upon exercise of an option to purchase additional ordinary shares to be granted to the</w:t>
      </w:r>
    </w:p>
    <w:p>
      <w:pPr>
        <w:spacing w:after="0" w:line="43" w:lineRule="exact"/>
        <w:rPr>
          <w:sz w:val="24"/>
          <w:szCs w:val="24"/>
          <w:color w:val="auto"/>
        </w:rPr>
      </w:pPr>
    </w:p>
    <w:p>
      <w:pPr>
        <w:sectPr>
          <w:pgSz w:w="11900" w:h="16838" w:orient="portrait"/>
          <w:cols w:equalWidth="0" w:num="3">
            <w:col w:w="920" w:space="660"/>
            <w:col w:w="2360" w:space="580"/>
            <w:col w:w="6620"/>
          </w:cols>
          <w:pgMar w:left="320" w:top="230" w:right="439" w:bottom="1118" w:gutter="0" w:footer="0" w:header="0"/>
          <w:type w:val="continuous"/>
        </w:sectPr>
      </w:pPr>
    </w:p>
    <w:p>
      <w:pPr>
        <w:ind w:left="440"/>
        <w:spacing w:after="0"/>
        <w:rPr>
          <w:sz w:val="20"/>
          <w:szCs w:val="20"/>
          <w:color w:val="auto"/>
        </w:rPr>
      </w:pPr>
      <w:r>
        <w:rPr>
          <w:rFonts w:ascii="Arial" w:cs="Arial" w:eastAsia="Arial" w:hAnsi="Arial"/>
          <w:sz w:val="13"/>
          <w:szCs w:val="13"/>
          <w:color w:val="auto"/>
        </w:rPr>
        <w:t>underwriters.</w:t>
      </w:r>
    </w:p>
    <w:p>
      <w:pPr>
        <w:sectPr>
          <w:pgSz w:w="11900" w:h="16838" w:orient="portrait"/>
          <w:cols w:equalWidth="0" w:num="1">
            <w:col w:w="11140"/>
          </w:cols>
          <w:pgMar w:left="320" w:top="230" w:right="439" w:bottom="1118" w:gutter="0" w:footer="0" w:header="0"/>
          <w:type w:val="continuous"/>
        </w:sectPr>
      </w:pPr>
    </w:p>
    <w:p>
      <w:pPr>
        <w:spacing w:after="0" w:line="7" w:lineRule="exact"/>
        <w:rPr>
          <w:sz w:val="24"/>
          <w:szCs w:val="24"/>
          <w:color w:val="auto"/>
        </w:rPr>
      </w:pPr>
    </w:p>
    <w:p>
      <w:pPr>
        <w:ind w:left="440" w:hanging="324"/>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6" w:lineRule="exact"/>
        <w:rPr>
          <w:sz w:val="24"/>
          <w:szCs w:val="24"/>
          <w:color w:val="auto"/>
        </w:rPr>
      </w:pPr>
    </w:p>
    <w:p>
      <w:pPr>
        <w:ind w:left="120" w:right="1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118"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0"/>
        <w:spacing w:after="0" w:line="282" w:lineRule="auto"/>
        <w:rPr>
          <w:sz w:val="20"/>
          <w:szCs w:val="20"/>
          <w:color w:val="auto"/>
        </w:rPr>
      </w:pPr>
      <w:r>
        <w:rPr>
          <w:rFonts w:ascii="Arial" w:cs="Arial" w:eastAsia="Arial" w:hAnsi="Arial"/>
          <w:sz w:val="18"/>
          <w:szCs w:val="18"/>
          <w:b w:val="1"/>
          <w:bCs w:val="1"/>
          <w:color w:val="EB0029"/>
        </w:rPr>
        <w:t>The information contained in this preliminary prospectus is not complete and may be changed. We may not sell these securities until the registration statement filed with the Securities and Exchange Commission is effective.</w:t>
      </w:r>
    </w:p>
    <w:p>
      <w:pPr>
        <w:spacing w:after="0" w:line="94" w:lineRule="exact"/>
        <w:rPr>
          <w:sz w:val="20"/>
          <w:szCs w:val="20"/>
          <w:color w:val="auto"/>
        </w:rPr>
      </w:pPr>
    </w:p>
    <w:p>
      <w:pPr>
        <w:ind w:left="120"/>
        <w:spacing w:after="0"/>
        <w:tabs>
          <w:tab w:leader="none" w:pos="6820" w:val="left"/>
        </w:tabs>
        <w:rPr>
          <w:sz w:val="20"/>
          <w:szCs w:val="20"/>
          <w:color w:val="auto"/>
        </w:rPr>
      </w:pPr>
      <w:r>
        <w:rPr>
          <w:rFonts w:ascii="Arial" w:cs="Arial" w:eastAsia="Arial" w:hAnsi="Arial"/>
          <w:sz w:val="18"/>
          <w:szCs w:val="18"/>
          <w:b w:val="1"/>
          <w:bCs w:val="1"/>
          <w:color w:val="EB0029"/>
        </w:rPr>
        <w:t>PRELIMINARY PROSPECTUS</w:t>
      </w:r>
      <w:r>
        <w:rPr>
          <w:sz w:val="20"/>
          <w:szCs w:val="20"/>
          <w:color w:val="auto"/>
        </w:rPr>
        <w:tab/>
      </w:r>
      <w:r>
        <w:rPr>
          <w:rFonts w:ascii="Arial" w:cs="Arial" w:eastAsia="Arial" w:hAnsi="Arial"/>
          <w:sz w:val="17"/>
          <w:szCs w:val="17"/>
          <w:b w:val="1"/>
          <w:bCs w:val="1"/>
          <w:color w:val="EB0029"/>
        </w:rPr>
        <w:t>SUBJECT TO COMPLETION, DATED JUNE 19, 2019</w:t>
      </w:r>
    </w:p>
    <w:p>
      <w:pPr>
        <w:spacing w:after="0" w:line="328" w:lineRule="exact"/>
        <w:rPr>
          <w:sz w:val="20"/>
          <w:szCs w:val="20"/>
          <w:color w:val="auto"/>
        </w:rPr>
      </w:pPr>
    </w:p>
    <w:p>
      <w:pPr>
        <w:ind w:left="4620"/>
        <w:spacing w:after="0"/>
        <w:rPr>
          <w:sz w:val="20"/>
          <w:szCs w:val="20"/>
          <w:color w:val="auto"/>
        </w:rPr>
      </w:pPr>
      <w:r>
        <w:rPr>
          <w:rFonts w:ascii="Arial" w:cs="Arial" w:eastAsia="Arial" w:hAnsi="Arial"/>
          <w:sz w:val="25"/>
          <w:szCs w:val="25"/>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252095</wp:posOffset>
            </wp:positionV>
            <wp:extent cx="282892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89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500"/>
        <w:spacing w:after="0"/>
        <w:tabs>
          <w:tab w:leader="none" w:pos="592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328930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are offering American Depositary Shares, or ADSs, with each ADS representing ordinary shares. This is our initial public offering and no public market currently exists for our ordinary shares or the ADSs. We have applied to list the ADSs on the Nasdaq Global Select Market under the symbol “BNTX.”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288290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ADSs involves a high degree of risk. See “</w:t>
      </w:r>
      <w:hyperlink w:anchor="page17">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13 of this prospectus.</w:t>
      </w:r>
    </w:p>
    <w:p>
      <w:pPr>
        <w:spacing w:after="0" w:line="358" w:lineRule="exact"/>
        <w:rPr>
          <w:sz w:val="20"/>
          <w:szCs w:val="20"/>
          <w:color w:val="auto"/>
        </w:rPr>
      </w:pPr>
    </w:p>
    <w:p>
      <w:pPr>
        <w:ind w:left="120" w:right="360"/>
        <w:spacing w:after="0" w:line="266" w:lineRule="auto"/>
        <w:rPr>
          <w:sz w:val="20"/>
          <w:szCs w:val="20"/>
          <w:color w:val="auto"/>
        </w:rPr>
      </w:pPr>
      <w:r>
        <w:rPr>
          <w:rFonts w:ascii="Arial" w:cs="Arial" w:eastAsia="Arial" w:hAnsi="Arial"/>
          <w:sz w:val="18"/>
          <w:szCs w:val="18"/>
          <w:b w:val="1"/>
          <w:bCs w:val="1"/>
          <w:color w:val="auto"/>
        </w:rPr>
        <w:t>We are an “emerging growth company” and a “foreign private issuer” as defined under the U.S. federal securities laws and, as such, will be eligible for reduced public company disclosure requirements. See “Prospectus Summary—Implications of Being an Emerging Growth Company and a Foreign Private Issuer” for additional information.</w:t>
      </w:r>
    </w:p>
    <w:p>
      <w:pPr>
        <w:spacing w:after="0" w:line="284" w:lineRule="exact"/>
        <w:rPr>
          <w:sz w:val="20"/>
          <w:szCs w:val="20"/>
          <w:color w:val="auto"/>
        </w:rPr>
      </w:pPr>
    </w:p>
    <w:p>
      <w:pPr>
        <w:ind w:left="120" w:right="6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PER ADS</w:t>
            </w:r>
          </w:p>
        </w:tc>
        <w:tc>
          <w:tcPr>
            <w:tcW w:w="54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30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Proceeds to BioNTech SE before expenses</w:t>
            </w:r>
          </w:p>
        </w:tc>
        <w:tc>
          <w:tcPr>
            <w:tcW w:w="230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incurred in this offering. See “Underwriting” for details.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340" w:type="dxa"/>
            <w:vAlign w:val="bottom"/>
            <w:gridSpan w:val="5"/>
          </w:tcPr>
          <w:p>
            <w:pPr>
              <w:spacing w:after="0"/>
              <w:rPr>
                <w:sz w:val="20"/>
                <w:szCs w:val="20"/>
                <w:color w:val="auto"/>
              </w:rPr>
            </w:pPr>
            <w:r>
              <w:rPr>
                <w:rFonts w:ascii="Arial" w:cs="Arial" w:eastAsia="Arial" w:hAnsi="Arial"/>
                <w:sz w:val="18"/>
                <w:szCs w:val="18"/>
                <w:color w:val="auto"/>
                <w:w w:val="93"/>
              </w:rPr>
              <w:t>We have granted the underwriters an option for a period of 30 days from the date of this prospectus to purchase an additional</w:t>
            </w:r>
          </w:p>
        </w:tc>
        <w:tc>
          <w:tcPr>
            <w:tcW w:w="1280" w:type="dxa"/>
            <w:vAlign w:val="bottom"/>
          </w:tcPr>
          <w:p>
            <w:pPr>
              <w:ind w:left="360"/>
              <w:spacing w:after="0"/>
              <w:rPr>
                <w:sz w:val="20"/>
                <w:szCs w:val="20"/>
                <w:color w:val="auto"/>
              </w:rPr>
            </w:pPr>
            <w:r>
              <w:rPr>
                <w:rFonts w:ascii="Arial" w:cs="Arial" w:eastAsia="Arial" w:hAnsi="Arial"/>
                <w:sz w:val="18"/>
                <w:szCs w:val="18"/>
                <w:color w:val="auto"/>
                <w:w w:val="93"/>
              </w:rPr>
              <w:t>ADSs. If the</w:t>
            </w:r>
          </w:p>
        </w:tc>
      </w:tr>
      <w:tr>
        <w:trPr>
          <w:trHeight w:val="216"/>
        </w:trPr>
        <w:tc>
          <w:tcPr>
            <w:tcW w:w="8340" w:type="dxa"/>
            <w:vAlign w:val="bottom"/>
            <w:gridSpan w:val="4"/>
          </w:tcPr>
          <w:p>
            <w:pPr>
              <w:spacing w:after="0"/>
              <w:rPr>
                <w:sz w:val="20"/>
                <w:szCs w:val="20"/>
                <w:color w:val="auto"/>
              </w:rPr>
            </w:pPr>
            <w:r>
              <w:rPr>
                <w:rFonts w:ascii="Arial" w:cs="Arial" w:eastAsia="Arial" w:hAnsi="Arial"/>
                <w:sz w:val="18"/>
                <w:szCs w:val="18"/>
                <w:color w:val="auto"/>
                <w:w w:val="93"/>
              </w:rPr>
              <w:t>underwriters exercise the option in full, the total underwriting discounts and commissions payable by us will be $</w:t>
            </w: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w w:val="87"/>
              </w:rPr>
              <w:t>, and the total proceeds to us,</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7"/>
              </w:rPr>
              <w:t>before expenses, will be $</w:t>
            </w:r>
          </w:p>
        </w:tc>
        <w:tc>
          <w:tcPr>
            <w:tcW w:w="230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4340" w:type="dxa"/>
            <w:vAlign w:val="bottom"/>
            <w:gridSpan w:val="2"/>
          </w:tcPr>
          <w:p>
            <w:pPr>
              <w:spacing w:after="0"/>
              <w:rPr>
                <w:sz w:val="20"/>
                <w:szCs w:val="20"/>
                <w:color w:val="auto"/>
              </w:rPr>
            </w:pPr>
            <w:r>
              <w:rPr>
                <w:rFonts w:ascii="Arial" w:cs="Arial" w:eastAsia="Arial" w:hAnsi="Arial"/>
                <w:sz w:val="18"/>
                <w:szCs w:val="18"/>
                <w:color w:val="auto"/>
                <w:w w:val="95"/>
              </w:rPr>
              <w:t>Delivery of the ADSs is expected to be made on or about</w:t>
            </w:r>
          </w:p>
        </w:tc>
        <w:tc>
          <w:tcPr>
            <w:tcW w:w="2320" w:type="dxa"/>
            <w:vAlign w:val="bottom"/>
          </w:tcPr>
          <w:p>
            <w:pPr>
              <w:jc w:val="right"/>
              <w:ind w:right="1210"/>
              <w:spacing w:after="0"/>
              <w:rPr>
                <w:sz w:val="20"/>
                <w:szCs w:val="20"/>
                <w:color w:val="auto"/>
              </w:rPr>
            </w:pPr>
            <w:r>
              <w:rPr>
                <w:rFonts w:ascii="Arial" w:cs="Arial" w:eastAsia="Arial" w:hAnsi="Arial"/>
                <w:sz w:val="18"/>
                <w:szCs w:val="18"/>
                <w:color w:val="auto"/>
              </w:rPr>
              <w:t>, 2019.</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3"/>
        </w:trPr>
        <w:tc>
          <w:tcPr>
            <w:tcW w:w="2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sect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J.P. Morgan</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BofA Merrill Lynch</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UBS Investment Bank</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SVB Leerink</w:t>
      </w:r>
    </w:p>
    <w:p>
      <w:pPr>
        <w:spacing w:after="0" w:line="200" w:lineRule="exact"/>
        <w:rPr>
          <w:sz w:val="20"/>
          <w:szCs w:val="20"/>
          <w:color w:val="auto"/>
        </w:rPr>
      </w:pPr>
    </w:p>
    <w:p>
      <w:pPr>
        <w:sectPr>
          <w:pgSz w:w="11900" w:h="16838" w:orient="portrait"/>
          <w:cols w:equalWidth="0" w:num="4">
            <w:col w:w="2580" w:space="720"/>
            <w:col w:w="2640" w:space="720"/>
            <w:col w:w="2400" w:space="660"/>
            <w:col w:w="1420"/>
          </w:cols>
          <w:pgMar w:left="320" w:top="459" w:right="439" w:bottom="1440" w:gutter="0" w:footer="0" w:header="0"/>
          <w:type w:val="continuous"/>
        </w:sectPr>
      </w:pPr>
    </w:p>
    <w:p>
      <w:pPr>
        <w:spacing w:after="0" w:line="150"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Prospectus dated</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2019</w:t>
      </w:r>
    </w:p>
    <w:p>
      <w:pPr>
        <w:sectPr>
          <w:pgSz w:w="11900" w:h="16838" w:orient="portrait"/>
          <w:cols w:equalWidth="0" w:num="2">
            <w:col w:w="5720" w:space="720"/>
            <w:col w:w="4700"/>
          </w:cols>
          <w:pgMar w:left="32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920" w:type="dxa"/>
            <w:vAlign w:val="bottom"/>
            <w:gridSpan w:val="2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7720" w:type="dxa"/>
            <w:vAlign w:val="bottom"/>
            <w:gridSpan w:val="1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CAUTIONARY NOTE REGARDING FORWARD-LOOKING STATEMENTS</w:t>
              </w:r>
            </w:hyperlink>
          </w:p>
        </w:tc>
        <w:tc>
          <w:tcPr>
            <w:tcW w:w="402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USE OF PROCEEDS</w:t>
              </w:r>
            </w:hyperlink>
          </w:p>
        </w:tc>
        <w:tc>
          <w:tcPr>
            <w:tcW w:w="820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101">
              <w:r>
                <w:rPr>
                  <w:rFonts w:ascii="Arial" w:cs="Arial" w:eastAsia="Arial" w:hAnsi="Arial"/>
                  <w:sz w:val="18"/>
                  <w:szCs w:val="18"/>
                  <w:color w:val="0000EE"/>
                  <w:w w:val="99"/>
                </w:rPr>
                <w:t>DIVIDEND POLICY</w:t>
              </w:r>
            </w:hyperlink>
          </w:p>
        </w:tc>
        <w:tc>
          <w:tcPr>
            <w:tcW w:w="8220" w:type="dxa"/>
            <w:vAlign w:val="bottom"/>
            <w:gridSpan w:val="1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CAPITALIZATION</w:t>
              </w:r>
            </w:hyperlink>
          </w:p>
        </w:tc>
        <w:tc>
          <w:tcPr>
            <w:tcW w:w="8320" w:type="dxa"/>
            <w:vAlign w:val="bottom"/>
            <w:gridSpan w:val="1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DILUTION</w:t>
              </w:r>
            </w:hyperlink>
          </w:p>
        </w:tc>
        <w:tc>
          <w:tcPr>
            <w:tcW w:w="8940" w:type="dxa"/>
            <w:vAlign w:val="bottom"/>
            <w:gridSpan w:val="2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120" w:type="dxa"/>
            <w:vAlign w:val="bottom"/>
          </w:tcPr>
          <w:p>
            <w:pPr>
              <w:spacing w:after="0"/>
              <w:rPr>
                <w:sz w:val="17"/>
                <w:szCs w:val="17"/>
                <w:color w:val="auto"/>
              </w:rPr>
            </w:pPr>
          </w:p>
        </w:tc>
        <w:tc>
          <w:tcPr>
            <w:tcW w:w="38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05">
              <w:r>
                <w:rPr>
                  <w:rFonts w:ascii="Arial" w:cs="Arial" w:eastAsia="Arial" w:hAnsi="Arial"/>
                  <w:sz w:val="18"/>
                  <w:szCs w:val="18"/>
                  <w:color w:val="0000EE"/>
                  <w:w w:val="96"/>
                </w:rPr>
                <w:t>SELECTED CONSOLIDATED FINANCIAL DATA</w:t>
              </w:r>
            </w:hyperlink>
          </w:p>
        </w:tc>
        <w:tc>
          <w:tcPr>
            <w:tcW w:w="596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20" w:type="dxa"/>
            <w:vAlign w:val="bottom"/>
          </w:tcPr>
          <w:p>
            <w:pPr>
              <w:spacing w:after="0"/>
              <w:rPr>
                <w:sz w:val="17"/>
                <w:szCs w:val="17"/>
                <w:color w:val="auto"/>
              </w:rPr>
            </w:pPr>
          </w:p>
        </w:tc>
        <w:tc>
          <w:tcPr>
            <w:tcW w:w="89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BUSINESS</w:t>
              </w:r>
            </w:hyperlink>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235">
              <w:r>
                <w:rPr>
                  <w:rFonts w:ascii="Arial" w:cs="Arial" w:eastAsia="Arial" w:hAnsi="Arial"/>
                  <w:sz w:val="18"/>
                  <w:szCs w:val="18"/>
                  <w:color w:val="0000EE"/>
                  <w:w w:val="99"/>
                </w:rPr>
                <w:t>MANAGEMENT</w:t>
              </w:r>
            </w:hyperlink>
          </w:p>
        </w:tc>
        <w:tc>
          <w:tcPr>
            <w:tcW w:w="8500" w:type="dxa"/>
            <w:vAlign w:val="bottom"/>
            <w:gridSpan w:val="2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231</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245">
              <w:r>
                <w:rPr>
                  <w:rFonts w:ascii="Arial" w:cs="Arial" w:eastAsia="Arial" w:hAnsi="Arial"/>
                  <w:sz w:val="18"/>
                  <w:szCs w:val="18"/>
                  <w:color w:val="0000EE"/>
                  <w:w w:val="95"/>
                </w:rPr>
                <w:t>RELATED PARTY TRANSACTIONS</w:t>
              </w:r>
            </w:hyperlink>
          </w:p>
        </w:tc>
        <w:tc>
          <w:tcPr>
            <w:tcW w:w="6980" w:type="dxa"/>
            <w:vAlign w:val="bottom"/>
            <w:gridSpan w:val="1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241</w:t>
            </w:r>
          </w:p>
        </w:tc>
      </w:tr>
      <w:tr>
        <w:trPr>
          <w:trHeight w:val="196"/>
        </w:trPr>
        <w:tc>
          <w:tcPr>
            <w:tcW w:w="120" w:type="dxa"/>
            <w:vAlign w:val="bottom"/>
          </w:tcPr>
          <w:p>
            <w:pPr>
              <w:spacing w:after="0"/>
              <w:rPr>
                <w:sz w:val="17"/>
                <w:szCs w:val="17"/>
                <w:color w:val="auto"/>
              </w:rPr>
            </w:pPr>
          </w:p>
        </w:tc>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246">
              <w:r>
                <w:rPr>
                  <w:rFonts w:ascii="Arial" w:cs="Arial" w:eastAsia="Arial" w:hAnsi="Arial"/>
                  <w:sz w:val="18"/>
                  <w:szCs w:val="18"/>
                  <w:color w:val="0000EE"/>
                  <w:w w:val="94"/>
                </w:rPr>
                <w:t>PRINCIPAL SHAREHOLDERS</w:t>
              </w:r>
            </w:hyperlink>
          </w:p>
        </w:tc>
        <w:tc>
          <w:tcPr>
            <w:tcW w:w="7420" w:type="dxa"/>
            <w:vAlign w:val="bottom"/>
            <w:gridSpan w:val="1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242</w:t>
            </w:r>
          </w:p>
        </w:tc>
      </w:tr>
      <w:tr>
        <w:trPr>
          <w:trHeight w:val="196"/>
        </w:trPr>
        <w:tc>
          <w:tcPr>
            <w:tcW w:w="120" w:type="dxa"/>
            <w:vAlign w:val="bottom"/>
          </w:tcPr>
          <w:p>
            <w:pPr>
              <w:spacing w:after="0"/>
              <w:rPr>
                <w:sz w:val="17"/>
                <w:szCs w:val="17"/>
                <w:color w:val="auto"/>
              </w:rPr>
            </w:pPr>
          </w:p>
        </w:tc>
        <w:tc>
          <w:tcPr>
            <w:tcW w:w="664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248">
              <w:r>
                <w:rPr>
                  <w:rFonts w:ascii="Arial" w:cs="Arial" w:eastAsia="Arial" w:hAnsi="Arial"/>
                  <w:sz w:val="18"/>
                  <w:szCs w:val="18"/>
                  <w:color w:val="0000EE"/>
                  <w:w w:val="94"/>
                </w:rPr>
                <w:t>DESCRIPTION OF SHARE CAPITAL AND ARTICLES OF ASSOCIATION (</w:t>
              </w:r>
              <w:r>
                <w:rPr>
                  <w:rFonts w:ascii="Arial" w:cs="Arial" w:eastAsia="Arial" w:hAnsi="Arial"/>
                  <w:sz w:val="18"/>
                  <w:szCs w:val="18"/>
                  <w:i w:val="1"/>
                  <w:iCs w:val="1"/>
                  <w:color w:val="0000EE"/>
                  <w:w w:val="94"/>
                </w:rPr>
                <w:t>SATZUNG</w:t>
              </w:r>
              <w:r>
                <w:rPr>
                  <w:rFonts w:ascii="Arial" w:cs="Arial" w:eastAsia="Arial" w:hAnsi="Arial"/>
                  <w:sz w:val="18"/>
                  <w:szCs w:val="18"/>
                  <w:color w:val="0000EE"/>
                  <w:w w:val="94"/>
                </w:rPr>
                <w:t>)</w:t>
              </w:r>
            </w:hyperlink>
          </w:p>
        </w:tc>
        <w:tc>
          <w:tcPr>
            <w:tcW w:w="316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244</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w:anchor="page261">
              <w:r>
                <w:rPr>
                  <w:rFonts w:ascii="Arial" w:cs="Arial" w:eastAsia="Arial" w:hAnsi="Arial"/>
                  <w:sz w:val="18"/>
                  <w:szCs w:val="18"/>
                  <w:color w:val="0000EE"/>
                </w:rPr>
                <w:t>DESCRIPTION OF AMERICAN DEPOSITARY SHARES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257</w:t>
            </w:r>
          </w:p>
        </w:tc>
      </w:tr>
      <w:tr>
        <w:trPr>
          <w:trHeight w:val="196"/>
        </w:trPr>
        <w:tc>
          <w:tcPr>
            <w:tcW w:w="120" w:type="dxa"/>
            <w:vAlign w:val="bottom"/>
          </w:tcPr>
          <w:p>
            <w:pPr>
              <w:spacing w:after="0"/>
              <w:rPr>
                <w:sz w:val="17"/>
                <w:szCs w:val="17"/>
                <w:color w:val="auto"/>
              </w:rPr>
            </w:pPr>
          </w:p>
        </w:tc>
        <w:tc>
          <w:tcPr>
            <w:tcW w:w="43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SHARES AND ADSs ELIGIBLE FOR FUTURE SALE</w:t>
              </w:r>
            </w:hyperlink>
          </w:p>
        </w:tc>
        <w:tc>
          <w:tcPr>
            <w:tcW w:w="548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w:anchor="page271">
              <w:r>
                <w:rPr>
                  <w:rFonts w:ascii="Arial" w:cs="Arial" w:eastAsia="Arial" w:hAnsi="Arial"/>
                  <w:sz w:val="18"/>
                  <w:szCs w:val="18"/>
                  <w:color w:val="0000EE"/>
                </w:rPr>
                <w:t>EXCHANGE CONTROLS AND LIMITATIONS AFFECTING SHAREHOLDERS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267</w:t>
            </w:r>
          </w:p>
        </w:tc>
      </w:tr>
      <w:tr>
        <w:trPr>
          <w:trHeight w:val="196"/>
        </w:trPr>
        <w:tc>
          <w:tcPr>
            <w:tcW w:w="1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272">
              <w:r>
                <w:rPr>
                  <w:rFonts w:ascii="Arial" w:cs="Arial" w:eastAsia="Arial" w:hAnsi="Arial"/>
                  <w:sz w:val="18"/>
                  <w:szCs w:val="18"/>
                  <w:color w:val="0000EE"/>
                  <w:w w:val="97"/>
                </w:rPr>
                <w:t>TAXATION</w:t>
              </w:r>
            </w:hyperlink>
          </w:p>
        </w:tc>
        <w:tc>
          <w:tcPr>
            <w:tcW w:w="5180" w:type="dxa"/>
            <w:vAlign w:val="bottom"/>
            <w:tcBorders>
              <w:top w:val="single" w:sz="8" w:color="0000EE"/>
            </w:tcBorders>
            <w:gridSpan w:val="19"/>
          </w:tcPr>
          <w:p>
            <w:pPr>
              <w:spacing w:after="0"/>
              <w:rPr>
                <w:sz w:val="17"/>
                <w:szCs w:val="17"/>
                <w:color w:val="auto"/>
              </w:rPr>
            </w:pPr>
          </w:p>
        </w:tc>
        <w:tc>
          <w:tcPr>
            <w:tcW w:w="372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268</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w:anchor="page283">
              <w:r>
                <w:rPr>
                  <w:rFonts w:ascii="Arial" w:cs="Arial" w:eastAsia="Arial" w:hAnsi="Arial"/>
                  <w:sz w:val="18"/>
                  <w:szCs w:val="18"/>
                  <w:color w:val="0000EE"/>
                </w:rPr>
                <w:t>UNDERWRITING</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279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w:anchor="page291">
              <w:r>
                <w:rPr>
                  <w:rFonts w:ascii="Arial" w:cs="Arial" w:eastAsia="Arial" w:hAnsi="Arial"/>
                  <w:sz w:val="18"/>
                  <w:szCs w:val="18"/>
                  <w:color w:val="0000EE"/>
                </w:rPr>
                <w:t>EXPENSES OF THE OFFERING</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287</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6"/>
              </w:rPr>
            </w:pPr>
            <w:hyperlink w:anchor="page292">
              <w:r>
                <w:rPr>
                  <w:rFonts w:ascii="Arial" w:cs="Arial" w:eastAsia="Arial" w:hAnsi="Arial"/>
                  <w:sz w:val="18"/>
                  <w:szCs w:val="18"/>
                  <w:color w:val="0000EE"/>
                  <w:w w:val="96"/>
                </w:rPr>
                <w:t>LEGAL MATTERS</w:t>
              </w:r>
            </w:hyperlink>
          </w:p>
        </w:tc>
        <w:tc>
          <w:tcPr>
            <w:tcW w:w="1020" w:type="dxa"/>
            <w:vAlign w:val="bottom"/>
            <w:tcBorders>
              <w:top w:val="single" w:sz="8" w:color="0000EE"/>
            </w:tcBorders>
            <w:gridSpan w:val="6"/>
          </w:tcPr>
          <w:p>
            <w:pPr>
              <w:spacing w:after="0"/>
              <w:rPr>
                <w:sz w:val="17"/>
                <w:szCs w:val="17"/>
                <w:color w:val="auto"/>
              </w:rPr>
            </w:pPr>
          </w:p>
        </w:tc>
        <w:tc>
          <w:tcPr>
            <w:tcW w:w="7320" w:type="dxa"/>
            <w:vAlign w:val="bottom"/>
            <w:gridSpan w:val="1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288</w:t>
            </w: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w:anchor="page292">
              <w:r>
                <w:rPr>
                  <w:rFonts w:ascii="Arial" w:cs="Arial" w:eastAsia="Arial" w:hAnsi="Arial"/>
                  <w:sz w:val="18"/>
                  <w:szCs w:val="18"/>
                  <w:color w:val="0000EE"/>
                </w:rPr>
                <w:t>EXPERTS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288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w:anchor="page292">
              <w:r>
                <w:rPr>
                  <w:rFonts w:ascii="Arial" w:cs="Arial" w:eastAsia="Arial" w:hAnsi="Arial"/>
                  <w:sz w:val="18"/>
                  <w:szCs w:val="18"/>
                  <w:color w:val="0000EE"/>
                </w:rPr>
                <w:t>SERVICE OF PROCESS AND ENFORCEMENT OF LIABILITIES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288</w:t>
            </w:r>
          </w:p>
        </w:tc>
      </w:tr>
      <w:tr>
        <w:trPr>
          <w:trHeight w:val="196"/>
        </w:trPr>
        <w:tc>
          <w:tcPr>
            <w:tcW w:w="120" w:type="dxa"/>
            <w:vAlign w:val="bottom"/>
          </w:tcPr>
          <w:p>
            <w:pPr>
              <w:spacing w:after="0"/>
              <w:rPr>
                <w:sz w:val="17"/>
                <w:szCs w:val="17"/>
                <w:color w:val="auto"/>
              </w:rPr>
            </w:pPr>
          </w:p>
        </w:tc>
        <w:tc>
          <w:tcPr>
            <w:tcW w:w="49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93">
              <w:r>
                <w:rPr>
                  <w:rFonts w:ascii="Arial" w:cs="Arial" w:eastAsia="Arial" w:hAnsi="Arial"/>
                  <w:sz w:val="18"/>
                  <w:szCs w:val="18"/>
                  <w:color w:val="0000EE"/>
                </w:rPr>
                <w:t>WHERE YOU CAN FIND MORE INFORMATION</w:t>
              </w:r>
            </w:hyperlink>
          </w:p>
        </w:tc>
        <w:tc>
          <w:tcPr>
            <w:tcW w:w="482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289</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7"/>
              </w:rPr>
            </w:pPr>
            <w:hyperlink w:anchor="page294">
              <w:r>
                <w:rPr>
                  <w:rFonts w:ascii="Arial" w:cs="Arial" w:eastAsia="Arial" w:hAnsi="Arial"/>
                  <w:sz w:val="18"/>
                  <w:szCs w:val="18"/>
                  <w:color w:val="0000EE"/>
                  <w:w w:val="97"/>
                </w:rPr>
                <w:t>INDEX TO FINANCIAL STATEMENTS</w:t>
              </w:r>
            </w:hyperlink>
          </w:p>
        </w:tc>
        <w:tc>
          <w:tcPr>
            <w:tcW w:w="760" w:type="dxa"/>
            <w:vAlign w:val="bottom"/>
            <w:tcBorders>
              <w:top w:val="single" w:sz="8" w:color="0000EE"/>
            </w:tcBorders>
          </w:tcPr>
          <w:p>
            <w:pPr>
              <w:spacing w:after="0"/>
              <w:rPr>
                <w:sz w:val="17"/>
                <w:szCs w:val="17"/>
                <w:color w:val="auto"/>
              </w:rPr>
            </w:pPr>
          </w:p>
        </w:tc>
        <w:tc>
          <w:tcPr>
            <w:tcW w:w="600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color w:val="auto"/>
        </w:rPr>
        <w:t>We have not, and the underwriters have not, authorized anyone to provide you with information that is different from that contained in this prospectus, any amendment or supplement to this prospectus, or any free writing prospectus we may authorize to be delivered or made available to you. We take no responsibility for, and can provide no assurance as to the reliability of, any other information that others may give you. We and the underwriters are offering to sell ADSs and seeking offers to purchase ADSs only in jurisdictions where offers and sales are permitted. The information contained in this prospectus is accurate only as of the date on the cover page of this prospectus, regardless of the time of delivery of this prospectus or the sale of any ADSs. Our business, financial condition, results of operations and prospects may have changed since the date on the cover page of this prospectus.</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ADSs and the distribution of this prospectus outside of the United States.</w:t>
      </w:r>
    </w:p>
    <w:p>
      <w:pPr>
        <w:sectPr>
          <w:pgSz w:w="11900" w:h="16838" w:orient="portrait"/>
          <w:cols w:equalWidth="0" w:num="1">
            <w:col w:w="11080"/>
          </w:cols>
          <w:pgMar w:left="320" w:top="44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the terms “BioNTech,” the “Company,” “we,” “us” and ”our” refer to BioNTech SE and our wholly owned subsidiaries.</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This prospectus includes our audited consolidated financial statements as of and for the years ended December 31, 2018 and 2017, which have been prepared in accordance with International Financial Reporting Standards, or IFRS, as issued by the International Accounting Standards Board, or IASB, which differ in certain significant respects from U.S. generally accepted accounting principles, or U.S. GAAP.</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financial information is presented in Euros. For the convenience of the reader, we have translated some of our financial information into U.S.</w:t>
      </w:r>
    </w:p>
    <w:p>
      <w:pPr>
        <w:spacing w:after="0" w:line="46" w:lineRule="exact"/>
        <w:rPr>
          <w:sz w:val="20"/>
          <w:szCs w:val="20"/>
          <w:color w:val="auto"/>
        </w:rPr>
      </w:pPr>
    </w:p>
    <w:p>
      <w:pPr>
        <w:ind w:left="120" w:right="140"/>
        <w:spacing w:after="0" w:line="265" w:lineRule="auto"/>
        <w:rPr>
          <w:sz w:val="20"/>
          <w:szCs w:val="20"/>
          <w:color w:val="auto"/>
        </w:rPr>
      </w:pPr>
      <w:r>
        <w:rPr>
          <w:rFonts w:ascii="Arial" w:cs="Arial" w:eastAsia="Arial" w:hAnsi="Arial"/>
          <w:sz w:val="17"/>
          <w:szCs w:val="17"/>
          <w:color w:val="auto"/>
        </w:rPr>
        <w:t>dollars. Unless otherwise indicated, these translations were made at the rate of €1.00 to $ , the noon buying rate of the Federal Reserve Bank of New York on , 2019. Such U.S. dollar amounts are not necessarily indicative of the amounts of U.S. dollars that could actually have been</w:t>
      </w:r>
    </w:p>
    <w:p>
      <w:pPr>
        <w:ind w:left="120" w:right="420"/>
        <w:spacing w:after="0" w:line="260" w:lineRule="auto"/>
        <w:rPr>
          <w:sz w:val="20"/>
          <w:szCs w:val="20"/>
          <w:color w:val="auto"/>
        </w:rPr>
      </w:pPr>
      <w:r>
        <w:rPr>
          <w:rFonts w:ascii="Arial" w:cs="Arial" w:eastAsia="Arial" w:hAnsi="Arial"/>
          <w:sz w:val="18"/>
          <w:szCs w:val="18"/>
          <w:color w:val="auto"/>
        </w:rPr>
        <w:t>purchased upon exchange of Euros at the dates indicated. All references in this prospectus to “$” mean U.S. dollars and all references to “€” mean Euros.</w:t>
      </w:r>
    </w:p>
    <w:p>
      <w:pPr>
        <w:spacing w:after="0" w:line="18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have made rounding adjustments to some of the figures contained in this prospectus. Accordingly, numerical figures shown as totals in some tables may not be exact arithmetic aggregations of the figures that preceded them.</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BioNTech SE logo, FixVac</w:t>
      </w:r>
      <w:r>
        <w:rPr>
          <w:rFonts w:ascii="Arial" w:cs="Arial" w:eastAsia="Arial" w:hAnsi="Arial"/>
          <w:sz w:val="13"/>
          <w:szCs w:val="13"/>
          <w:color w:val="auto"/>
        </w:rPr>
        <w:t>®</w:t>
      </w:r>
      <w:r>
        <w:rPr>
          <w:rFonts w:ascii="Arial" w:cs="Arial" w:eastAsia="Arial" w:hAnsi="Arial"/>
          <w:sz w:val="16"/>
          <w:szCs w:val="16"/>
          <w:color w:val="auto"/>
        </w:rPr>
        <w:t>, RiboMab</w:t>
      </w:r>
      <w:r>
        <w:rPr>
          <w:rFonts w:ascii="Arial" w:cs="Arial" w:eastAsia="Arial" w:hAnsi="Arial"/>
          <w:sz w:val="13"/>
          <w:szCs w:val="13"/>
          <w:color w:val="auto"/>
        </w:rPr>
        <w:t>®</w:t>
      </w:r>
      <w:r>
        <w:rPr>
          <w:rFonts w:ascii="Arial" w:cs="Arial" w:eastAsia="Arial" w:hAnsi="Arial"/>
          <w:sz w:val="16"/>
          <w:szCs w:val="16"/>
          <w:color w:val="auto"/>
        </w:rPr>
        <w:t>, RiboCytokine</w:t>
      </w:r>
      <w:r>
        <w:rPr>
          <w:rFonts w:ascii="Arial" w:cs="Arial" w:eastAsia="Arial" w:hAnsi="Arial"/>
          <w:sz w:val="13"/>
          <w:szCs w:val="13"/>
          <w:color w:val="auto"/>
        </w:rPr>
        <w:t>®</w:t>
      </w:r>
      <w:r>
        <w:rPr>
          <w:rFonts w:ascii="Arial" w:cs="Arial" w:eastAsia="Arial" w:hAnsi="Arial"/>
          <w:sz w:val="16"/>
          <w:szCs w:val="16"/>
          <w:color w:val="auto"/>
        </w:rPr>
        <w:t>, MammaTyper</w:t>
      </w:r>
      <w:r>
        <w:rPr>
          <w:rFonts w:ascii="Arial" w:cs="Arial" w:eastAsia="Arial" w:hAnsi="Arial"/>
          <w:sz w:val="13"/>
          <w:szCs w:val="13"/>
          <w:color w:val="auto"/>
        </w:rPr>
        <w:t>®</w:t>
      </w:r>
      <w:r>
        <w:rPr>
          <w:rFonts w:ascii="Arial" w:cs="Arial" w:eastAsia="Arial" w:hAnsi="Arial"/>
          <w:sz w:val="16"/>
          <w:szCs w:val="16"/>
          <w:color w:val="auto"/>
        </w:rPr>
        <w:t xml:space="preserve"> and other trademarks or service marks of BioNTech appearing in this prospectus are the property of the Company. Solely for convenience, some of the trademarks, service marks, logos and trade names referred to in this prospectus are presented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they contain has been obtained from sources believed to be reliable, although they do not guarantee the accuracy or completeness of such information. While we believe that each of these publications and third-party studies is reliable, we have not independently verified the market and industry data obtained from these third-party sources. Forecasts and other forward-looking information obtained from these sources are subject to the same qualifications and uncertainties as the other forward-looking statements contained in this prospectus. These forecasts and forward-looking information are subject to uncertainty and risk due to a variety of factors, including those described in “Risk Factors.” These and other factors could cause results to differ materially from those expressed in our forecasts or estimates or those of independent third parties. While we believe our internal research is reliable and the definitions of our market and industry are appropriate, neither such research nor these definitions have been verified by any independent source.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44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40" w:firstLine="426"/>
        <w:spacing w:after="0" w:line="279"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deciding to invest in our ADSs, you should read this entire prospectus carefully, including the sections titled “Risk Factors,” “Business” and “Management’s Discussion and Analysis of Financial Condition and Results of Operations” and our consolidated financial statements and related notes included elsewhere in this prospectus.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individualized immunotherapies for cancer as well as other diseases. We leverage powerful new therapeutic mechanisms and exploit a diverse array of biological targets to harness the power of each patient’s immune system to address the unique molecular signature of each patient’s underlying disease. We believe we are uniquely positioned to develop and commercialize the next generation of immunotherapies with the potential to significantly improve clinical outcomes for patients and usher in a new era of individualized medicine.</w:t>
      </w:r>
    </w:p>
    <w:p>
      <w:pPr>
        <w:spacing w:after="0" w:line="177"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The interconnected dimensions of cancer heterogeneity on which we focus are illustrated below. The interaction between cancer and the immune system is shaped by various host, tumor and environmental factors. The complex interplay of these sources of interpatient heterogeneity both affects the course of disease and determines the most appropriate choice of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Leveraging our expertise in these factors, we and our collaborators have advanced a development pipeline of over 20 product candidates, of which seven have entered into eight ongoing clinical trials. While we believe our approach is broadly applicable across a number of therapeutic areas, our most advanced programs are focused on oncology, where we have treated over 250 patients across 17 tumor types to date. In our completed Phase 1 trials, we have observed single-agent antigen-specific immune responses in over 90% of advanced melanoma patients treated with BNT111, our wholly owned lead off-the-shelf immunotherapy product candidate from our FixVac platform. In addition, we have observed single-agent antigen-specific immune responses in patients treated with BNT121, the precursor to RO7198457 (BNT122), our lead individualized neoantigen specific immunotherapy product candidate from our iNeST platform, which we are co-developing with Genentech, Inc., or Genentech. For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02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8021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both product candidates, we have also observed durable reduction in tumor volume in both the monotherapy and checkpoint-combination settings.</w:t>
      </w:r>
    </w:p>
    <w:p>
      <w:pPr>
        <w:spacing w:after="0" w:line="248"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Our product candidates are the result of our pioneering development of numerous first-in-class immunotherapeutic platforms across four drug classes:</w:t>
      </w:r>
    </w:p>
    <w:p>
      <w:pPr>
        <w:spacing w:after="0" w:line="72" w:lineRule="exact"/>
        <w:rPr>
          <w:sz w:val="20"/>
          <w:szCs w:val="20"/>
          <w:color w:val="auto"/>
        </w:rPr>
      </w:pPr>
    </w:p>
    <w:p>
      <w:pPr>
        <w:ind w:left="1120" w:right="140" w:hanging="295"/>
        <w:spacing w:after="0" w:line="282"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mRNA Therapeutics. </w:t>
      </w:r>
      <w:r>
        <w:rPr>
          <w:rFonts w:ascii="Arial" w:cs="Arial" w:eastAsia="Arial" w:hAnsi="Arial"/>
          <w:sz w:val="18"/>
          <w:szCs w:val="18"/>
          <w:color w:val="auto"/>
        </w:rPr>
        <w:t>We have developed multiple proprietary formats and formulations of messenger ribonucleic acid, or mRNA, to</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genetic information to cells, where it is used to express proteins for therapeutic effect.</w:t>
      </w:r>
    </w:p>
    <w:p>
      <w:pPr>
        <w:spacing w:after="0" w:line="67" w:lineRule="exact"/>
        <w:rPr>
          <w:rFonts w:ascii="Arial" w:cs="Arial" w:eastAsia="Arial" w:hAnsi="Arial"/>
          <w:sz w:val="18"/>
          <w:szCs w:val="18"/>
          <w:color w:val="auto"/>
        </w:rPr>
      </w:pPr>
    </w:p>
    <w:p>
      <w:pPr>
        <w:ind w:left="1120" w:right="420" w:hanging="295"/>
        <w:spacing w:after="0" w:line="282"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Engineered Cell Therapies. </w:t>
      </w:r>
      <w:r>
        <w:rPr>
          <w:rFonts w:ascii="Arial" w:cs="Arial" w:eastAsia="Arial" w:hAnsi="Arial"/>
          <w:sz w:val="18"/>
          <w:szCs w:val="18"/>
          <w:color w:val="auto"/>
        </w:rPr>
        <w:t>We are developing a range of cell therapies, including CAR-T cells, in which the patient’s T cells are</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to target cancer-specific antigens.</w:t>
      </w:r>
    </w:p>
    <w:p>
      <w:pPr>
        <w:spacing w:after="0" w:line="67" w:lineRule="exact"/>
        <w:rPr>
          <w:rFonts w:ascii="Arial" w:cs="Arial" w:eastAsia="Arial" w:hAnsi="Arial"/>
          <w:sz w:val="18"/>
          <w:szCs w:val="18"/>
          <w:color w:val="auto"/>
        </w:rPr>
      </w:pPr>
    </w:p>
    <w:p>
      <w:pPr>
        <w:ind w:left="1120" w:right="220" w:hanging="295"/>
        <w:spacing w:after="0" w:line="282"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Antibodies. </w:t>
      </w:r>
      <w:r>
        <w:rPr>
          <w:rFonts w:ascii="Arial" w:cs="Arial" w:eastAsia="Arial" w:hAnsi="Arial"/>
          <w:sz w:val="18"/>
          <w:szCs w:val="18"/>
          <w:color w:val="auto"/>
        </w:rPr>
        <w:t>We are developing next-generation antibodies, including bispecifics, that are designed to target immune checkpoints and</w:t>
      </w:r>
      <w:r>
        <w:rPr>
          <w:rFonts w:ascii="Arial" w:cs="Arial" w:eastAsia="Arial" w:hAnsi="Arial"/>
          <w:sz w:val="18"/>
          <w:szCs w:val="18"/>
          <w:b w:val="1"/>
          <w:bCs w:val="1"/>
          <w:color w:val="auto"/>
        </w:rPr>
        <w:t xml:space="preserve"> </w:t>
      </w:r>
      <w:r>
        <w:rPr>
          <w:rFonts w:ascii="Arial" w:cs="Arial" w:eastAsia="Arial" w:hAnsi="Arial"/>
          <w:sz w:val="18"/>
          <w:szCs w:val="18"/>
          <w:color w:val="auto"/>
        </w:rPr>
        <w:t>novel cancer antigens.</w:t>
      </w:r>
    </w:p>
    <w:p>
      <w:pPr>
        <w:spacing w:after="0" w:line="67" w:lineRule="exact"/>
        <w:rPr>
          <w:rFonts w:ascii="Arial" w:cs="Arial" w:eastAsia="Arial" w:hAnsi="Arial"/>
          <w:sz w:val="18"/>
          <w:szCs w:val="18"/>
          <w:color w:val="auto"/>
        </w:rPr>
      </w:pPr>
    </w:p>
    <w:p>
      <w:pPr>
        <w:ind w:left="1120" w:right="200" w:hanging="295"/>
        <w:spacing w:after="0" w:line="282"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Small Molecule Immunomodulators. </w:t>
      </w:r>
      <w:r>
        <w:rPr>
          <w:rFonts w:ascii="Arial" w:cs="Arial" w:eastAsia="Arial" w:hAnsi="Arial"/>
          <w:sz w:val="18"/>
          <w:szCs w:val="18"/>
          <w:color w:val="auto"/>
        </w:rPr>
        <w:t>We use small molecules to augment the activity of other drug classes by inducing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discrete patterns of immunomodulation.</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We are focused on delivering on the promise of individualized immunotherapy for cancer patients. We believe that we can accomplish this by applying the following principles:</w:t>
      </w:r>
    </w:p>
    <w:p>
      <w:pPr>
        <w:spacing w:after="0" w:line="76" w:lineRule="exact"/>
        <w:rPr>
          <w:sz w:val="20"/>
          <w:szCs w:val="20"/>
          <w:color w:val="auto"/>
        </w:rPr>
      </w:pPr>
    </w:p>
    <w:p>
      <w:pPr>
        <w:ind w:left="1120" w:hanging="295"/>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Harnessing the full potential of the immune system by exploiting multiple drug classes and addressing multiple complementary immune pathways.</w:t>
      </w:r>
    </w:p>
    <w:p>
      <w:pPr>
        <w:spacing w:after="0" w:line="75" w:lineRule="exact"/>
        <w:rPr>
          <w:rFonts w:ascii="Arial" w:cs="Arial" w:eastAsia="Arial" w:hAnsi="Arial"/>
          <w:sz w:val="18"/>
          <w:szCs w:val="18"/>
          <w:color w:val="auto"/>
        </w:rPr>
      </w:pPr>
    </w:p>
    <w:p>
      <w:pPr>
        <w:ind w:left="1120" w:hanging="29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the universe of patients benefiting from cancer immunotherapy.</w:t>
      </w:r>
    </w:p>
    <w:p>
      <w:pPr>
        <w:spacing w:after="0" w:line="130" w:lineRule="exact"/>
        <w:rPr>
          <w:rFonts w:ascii="Arial" w:cs="Arial" w:eastAsia="Arial" w:hAnsi="Arial"/>
          <w:sz w:val="18"/>
          <w:szCs w:val="18"/>
          <w:color w:val="auto"/>
        </w:rPr>
      </w:pPr>
    </w:p>
    <w:p>
      <w:pPr>
        <w:ind w:left="1120" w:right="100" w:hanging="295"/>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Improving the success rate of treatment by developing and engineering highly potent, precise and target-specific drug candidates either as off-the-shelf or individualized immunotherapies.</w:t>
      </w:r>
    </w:p>
    <w:p>
      <w:pPr>
        <w:spacing w:after="0" w:line="75" w:lineRule="exact"/>
        <w:rPr>
          <w:rFonts w:ascii="Arial" w:cs="Arial" w:eastAsia="Arial" w:hAnsi="Arial"/>
          <w:sz w:val="18"/>
          <w:szCs w:val="18"/>
          <w:color w:val="auto"/>
        </w:rPr>
      </w:pPr>
    </w:p>
    <w:p>
      <w:pPr>
        <w:ind w:left="1120" w:hanging="29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Focusing on curative approaches by addressing interindividual variability and cancer heterogeneity.</w:t>
      </w:r>
    </w:p>
    <w:p>
      <w:pPr>
        <w:spacing w:after="0" w:line="225" w:lineRule="exact"/>
        <w:rPr>
          <w:sz w:val="20"/>
          <w:szCs w:val="20"/>
          <w:color w:val="auto"/>
        </w:rPr>
      </w:pPr>
    </w:p>
    <w:p>
      <w:pPr>
        <w:ind w:left="300" w:right="680" w:firstLine="426"/>
        <w:spacing w:after="0" w:line="277" w:lineRule="auto"/>
        <w:rPr>
          <w:sz w:val="20"/>
          <w:szCs w:val="20"/>
          <w:color w:val="auto"/>
        </w:rPr>
      </w:pPr>
      <w:r>
        <w:rPr>
          <w:rFonts w:ascii="Arial" w:cs="Arial" w:eastAsia="Arial" w:hAnsi="Arial"/>
          <w:sz w:val="18"/>
          <w:szCs w:val="18"/>
          <w:color w:val="auto"/>
        </w:rPr>
        <w:t>Our patient-centric model utilizes patient profiling, diagnostics and bioinformatics to select from our suite of drug classes to provide individualized optimal treatment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39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9392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are advancing a deep and broad portfolio of product candidates derived from our four drug classes.</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Oncology</w:t>
      </w:r>
    </w:p>
    <w:p>
      <w:pPr>
        <w:spacing w:after="0" w:line="34" w:lineRule="exact"/>
        <w:rPr>
          <w:sz w:val="20"/>
          <w:szCs w:val="20"/>
          <w:color w:val="auto"/>
        </w:rPr>
      </w:pPr>
    </w:p>
    <w:tbl>
      <w:tblPr>
        <w:tblLayout w:type="fixed"/>
        <w:tblInd w:w="300" w:type="dxa"/>
        <w:tblCellMar>
          <w:top w:w="0" w:type="dxa"/>
          <w:left w:w="0" w:type="dxa"/>
          <w:bottom w:w="0" w:type="dxa"/>
          <w:right w:w="0" w:type="dxa"/>
        </w:tblCellMar>
      </w:tblPr>
      <w:tr>
        <w:trPr>
          <w:trHeight w:val="139"/>
        </w:trPr>
        <w:tc>
          <w:tcPr>
            <w:tcW w:w="66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rPr>
              <w:t>Drug</w:t>
            </w: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b w:val="1"/>
                <w:bCs w:val="1"/>
                <w:color w:val="auto"/>
              </w:rPr>
              <w:t>Platform</w:t>
            </w: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Product Candidate</w:t>
            </w:r>
          </w:p>
        </w:tc>
        <w:tc>
          <w:tcPr>
            <w:tcW w:w="1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vMerge w:val="restart"/>
          </w:tcPr>
          <w:p>
            <w:pPr>
              <w:ind w:left="680"/>
              <w:spacing w:after="0"/>
              <w:rPr>
                <w:sz w:val="20"/>
                <w:szCs w:val="20"/>
                <w:color w:val="auto"/>
              </w:rPr>
            </w:pPr>
            <w:r>
              <w:rPr>
                <w:rFonts w:ascii="Arial" w:cs="Arial" w:eastAsia="Arial" w:hAnsi="Arial"/>
                <w:sz w:val="14"/>
                <w:szCs w:val="14"/>
                <w:b w:val="1"/>
                <w:bCs w:val="1"/>
                <w:color w:val="auto"/>
              </w:rPr>
              <w:t xml:space="preserve">Indication </w:t>
            </w:r>
            <w:r>
              <w:rPr>
                <w:rFonts w:ascii="Arial" w:cs="Arial" w:eastAsia="Arial" w:hAnsi="Arial"/>
                <w:sz w:val="14"/>
                <w:szCs w:val="14"/>
                <w:i w:val="1"/>
                <w:iCs w:val="1"/>
                <w:color w:val="auto"/>
              </w:rPr>
              <w:t>(Targets)</w:t>
            </w:r>
          </w:p>
        </w:tc>
        <w:tc>
          <w:tcPr>
            <w:tcW w:w="80" w:type="dxa"/>
            <w:vAlign w:val="bottom"/>
            <w:tcBorders>
              <w:top w:val="single" w:sz="8" w:color="auto"/>
            </w:tcBorders>
            <w:vMerge w:val="restart"/>
          </w:tcPr>
          <w:p>
            <w:pPr>
              <w:spacing w:after="0"/>
              <w:rPr>
                <w:sz w:val="12"/>
                <w:szCs w:val="12"/>
                <w:color w:val="auto"/>
              </w:rPr>
            </w:pPr>
          </w:p>
        </w:tc>
        <w:tc>
          <w:tcPr>
            <w:tcW w:w="262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Preclinical  Phase 1  Phase 2  Phase 3</w:t>
            </w:r>
          </w:p>
        </w:tc>
        <w:tc>
          <w:tcPr>
            <w:tcW w:w="80" w:type="dxa"/>
            <w:vAlign w:val="bottom"/>
            <w:tcBorders>
              <w:top w:val="single" w:sz="8" w:color="auto"/>
            </w:tcBorders>
            <w:vMerge w:val="restart"/>
          </w:tcPr>
          <w:p>
            <w:pPr>
              <w:spacing w:after="0"/>
              <w:rPr>
                <w:sz w:val="12"/>
                <w:szCs w:val="12"/>
                <w:color w:val="auto"/>
              </w:rPr>
            </w:pPr>
          </w:p>
        </w:tc>
        <w:tc>
          <w:tcPr>
            <w:tcW w:w="13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Rights/</w:t>
            </w:r>
          </w:p>
        </w:tc>
        <w:tc>
          <w:tcPr>
            <w:tcW w:w="0" w:type="dxa"/>
            <w:vAlign w:val="bottom"/>
          </w:tcPr>
          <w:p>
            <w:pPr>
              <w:spacing w:after="0"/>
              <w:rPr>
                <w:sz w:val="1"/>
                <w:szCs w:val="1"/>
                <w:color w:val="auto"/>
              </w:rPr>
            </w:pPr>
          </w:p>
        </w:tc>
      </w:tr>
      <w:tr>
        <w:trPr>
          <w:trHeight w:val="185"/>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Collaborator</w:t>
            </w:r>
          </w:p>
        </w:tc>
        <w:tc>
          <w:tcPr>
            <w:tcW w:w="0" w:type="dxa"/>
            <w:vAlign w:val="bottom"/>
          </w:tcPr>
          <w:p>
            <w:pPr>
              <w:spacing w:after="0"/>
              <w:rPr>
                <w:sz w:val="1"/>
                <w:szCs w:val="1"/>
                <w:color w:val="auto"/>
              </w:rPr>
            </w:pPr>
          </w:p>
        </w:tc>
      </w:tr>
      <w:tr>
        <w:trPr>
          <w:trHeight w:val="123"/>
        </w:trPr>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color w:val="auto"/>
              </w:rPr>
              <w:t>BNT111</w:t>
            </w:r>
          </w:p>
        </w:tc>
        <w:tc>
          <w:tcPr>
            <w:tcW w:w="100" w:type="dxa"/>
            <w:vAlign w:val="bottom"/>
          </w:tcPr>
          <w:p>
            <w:pPr>
              <w:spacing w:after="0"/>
              <w:rPr>
                <w:sz w:val="10"/>
                <w:szCs w:val="10"/>
                <w:color w:val="auto"/>
              </w:rPr>
            </w:pPr>
          </w:p>
        </w:tc>
        <w:tc>
          <w:tcPr>
            <w:tcW w:w="2560" w:type="dxa"/>
            <w:vAlign w:val="bottom"/>
          </w:tcPr>
          <w:p>
            <w:pPr>
              <w:spacing w:after="0" w:line="123" w:lineRule="exact"/>
              <w:rPr>
                <w:sz w:val="20"/>
                <w:szCs w:val="20"/>
                <w:color w:val="auto"/>
              </w:rPr>
            </w:pPr>
            <w:r>
              <w:rPr>
                <w:rFonts w:ascii="Arial" w:cs="Arial" w:eastAsia="Arial" w:hAnsi="Arial"/>
                <w:sz w:val="14"/>
                <w:szCs w:val="14"/>
                <w:color w:val="auto"/>
              </w:rPr>
              <w:t>Advanced Melanoma</w:t>
            </w:r>
          </w:p>
        </w:tc>
        <w:tc>
          <w:tcPr>
            <w:tcW w:w="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FixVac </w:t>
            </w:r>
            <w:r>
              <w:rPr>
                <w:rFonts w:ascii="Arial" w:cs="Arial" w:eastAsia="Arial" w:hAnsi="Arial"/>
                <w:sz w:val="14"/>
                <w:szCs w:val="14"/>
                <w:color w:val="auto"/>
              </w:rPr>
              <w:t>(fixed</w:t>
            </w:r>
          </w:p>
        </w:tc>
        <w:tc>
          <w:tcPr>
            <w:tcW w:w="1680" w:type="dxa"/>
            <w:vAlign w:val="bottom"/>
            <w:gridSpan w:val="2"/>
            <w:vMerge w:val="continue"/>
          </w:tcPr>
          <w:p>
            <w:pPr>
              <w:spacing w:after="0"/>
              <w:rPr>
                <w:sz w:val="8"/>
                <w:szCs w:val="8"/>
                <w:color w:val="auto"/>
              </w:rPr>
            </w:pPr>
          </w:p>
        </w:tc>
        <w:tc>
          <w:tcPr>
            <w:tcW w:w="2740" w:type="dxa"/>
            <w:vAlign w:val="bottom"/>
            <w:gridSpan w:val="3"/>
            <w:vMerge w:val="restart"/>
          </w:tcPr>
          <w:p>
            <w:pPr>
              <w:ind w:left="100"/>
              <w:spacing w:after="0" w:line="149" w:lineRule="exact"/>
              <w:rPr>
                <w:sz w:val="20"/>
                <w:szCs w:val="20"/>
                <w:color w:val="auto"/>
              </w:rPr>
            </w:pPr>
            <w:r>
              <w:rPr>
                <w:rFonts w:ascii="Arial" w:cs="Arial" w:eastAsia="Arial" w:hAnsi="Arial"/>
                <w:sz w:val="14"/>
                <w:szCs w:val="14"/>
                <w:color w:val="auto"/>
              </w:rPr>
              <w:t>(Adjuvant &amp; Metastatic)</w:t>
            </w:r>
          </w:p>
        </w:tc>
        <w:tc>
          <w:tcPr>
            <w:tcW w:w="2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740" w:type="dxa"/>
            <w:vAlign w:val="bottom"/>
            <w:gridSpan w:val="3"/>
            <w:vMerge w:val="continue"/>
          </w:tcPr>
          <w:p>
            <w:pPr>
              <w:spacing w:after="0"/>
              <w:rPr>
                <w:sz w:val="4"/>
                <w:szCs w:val="4"/>
                <w:color w:val="auto"/>
              </w:rPr>
            </w:pPr>
          </w:p>
        </w:tc>
        <w:tc>
          <w:tcPr>
            <w:tcW w:w="2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680" w:type="dxa"/>
            <w:vAlign w:val="bottom"/>
            <w:gridSpan w:val="2"/>
            <w:vMerge w:val="restart"/>
          </w:tcPr>
          <w:p>
            <w:pPr>
              <w:ind w:left="100"/>
              <w:spacing w:after="0" w:line="158" w:lineRule="exact"/>
              <w:rPr>
                <w:sz w:val="20"/>
                <w:szCs w:val="20"/>
                <w:color w:val="auto"/>
              </w:rPr>
            </w:pPr>
            <w:r>
              <w:rPr>
                <w:rFonts w:ascii="Arial" w:cs="Arial" w:eastAsia="Arial" w:hAnsi="Arial"/>
                <w:sz w:val="14"/>
                <w:szCs w:val="14"/>
                <w:color w:val="auto"/>
              </w:rPr>
              <w:t>BNT112</w:t>
            </w:r>
          </w:p>
        </w:tc>
        <w:tc>
          <w:tcPr>
            <w:tcW w:w="2740" w:type="dxa"/>
            <w:vAlign w:val="bottom"/>
            <w:gridSpan w:val="3"/>
            <w:vMerge w:val="restart"/>
          </w:tcPr>
          <w:p>
            <w:pPr>
              <w:ind w:left="100"/>
              <w:spacing w:after="0" w:line="158" w:lineRule="exact"/>
              <w:rPr>
                <w:sz w:val="20"/>
                <w:szCs w:val="20"/>
                <w:color w:val="auto"/>
              </w:rPr>
            </w:pPr>
            <w:r>
              <w:rPr>
                <w:rFonts w:ascii="Arial" w:cs="Arial" w:eastAsia="Arial" w:hAnsi="Arial"/>
                <w:sz w:val="14"/>
                <w:szCs w:val="14"/>
                <w:color w:val="auto"/>
              </w:rPr>
              <w:t>Prostate Cancer</w:t>
            </w:r>
          </w:p>
        </w:tc>
        <w:tc>
          <w:tcPr>
            <w:tcW w:w="2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ind w:left="100"/>
              <w:spacing w:after="0" w:line="149" w:lineRule="exact"/>
              <w:rPr>
                <w:sz w:val="20"/>
                <w:szCs w:val="20"/>
                <w:color w:val="auto"/>
              </w:rPr>
            </w:pPr>
            <w:r>
              <w:rPr>
                <w:rFonts w:ascii="Arial" w:cs="Arial" w:eastAsia="Arial" w:hAnsi="Arial"/>
                <w:sz w:val="14"/>
                <w:szCs w:val="14"/>
                <w:color w:val="auto"/>
                <w:w w:val="98"/>
              </w:rPr>
              <w:t>combination of shared</w:t>
            </w:r>
          </w:p>
        </w:tc>
        <w:tc>
          <w:tcPr>
            <w:tcW w:w="1680" w:type="dxa"/>
            <w:vAlign w:val="bottom"/>
            <w:gridSpan w:val="2"/>
            <w:vMerge w:val="continue"/>
          </w:tcPr>
          <w:p>
            <w:pPr>
              <w:spacing w:after="0"/>
              <w:rPr>
                <w:sz w:val="6"/>
                <w:szCs w:val="6"/>
                <w:color w:val="auto"/>
              </w:rPr>
            </w:pPr>
          </w:p>
        </w:tc>
        <w:tc>
          <w:tcPr>
            <w:tcW w:w="2740" w:type="dxa"/>
            <w:vAlign w:val="bottom"/>
            <w:gridSpan w:val="3"/>
            <w:vMerge w:val="continue"/>
          </w:tcPr>
          <w:p>
            <w:pPr>
              <w:spacing w:after="0"/>
              <w:rPr>
                <w:sz w:val="6"/>
                <w:szCs w:val="6"/>
                <w:color w:val="auto"/>
              </w:rPr>
            </w:pPr>
          </w:p>
        </w:tc>
        <w:tc>
          <w:tcPr>
            <w:tcW w:w="2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680" w:type="dxa"/>
            <w:vAlign w:val="bottom"/>
            <w:gridSpan w:val="2"/>
            <w:vMerge w:val="restart"/>
          </w:tcPr>
          <w:p>
            <w:pPr>
              <w:ind w:left="100"/>
              <w:spacing w:after="0" w:line="149" w:lineRule="exact"/>
              <w:rPr>
                <w:sz w:val="20"/>
                <w:szCs w:val="20"/>
                <w:color w:val="auto"/>
              </w:rPr>
            </w:pPr>
            <w:r>
              <w:rPr>
                <w:rFonts w:ascii="Arial" w:cs="Arial" w:eastAsia="Arial" w:hAnsi="Arial"/>
                <w:sz w:val="14"/>
                <w:szCs w:val="14"/>
                <w:color w:val="auto"/>
              </w:rPr>
              <w:t>BNT113</w:t>
            </w:r>
          </w:p>
        </w:tc>
        <w:tc>
          <w:tcPr>
            <w:tcW w:w="2740" w:type="dxa"/>
            <w:vAlign w:val="bottom"/>
            <w:gridSpan w:val="3"/>
            <w:vMerge w:val="restart"/>
          </w:tcPr>
          <w:p>
            <w:pPr>
              <w:ind w:left="100"/>
              <w:spacing w:after="0" w:line="149" w:lineRule="exact"/>
              <w:rPr>
                <w:sz w:val="20"/>
                <w:szCs w:val="20"/>
                <w:color w:val="auto"/>
              </w:rPr>
            </w:pPr>
            <w:r>
              <w:rPr>
                <w:rFonts w:ascii="Arial" w:cs="Arial" w:eastAsia="Arial" w:hAnsi="Arial"/>
                <w:sz w:val="14"/>
                <w:szCs w:val="14"/>
                <w:color w:val="auto"/>
              </w:rPr>
              <w:t>HPV+ Head and Neck Cancer</w:t>
            </w:r>
            <w:r>
              <w:rPr>
                <w:rFonts w:ascii="Arial" w:cs="Arial" w:eastAsia="Arial" w:hAnsi="Arial"/>
                <w:sz w:val="12"/>
                <w:szCs w:val="12"/>
                <w:color w:val="auto"/>
              </w:rPr>
              <w:t>1</w:t>
            </w:r>
          </w:p>
        </w:tc>
        <w:tc>
          <w:tcPr>
            <w:tcW w:w="2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color w:val="auto"/>
              </w:rPr>
              <w:t>cancer antigens)</w:t>
            </w:r>
          </w:p>
        </w:tc>
        <w:tc>
          <w:tcPr>
            <w:tcW w:w="1680" w:type="dxa"/>
            <w:vAlign w:val="bottom"/>
            <w:gridSpan w:val="2"/>
            <w:vMerge w:val="continue"/>
          </w:tcPr>
          <w:p>
            <w:pPr>
              <w:spacing w:after="0"/>
              <w:rPr>
                <w:sz w:val="6"/>
                <w:szCs w:val="6"/>
                <w:color w:val="auto"/>
              </w:rPr>
            </w:pPr>
          </w:p>
        </w:tc>
        <w:tc>
          <w:tcPr>
            <w:tcW w:w="2740" w:type="dxa"/>
            <w:vAlign w:val="bottom"/>
            <w:gridSpan w:val="3"/>
            <w:vMerge w:val="continue"/>
          </w:tcPr>
          <w:p>
            <w:pPr>
              <w:spacing w:after="0"/>
              <w:rPr>
                <w:sz w:val="6"/>
                <w:szCs w:val="6"/>
                <w:color w:val="auto"/>
              </w:rPr>
            </w:pPr>
          </w:p>
        </w:tc>
        <w:tc>
          <w:tcPr>
            <w:tcW w:w="2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680" w:type="dxa"/>
            <w:vAlign w:val="bottom"/>
            <w:gridSpan w:val="2"/>
            <w:vMerge w:val="restart"/>
          </w:tcPr>
          <w:p>
            <w:pPr>
              <w:ind w:left="100"/>
              <w:spacing w:after="0" w:line="149" w:lineRule="exact"/>
              <w:rPr>
                <w:sz w:val="20"/>
                <w:szCs w:val="20"/>
                <w:color w:val="auto"/>
              </w:rPr>
            </w:pPr>
            <w:r>
              <w:rPr>
                <w:rFonts w:ascii="Arial" w:cs="Arial" w:eastAsia="Arial" w:hAnsi="Arial"/>
                <w:sz w:val="14"/>
                <w:szCs w:val="14"/>
                <w:color w:val="auto"/>
              </w:rPr>
              <w:t>BNT114</w:t>
            </w:r>
          </w:p>
        </w:tc>
        <w:tc>
          <w:tcPr>
            <w:tcW w:w="2740" w:type="dxa"/>
            <w:vAlign w:val="bottom"/>
            <w:gridSpan w:val="3"/>
            <w:vMerge w:val="restart"/>
          </w:tcPr>
          <w:p>
            <w:pPr>
              <w:ind w:left="100"/>
              <w:spacing w:after="0" w:line="149" w:lineRule="exact"/>
              <w:rPr>
                <w:sz w:val="20"/>
                <w:szCs w:val="20"/>
                <w:color w:val="auto"/>
              </w:rPr>
            </w:pPr>
            <w:r>
              <w:rPr>
                <w:rFonts w:ascii="Arial" w:cs="Arial" w:eastAsia="Arial" w:hAnsi="Arial"/>
                <w:sz w:val="14"/>
                <w:szCs w:val="14"/>
                <w:color w:val="auto"/>
              </w:rPr>
              <w:t>Triple Negative Breast Cancer</w:t>
            </w:r>
          </w:p>
        </w:tc>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43"/>
        </w:trPr>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2740" w:type="dxa"/>
            <w:vAlign w:val="bottom"/>
            <w:gridSpan w:val="3"/>
            <w:vMerge w:val="continue"/>
          </w:tcPr>
          <w:p>
            <w:pPr>
              <w:spacing w:after="0"/>
              <w:rPr>
                <w:sz w:val="3"/>
                <w:szCs w:val="3"/>
                <w:color w:val="auto"/>
              </w:rPr>
            </w:pPr>
          </w:p>
        </w:tc>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7F7F7F"/>
            </w:tcBorders>
          </w:tcPr>
          <w:p>
            <w:pPr>
              <w:spacing w:after="0"/>
              <w:rPr>
                <w:sz w:val="14"/>
                <w:szCs w:val="14"/>
                <w:color w:val="auto"/>
              </w:rPr>
            </w:pPr>
          </w:p>
        </w:tc>
        <w:tc>
          <w:tcPr>
            <w:tcW w:w="1380" w:type="dxa"/>
            <w:vAlign w:val="bottom"/>
            <w:tcBorders>
              <w:bottom w:val="single" w:sz="8" w:color="7F7F7F"/>
            </w:tcBorders>
          </w:tcPr>
          <w:p>
            <w:pPr>
              <w:spacing w:after="0"/>
              <w:rPr>
                <w:sz w:val="14"/>
                <w:szCs w:val="14"/>
                <w:color w:val="auto"/>
              </w:rPr>
            </w:pPr>
          </w:p>
        </w:tc>
        <w:tc>
          <w:tcPr>
            <w:tcW w:w="1680" w:type="dxa"/>
            <w:vAlign w:val="bottom"/>
            <w:tcBorders>
              <w:bottom w:val="single" w:sz="8" w:color="7F7F7F"/>
            </w:tcBorders>
            <w:gridSpan w:val="2"/>
          </w:tcPr>
          <w:p>
            <w:pPr>
              <w:ind w:left="100"/>
              <w:spacing w:after="0"/>
              <w:rPr>
                <w:sz w:val="20"/>
                <w:szCs w:val="20"/>
                <w:color w:val="auto"/>
              </w:rPr>
            </w:pPr>
            <w:r>
              <w:rPr>
                <w:rFonts w:ascii="Arial" w:cs="Arial" w:eastAsia="Arial" w:hAnsi="Arial"/>
                <w:sz w:val="14"/>
                <w:szCs w:val="14"/>
                <w:color w:val="auto"/>
              </w:rPr>
              <w:t>BNT115, BNT116</w:t>
            </w:r>
          </w:p>
        </w:tc>
        <w:tc>
          <w:tcPr>
            <w:tcW w:w="2740" w:type="dxa"/>
            <w:vAlign w:val="bottom"/>
            <w:tcBorders>
              <w:bottom w:val="single" w:sz="8" w:color="7F7F7F"/>
            </w:tcBorders>
            <w:gridSpan w:val="3"/>
          </w:tcPr>
          <w:p>
            <w:pPr>
              <w:ind w:left="100"/>
              <w:spacing w:after="0"/>
              <w:rPr>
                <w:sz w:val="20"/>
                <w:szCs w:val="20"/>
                <w:color w:val="auto"/>
              </w:rPr>
            </w:pPr>
            <w:r>
              <w:rPr>
                <w:rFonts w:ascii="Arial" w:cs="Arial" w:eastAsia="Arial" w:hAnsi="Arial"/>
                <w:sz w:val="14"/>
                <w:szCs w:val="14"/>
                <w:color w:val="auto"/>
              </w:rPr>
              <w:t>Other Cancers, including Ovarian Cancer</w:t>
            </w:r>
          </w:p>
        </w:tc>
        <w:tc>
          <w:tcPr>
            <w:tcW w:w="2620" w:type="dxa"/>
            <w:vAlign w:val="bottom"/>
            <w:tcBorders>
              <w:bottom w:val="single" w:sz="8" w:color="7F7F7F"/>
            </w:tcBorders>
          </w:tcPr>
          <w:p>
            <w:pPr>
              <w:spacing w:after="0"/>
              <w:rPr>
                <w:sz w:val="14"/>
                <w:szCs w:val="14"/>
                <w:color w:val="auto"/>
              </w:rPr>
            </w:pPr>
          </w:p>
        </w:tc>
        <w:tc>
          <w:tcPr>
            <w:tcW w:w="80" w:type="dxa"/>
            <w:vAlign w:val="bottom"/>
            <w:tcBorders>
              <w:bottom w:val="single" w:sz="8" w:color="7F7F7F"/>
            </w:tcBorders>
          </w:tcPr>
          <w:p>
            <w:pPr>
              <w:spacing w:after="0"/>
              <w:rPr>
                <w:sz w:val="14"/>
                <w:szCs w:val="14"/>
                <w:color w:val="auto"/>
              </w:rPr>
            </w:pPr>
          </w:p>
        </w:tc>
        <w:tc>
          <w:tcPr>
            <w:tcW w:w="1380" w:type="dxa"/>
            <w:vAlign w:val="bottom"/>
            <w:tcBorders>
              <w:bottom w:val="single" w:sz="8" w:color="7F7F7F"/>
            </w:tcBorders>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 xml:space="preserve">iNeST </w:t>
            </w:r>
            <w:r>
              <w:rPr>
                <w:rFonts w:ascii="Arial" w:cs="Arial" w:eastAsia="Arial" w:hAnsi="Arial"/>
                <w:sz w:val="14"/>
                <w:szCs w:val="14"/>
                <w:color w:val="auto"/>
              </w:rPr>
              <w:t>(patient-</w:t>
            </w: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74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1L Melanoma with CPI</w:t>
            </w:r>
            <w:r>
              <w:rPr>
                <w:rFonts w:ascii="Arial" w:cs="Arial" w:eastAsia="Arial" w:hAnsi="Arial"/>
                <w:sz w:val="12"/>
                <w:szCs w:val="12"/>
                <w:color w:val="auto"/>
              </w:rPr>
              <w:t>2</w:t>
            </w: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Genentech</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specific cancer antigen</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RO7198457 (BNT122)</w:t>
            </w:r>
          </w:p>
        </w:tc>
        <w:tc>
          <w:tcPr>
            <w:tcW w:w="2740" w:type="dxa"/>
            <w:vAlign w:val="bottom"/>
            <w:gridSpan w:val="3"/>
            <w:vMerge w:val="restart"/>
          </w:tcPr>
          <w:p>
            <w:pPr>
              <w:ind w:left="100"/>
              <w:spacing w:after="0"/>
              <w:rPr>
                <w:sz w:val="20"/>
                <w:szCs w:val="20"/>
                <w:color w:val="auto"/>
              </w:rPr>
            </w:pPr>
            <w:r>
              <w:rPr>
                <w:rFonts w:ascii="Arial" w:cs="Arial" w:eastAsia="Arial" w:hAnsi="Arial"/>
                <w:sz w:val="14"/>
                <w:szCs w:val="14"/>
                <w:color w:val="auto"/>
              </w:rPr>
              <w:t>Multiple Solid Tumors</w:t>
            </w:r>
          </w:p>
        </w:tc>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(Global 50:50</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therapy)</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740" w:type="dxa"/>
            <w:vAlign w:val="bottom"/>
            <w:gridSpan w:val="3"/>
            <w:vMerge w:val="continue"/>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profit/loss share)</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1380" w:type="dxa"/>
            <w:vAlign w:val="bottom"/>
            <w:tcBorders>
              <w:bottom w:val="single" w:sz="8" w:color="7F7F7F"/>
            </w:tcBorders>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1580" w:type="dxa"/>
            <w:vAlign w:val="bottom"/>
            <w:tcBorders>
              <w:bottom w:val="single" w:sz="8" w:color="7F7F7F"/>
            </w:tcBorders>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2560" w:type="dxa"/>
            <w:vAlign w:val="bottom"/>
            <w:tcBorders>
              <w:bottom w:val="single" w:sz="8" w:color="7F7F7F"/>
            </w:tcBorders>
          </w:tcPr>
          <w:p>
            <w:pPr>
              <w:spacing w:after="0"/>
              <w:rPr>
                <w:sz w:val="2"/>
                <w:szCs w:val="2"/>
                <w:color w:val="auto"/>
              </w:rPr>
            </w:pPr>
          </w:p>
        </w:tc>
        <w:tc>
          <w:tcPr>
            <w:tcW w:w="80" w:type="dxa"/>
            <w:vAlign w:val="bottom"/>
            <w:tcBorders>
              <w:bottom w:val="single" w:sz="8" w:color="7F7F7F"/>
            </w:tcBorders>
          </w:tcPr>
          <w:p>
            <w:pPr>
              <w:spacing w:after="0"/>
              <w:rPr>
                <w:sz w:val="2"/>
                <w:szCs w:val="2"/>
                <w:color w:val="auto"/>
              </w:rPr>
            </w:pPr>
          </w:p>
        </w:tc>
        <w:tc>
          <w:tcPr>
            <w:tcW w:w="2620" w:type="dxa"/>
            <w:vAlign w:val="bottom"/>
            <w:tcBorders>
              <w:bottom w:val="single" w:sz="8" w:color="7F7F7F"/>
            </w:tcBorders>
          </w:tcPr>
          <w:p>
            <w:pPr>
              <w:spacing w:after="0"/>
              <w:rPr>
                <w:sz w:val="2"/>
                <w:szCs w:val="2"/>
                <w:color w:val="auto"/>
              </w:rPr>
            </w:pPr>
          </w:p>
        </w:tc>
        <w:tc>
          <w:tcPr>
            <w:tcW w:w="80" w:type="dxa"/>
            <w:vAlign w:val="bottom"/>
            <w:tcBorders>
              <w:bottom w:val="single" w:sz="8" w:color="7F7F7F"/>
            </w:tcBorders>
          </w:tcPr>
          <w:p>
            <w:pPr>
              <w:spacing w:after="0"/>
              <w:rPr>
                <w:sz w:val="2"/>
                <w:szCs w:val="2"/>
                <w:color w:val="auto"/>
              </w:rPr>
            </w:pPr>
          </w:p>
        </w:tc>
        <w:tc>
          <w:tcPr>
            <w:tcW w:w="13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Intratumoral</w:t>
            </w: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740" w:type="dxa"/>
            <w:vAlign w:val="bottom"/>
            <w:gridSpan w:val="3"/>
            <w:vMerge w:val="restart"/>
          </w:tcPr>
          <w:p>
            <w:pPr>
              <w:ind w:left="100"/>
              <w:spacing w:after="0"/>
              <w:rPr>
                <w:sz w:val="20"/>
                <w:szCs w:val="20"/>
                <w:color w:val="auto"/>
              </w:rPr>
            </w:pPr>
            <w:r>
              <w:rPr>
                <w:rFonts w:ascii="Arial" w:cs="Arial" w:eastAsia="Arial" w:hAnsi="Arial"/>
                <w:sz w:val="14"/>
                <w:szCs w:val="14"/>
                <w:color w:val="auto"/>
              </w:rPr>
              <w:t xml:space="preserve">Solid Tumors </w:t>
            </w:r>
            <w:r>
              <w:rPr>
                <w:rFonts w:ascii="Arial" w:cs="Arial" w:eastAsia="Arial" w:hAnsi="Arial"/>
                <w:sz w:val="14"/>
                <w:szCs w:val="14"/>
                <w:i w:val="1"/>
                <w:iCs w:val="1"/>
                <w:color w:val="auto"/>
              </w:rPr>
              <w:t>(IL-12sc, IL-15sushi,</w:t>
            </w:r>
          </w:p>
        </w:tc>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Sanofi</w:t>
            </w: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SAR441000 (BNT131)</w:t>
            </w:r>
          </w:p>
        </w:tc>
        <w:tc>
          <w:tcPr>
            <w:tcW w:w="2740" w:type="dxa"/>
            <w:vAlign w:val="bottom"/>
            <w:gridSpan w:val="3"/>
            <w:vMerge w:val="continue"/>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(Global</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Immunotherapy</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740" w:type="dxa"/>
            <w:vAlign w:val="bottom"/>
            <w:gridSpan w:val="3"/>
          </w:tcPr>
          <w:p>
            <w:pPr>
              <w:ind w:left="100"/>
              <w:spacing w:after="0"/>
              <w:rPr>
                <w:sz w:val="20"/>
                <w:szCs w:val="20"/>
                <w:color w:val="auto"/>
              </w:rPr>
            </w:pPr>
            <w:r>
              <w:rPr>
                <w:rFonts w:ascii="Arial" w:cs="Arial" w:eastAsia="Arial" w:hAnsi="Arial"/>
                <w:sz w:val="14"/>
                <w:szCs w:val="14"/>
                <w:i w:val="1"/>
                <w:iCs w:val="1"/>
                <w:color w:val="auto"/>
              </w:rPr>
              <w:t>GM-CSF, IFN</w:t>
            </w:r>
            <w:r>
              <w:rPr>
                <w:rFonts w:ascii="Arial" w:cs="Arial" w:eastAsia="Arial" w:hAnsi="Arial"/>
                <w:sz w:val="14"/>
                <w:szCs w:val="14"/>
                <w:color w:val="auto"/>
              </w:rPr>
              <w:t>α</w:t>
            </w:r>
            <w:r>
              <w:rPr>
                <w:rFonts w:ascii="Arial" w:cs="Arial" w:eastAsia="Arial" w:hAnsi="Arial"/>
                <w:sz w:val="14"/>
                <w:szCs w:val="14"/>
                <w:i w:val="1"/>
                <w:iCs w:val="1"/>
                <w:color w:val="auto"/>
              </w:rPr>
              <w:t>)</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profit/loss share)</w:t>
            </w:r>
          </w:p>
        </w:tc>
        <w:tc>
          <w:tcPr>
            <w:tcW w:w="0" w:type="dxa"/>
            <w:vAlign w:val="bottom"/>
          </w:tcPr>
          <w:p>
            <w:pPr>
              <w:spacing w:after="0"/>
              <w:rPr>
                <w:sz w:val="1"/>
                <w:szCs w:val="1"/>
                <w:color w:val="auto"/>
              </w:rPr>
            </w:pPr>
          </w:p>
        </w:tc>
      </w:tr>
      <w:tr>
        <w:trPr>
          <w:trHeight w:val="43"/>
        </w:trPr>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5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56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262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 xml:space="preserve">RiboMabs </w:t>
            </w:r>
            <w:r>
              <w:rPr>
                <w:rFonts w:ascii="Arial" w:cs="Arial" w:eastAsia="Arial" w:hAnsi="Arial"/>
                <w:sz w:val="14"/>
                <w:szCs w:val="14"/>
                <w:color w:val="auto"/>
              </w:rPr>
              <w:t>(mRNA-</w:t>
            </w:r>
          </w:p>
        </w:tc>
        <w:tc>
          <w:tcPr>
            <w:tcW w:w="168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BNT141</w:t>
            </w:r>
          </w:p>
        </w:tc>
        <w:tc>
          <w:tcPr>
            <w:tcW w:w="2740" w:type="dxa"/>
            <w:vAlign w:val="bottom"/>
            <w:gridSpan w:val="3"/>
          </w:tcPr>
          <w:p>
            <w:pPr>
              <w:ind w:left="100"/>
              <w:spacing w:after="0" w:line="129" w:lineRule="exact"/>
              <w:rPr>
                <w:sz w:val="20"/>
                <w:szCs w:val="20"/>
                <w:color w:val="auto"/>
              </w:rPr>
            </w:pPr>
            <w:r>
              <w:rPr>
                <w:rFonts w:ascii="Arial" w:cs="Arial" w:eastAsia="Arial" w:hAnsi="Arial"/>
                <w:sz w:val="14"/>
                <w:szCs w:val="14"/>
                <w:color w:val="auto"/>
              </w:rPr>
              <w:t>Multiple Solid Tumors</w:t>
            </w:r>
          </w:p>
        </w:tc>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encoded antibodies)</w:t>
            </w: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BNT142</w:t>
            </w:r>
          </w:p>
        </w:tc>
        <w:tc>
          <w:tcPr>
            <w:tcW w:w="2740" w:type="dxa"/>
            <w:vAlign w:val="bottom"/>
            <w:gridSpan w:val="3"/>
          </w:tcPr>
          <w:p>
            <w:pPr>
              <w:ind w:left="100"/>
              <w:spacing w:after="0"/>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(CD3+CLDN6)</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1380" w:type="dxa"/>
            <w:vAlign w:val="bottom"/>
            <w:tcBorders>
              <w:bottom w:val="single" w:sz="8" w:color="7F7F7F"/>
            </w:tcBorders>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1580" w:type="dxa"/>
            <w:vAlign w:val="bottom"/>
            <w:tcBorders>
              <w:bottom w:val="single" w:sz="8" w:color="7F7F7F"/>
            </w:tcBorders>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2560" w:type="dxa"/>
            <w:vAlign w:val="bottom"/>
            <w:tcBorders>
              <w:bottom w:val="single" w:sz="8" w:color="7F7F7F"/>
            </w:tcBorders>
          </w:tcPr>
          <w:p>
            <w:pPr>
              <w:spacing w:after="0"/>
              <w:rPr>
                <w:sz w:val="2"/>
                <w:szCs w:val="2"/>
                <w:color w:val="auto"/>
              </w:rPr>
            </w:pPr>
          </w:p>
        </w:tc>
        <w:tc>
          <w:tcPr>
            <w:tcW w:w="80" w:type="dxa"/>
            <w:vAlign w:val="bottom"/>
            <w:tcBorders>
              <w:bottom w:val="single" w:sz="8" w:color="7F7F7F"/>
            </w:tcBorders>
          </w:tcPr>
          <w:p>
            <w:pPr>
              <w:spacing w:after="0"/>
              <w:rPr>
                <w:sz w:val="2"/>
                <w:szCs w:val="2"/>
                <w:color w:val="auto"/>
              </w:rPr>
            </w:pPr>
          </w:p>
        </w:tc>
        <w:tc>
          <w:tcPr>
            <w:tcW w:w="2620" w:type="dxa"/>
            <w:vAlign w:val="bottom"/>
            <w:tcBorders>
              <w:bottom w:val="single" w:sz="8" w:color="7F7F7F"/>
            </w:tcBorders>
          </w:tcPr>
          <w:p>
            <w:pPr>
              <w:spacing w:after="0"/>
              <w:rPr>
                <w:sz w:val="2"/>
                <w:szCs w:val="2"/>
                <w:color w:val="auto"/>
              </w:rPr>
            </w:pPr>
          </w:p>
        </w:tc>
        <w:tc>
          <w:tcPr>
            <w:tcW w:w="80" w:type="dxa"/>
            <w:vAlign w:val="bottom"/>
            <w:tcBorders>
              <w:bottom w:val="single" w:sz="8" w:color="7F7F7F"/>
            </w:tcBorders>
          </w:tcPr>
          <w:p>
            <w:pPr>
              <w:spacing w:after="0"/>
              <w:rPr>
                <w:sz w:val="2"/>
                <w:szCs w:val="2"/>
                <w:color w:val="auto"/>
              </w:rPr>
            </w:pPr>
          </w:p>
        </w:tc>
        <w:tc>
          <w:tcPr>
            <w:tcW w:w="13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RiboCytokines</w:t>
            </w:r>
          </w:p>
        </w:tc>
        <w:tc>
          <w:tcPr>
            <w:tcW w:w="1680" w:type="dxa"/>
            <w:vAlign w:val="bottom"/>
            <w:gridSpan w:val="2"/>
          </w:tcPr>
          <w:p>
            <w:pPr>
              <w:ind w:left="100"/>
              <w:spacing w:after="0" w:line="133" w:lineRule="exact"/>
              <w:rPr>
                <w:sz w:val="20"/>
                <w:szCs w:val="20"/>
                <w:color w:val="auto"/>
              </w:rPr>
            </w:pPr>
            <w:r>
              <w:rPr>
                <w:rFonts w:ascii="Arial" w:cs="Arial" w:eastAsia="Arial" w:hAnsi="Arial"/>
                <w:sz w:val="14"/>
                <w:szCs w:val="14"/>
                <w:color w:val="auto"/>
              </w:rPr>
              <w:t>BNT151</w:t>
            </w:r>
          </w:p>
        </w:tc>
        <w:tc>
          <w:tcPr>
            <w:tcW w:w="2740" w:type="dxa"/>
            <w:vAlign w:val="bottom"/>
            <w:gridSpan w:val="3"/>
          </w:tcPr>
          <w:p>
            <w:pPr>
              <w:ind w:left="100"/>
              <w:spacing w:after="0" w:line="133" w:lineRule="exact"/>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(Optimized IL-2)</w:t>
            </w:r>
          </w:p>
        </w:tc>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72"/>
        </w:trPr>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680" w:type="dxa"/>
            <w:vAlign w:val="bottom"/>
            <w:gridSpan w:val="2"/>
            <w:vMerge w:val="restart"/>
          </w:tcPr>
          <w:p>
            <w:pPr>
              <w:ind w:left="100"/>
              <w:spacing w:after="0" w:line="153" w:lineRule="exact"/>
              <w:rPr>
                <w:sz w:val="20"/>
                <w:szCs w:val="20"/>
                <w:color w:val="auto"/>
              </w:rPr>
            </w:pPr>
            <w:r>
              <w:rPr>
                <w:rFonts w:ascii="Arial" w:cs="Arial" w:eastAsia="Arial" w:hAnsi="Arial"/>
                <w:sz w:val="14"/>
                <w:szCs w:val="14"/>
                <w:color w:val="auto"/>
              </w:rPr>
              <w:t>BNT152</w:t>
            </w:r>
          </w:p>
        </w:tc>
        <w:tc>
          <w:tcPr>
            <w:tcW w:w="2740" w:type="dxa"/>
            <w:vAlign w:val="bottom"/>
            <w:gridSpan w:val="3"/>
            <w:vMerge w:val="restart"/>
          </w:tcPr>
          <w:p>
            <w:pPr>
              <w:ind w:left="100"/>
              <w:spacing w:after="0" w:line="153" w:lineRule="exact"/>
              <w:rPr>
                <w:sz w:val="20"/>
                <w:szCs w:val="20"/>
                <w:color w:val="auto"/>
              </w:rPr>
            </w:pPr>
            <w:r>
              <w:rPr>
                <w:rFonts w:ascii="Arial" w:cs="Arial" w:eastAsia="Arial" w:hAnsi="Arial"/>
                <w:sz w:val="14"/>
                <w:szCs w:val="14"/>
                <w:color w:val="auto"/>
              </w:rPr>
              <w:t>Multiple Solid Tumors</w:t>
            </w:r>
          </w:p>
        </w:tc>
        <w:tc>
          <w:tcPr>
            <w:tcW w:w="2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gridSpan w:val="2"/>
            <w:vMerge w:val="restart"/>
          </w:tcPr>
          <w:p>
            <w:pPr>
              <w:ind w:left="100"/>
              <w:spacing w:after="0" w:line="149" w:lineRule="exact"/>
              <w:rPr>
                <w:sz w:val="20"/>
                <w:szCs w:val="20"/>
                <w:color w:val="auto"/>
              </w:rPr>
            </w:pPr>
            <w:r>
              <w:rPr>
                <w:rFonts w:ascii="Arial" w:cs="Arial" w:eastAsia="Arial" w:hAnsi="Arial"/>
                <w:sz w:val="14"/>
                <w:szCs w:val="14"/>
                <w:color w:val="auto"/>
              </w:rPr>
              <w:t>(mRNA-encoded</w:t>
            </w:r>
          </w:p>
        </w:tc>
        <w:tc>
          <w:tcPr>
            <w:tcW w:w="1680" w:type="dxa"/>
            <w:vAlign w:val="bottom"/>
            <w:gridSpan w:val="2"/>
            <w:vMerge w:val="continue"/>
          </w:tcPr>
          <w:p>
            <w:pPr>
              <w:spacing w:after="0"/>
              <w:rPr>
                <w:sz w:val="7"/>
                <w:szCs w:val="7"/>
                <w:color w:val="auto"/>
              </w:rPr>
            </w:pPr>
          </w:p>
        </w:tc>
        <w:tc>
          <w:tcPr>
            <w:tcW w:w="2740" w:type="dxa"/>
            <w:vAlign w:val="bottom"/>
            <w:gridSpan w:val="3"/>
            <w:vMerge w:val="continue"/>
          </w:tcPr>
          <w:p>
            <w:pPr>
              <w:spacing w:after="0"/>
              <w:rPr>
                <w:sz w:val="7"/>
                <w:szCs w:val="7"/>
                <w:color w:val="auto"/>
              </w:rPr>
            </w:pPr>
          </w:p>
        </w:tc>
        <w:tc>
          <w:tcPr>
            <w:tcW w:w="2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740" w:type="dxa"/>
            <w:vAlign w:val="bottom"/>
            <w:gridSpan w:val="3"/>
            <w:vMerge w:val="restart"/>
          </w:tcPr>
          <w:p>
            <w:pPr>
              <w:ind w:left="100"/>
              <w:spacing w:after="0"/>
              <w:rPr>
                <w:sz w:val="20"/>
                <w:szCs w:val="20"/>
                <w:color w:val="auto"/>
              </w:rPr>
            </w:pPr>
            <w:r>
              <w:rPr>
                <w:rFonts w:ascii="Arial" w:cs="Arial" w:eastAsia="Arial" w:hAnsi="Arial"/>
                <w:sz w:val="14"/>
                <w:szCs w:val="14"/>
                <w:i w:val="1"/>
                <w:iCs w:val="1"/>
                <w:color w:val="auto"/>
              </w:rPr>
              <w:t>(IL-7)</w:t>
            </w:r>
          </w:p>
        </w:tc>
        <w:tc>
          <w:tcPr>
            <w:tcW w:w="2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color w:val="auto"/>
              </w:rPr>
              <w:t>cytokines)</w:t>
            </w: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740" w:type="dxa"/>
            <w:vAlign w:val="bottom"/>
            <w:gridSpan w:val="3"/>
            <w:vMerge w:val="continue"/>
          </w:tcPr>
          <w:p>
            <w:pPr>
              <w:spacing w:after="0"/>
              <w:rPr>
                <w:sz w:val="8"/>
                <w:szCs w:val="8"/>
                <w:color w:val="auto"/>
              </w:rPr>
            </w:pPr>
          </w:p>
        </w:tc>
        <w:tc>
          <w:tcPr>
            <w:tcW w:w="2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88"/>
        </w:trPr>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color w:val="auto"/>
              </w:rPr>
              <w:t>BNT153</w:t>
            </w:r>
          </w:p>
        </w:tc>
        <w:tc>
          <w:tcPr>
            <w:tcW w:w="2740" w:type="dxa"/>
            <w:vAlign w:val="bottom"/>
            <w:gridSpan w:val="3"/>
            <w:vMerge w:val="restart"/>
          </w:tcPr>
          <w:p>
            <w:pPr>
              <w:ind w:left="100"/>
              <w:spacing w:after="0"/>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(IL-2)</w:t>
            </w:r>
          </w:p>
        </w:tc>
        <w:tc>
          <w:tcPr>
            <w:tcW w:w="2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2"/>
            <w:vMerge w:val="continue"/>
          </w:tcPr>
          <w:p>
            <w:pPr>
              <w:spacing w:after="0"/>
              <w:rPr>
                <w:sz w:val="8"/>
                <w:szCs w:val="8"/>
                <w:color w:val="auto"/>
              </w:rPr>
            </w:pPr>
          </w:p>
        </w:tc>
        <w:tc>
          <w:tcPr>
            <w:tcW w:w="2740" w:type="dxa"/>
            <w:vAlign w:val="bottom"/>
            <w:tcBorders>
              <w:bottom w:val="single" w:sz="8" w:color="auto"/>
            </w:tcBorders>
            <w:gridSpan w:val="3"/>
            <w:vMerge w:val="continue"/>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CAR-T Cells</w:t>
            </w: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BNT211</w:t>
            </w:r>
          </w:p>
        </w:tc>
        <w:tc>
          <w:tcPr>
            <w:tcW w:w="2740" w:type="dxa"/>
            <w:vAlign w:val="bottom"/>
            <w:gridSpan w:val="3"/>
          </w:tcPr>
          <w:p>
            <w:pPr>
              <w:ind w:left="100"/>
              <w:spacing w:after="0"/>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(CLDN6)</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color w:val="auto"/>
              </w:rPr>
              <w:t>BNT212</w:t>
            </w:r>
          </w:p>
        </w:tc>
        <w:tc>
          <w:tcPr>
            <w:tcW w:w="2740" w:type="dxa"/>
            <w:vAlign w:val="bottom"/>
            <w:gridSpan w:val="3"/>
            <w:vMerge w:val="restart"/>
          </w:tcPr>
          <w:p>
            <w:pPr>
              <w:ind w:left="100"/>
              <w:spacing w:after="0"/>
              <w:rPr>
                <w:sz w:val="20"/>
                <w:szCs w:val="20"/>
                <w:color w:val="auto"/>
              </w:rPr>
            </w:pPr>
            <w:r>
              <w:rPr>
                <w:rFonts w:ascii="Arial" w:cs="Arial" w:eastAsia="Arial" w:hAnsi="Arial"/>
                <w:sz w:val="14"/>
                <w:szCs w:val="14"/>
                <w:color w:val="auto"/>
              </w:rPr>
              <w:t xml:space="preserve">Pancreatic, Other Cancers </w:t>
            </w:r>
            <w:r>
              <w:rPr>
                <w:rFonts w:ascii="Arial" w:cs="Arial" w:eastAsia="Arial" w:hAnsi="Arial"/>
                <w:sz w:val="14"/>
                <w:szCs w:val="14"/>
                <w:i w:val="1"/>
                <w:iCs w:val="1"/>
                <w:color w:val="auto"/>
              </w:rPr>
              <w:t>(CLDN18.2)</w:t>
            </w:r>
          </w:p>
        </w:tc>
        <w:tc>
          <w:tcPr>
            <w:tcW w:w="2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1380" w:type="dxa"/>
            <w:vAlign w:val="bottom"/>
            <w:tcBorders>
              <w:bottom w:val="single" w:sz="8" w:color="7F7F7F"/>
            </w:tcBorders>
          </w:tcPr>
          <w:p>
            <w:pPr>
              <w:spacing w:after="0"/>
              <w:rPr>
                <w:sz w:val="8"/>
                <w:szCs w:val="8"/>
                <w:color w:val="auto"/>
              </w:rPr>
            </w:pPr>
          </w:p>
        </w:tc>
        <w:tc>
          <w:tcPr>
            <w:tcW w:w="1680" w:type="dxa"/>
            <w:vAlign w:val="bottom"/>
            <w:tcBorders>
              <w:bottom w:val="single" w:sz="8" w:color="7F7F7F"/>
            </w:tcBorders>
            <w:gridSpan w:val="2"/>
            <w:vMerge w:val="continue"/>
          </w:tcPr>
          <w:p>
            <w:pPr>
              <w:spacing w:after="0"/>
              <w:rPr>
                <w:sz w:val="8"/>
                <w:szCs w:val="8"/>
                <w:color w:val="auto"/>
              </w:rPr>
            </w:pPr>
          </w:p>
        </w:tc>
        <w:tc>
          <w:tcPr>
            <w:tcW w:w="2740" w:type="dxa"/>
            <w:vAlign w:val="bottom"/>
            <w:tcBorders>
              <w:bottom w:val="single" w:sz="8" w:color="7F7F7F"/>
            </w:tcBorders>
            <w:gridSpan w:val="3"/>
            <w:vMerge w:val="continue"/>
          </w:tcPr>
          <w:p>
            <w:pPr>
              <w:spacing w:after="0"/>
              <w:rPr>
                <w:sz w:val="8"/>
                <w:szCs w:val="8"/>
                <w:color w:val="auto"/>
              </w:rPr>
            </w:pPr>
          </w:p>
        </w:tc>
        <w:tc>
          <w:tcPr>
            <w:tcW w:w="2620" w:type="dxa"/>
            <w:vAlign w:val="bottom"/>
            <w:tcBorders>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1380" w:type="dxa"/>
            <w:vAlign w:val="bottom"/>
            <w:tcBorders>
              <w:bottom w:val="single" w:sz="8" w:color="7F7F7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color w:val="auto"/>
              </w:rPr>
              <w:t>To be selected</w:t>
            </w:r>
          </w:p>
        </w:tc>
        <w:tc>
          <w:tcPr>
            <w:tcW w:w="2740" w:type="dxa"/>
            <w:vAlign w:val="bottom"/>
            <w:gridSpan w:val="3"/>
            <w:vMerge w:val="restart"/>
          </w:tcPr>
          <w:p>
            <w:pPr>
              <w:ind w:left="100"/>
              <w:spacing w:after="0"/>
              <w:rPr>
                <w:sz w:val="20"/>
                <w:szCs w:val="20"/>
                <w:color w:val="auto"/>
              </w:rPr>
            </w:pPr>
            <w:r>
              <w:rPr>
                <w:rFonts w:ascii="Arial" w:cs="Arial" w:eastAsia="Arial" w:hAnsi="Arial"/>
                <w:sz w:val="14"/>
                <w:szCs w:val="14"/>
                <w:color w:val="auto"/>
              </w:rPr>
              <w:t>Solid Tumors</w:t>
            </w:r>
          </w:p>
        </w:tc>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Eli Lilly (Exclusive</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TCRs</w:t>
            </w:r>
          </w:p>
        </w:tc>
        <w:tc>
          <w:tcPr>
            <w:tcW w:w="1680" w:type="dxa"/>
            <w:vAlign w:val="bottom"/>
            <w:gridSpan w:val="2"/>
            <w:vMerge w:val="continue"/>
          </w:tcPr>
          <w:p>
            <w:pPr>
              <w:spacing w:after="0"/>
              <w:rPr>
                <w:sz w:val="16"/>
                <w:szCs w:val="16"/>
                <w:color w:val="auto"/>
              </w:rPr>
            </w:pPr>
          </w:p>
        </w:tc>
        <w:tc>
          <w:tcPr>
            <w:tcW w:w="2740" w:type="dxa"/>
            <w:vAlign w:val="bottom"/>
            <w:gridSpan w:val="3"/>
            <w:vMerge w:val="continue"/>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license option)</w:t>
            </w:r>
          </w:p>
        </w:tc>
        <w:tc>
          <w:tcPr>
            <w:tcW w:w="0" w:type="dxa"/>
            <w:vAlign w:val="bottom"/>
          </w:tcPr>
          <w:p>
            <w:pPr>
              <w:spacing w:after="0"/>
              <w:rPr>
                <w:sz w:val="1"/>
                <w:szCs w:val="1"/>
                <w:color w:val="auto"/>
              </w:rPr>
            </w:pPr>
          </w:p>
        </w:tc>
      </w:tr>
      <w:tr>
        <w:trPr>
          <w:trHeight w:val="121"/>
        </w:trPr>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740" w:type="dxa"/>
            <w:vAlign w:val="bottom"/>
            <w:gridSpan w:val="3"/>
            <w:vMerge w:val="restart"/>
          </w:tcPr>
          <w:p>
            <w:pPr>
              <w:ind w:left="100"/>
              <w:spacing w:after="0"/>
              <w:rPr>
                <w:sz w:val="20"/>
                <w:szCs w:val="20"/>
                <w:color w:val="auto"/>
              </w:rPr>
            </w:pPr>
            <w:r>
              <w:rPr>
                <w:rFonts w:ascii="Arial" w:cs="Arial" w:eastAsia="Arial" w:hAnsi="Arial"/>
                <w:sz w:val="14"/>
                <w:szCs w:val="14"/>
                <w:color w:val="auto"/>
              </w:rPr>
              <w:t>All Tumors</w:t>
            </w:r>
          </w:p>
        </w:tc>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To be selected</w:t>
            </w:r>
          </w:p>
        </w:tc>
        <w:tc>
          <w:tcPr>
            <w:tcW w:w="2740" w:type="dxa"/>
            <w:vAlign w:val="bottom"/>
            <w:gridSpan w:val="3"/>
            <w:vMerge w:val="continue"/>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80" w:type="dxa"/>
            <w:vAlign w:val="bottom"/>
            <w:gridSpan w:val="2"/>
          </w:tcPr>
          <w:p>
            <w:pPr>
              <w:ind w:left="100"/>
              <w:spacing w:after="0" w:line="160" w:lineRule="exact"/>
              <w:rPr>
                <w:sz w:val="20"/>
                <w:szCs w:val="20"/>
                <w:color w:val="auto"/>
              </w:rPr>
            </w:pPr>
            <w:r>
              <w:rPr>
                <w:rFonts w:ascii="Arial" w:cs="Arial" w:eastAsia="Arial" w:hAnsi="Arial"/>
                <w:sz w:val="14"/>
                <w:szCs w:val="14"/>
                <w:color w:val="auto"/>
              </w:rPr>
              <w:t>GEN1042 (BNT311)</w:t>
            </w:r>
          </w:p>
        </w:tc>
        <w:tc>
          <w:tcPr>
            <w:tcW w:w="2740" w:type="dxa"/>
            <w:vAlign w:val="bottom"/>
            <w:gridSpan w:val="3"/>
          </w:tcPr>
          <w:p>
            <w:pPr>
              <w:ind w:left="100"/>
              <w:spacing w:after="0" w:line="160" w:lineRule="exact"/>
              <w:rPr>
                <w:sz w:val="20"/>
                <w:szCs w:val="20"/>
                <w:color w:val="auto"/>
              </w:rPr>
            </w:pPr>
            <w:r>
              <w:rPr>
                <w:rFonts w:ascii="Arial" w:cs="Arial" w:eastAsia="Arial" w:hAnsi="Arial"/>
                <w:sz w:val="14"/>
                <w:szCs w:val="14"/>
                <w:color w:val="auto"/>
              </w:rPr>
              <w:t>Multiple Solid Tumors</w:t>
            </w: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Genmab</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Next-Gen CP</w:t>
            </w:r>
            <w:r>
              <w:rPr>
                <w:rFonts w:ascii="Arial" w:cs="Arial" w:eastAsia="Arial" w:hAnsi="Arial"/>
                <w:sz w:val="12"/>
                <w:szCs w:val="12"/>
                <w:b w:val="1"/>
                <w:bCs w:val="1"/>
                <w:color w:val="auto"/>
              </w:rPr>
              <w:t>3</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740" w:type="dxa"/>
            <w:vAlign w:val="bottom"/>
            <w:gridSpan w:val="3"/>
          </w:tcPr>
          <w:p>
            <w:pPr>
              <w:ind w:left="100"/>
              <w:spacing w:after="0" w:line="149" w:lineRule="exact"/>
              <w:rPr>
                <w:sz w:val="20"/>
                <w:szCs w:val="20"/>
                <w:color w:val="auto"/>
              </w:rPr>
            </w:pPr>
            <w:r>
              <w:rPr>
                <w:rFonts w:ascii="Arial" w:cs="Arial" w:eastAsia="Arial" w:hAnsi="Arial"/>
                <w:sz w:val="14"/>
                <w:szCs w:val="14"/>
                <w:i w:val="1"/>
                <w:iCs w:val="1"/>
                <w:color w:val="auto"/>
              </w:rPr>
              <w:t>(PD-L1×4-1BB)</w:t>
            </w:r>
          </w:p>
        </w:tc>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(Global 50:50</w:t>
            </w: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profit/loss share)</w:t>
            </w:r>
          </w:p>
        </w:tc>
        <w:tc>
          <w:tcPr>
            <w:tcW w:w="0" w:type="dxa"/>
            <w:vAlign w:val="bottom"/>
          </w:tcPr>
          <w:p>
            <w:pPr>
              <w:spacing w:after="0"/>
              <w:rPr>
                <w:sz w:val="1"/>
                <w:szCs w:val="1"/>
                <w:color w:val="auto"/>
              </w:rPr>
            </w:pPr>
          </w:p>
        </w:tc>
      </w:tr>
      <w:tr>
        <w:trPr>
          <w:trHeight w:val="92"/>
        </w:trPr>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gridSpan w:val="2"/>
            <w:vMerge w:val="restart"/>
          </w:tcPr>
          <w:p>
            <w:pPr>
              <w:ind w:left="100"/>
              <w:spacing w:after="0" w:line="153" w:lineRule="exact"/>
              <w:rPr>
                <w:sz w:val="20"/>
                <w:szCs w:val="20"/>
                <w:color w:val="auto"/>
              </w:rPr>
            </w:pPr>
            <w:r>
              <w:rPr>
                <w:rFonts w:ascii="Arial" w:cs="Arial" w:eastAsia="Arial" w:hAnsi="Arial"/>
                <w:sz w:val="14"/>
                <w:szCs w:val="14"/>
                <w:b w:val="1"/>
                <w:bCs w:val="1"/>
                <w:color w:val="auto"/>
              </w:rPr>
              <w:t>Immuno-modulators</w:t>
            </w:r>
          </w:p>
        </w:tc>
        <w:tc>
          <w:tcPr>
            <w:tcW w:w="1680" w:type="dxa"/>
            <w:vAlign w:val="bottom"/>
            <w:gridSpan w:val="2"/>
            <w:vMerge w:val="restart"/>
          </w:tcPr>
          <w:p>
            <w:pPr>
              <w:ind w:left="100"/>
              <w:spacing w:after="0" w:line="153" w:lineRule="exact"/>
              <w:rPr>
                <w:sz w:val="20"/>
                <w:szCs w:val="20"/>
                <w:color w:val="auto"/>
              </w:rPr>
            </w:pPr>
            <w:r>
              <w:rPr>
                <w:rFonts w:ascii="Arial" w:cs="Arial" w:eastAsia="Arial" w:hAnsi="Arial"/>
                <w:sz w:val="14"/>
                <w:szCs w:val="14"/>
                <w:color w:val="auto"/>
              </w:rPr>
              <w:t>BNT312</w:t>
            </w:r>
          </w:p>
        </w:tc>
        <w:tc>
          <w:tcPr>
            <w:tcW w:w="2740" w:type="dxa"/>
            <w:vAlign w:val="bottom"/>
            <w:gridSpan w:val="3"/>
            <w:vMerge w:val="restart"/>
          </w:tcPr>
          <w:p>
            <w:pPr>
              <w:ind w:left="100"/>
              <w:spacing w:after="0" w:line="153" w:lineRule="exact"/>
              <w:rPr>
                <w:sz w:val="20"/>
                <w:szCs w:val="20"/>
                <w:color w:val="auto"/>
              </w:rPr>
            </w:pPr>
            <w:r>
              <w:rPr>
                <w:rFonts w:ascii="Arial" w:cs="Arial" w:eastAsia="Arial" w:hAnsi="Arial"/>
                <w:sz w:val="14"/>
                <w:szCs w:val="14"/>
                <w:color w:val="auto"/>
              </w:rPr>
              <w:t>Multiple Solid Tumors</w:t>
            </w:r>
          </w:p>
        </w:tc>
        <w:tc>
          <w:tcPr>
            <w:tcW w:w="2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2740" w:type="dxa"/>
            <w:vAlign w:val="bottom"/>
            <w:gridSpan w:val="3"/>
            <w:vMerge w:val="continue"/>
          </w:tcPr>
          <w:p>
            <w:pPr>
              <w:spacing w:after="0"/>
              <w:rPr>
                <w:sz w:val="5"/>
                <w:szCs w:val="5"/>
                <w:color w:val="auto"/>
              </w:rPr>
            </w:pPr>
          </w:p>
        </w:tc>
        <w:tc>
          <w:tcPr>
            <w:tcW w:w="2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40" w:type="dxa"/>
            <w:vAlign w:val="bottom"/>
            <w:gridSpan w:val="3"/>
          </w:tcPr>
          <w:p>
            <w:pPr>
              <w:ind w:left="100"/>
              <w:spacing w:after="0"/>
              <w:rPr>
                <w:sz w:val="20"/>
                <w:szCs w:val="20"/>
                <w:color w:val="auto"/>
              </w:rPr>
            </w:pPr>
            <w:r>
              <w:rPr>
                <w:rFonts w:ascii="Arial" w:cs="Arial" w:eastAsia="Arial" w:hAnsi="Arial"/>
                <w:sz w:val="14"/>
                <w:szCs w:val="14"/>
                <w:i w:val="1"/>
                <w:iCs w:val="1"/>
                <w:color w:val="auto"/>
              </w:rPr>
              <w:t>(CD40×4-1BB)</w:t>
            </w:r>
          </w:p>
        </w:tc>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138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158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560" w:type="dxa"/>
            <w:vAlign w:val="bottom"/>
            <w:tcBorders>
              <w:bottom w:val="single" w:sz="8" w:color="7F7F7F"/>
            </w:tcBorders>
          </w:tcPr>
          <w:p>
            <w:pPr>
              <w:spacing w:after="0"/>
              <w:rPr>
                <w:sz w:val="6"/>
                <w:szCs w:val="6"/>
                <w:color w:val="auto"/>
              </w:rPr>
            </w:pPr>
          </w:p>
        </w:tc>
        <w:tc>
          <w:tcPr>
            <w:tcW w:w="80" w:type="dxa"/>
            <w:vAlign w:val="bottom"/>
            <w:tcBorders>
              <w:bottom w:val="single" w:sz="8" w:color="7F7F7F"/>
            </w:tcBorders>
          </w:tcPr>
          <w:p>
            <w:pPr>
              <w:spacing w:after="0"/>
              <w:rPr>
                <w:sz w:val="6"/>
                <w:szCs w:val="6"/>
                <w:color w:val="auto"/>
              </w:rPr>
            </w:pPr>
          </w:p>
        </w:tc>
        <w:tc>
          <w:tcPr>
            <w:tcW w:w="2620" w:type="dxa"/>
            <w:vAlign w:val="bottom"/>
            <w:tcBorders>
              <w:bottom w:val="single" w:sz="8" w:color="7F7F7F"/>
            </w:tcBorders>
          </w:tcPr>
          <w:p>
            <w:pPr>
              <w:spacing w:after="0"/>
              <w:rPr>
                <w:sz w:val="6"/>
                <w:szCs w:val="6"/>
                <w:color w:val="auto"/>
              </w:rPr>
            </w:pPr>
          </w:p>
        </w:tc>
        <w:tc>
          <w:tcPr>
            <w:tcW w:w="80" w:type="dxa"/>
            <w:vAlign w:val="bottom"/>
            <w:tcBorders>
              <w:bottom w:val="single" w:sz="8" w:color="7F7F7F"/>
            </w:tcBorders>
          </w:tcPr>
          <w:p>
            <w:pPr>
              <w:spacing w:after="0"/>
              <w:rPr>
                <w:sz w:val="6"/>
                <w:szCs w:val="6"/>
                <w:color w:val="auto"/>
              </w:rPr>
            </w:pPr>
          </w:p>
        </w:tc>
        <w:tc>
          <w:tcPr>
            <w:tcW w:w="138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Targeted Cancer</w:t>
            </w: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color w:val="auto"/>
              </w:rPr>
              <w:t>MVT-5873 (BNT321)</w:t>
            </w:r>
          </w:p>
        </w:tc>
        <w:tc>
          <w:tcPr>
            <w:tcW w:w="2740" w:type="dxa"/>
            <w:vAlign w:val="bottom"/>
            <w:gridSpan w:val="3"/>
            <w:vMerge w:val="restart"/>
          </w:tcPr>
          <w:p>
            <w:pPr>
              <w:ind w:left="100"/>
              <w:spacing w:after="0"/>
              <w:rPr>
                <w:sz w:val="20"/>
                <w:szCs w:val="20"/>
                <w:color w:val="auto"/>
              </w:rPr>
            </w:pPr>
            <w:r>
              <w:rPr>
                <w:rFonts w:ascii="Arial" w:cs="Arial" w:eastAsia="Arial" w:hAnsi="Arial"/>
                <w:sz w:val="14"/>
                <w:szCs w:val="14"/>
                <w:color w:val="auto"/>
              </w:rPr>
              <w:t xml:space="preserve">Pancreatic Cancer </w:t>
            </w:r>
            <w:r>
              <w:rPr>
                <w:rFonts w:ascii="Arial" w:cs="Arial" w:eastAsia="Arial" w:hAnsi="Arial"/>
                <w:sz w:val="14"/>
                <w:szCs w:val="14"/>
                <w:i w:val="1"/>
                <w:iCs w:val="1"/>
                <w:color w:val="auto"/>
              </w:rPr>
              <w:t>(sLe</w:t>
            </w:r>
            <w:r>
              <w:rPr>
                <w:rFonts w:ascii="Arial" w:cs="Arial" w:eastAsia="Arial" w:hAnsi="Arial"/>
                <w:sz w:val="12"/>
                <w:szCs w:val="12"/>
                <w:i w:val="1"/>
                <w:iCs w:val="1"/>
                <w:color w:val="auto"/>
              </w:rPr>
              <w:t>a</w:t>
            </w:r>
            <w:r>
              <w:rPr>
                <w:rFonts w:ascii="Arial" w:cs="Arial" w:eastAsia="Arial" w:hAnsi="Arial"/>
                <w:sz w:val="14"/>
                <w:szCs w:val="14"/>
                <w:i w:val="1"/>
                <w:iCs w:val="1"/>
                <w:color w:val="auto"/>
              </w:rPr>
              <w:t>)</w:t>
            </w: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Antibodies</w:t>
            </w:r>
          </w:p>
        </w:tc>
        <w:tc>
          <w:tcPr>
            <w:tcW w:w="1680" w:type="dxa"/>
            <w:vAlign w:val="bottom"/>
            <w:gridSpan w:val="2"/>
            <w:vMerge w:val="continue"/>
          </w:tcPr>
          <w:p>
            <w:pPr>
              <w:spacing w:after="0"/>
              <w:rPr>
                <w:sz w:val="10"/>
                <w:szCs w:val="10"/>
                <w:color w:val="auto"/>
              </w:rPr>
            </w:pPr>
          </w:p>
        </w:tc>
        <w:tc>
          <w:tcPr>
            <w:tcW w:w="274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24"/>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Toll-Like Receptor</w:t>
            </w: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color w:val="auto"/>
              </w:rPr>
              <w:t>BNT411</w:t>
            </w:r>
          </w:p>
        </w:tc>
        <w:tc>
          <w:tcPr>
            <w:tcW w:w="2740" w:type="dxa"/>
            <w:vAlign w:val="bottom"/>
            <w:gridSpan w:val="3"/>
            <w:vMerge w:val="restart"/>
          </w:tcPr>
          <w:p>
            <w:pPr>
              <w:ind w:left="100"/>
              <w:spacing w:after="0"/>
              <w:rPr>
                <w:sz w:val="20"/>
                <w:szCs w:val="20"/>
                <w:color w:val="auto"/>
              </w:rPr>
            </w:pPr>
            <w:r>
              <w:rPr>
                <w:rFonts w:ascii="Arial" w:cs="Arial" w:eastAsia="Arial" w:hAnsi="Arial"/>
                <w:sz w:val="14"/>
                <w:szCs w:val="14"/>
                <w:color w:val="auto"/>
              </w:rPr>
              <w:t xml:space="preserve">Solid Tumors </w:t>
            </w:r>
            <w:r>
              <w:rPr>
                <w:rFonts w:ascii="Arial" w:cs="Arial" w:eastAsia="Arial" w:hAnsi="Arial"/>
                <w:sz w:val="14"/>
                <w:szCs w:val="14"/>
                <w:i w:val="1"/>
                <w:iCs w:val="1"/>
                <w:color w:val="auto"/>
              </w:rPr>
              <w:t>(TLR7)</w:t>
            </w: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Binding</w:t>
            </w:r>
          </w:p>
        </w:tc>
        <w:tc>
          <w:tcPr>
            <w:tcW w:w="1680" w:type="dxa"/>
            <w:vAlign w:val="bottom"/>
            <w:gridSpan w:val="2"/>
            <w:vMerge w:val="continue"/>
          </w:tcPr>
          <w:p>
            <w:pPr>
              <w:spacing w:after="0"/>
              <w:rPr>
                <w:sz w:val="10"/>
                <w:szCs w:val="10"/>
                <w:color w:val="auto"/>
              </w:rPr>
            </w:pPr>
          </w:p>
        </w:tc>
        <w:tc>
          <w:tcPr>
            <w:tcW w:w="274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Other</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119"/>
        </w:trPr>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Drug</w:t>
            </w: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b w:val="1"/>
                <w:bCs w:val="1"/>
                <w:color w:val="auto"/>
              </w:rPr>
              <w:t>Platform</w:t>
            </w:r>
          </w:p>
        </w:tc>
        <w:tc>
          <w:tcPr>
            <w:tcW w:w="10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Product Candidate</w:t>
            </w:r>
          </w:p>
        </w:tc>
        <w:tc>
          <w:tcPr>
            <w:tcW w:w="100" w:type="dxa"/>
            <w:vAlign w:val="bottom"/>
            <w:tcBorders>
              <w:top w:val="single" w:sz="8" w:color="auto"/>
            </w:tcBorders>
          </w:tcPr>
          <w:p>
            <w:pPr>
              <w:spacing w:after="0"/>
              <w:rPr>
                <w:sz w:val="10"/>
                <w:szCs w:val="10"/>
                <w:color w:val="auto"/>
              </w:rPr>
            </w:pPr>
          </w:p>
        </w:tc>
        <w:tc>
          <w:tcPr>
            <w:tcW w:w="2560" w:type="dxa"/>
            <w:vAlign w:val="bottom"/>
            <w:tcBorders>
              <w:top w:val="single" w:sz="8" w:color="auto"/>
            </w:tcBorders>
            <w:vMerge w:val="restart"/>
          </w:tcPr>
          <w:p>
            <w:pPr>
              <w:ind w:left="680"/>
              <w:spacing w:after="0"/>
              <w:rPr>
                <w:sz w:val="20"/>
                <w:szCs w:val="20"/>
                <w:color w:val="auto"/>
              </w:rPr>
            </w:pPr>
            <w:r>
              <w:rPr>
                <w:rFonts w:ascii="Arial" w:cs="Arial" w:eastAsia="Arial" w:hAnsi="Arial"/>
                <w:sz w:val="14"/>
                <w:szCs w:val="14"/>
                <w:b w:val="1"/>
                <w:bCs w:val="1"/>
                <w:color w:val="auto"/>
              </w:rPr>
              <w:t xml:space="preserve">Indication </w:t>
            </w:r>
            <w:r>
              <w:rPr>
                <w:rFonts w:ascii="Arial" w:cs="Arial" w:eastAsia="Arial" w:hAnsi="Arial"/>
                <w:sz w:val="14"/>
                <w:szCs w:val="14"/>
                <w:i w:val="1"/>
                <w:iCs w:val="1"/>
                <w:color w:val="auto"/>
              </w:rPr>
              <w:t>(Targets)</w:t>
            </w:r>
          </w:p>
        </w:tc>
        <w:tc>
          <w:tcPr>
            <w:tcW w:w="80" w:type="dxa"/>
            <w:vAlign w:val="bottom"/>
            <w:tcBorders>
              <w:top w:val="single" w:sz="8" w:color="auto"/>
            </w:tcBorders>
            <w:vMerge w:val="restart"/>
          </w:tcPr>
          <w:p>
            <w:pPr>
              <w:spacing w:after="0"/>
              <w:rPr>
                <w:sz w:val="10"/>
                <w:szCs w:val="10"/>
                <w:color w:val="auto"/>
              </w:rPr>
            </w:pPr>
          </w:p>
        </w:tc>
        <w:tc>
          <w:tcPr>
            <w:tcW w:w="2700" w:type="dxa"/>
            <w:vAlign w:val="bottom"/>
            <w:tcBorders>
              <w:top w:val="single" w:sz="8" w:color="auto"/>
            </w:tcBorders>
            <w:gridSpan w:val="8"/>
            <w:vMerge w:val="restart"/>
          </w:tcPr>
          <w:p>
            <w:pPr>
              <w:ind w:left="60"/>
              <w:spacing w:after="0"/>
              <w:rPr>
                <w:sz w:val="20"/>
                <w:szCs w:val="20"/>
                <w:color w:val="auto"/>
              </w:rPr>
            </w:pPr>
            <w:r>
              <w:rPr>
                <w:rFonts w:ascii="Arial" w:cs="Arial" w:eastAsia="Arial" w:hAnsi="Arial"/>
                <w:sz w:val="14"/>
                <w:szCs w:val="14"/>
                <w:b w:val="1"/>
                <w:bCs w:val="1"/>
                <w:color w:val="auto"/>
              </w:rPr>
              <w:t>Preclinical  Phase 1  Phase 2  Phase 3</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Rights/</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700" w:type="dxa"/>
            <w:vAlign w:val="bottom"/>
            <w:gridSpan w:val="8"/>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Collaborator</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rPr>
              <w:t>Infectious Disease</w:t>
            </w: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BNT161</w:t>
            </w:r>
          </w:p>
        </w:tc>
        <w:tc>
          <w:tcPr>
            <w:tcW w:w="2740" w:type="dxa"/>
            <w:vAlign w:val="bottom"/>
            <w:gridSpan w:val="3"/>
          </w:tcPr>
          <w:p>
            <w:pPr>
              <w:ind w:left="100"/>
              <w:spacing w:after="0"/>
              <w:rPr>
                <w:sz w:val="20"/>
                <w:szCs w:val="20"/>
                <w:color w:val="auto"/>
              </w:rPr>
            </w:pPr>
            <w:r>
              <w:rPr>
                <w:rFonts w:ascii="Arial" w:cs="Arial" w:eastAsia="Arial" w:hAnsi="Arial"/>
                <w:sz w:val="14"/>
                <w:szCs w:val="14"/>
                <w:color w:val="auto"/>
              </w:rPr>
              <w:t>Influenza</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Pfizer</w:t>
            </w: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Immunotherapies</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740" w:type="dxa"/>
            <w:vAlign w:val="bottom"/>
            <w:gridSpan w:val="3"/>
            <w:vMerge w:val="restart"/>
          </w:tcPr>
          <w:p>
            <w:pPr>
              <w:ind w:left="100"/>
              <w:spacing w:after="0"/>
              <w:rPr>
                <w:sz w:val="20"/>
                <w:szCs w:val="20"/>
                <w:color w:val="auto"/>
              </w:rPr>
            </w:pPr>
            <w:r>
              <w:rPr>
                <w:rFonts w:ascii="Arial" w:cs="Arial" w:eastAsia="Arial" w:hAnsi="Arial"/>
                <w:sz w:val="14"/>
                <w:szCs w:val="14"/>
                <w:color w:val="auto"/>
              </w:rPr>
              <w:t>Up to 10 Indications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Penn</w:t>
            </w:r>
            <w:r>
              <w:rPr>
                <w:rFonts w:ascii="Arial" w:cs="Arial" w:eastAsia="Arial" w:hAnsi="Arial"/>
                <w:sz w:val="12"/>
                <w:szCs w:val="12"/>
                <w:b w:val="1"/>
                <w:bCs w:val="1"/>
                <w:color w:val="auto"/>
                <w:w w:val="92"/>
              </w:rPr>
              <w:t>4</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74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5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56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7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5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rPr>
              <w:t>To be selected</w:t>
            </w:r>
          </w:p>
        </w:tc>
        <w:tc>
          <w:tcPr>
            <w:tcW w:w="2740" w:type="dxa"/>
            <w:vAlign w:val="bottom"/>
            <w:gridSpan w:val="3"/>
            <w:vMerge w:val="restart"/>
          </w:tcPr>
          <w:p>
            <w:pPr>
              <w:ind w:left="100"/>
              <w:spacing w:after="0"/>
              <w:rPr>
                <w:sz w:val="20"/>
                <w:szCs w:val="20"/>
                <w:color w:val="auto"/>
              </w:rPr>
            </w:pPr>
            <w:r>
              <w:rPr>
                <w:rFonts w:ascii="Arial" w:cs="Arial" w:eastAsia="Arial" w:hAnsi="Arial"/>
                <w:sz w:val="14"/>
                <w:szCs w:val="14"/>
                <w:color w:val="auto"/>
              </w:rPr>
              <w:t>5 Rare Disease Indications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Genevant</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8"/>
                <w:szCs w:val="8"/>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Rare Disease PRT</w:t>
            </w:r>
            <w:r>
              <w:rPr>
                <w:rFonts w:ascii="Arial" w:cs="Arial" w:eastAsia="Arial" w:hAnsi="Arial"/>
                <w:sz w:val="12"/>
                <w:szCs w:val="12"/>
                <w:b w:val="1"/>
                <w:bCs w:val="1"/>
                <w:color w:val="auto"/>
              </w:rPr>
              <w:t>5</w:t>
            </w: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7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(Global 50:50</w:t>
            </w: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profit/loss share)</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0" w:hanging="102"/>
        <w:spacing w:after="0"/>
        <w:tabs>
          <w:tab w:leader="none" w:pos="400" w:val="left"/>
        </w:tabs>
        <w:numPr>
          <w:ilvl w:val="0"/>
          <w:numId w:val="7"/>
        </w:numPr>
        <w:rPr>
          <w:rFonts w:ascii="Arial" w:cs="Arial" w:eastAsia="Arial" w:hAnsi="Arial"/>
          <w:sz w:val="12"/>
          <w:szCs w:val="12"/>
          <w:color w:val="auto"/>
        </w:rPr>
      </w:pPr>
      <w:r>
        <w:rPr>
          <w:rFonts w:ascii="Arial" w:cs="Arial" w:eastAsia="Arial" w:hAnsi="Arial"/>
          <w:sz w:val="14"/>
          <w:szCs w:val="14"/>
          <w:color w:val="auto"/>
        </w:rPr>
        <w:t>BNT113 is currently being studied in an investigator-initiated Phase 1 trial</w:t>
      </w:r>
    </w:p>
    <w:p>
      <w:pPr>
        <w:ind w:left="30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Checkpoint Inhibitor</w:t>
      </w:r>
    </w:p>
    <w:p>
      <w:pPr>
        <w:ind w:left="30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3 </w:t>
      </w:r>
      <w:r>
        <w:rPr>
          <w:rFonts w:ascii="Arial" w:cs="Arial" w:eastAsia="Arial" w:hAnsi="Arial"/>
          <w:sz w:val="14"/>
          <w:szCs w:val="14"/>
          <w:color w:val="auto"/>
        </w:rPr>
        <w:t>Checkpoint</w:t>
      </w:r>
    </w:p>
    <w:p>
      <w:pPr>
        <w:ind w:left="30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4 </w:t>
      </w:r>
      <w:r>
        <w:rPr>
          <w:rFonts w:ascii="Arial" w:cs="Arial" w:eastAsia="Arial" w:hAnsi="Arial"/>
          <w:sz w:val="14"/>
          <w:szCs w:val="14"/>
          <w:color w:val="auto"/>
        </w:rPr>
        <w:t>We are eligible to receive worldwide licenses</w:t>
      </w:r>
    </w:p>
    <w:p>
      <w:pPr>
        <w:ind w:left="300"/>
        <w:spacing w:after="0"/>
        <w:rPr>
          <w:rFonts w:ascii="Arial" w:cs="Arial" w:eastAsia="Arial" w:hAnsi="Arial"/>
          <w:sz w:val="12"/>
          <w:szCs w:val="12"/>
          <w:color w:val="auto"/>
        </w:rPr>
      </w:pPr>
      <w:r>
        <w:rPr>
          <w:rFonts w:ascii="Arial" w:cs="Arial" w:eastAsia="Arial" w:hAnsi="Arial"/>
          <w:sz w:val="12"/>
          <w:szCs w:val="12"/>
          <w:color w:val="auto"/>
        </w:rPr>
        <w:t xml:space="preserve">5 </w:t>
      </w:r>
      <w:r>
        <w:rPr>
          <w:rFonts w:ascii="Arial" w:cs="Arial" w:eastAsia="Arial" w:hAnsi="Arial"/>
          <w:sz w:val="14"/>
          <w:szCs w:val="14"/>
          <w:color w:val="auto"/>
        </w:rPr>
        <w:t>Protein Replacement Therapy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We believe the breadth of our technology is greater than the sum of its parts as it positions us to combine modes of action in a coordinated way to treat cancer in a more efficacious manner than current existing therapies. We further believe that our patient-centric approach and our broad, potentially synergistic portfolio of drug platforms place us at the forefront of the paradigm shift toward individualized immunotherapies and allow us to potentially address a larger share of cancer patients,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We have established relationships with seven pharmaceutical collaborators, which comprise Genentech, Sanofi S.A., or Sanofi, Genmab A/S, or Genmab, Genevant Sciences, or Genevant, Eli Lilly and Company, or Eli Lilly, Bayer AG, or Bayer, and Pfizer Inc., or Pfizer, in order to advance our science and development capabilities and provide non-dilutive capital. In addition, we have established research collaborations with the University of Pennsylvania and Translational Oncology at the University Medical Center of the Johannes Gutenberg University Mainz (Translationale Onkologie an der Universitätsmedizin der Johannes Gutenberg Universität Mainz gemeinnützige GmbH), or TRON. We either wholly own or retain significant rights to all of our clinical stage programs, either in the form of a global share of profit and co-commercialization rights with our collaborators in certain markets or significant royalties and milestones.</w:t>
      </w:r>
    </w:p>
    <w:p>
      <w:pPr>
        <w:spacing w:after="0" w:line="177" w:lineRule="exact"/>
        <w:rPr>
          <w:sz w:val="20"/>
          <w:szCs w:val="20"/>
          <w:color w:val="auto"/>
        </w:rPr>
      </w:pPr>
    </w:p>
    <w:p>
      <w:pPr>
        <w:jc w:val="both"/>
        <w:ind w:left="300" w:right="60" w:firstLine="426"/>
        <w:spacing w:after="0" w:line="287" w:lineRule="auto"/>
        <w:rPr>
          <w:sz w:val="20"/>
          <w:szCs w:val="20"/>
          <w:color w:val="auto"/>
        </w:rPr>
      </w:pPr>
      <w:r>
        <w:rPr>
          <w:rFonts w:ascii="Arial" w:cs="Arial" w:eastAsia="Arial" w:hAnsi="Arial"/>
          <w:sz w:val="16"/>
          <w:szCs w:val="16"/>
          <w:color w:val="auto"/>
        </w:rPr>
        <w:t>Our ability to develop, control and optimize the manufacturing of our product candidates is a core strategic pillar and competitive advantage, especially for our individualized and mRNA product candidates. We operate three Good Manufacturing Practice, or GMP, certified manufacturing facilities in Germany, where we manufacture mRNA therapeutics and engineered cell therapies for our own pipeline and for external customers.</w:t>
      </w:r>
    </w:p>
    <w:p>
      <w:pPr>
        <w:spacing w:after="0" w:line="2" w:lineRule="exact"/>
        <w:rPr>
          <w:sz w:val="20"/>
          <w:szCs w:val="20"/>
          <w:color w:val="auto"/>
        </w:rPr>
      </w:pPr>
    </w:p>
    <w:p>
      <w:pPr>
        <w:jc w:val="both"/>
        <w:ind w:left="300" w:right="540"/>
        <w:spacing w:after="0" w:line="255" w:lineRule="auto"/>
        <w:rPr>
          <w:sz w:val="20"/>
          <w:szCs w:val="20"/>
          <w:color w:val="auto"/>
        </w:rPr>
      </w:pPr>
      <w:r>
        <w:rPr>
          <w:rFonts w:ascii="Arial" w:cs="Arial" w:eastAsia="Arial" w:hAnsi="Arial"/>
          <w:sz w:val="18"/>
          <w:szCs w:val="18"/>
          <w:color w:val="auto"/>
        </w:rPr>
        <w:t>We operate a fourth manufacturing facility in Germany where we manufacture custom peptides to support our extensive immunomonitoring activities, which are critical to our development programs. Additionally, we have collaborated with Siemens AG to develop efficient, semi-automated processes to produce our individualized mRNA immunotherapies on demand.</w:t>
      </w:r>
    </w:p>
    <w:p>
      <w:pPr>
        <w:spacing w:after="0" w:line="190" w:lineRule="exact"/>
        <w:rPr>
          <w:sz w:val="20"/>
          <w:szCs w:val="20"/>
          <w:color w:val="auto"/>
        </w:rPr>
      </w:pPr>
    </w:p>
    <w:p>
      <w:pPr>
        <w:ind w:left="300" w:right="140" w:firstLine="426"/>
        <w:spacing w:after="0" w:line="275" w:lineRule="auto"/>
        <w:rPr>
          <w:sz w:val="20"/>
          <w:szCs w:val="20"/>
          <w:color w:val="auto"/>
        </w:rPr>
      </w:pPr>
      <w:r>
        <w:rPr>
          <w:rFonts w:ascii="Arial" w:cs="Arial" w:eastAsia="Arial" w:hAnsi="Arial"/>
          <w:sz w:val="17"/>
          <w:szCs w:val="17"/>
          <w:color w:val="auto"/>
        </w:rPr>
        <w:t>Our team is comprised of first-movers and entrepreneurs in the fields of immunology and oncology, with experience in pioneering cutting-edge technologies for new, forward-looking therapeutic applications in order to capture new opportunities. Our scientific founders each have over 25 years of experience characterizing the molecular signatures of cancer and discovering potent high-precision immunotherapies. They are translating this combined knowledge into the development of highly individualized treatments to target patients’ specific cancers and other diseases. Our co-founders, Chief Executive Officer Prof. Ugur Sahin, M.D., and Supervisory Board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56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6560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20"/>
        <w:spacing w:after="0" w:line="277" w:lineRule="auto"/>
        <w:rPr>
          <w:sz w:val="20"/>
          <w:szCs w:val="20"/>
          <w:color w:val="auto"/>
        </w:rPr>
      </w:pPr>
      <w:r>
        <w:rPr>
          <w:rFonts w:ascii="Arial" w:cs="Arial" w:eastAsia="Arial" w:hAnsi="Arial"/>
          <w:sz w:val="18"/>
          <w:szCs w:val="18"/>
          <w:color w:val="auto"/>
        </w:rPr>
        <w:t>member Prof. Christoph Huber, M.D., along with our Chief Medical Officer Özlem Türeci, M.D., have been published widely in the field of immunology and oncology and are recognized as thought leaders in their disciplines.</w:t>
      </w:r>
    </w:p>
    <w:p>
      <w:pPr>
        <w:spacing w:after="0" w:line="170"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We were founded in 2008, and to date we have raised $1.1 billion of capital in private placements of our shares and from our collaborators. Our investors currently include the Strüngmann Family Office, which is our majority shareholder, MIG Fonds, Salvia GmbH, Fidelity Management &amp; Research Company, Redmile Group, Janus Henderson Investors and the Invus Group, LLC.</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key strengths include:</w:t>
      </w:r>
    </w:p>
    <w:p>
      <w:pPr>
        <w:spacing w:after="0" w:line="131" w:lineRule="exact"/>
        <w:rPr>
          <w:sz w:val="20"/>
          <w:szCs w:val="20"/>
          <w:color w:val="auto"/>
        </w:rPr>
      </w:pPr>
    </w:p>
    <w:p>
      <w:pPr>
        <w:ind w:left="1120" w:right="480" w:hanging="295"/>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next-generation immunotherapy powerhouse pioneering individualized immunotherapies to address the shortcomings of existing treatments for cancer and other indications with significant unmet need.</w:t>
      </w:r>
    </w:p>
    <w:p>
      <w:pPr>
        <w:spacing w:after="0" w:line="75" w:lineRule="exact"/>
        <w:rPr>
          <w:rFonts w:ascii="Arial" w:cs="Arial" w:eastAsia="Arial" w:hAnsi="Arial"/>
          <w:sz w:val="18"/>
          <w:szCs w:val="18"/>
          <w:color w:val="auto"/>
        </w:rPr>
      </w:pPr>
    </w:p>
    <w:p>
      <w:pPr>
        <w:ind w:left="1120" w:hanging="295"/>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developing product candidates addressing highly specific immuno-oncology targets, employing a technology-agnostic approach.</w:t>
      </w:r>
    </w:p>
    <w:p>
      <w:pPr>
        <w:spacing w:after="0" w:line="153" w:lineRule="exact"/>
        <w:rPr>
          <w:rFonts w:ascii="Arial" w:cs="Arial" w:eastAsia="Arial" w:hAnsi="Arial"/>
          <w:sz w:val="16"/>
          <w:szCs w:val="16"/>
          <w:color w:val="auto"/>
        </w:rPr>
      </w:pPr>
    </w:p>
    <w:p>
      <w:pPr>
        <w:ind w:left="1120" w:right="260" w:hanging="295"/>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tested our lead mRNA product candidates in over 250 patients and have already demonstrated signs of single-agent clinical efficacy in our two lead programs.</w:t>
      </w:r>
    </w:p>
    <w:p>
      <w:pPr>
        <w:spacing w:after="0" w:line="75" w:lineRule="exact"/>
        <w:rPr>
          <w:rFonts w:ascii="Arial" w:cs="Arial" w:eastAsia="Arial" w:hAnsi="Arial"/>
          <w:sz w:val="18"/>
          <w:szCs w:val="18"/>
          <w:color w:val="auto"/>
        </w:rPr>
      </w:pPr>
    </w:p>
    <w:p>
      <w:pPr>
        <w:ind w:left="1120" w:hanging="29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developed a very broad and advanced mRNA therapeutic portfolio for the treatment of cancer.</w:t>
      </w:r>
    </w:p>
    <w:p>
      <w:pPr>
        <w:spacing w:after="0" w:line="130" w:lineRule="exact"/>
        <w:rPr>
          <w:rFonts w:ascii="Arial" w:cs="Arial" w:eastAsia="Arial" w:hAnsi="Arial"/>
          <w:sz w:val="18"/>
          <w:szCs w:val="18"/>
          <w:color w:val="auto"/>
        </w:rPr>
      </w:pPr>
    </w:p>
    <w:p>
      <w:pPr>
        <w:ind w:left="1120" w:hanging="29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deep, diversified pipeline and expect data updates for up to five oncology programs by the end of 2020.</w:t>
      </w:r>
    </w:p>
    <w:p>
      <w:pPr>
        <w:spacing w:after="0" w:line="130" w:lineRule="exact"/>
        <w:rPr>
          <w:rFonts w:ascii="Arial" w:cs="Arial" w:eastAsia="Arial" w:hAnsi="Arial"/>
          <w:sz w:val="18"/>
          <w:szCs w:val="18"/>
          <w:color w:val="auto"/>
        </w:rPr>
      </w:pPr>
    </w:p>
    <w:p>
      <w:pPr>
        <w:ind w:left="1120" w:right="860" w:hanging="295"/>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formed multiple collaborations with leading pharmaceutical companies and have retained significant development, commercial and financial rights across our portfolio.</w:t>
      </w:r>
    </w:p>
    <w:p>
      <w:pPr>
        <w:spacing w:after="0" w:line="75" w:lineRule="exact"/>
        <w:rPr>
          <w:rFonts w:ascii="Arial" w:cs="Arial" w:eastAsia="Arial" w:hAnsi="Arial"/>
          <w:sz w:val="18"/>
          <w:szCs w:val="18"/>
          <w:color w:val="auto"/>
        </w:rPr>
      </w:pPr>
    </w:p>
    <w:p>
      <w:pPr>
        <w:ind w:left="1120" w:hanging="29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created a vertically integrated business with comprehensive in-house manufacturing capabilities.</w:t>
      </w:r>
    </w:p>
    <w:p>
      <w:pPr>
        <w:spacing w:after="0" w:line="130" w:lineRule="exact"/>
        <w:rPr>
          <w:rFonts w:ascii="Arial" w:cs="Arial" w:eastAsia="Arial" w:hAnsi="Arial"/>
          <w:sz w:val="18"/>
          <w:szCs w:val="18"/>
          <w:color w:val="auto"/>
        </w:rPr>
      </w:pPr>
    </w:p>
    <w:p>
      <w:pPr>
        <w:ind w:left="1120" w:right="160" w:hanging="295"/>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scientific DNA, which is the foundation of the BioNTech approach, has attracted a talented team from nearly 50 countries around the world.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 deliver our vision of truly individualized immunotherapies, we plan to:</w:t>
      </w:r>
    </w:p>
    <w:p>
      <w:pPr>
        <w:spacing w:after="0" w:line="131" w:lineRule="exact"/>
        <w:rPr>
          <w:sz w:val="20"/>
          <w:szCs w:val="20"/>
          <w:color w:val="auto"/>
        </w:rPr>
      </w:pPr>
    </w:p>
    <w:p>
      <w:pPr>
        <w:ind w:left="1120" w:right="580" w:hanging="295"/>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Rapidly advance our first-in-class product candidates derived from our FixVac and iNeST platforms toward market approvals in oncology, either on our own or with our collaborators.</w:t>
      </w:r>
    </w:p>
    <w:p>
      <w:pPr>
        <w:spacing w:after="0" w:line="75" w:lineRule="exact"/>
        <w:rPr>
          <w:rFonts w:ascii="Arial" w:cs="Arial" w:eastAsia="Arial" w:hAnsi="Arial"/>
          <w:sz w:val="18"/>
          <w:szCs w:val="18"/>
          <w:color w:val="auto"/>
        </w:rPr>
      </w:pPr>
    </w:p>
    <w:p>
      <w:pPr>
        <w:ind w:left="1120" w:right="220" w:hanging="295"/>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Progress additional product candidates through clinical development, leveraging our multiple drug classes and the synergies between them in order to expand our oncology pipeline.</w:t>
      </w:r>
    </w:p>
    <w:p>
      <w:pPr>
        <w:spacing w:after="0" w:line="75" w:lineRule="exact"/>
        <w:rPr>
          <w:rFonts w:ascii="Arial" w:cs="Arial" w:eastAsia="Arial" w:hAnsi="Arial"/>
          <w:sz w:val="18"/>
          <w:szCs w:val="18"/>
          <w:color w:val="auto"/>
        </w:rPr>
      </w:pPr>
    </w:p>
    <w:p>
      <w:pPr>
        <w:ind w:left="1120" w:right="360" w:hanging="295"/>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Maximize the potential and leverage the broad applicability of our mRNA drug class in additional therapeutic areas beyond cancer, including through selective collaborations.</w:t>
      </w:r>
    </w:p>
    <w:p>
      <w:pPr>
        <w:spacing w:after="0" w:line="75" w:lineRule="exact"/>
        <w:rPr>
          <w:rFonts w:ascii="Arial" w:cs="Arial" w:eastAsia="Arial" w:hAnsi="Arial"/>
          <w:sz w:val="18"/>
          <w:szCs w:val="18"/>
          <w:color w:val="auto"/>
        </w:rPr>
      </w:pPr>
    </w:p>
    <w:p>
      <w:pPr>
        <w:ind w:left="1120" w:right="560" w:hanging="295"/>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 our position as a leader in the highly automated, on-demand manufacture of individualized therapies with the goal of delivering our therapies globally.</w:t>
      </w:r>
    </w:p>
    <w:p>
      <w:pPr>
        <w:spacing w:after="0" w:line="75" w:lineRule="exact"/>
        <w:rPr>
          <w:rFonts w:ascii="Arial" w:cs="Arial" w:eastAsia="Arial" w:hAnsi="Arial"/>
          <w:sz w:val="18"/>
          <w:szCs w:val="18"/>
          <w:color w:val="auto"/>
        </w:rPr>
      </w:pPr>
    </w:p>
    <w:p>
      <w:pPr>
        <w:ind w:left="1120" w:hanging="29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 commercial organization to bring our portfolio of cancer immunotherapies to patients.</w:t>
      </w:r>
    </w:p>
    <w:p>
      <w:pPr>
        <w:spacing w:after="0" w:line="130" w:lineRule="exact"/>
        <w:rPr>
          <w:rFonts w:ascii="Arial" w:cs="Arial" w:eastAsia="Arial" w:hAnsi="Arial"/>
          <w:sz w:val="18"/>
          <w:szCs w:val="18"/>
          <w:color w:val="auto"/>
        </w:rPr>
      </w:pPr>
    </w:p>
    <w:p>
      <w:pPr>
        <w:ind w:left="1120" w:right="60" w:hanging="295"/>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current technology suite by continuing to develop existing and new drug classes and platforms, and selectively in-licensing technologies that are complementary to our existing pipeline.</w:t>
      </w:r>
    </w:p>
    <w:p>
      <w:pPr>
        <w:spacing w:after="0" w:line="75" w:lineRule="exact"/>
        <w:rPr>
          <w:rFonts w:ascii="Arial" w:cs="Arial" w:eastAsia="Arial" w:hAnsi="Arial"/>
          <w:sz w:val="18"/>
          <w:szCs w:val="18"/>
          <w:color w:val="auto"/>
        </w:rPr>
      </w:pPr>
    </w:p>
    <w:p>
      <w:pPr>
        <w:ind w:left="1120" w:hanging="29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our culture of scientific excellence to continue to drive future innovation.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64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6649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section of this prospectus titled “Risk Factors” immediately following this prospectus summary. These risks include, but are not limited to, the following:</w:t>
      </w:r>
    </w:p>
    <w:p>
      <w:pPr>
        <w:spacing w:after="0" w:line="89" w:lineRule="exact"/>
        <w:rPr>
          <w:sz w:val="20"/>
          <w:szCs w:val="20"/>
          <w:color w:val="auto"/>
        </w:rPr>
      </w:pPr>
    </w:p>
    <w:p>
      <w:pPr>
        <w:ind w:left="1120" w:hanging="295"/>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no pharmaceutical products approved for commercial sale.</w:t>
      </w:r>
    </w:p>
    <w:p>
      <w:pPr>
        <w:spacing w:after="0" w:line="130" w:lineRule="exact"/>
        <w:rPr>
          <w:rFonts w:ascii="Arial" w:cs="Arial" w:eastAsia="Arial" w:hAnsi="Arial"/>
          <w:sz w:val="18"/>
          <w:szCs w:val="18"/>
          <w:color w:val="auto"/>
        </w:rPr>
      </w:pPr>
    </w:p>
    <w:p>
      <w:pPr>
        <w:ind w:left="1120" w:right="500" w:hanging="295"/>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anticipate that we will continue to incur significant losses for the foreseeable future.</w:t>
      </w:r>
    </w:p>
    <w:p>
      <w:pPr>
        <w:spacing w:after="0" w:line="75" w:lineRule="exact"/>
        <w:rPr>
          <w:rFonts w:ascii="Arial" w:cs="Arial" w:eastAsia="Arial" w:hAnsi="Arial"/>
          <w:sz w:val="18"/>
          <w:szCs w:val="18"/>
          <w:color w:val="auto"/>
        </w:rPr>
      </w:pPr>
    </w:p>
    <w:p>
      <w:pPr>
        <w:ind w:left="1120" w:hanging="295"/>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w:t>
      </w:r>
    </w:p>
    <w:p>
      <w:pPr>
        <w:spacing w:after="0" w:line="130" w:lineRule="exact"/>
        <w:rPr>
          <w:rFonts w:ascii="Arial" w:cs="Arial" w:eastAsia="Arial" w:hAnsi="Arial"/>
          <w:sz w:val="18"/>
          <w:szCs w:val="18"/>
          <w:color w:val="auto"/>
        </w:rPr>
      </w:pPr>
    </w:p>
    <w:p>
      <w:pPr>
        <w:ind w:left="1120" w:right="240" w:hanging="295"/>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need to develop and expand our company, and we may encounter difficulties in managing this development and expansion, which could disrupt our operations.</w:t>
      </w:r>
    </w:p>
    <w:p>
      <w:pPr>
        <w:spacing w:after="0" w:line="75" w:lineRule="exact"/>
        <w:rPr>
          <w:rFonts w:ascii="Arial" w:cs="Arial" w:eastAsia="Arial" w:hAnsi="Arial"/>
          <w:sz w:val="18"/>
          <w:szCs w:val="18"/>
          <w:color w:val="auto"/>
        </w:rPr>
      </w:pPr>
    </w:p>
    <w:p>
      <w:pPr>
        <w:ind w:left="1120" w:hanging="295"/>
        <w:spacing w:after="0" w:line="263"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Pharmaceutical product development is inherently uncertain, and there is no guarantee that any of our product candidates will receive marketing approval. In particular, no mRNA immunotherapy has been approved, and none may ever be approved, in this new potential category of therapeutics.</w:t>
      </w:r>
    </w:p>
    <w:p>
      <w:pPr>
        <w:spacing w:after="0" w:line="89" w:lineRule="exact"/>
        <w:rPr>
          <w:rFonts w:ascii="Arial" w:cs="Arial" w:eastAsia="Arial" w:hAnsi="Arial"/>
          <w:sz w:val="18"/>
          <w:szCs w:val="18"/>
          <w:color w:val="auto"/>
        </w:rPr>
      </w:pPr>
    </w:p>
    <w:p>
      <w:pPr>
        <w:ind w:left="1120" w:right="60" w:hanging="295"/>
        <w:spacing w:after="0" w:line="263"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 candidates may not work as intended, may cause undesirable side effects or may have other properties that could delay or prevent their regulatory approval, limit the commercial profile of an approved label or result in significant negative consequences following marketing approval, if any.</w:t>
      </w:r>
    </w:p>
    <w:p>
      <w:pPr>
        <w:spacing w:after="0" w:line="89" w:lineRule="exact"/>
        <w:rPr>
          <w:rFonts w:ascii="Arial" w:cs="Arial" w:eastAsia="Arial" w:hAnsi="Arial"/>
          <w:sz w:val="18"/>
          <w:szCs w:val="18"/>
          <w:color w:val="auto"/>
        </w:rPr>
      </w:pPr>
    </w:p>
    <w:p>
      <w:pPr>
        <w:ind w:left="1120" w:hanging="295"/>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be unable to obtain regulatory approval for our product candidates under applicable international regulatory requirements.</w:t>
      </w:r>
    </w:p>
    <w:p>
      <w:pPr>
        <w:spacing w:after="0" w:line="153" w:lineRule="exact"/>
        <w:rPr>
          <w:rFonts w:ascii="Arial" w:cs="Arial" w:eastAsia="Arial" w:hAnsi="Arial"/>
          <w:sz w:val="16"/>
          <w:szCs w:val="16"/>
          <w:color w:val="auto"/>
        </w:rPr>
      </w:pPr>
    </w:p>
    <w:p>
      <w:pPr>
        <w:ind w:left="1120" w:right="80" w:hanging="295"/>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our failure to effectively compete would prevent us from achieving significant market penetration.</w:t>
      </w:r>
    </w:p>
    <w:p>
      <w:pPr>
        <w:spacing w:after="0" w:line="75" w:lineRule="exact"/>
        <w:rPr>
          <w:rFonts w:ascii="Arial" w:cs="Arial" w:eastAsia="Arial" w:hAnsi="Arial"/>
          <w:sz w:val="18"/>
          <w:szCs w:val="18"/>
          <w:color w:val="auto"/>
        </w:rPr>
      </w:pPr>
    </w:p>
    <w:p>
      <w:pPr>
        <w:ind w:left="1120" w:right="500" w:hanging="295"/>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we receive regulatory approval for our product candidates, the products may not gain market acceptance and we and our collaborators may not be able to effectively commercialize them.</w:t>
      </w:r>
    </w:p>
    <w:p>
      <w:pPr>
        <w:spacing w:after="0" w:line="75" w:lineRule="exact"/>
        <w:rPr>
          <w:rFonts w:ascii="Arial" w:cs="Arial" w:eastAsia="Arial" w:hAnsi="Arial"/>
          <w:sz w:val="18"/>
          <w:szCs w:val="18"/>
          <w:color w:val="auto"/>
        </w:rPr>
      </w:pPr>
    </w:p>
    <w:p>
      <w:pPr>
        <w:ind w:left="1120" w:right="40" w:hanging="295"/>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not successful in developing and commercializing our product candidates, our ability to expand our business and achieve our strategic objectives will be impaired.</w:t>
      </w:r>
    </w:p>
    <w:p>
      <w:pPr>
        <w:spacing w:after="0" w:line="75" w:lineRule="exact"/>
        <w:rPr>
          <w:rFonts w:ascii="Arial" w:cs="Arial" w:eastAsia="Arial" w:hAnsi="Arial"/>
          <w:sz w:val="18"/>
          <w:szCs w:val="18"/>
          <w:color w:val="auto"/>
        </w:rPr>
      </w:pPr>
    </w:p>
    <w:p>
      <w:pPr>
        <w:ind w:left="1120" w:right="40" w:hanging="295"/>
        <w:spacing w:after="0" w:line="286"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dependent on our collaborators for advancing the development and commercialization of certain of our product candidates. These collaborations may not be successful, which could significantly limit the likelihood of receiving the potential economic benefits of such collaborations and adversely affect our ability to develop and commercialize our product candidates.</w:t>
      </w:r>
    </w:p>
    <w:p>
      <w:pPr>
        <w:spacing w:after="0" w:line="70" w:lineRule="exact"/>
        <w:rPr>
          <w:rFonts w:ascii="Arial" w:cs="Arial" w:eastAsia="Arial" w:hAnsi="Arial"/>
          <w:sz w:val="17"/>
          <w:szCs w:val="17"/>
          <w:color w:val="auto"/>
        </w:rPr>
      </w:pPr>
    </w:p>
    <w:p>
      <w:pPr>
        <w:ind w:left="1120" w:right="540" w:hanging="295"/>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entered into several arrangements with a related party for the performance of nonclinical research programs, and these arrangements present potential conflicts of interest.</w:t>
      </w:r>
    </w:p>
    <w:p>
      <w:pPr>
        <w:spacing w:after="0" w:line="75" w:lineRule="exact"/>
        <w:rPr>
          <w:rFonts w:ascii="Arial" w:cs="Arial" w:eastAsia="Arial" w:hAnsi="Arial"/>
          <w:sz w:val="18"/>
          <w:szCs w:val="18"/>
          <w:color w:val="auto"/>
        </w:rPr>
      </w:pPr>
    </w:p>
    <w:p>
      <w:pPr>
        <w:ind w:left="1120" w:right="80" w:hanging="295"/>
        <w:spacing w:after="0" w:line="259"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92" w:lineRule="exact"/>
        <w:rPr>
          <w:rFonts w:ascii="Arial" w:cs="Arial" w:eastAsia="Arial" w:hAnsi="Arial"/>
          <w:sz w:val="18"/>
          <w:szCs w:val="18"/>
          <w:color w:val="auto"/>
        </w:rPr>
      </w:pPr>
    </w:p>
    <w:p>
      <w:pPr>
        <w:ind w:left="1120" w:hanging="295"/>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encounter difficulties in manufacturing, product release, shelf life, testing, storage, supply chain management or shipping.</w:t>
      </w:r>
    </w:p>
    <w:p>
      <w:pPr>
        <w:spacing w:after="0" w:line="153" w:lineRule="exact"/>
        <w:rPr>
          <w:rFonts w:ascii="Arial" w:cs="Arial" w:eastAsia="Arial" w:hAnsi="Arial"/>
          <w:sz w:val="16"/>
          <w:szCs w:val="16"/>
          <w:color w:val="auto"/>
        </w:rPr>
      </w:pPr>
    </w:p>
    <w:p>
      <w:pPr>
        <w:ind w:left="1120" w:right="620" w:hanging="295"/>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of our product candidates are uniquely manufactured for each patient and we may encounter difficulties in production, particularly with respect to scaling our manufacturing capabilities.</w:t>
      </w:r>
    </w:p>
    <w:p>
      <w:pPr>
        <w:spacing w:after="0" w:line="75" w:lineRule="exact"/>
        <w:rPr>
          <w:rFonts w:ascii="Arial" w:cs="Arial" w:eastAsia="Arial" w:hAnsi="Arial"/>
          <w:sz w:val="18"/>
          <w:szCs w:val="18"/>
          <w:color w:val="auto"/>
        </w:rPr>
      </w:pPr>
    </w:p>
    <w:p>
      <w:pPr>
        <w:ind w:left="1120" w:right="680" w:hanging="295"/>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efforts to obtain, maintain, protect, defend and/or enforce the intellectual property related to our product candidates and technologies are not adequate, we may not be able to compete effectively in our market.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320" w:top="459" w:right="7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20" w:right="120" w:hanging="295"/>
        <w:spacing w:after="0" w:line="308" w:lineRule="auto"/>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be involved in lawsuits to protect or enforce our intellectual property or the intellectual property of our licensors, or to defend against third-party claims that we infringe, misappropriate or otherwise violate such third party’s intellectual property.</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were incorporated on June 2, 2008 as Petersberg 91, V V AG, a German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We changed our name to BioNTech AG on December 11, 2008. On March 8, 2019, we converted to a European stock corporation (</w:t>
      </w:r>
      <w:r>
        <w:rPr>
          <w:rFonts w:ascii="Arial" w:cs="Arial" w:eastAsia="Arial" w:hAnsi="Arial"/>
          <w:sz w:val="18"/>
          <w:szCs w:val="18"/>
          <w:i w:val="1"/>
          <w:iCs w:val="1"/>
          <w:color w:val="auto"/>
        </w:rPr>
        <w:t>Societas Europaea</w:t>
      </w:r>
      <w:r>
        <w:rPr>
          <w:rFonts w:ascii="Arial" w:cs="Arial" w:eastAsia="Arial" w:hAnsi="Arial"/>
          <w:sz w:val="18"/>
          <w:szCs w:val="18"/>
          <w:color w:val="auto"/>
        </w:rPr>
        <w:t>, or SE) under the laws of Germany and the European Union called BioNTech SE.</w:t>
      </w:r>
    </w:p>
    <w:p>
      <w:pPr>
        <w:spacing w:after="0" w:line="184" w:lineRule="exact"/>
        <w:rPr>
          <w:sz w:val="20"/>
          <w:szCs w:val="20"/>
          <w:color w:val="auto"/>
        </w:rPr>
      </w:pPr>
    </w:p>
    <w:p>
      <w:pPr>
        <w:jc w:val="both"/>
        <w:ind w:left="300" w:right="140" w:firstLine="426"/>
        <w:spacing w:after="0" w:line="286" w:lineRule="auto"/>
        <w:rPr>
          <w:sz w:val="20"/>
          <w:szCs w:val="20"/>
          <w:color w:val="auto"/>
        </w:rPr>
      </w:pPr>
      <w:r>
        <w:rPr>
          <w:rFonts w:ascii="Arial" w:cs="Arial" w:eastAsia="Arial" w:hAnsi="Arial"/>
          <w:sz w:val="17"/>
          <w:szCs w:val="17"/>
          <w:color w:val="auto"/>
        </w:rPr>
        <w:t>Our principal executive offices are located at An der Goldgrube 12, D-55131 Mainz, Germany. Our telephone number is +49 6131-9084-0. Our website address is http://www.biontech.de. The information contained on, or that can be accessed through, our website is not incorporated by reference into this prospectus. We have included our website address as an inactive textual reference only.</w:t>
      </w:r>
    </w:p>
    <w:p>
      <w:pPr>
        <w:spacing w:after="0" w:line="269" w:lineRule="exact"/>
        <w:rPr>
          <w:sz w:val="20"/>
          <w:szCs w:val="20"/>
          <w:color w:val="auto"/>
        </w:rPr>
      </w:pPr>
    </w:p>
    <w:p>
      <w:pPr>
        <w:ind w:left="300" w:right="4280"/>
        <w:spacing w:after="0" w:line="377" w:lineRule="auto"/>
        <w:rPr>
          <w:sz w:val="20"/>
          <w:szCs w:val="20"/>
          <w:color w:val="auto"/>
        </w:rPr>
      </w:pPr>
      <w:r>
        <w:rPr>
          <w:rFonts w:ascii="Arial" w:cs="Arial" w:eastAsia="Arial" w:hAnsi="Arial"/>
          <w:sz w:val="18"/>
          <w:szCs w:val="18"/>
          <w:b w:val="1"/>
          <w:bCs w:val="1"/>
          <w:color w:val="auto"/>
        </w:rPr>
        <w:t xml:space="preserve">Implications of Being an Emerging Growth Company and a Foreign Private Issuer </w:t>
      </w:r>
      <w:r>
        <w:rPr>
          <w:rFonts w:ascii="Arial" w:cs="Arial" w:eastAsia="Arial" w:hAnsi="Arial"/>
          <w:sz w:val="18"/>
          <w:szCs w:val="18"/>
          <w:b w:val="1"/>
          <w:bCs w:val="1"/>
          <w:i w:val="1"/>
          <w:iCs w:val="1"/>
          <w:color w:val="auto"/>
        </w:rPr>
        <w:t>Emerging Growth Company</w:t>
      </w:r>
    </w:p>
    <w:p>
      <w:pPr>
        <w:spacing w:after="0" w:line="2" w:lineRule="exact"/>
        <w:rPr>
          <w:sz w:val="20"/>
          <w:szCs w:val="20"/>
          <w:color w:val="auto"/>
        </w:rPr>
      </w:pPr>
    </w:p>
    <w:p>
      <w:pPr>
        <w:jc w:val="both"/>
        <w:ind w:left="300" w:right="340" w:firstLine="426"/>
        <w:spacing w:after="0" w:line="311" w:lineRule="auto"/>
        <w:rPr>
          <w:sz w:val="20"/>
          <w:szCs w:val="20"/>
          <w:color w:val="auto"/>
        </w:rPr>
      </w:pPr>
      <w:r>
        <w:rPr>
          <w:rFonts w:ascii="Arial" w:cs="Arial" w:eastAsia="Arial" w:hAnsi="Arial"/>
          <w:sz w:val="16"/>
          <w:szCs w:val="16"/>
          <w:color w:val="auto"/>
        </w:rPr>
        <w:t>As a company with less than $1.07 billion in revenue during our last fiscal year, we are an “emerging growth company” as defined in the Jumpstart Our Business Startups Act of 2012, or the JOBS Act. As such, we may take advantage of certain exemptions from various reporting requirements that are applicable to other publicly traded entities that are not emerging growth companies. These exemptions include:</w:t>
      </w:r>
    </w:p>
    <w:p>
      <w:pPr>
        <w:spacing w:after="0" w:line="54" w:lineRule="exact"/>
        <w:rPr>
          <w:sz w:val="20"/>
          <w:szCs w:val="20"/>
          <w:color w:val="auto"/>
        </w:rPr>
      </w:pPr>
    </w:p>
    <w:p>
      <w:pPr>
        <w:ind w:left="1120" w:right="580" w:hanging="295"/>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include only two years of audited financial statements and only two years of related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1120" w:right="120" w:hanging="295"/>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as amended;</w:t>
      </w:r>
    </w:p>
    <w:p>
      <w:pPr>
        <w:spacing w:after="0" w:line="75" w:lineRule="exact"/>
        <w:rPr>
          <w:rFonts w:ascii="Arial" w:cs="Arial" w:eastAsia="Arial" w:hAnsi="Arial"/>
          <w:sz w:val="18"/>
          <w:szCs w:val="18"/>
          <w:color w:val="auto"/>
        </w:rPr>
      </w:pPr>
    </w:p>
    <w:p>
      <w:pPr>
        <w:ind w:left="1120" w:right="20" w:hanging="295"/>
        <w:spacing w:after="0" w:line="263"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 to hold a non-binding advisory vote on executive compensation, including golden parachute compensation; and</w:t>
      </w:r>
    </w:p>
    <w:p>
      <w:pPr>
        <w:spacing w:after="0" w:line="89" w:lineRule="exact"/>
        <w:rPr>
          <w:rFonts w:ascii="Arial" w:cs="Arial" w:eastAsia="Arial" w:hAnsi="Arial"/>
          <w:sz w:val="18"/>
          <w:szCs w:val="18"/>
          <w:color w:val="auto"/>
        </w:rPr>
      </w:pPr>
    </w:p>
    <w:p>
      <w:pPr>
        <w:ind w:left="1120" w:right="300" w:hanging="295"/>
        <w:spacing w:after="0" w:line="308"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exemption from compliance with the requirement that the Public Company Accounting Oversight Board has adopted regarding a supplement to the auditor’s report providing additional information about the audit and the financial statements.</w:t>
      </w:r>
    </w:p>
    <w:p>
      <w:pPr>
        <w:spacing w:after="0" w:line="146"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As a result, the information contained in this prospectus may be different from the information you receive from other public companies in which you hold shares.</w:t>
      </w:r>
    </w:p>
    <w:p>
      <w:pPr>
        <w:spacing w:after="0" w:line="170"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IASB.</w:t>
      </w:r>
    </w:p>
    <w:p>
      <w:pPr>
        <w:spacing w:after="0" w:line="188"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We may take advantage of these provisions for up to five years or until such earlier time that we are no longer an emerging growth company. We would cease to be an emerging growth company upon the earliest 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10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47104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86" w:lineRule="auto"/>
        <w:rPr>
          <w:sz w:val="20"/>
          <w:szCs w:val="20"/>
          <w:color w:val="auto"/>
        </w:rPr>
      </w:pPr>
      <w:r>
        <w:rPr>
          <w:rFonts w:ascii="Arial" w:cs="Arial" w:eastAsia="Arial" w:hAnsi="Arial"/>
          <w:sz w:val="17"/>
          <w:szCs w:val="17"/>
          <w:color w:val="auto"/>
        </w:rPr>
        <w:t>occur of: (i) the last day of the first fiscal year in which our annual gross revenues exceed $1.07 billion, (ii) the date on which we have issued more than $1 billion in non-convertible debt securities during the previous three years and (iii) the last business day of our most recently completed second fiscal quarter as of which the market value of our common equity held by non-affiliates exceeds $700 million.</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117"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Upon the completion of this offering, we will report under the Securities Exchange Act of 1934, as amended, or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120" w:hanging="29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rules under the Exchange Act requiring domestic filers to issue financial statements prepared under U.S. GAAP;</w:t>
      </w:r>
    </w:p>
    <w:p>
      <w:pPr>
        <w:spacing w:after="0" w:line="130" w:lineRule="exact"/>
        <w:rPr>
          <w:rFonts w:ascii="Arial" w:cs="Arial" w:eastAsia="Arial" w:hAnsi="Arial"/>
          <w:sz w:val="18"/>
          <w:szCs w:val="18"/>
          <w:color w:val="auto"/>
        </w:rPr>
      </w:pPr>
    </w:p>
    <w:p>
      <w:pPr>
        <w:ind w:left="1120" w:right="360" w:hanging="295"/>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120" w:right="80" w:hanging="295"/>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120" w:hanging="295"/>
        <w:spacing w:after="0" w:line="263"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the SEC, of quarterly reports on Form 10-Q containing unaudited financial statements and other specified information, and current reports on Form 8-K upon the occurrence of specified significant events.</w:t>
      </w:r>
    </w:p>
    <w:p>
      <w:pPr>
        <w:spacing w:after="0" w:line="184" w:lineRule="exact"/>
        <w:rPr>
          <w:sz w:val="20"/>
          <w:szCs w:val="20"/>
          <w:color w:val="auto"/>
        </w:rPr>
      </w:pPr>
    </w:p>
    <w:p>
      <w:pPr>
        <w:ind w:left="300" w:right="40" w:firstLine="426"/>
        <w:spacing w:after="0" w:line="342" w:lineRule="auto"/>
        <w:rPr>
          <w:sz w:val="20"/>
          <w:szCs w:val="20"/>
          <w:color w:val="auto"/>
        </w:rPr>
      </w:pPr>
      <w:r>
        <w:rPr>
          <w:rFonts w:ascii="Arial" w:cs="Arial" w:eastAsia="Arial" w:hAnsi="Arial"/>
          <w:sz w:val="16"/>
          <w:szCs w:val="16"/>
          <w:color w:val="auto"/>
        </w:rPr>
        <w:t>Notwithstanding these exemptions, 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124" w:lineRule="exact"/>
        <w:rPr>
          <w:sz w:val="20"/>
          <w:szCs w:val="20"/>
          <w:color w:val="auto"/>
        </w:rPr>
      </w:pPr>
    </w:p>
    <w:p>
      <w:pPr>
        <w:ind w:left="300" w:right="400" w:firstLine="426"/>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71" w:lineRule="exact"/>
        <w:rPr>
          <w:sz w:val="20"/>
          <w:szCs w:val="20"/>
          <w:color w:val="auto"/>
        </w:rPr>
      </w:pPr>
    </w:p>
    <w:p>
      <w:pPr>
        <w:jc w:val="both"/>
        <w:ind w:left="300" w:right="40" w:firstLine="426"/>
        <w:spacing w:after="0" w:line="311" w:lineRule="auto"/>
        <w:rPr>
          <w:sz w:val="20"/>
          <w:szCs w:val="20"/>
          <w:color w:val="auto"/>
        </w:rPr>
      </w:pPr>
      <w:r>
        <w:rPr>
          <w:rFonts w:ascii="Arial" w:cs="Arial" w:eastAsia="Arial" w:hAnsi="Arial"/>
          <w:sz w:val="16"/>
          <w:szCs w:val="16"/>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96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ADSs, each representing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11" w:lineRule="exact"/>
        <w:rPr>
          <w:sz w:val="20"/>
          <w:szCs w:val="20"/>
          <w:color w:val="auto"/>
        </w:rPr>
      </w:pPr>
    </w:p>
    <w:p>
      <w:pPr>
        <w:sectPr>
          <w:pgSz w:w="11900" w:h="16838" w:orient="portrait"/>
          <w:cols w:equalWidth="0" w:num="3">
            <w:col w:w="4560" w:space="720"/>
            <w:col w:w="1780" w:space="640"/>
            <w:col w:w="3240"/>
          </w:cols>
          <w:pgMar w:left="320" w:top="459" w:right="639" w:bottom="1440" w:gutter="0" w:footer="0" w:header="0"/>
          <w:type w:val="continuous"/>
        </w:sectPr>
      </w:pPr>
    </w:p>
    <w:p>
      <w:pPr>
        <w:spacing w:after="0" w:line="89" w:lineRule="exact"/>
        <w:rPr>
          <w:sz w:val="20"/>
          <w:szCs w:val="20"/>
          <w:color w:val="auto"/>
        </w:rPr>
      </w:pPr>
    </w:p>
    <w:p>
      <w:pPr>
        <w:ind w:left="380" w:right="560" w:hanging="78"/>
        <w:spacing w:after="0" w:line="277" w:lineRule="auto"/>
        <w:rPr>
          <w:sz w:val="20"/>
          <w:szCs w:val="20"/>
          <w:color w:val="auto"/>
        </w:rPr>
      </w:pPr>
      <w:r>
        <w:rPr>
          <w:rFonts w:ascii="Arial" w:cs="Arial" w:eastAsia="Arial" w:hAnsi="Arial"/>
          <w:sz w:val="18"/>
          <w:szCs w:val="18"/>
          <w:color w:val="auto"/>
        </w:rPr>
        <w:t>ADSs to be outstanding immediately following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ADSs</w:t>
      </w:r>
    </w:p>
    <w:p>
      <w:pPr>
        <w:spacing w:after="0" w:line="493" w:lineRule="exact"/>
        <w:rPr>
          <w:sz w:val="20"/>
          <w:szCs w:val="20"/>
          <w:color w:val="auto"/>
        </w:rPr>
      </w:pPr>
    </w:p>
    <w:p>
      <w:pPr>
        <w:sectPr>
          <w:pgSz w:w="11900" w:h="16838" w:orient="portrait"/>
          <w:cols w:equalWidth="0" w:num="2">
            <w:col w:w="4560" w:space="720"/>
            <w:col w:w="5660"/>
          </w:cols>
          <w:pgMar w:left="320" w:top="459" w:right="639" w:bottom="1440" w:gutter="0" w:footer="0" w:header="0"/>
          <w:type w:val="continuous"/>
        </w:sectPr>
      </w:pPr>
    </w:p>
    <w:p>
      <w:pPr>
        <w:spacing w:after="0" w:line="11" w:lineRule="exact"/>
        <w:rPr>
          <w:sz w:val="20"/>
          <w:szCs w:val="20"/>
          <w:color w:val="auto"/>
        </w:rPr>
      </w:pPr>
    </w:p>
    <w:p>
      <w:pPr>
        <w:ind w:left="380" w:right="240" w:hanging="78"/>
        <w:spacing w:after="0" w:line="277" w:lineRule="auto"/>
        <w:rPr>
          <w:sz w:val="20"/>
          <w:szCs w:val="20"/>
          <w:color w:val="auto"/>
        </w:rPr>
      </w:pPr>
      <w:r>
        <w:rPr>
          <w:rFonts w:ascii="Arial" w:cs="Arial" w:eastAsia="Arial" w:hAnsi="Arial"/>
          <w:sz w:val="18"/>
          <w:szCs w:val="18"/>
          <w:color w:val="auto"/>
        </w:rPr>
        <w:t>Ordinary shares to be outstanding immediately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ordinary shares</w:t>
      </w:r>
    </w:p>
    <w:p>
      <w:pPr>
        <w:spacing w:after="0" w:line="505" w:lineRule="exact"/>
        <w:rPr>
          <w:sz w:val="20"/>
          <w:szCs w:val="20"/>
          <w:color w:val="auto"/>
        </w:rPr>
      </w:pPr>
    </w:p>
    <w:p>
      <w:pPr>
        <w:sectPr>
          <w:pgSz w:w="11900" w:h="16838" w:orient="portrait"/>
          <w:cols w:equalWidth="0" w:num="2">
            <w:col w:w="4560" w:space="720"/>
            <w:col w:w="5660"/>
          </w:cols>
          <w:pgMar w:left="320" w:top="459" w:right="6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 to purchase additional ADSs</w:t>
      </w:r>
    </w:p>
    <w:p>
      <w:pPr>
        <w:spacing w:after="0" w:line="20" w:lineRule="exact"/>
        <w:rPr>
          <w:sz w:val="20"/>
          <w:szCs w:val="20"/>
          <w:color w:val="auto"/>
        </w:rPr>
      </w:pPr>
      <w:r>
        <w:rPr>
          <w:sz w:val="20"/>
          <w:szCs w:val="20"/>
          <w:color w:val="auto"/>
        </w:rPr>
        <w:br w:type="column"/>
      </w:r>
    </w:p>
    <w:p>
      <w:pPr>
        <w:jc w:val="both"/>
        <w:ind w:right="60"/>
        <w:spacing w:after="0" w:line="342" w:lineRule="auto"/>
        <w:rPr>
          <w:sz w:val="20"/>
          <w:szCs w:val="20"/>
          <w:color w:val="auto"/>
        </w:rPr>
      </w:pPr>
      <w:r>
        <w:rPr>
          <w:rFonts w:ascii="Arial" w:cs="Arial" w:eastAsia="Arial" w:hAnsi="Arial"/>
          <w:sz w:val="16"/>
          <w:szCs w:val="16"/>
          <w:color w:val="auto"/>
        </w:rPr>
        <w:t>We have granted to the underwriters an option, exercisable for a period of 30 days after the date of this prospectus, to purchase an aggregate of up to an additional ADSs.</w:t>
      </w:r>
    </w:p>
    <w:p>
      <w:pPr>
        <w:spacing w:after="0" w:line="151"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American Depositary Shares</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7"/>
          <w:szCs w:val="17"/>
          <w:color w:val="auto"/>
        </w:rPr>
        <w:t>The underwriters will deliver our ordinary shares in the form of American Depositary Shares, or ADSs. Each ADS, which may be evidenced by an American Depositary Receipt, or ADR, represents of our ordinary shares, no par value per share.</w:t>
      </w:r>
    </w:p>
    <w:p>
      <w:pPr>
        <w:spacing w:after="0" w:line="192"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4340"/>
        <w:spacing w:after="0" w:line="271" w:lineRule="auto"/>
        <w:rPr>
          <w:sz w:val="20"/>
          <w:szCs w:val="20"/>
          <w:color w:val="auto"/>
        </w:rPr>
      </w:pPr>
      <w:r>
        <w:rPr>
          <w:rFonts w:ascii="Arial" w:cs="Arial" w:eastAsia="Arial" w:hAnsi="Arial"/>
          <w:sz w:val="17"/>
          <w:szCs w:val="17"/>
          <w:color w:val="auto"/>
        </w:rPr>
        <w:t>As an ADS holder, you will not be treated as one of our shareholders and you will not have shareholder rights. The depositary, The Bank of New York Mellon, will be the holder of the ordinary shares underlying the ADSs. You will have the rights of an ADS holder or beneficial owner (as applicable) as provided in the deposit agreement among us, the depositary and holders and beneficial owners of ADSs from time to time. To better understand the terms of the ADSs, see “Description of American Depositary Shares.” We also encourage you to read the deposit agreement, the form of which is filed as an exhibit to the registration statement of which this prospectus forms a part.</w:t>
      </w:r>
    </w:p>
    <w:p>
      <w:pPr>
        <w:sectPr>
          <w:pgSz w:w="11900" w:h="16838" w:orient="portrait"/>
          <w:cols w:equalWidth="0" w:num="1">
            <w:col w:w="10940"/>
          </w:cols>
          <w:pgMar w:left="320" w:top="459" w:right="639" w:bottom="1440" w:gutter="0" w:footer="0" w:header="0"/>
          <w:type w:val="continuous"/>
        </w:sectPr>
      </w:pPr>
    </w:p>
    <w:p>
      <w:pPr>
        <w:spacing w:after="0" w:line="2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Bank of New York Mellon</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to us from this offering will be approximately</w:t>
      </w:r>
    </w:p>
    <w:p>
      <w:pPr>
        <w:spacing w:after="0" w:line="23" w:lineRule="exact"/>
        <w:rPr>
          <w:sz w:val="20"/>
          <w:szCs w:val="20"/>
          <w:color w:val="auto"/>
        </w:rPr>
      </w:pPr>
    </w:p>
    <w:p>
      <w:pPr>
        <w:spacing w:after="0"/>
        <w:tabs>
          <w:tab w:leader="none" w:pos="420" w:val="left"/>
          <w:tab w:leader="none" w:pos="2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6"/>
          <w:szCs w:val="16"/>
          <w:color w:val="auto"/>
        </w:rPr>
        <w:t>million if the underwriters exercise in full their</w:t>
      </w:r>
    </w:p>
    <w:p>
      <w:pPr>
        <w:spacing w:after="0" w:line="9" w:lineRule="exact"/>
        <w:rPr>
          <w:sz w:val="20"/>
          <w:szCs w:val="20"/>
          <w:color w:val="auto"/>
        </w:rPr>
      </w:pPr>
    </w:p>
    <w:p>
      <w:pPr>
        <w:spacing w:after="0"/>
        <w:tabs>
          <w:tab w:leader="none" w:pos="2920" w:val="left"/>
        </w:tabs>
        <w:rPr>
          <w:sz w:val="20"/>
          <w:szCs w:val="20"/>
          <w:color w:val="auto"/>
        </w:rPr>
      </w:pPr>
      <w:r>
        <w:rPr>
          <w:rFonts w:ascii="Arial" w:cs="Arial" w:eastAsia="Arial" w:hAnsi="Arial"/>
          <w:sz w:val="18"/>
          <w:szCs w:val="18"/>
          <w:color w:val="auto"/>
        </w:rPr>
        <w:t>option to purchase an additional</w:t>
      </w:r>
      <w:r>
        <w:rPr>
          <w:sz w:val="20"/>
          <w:szCs w:val="20"/>
          <w:color w:val="auto"/>
        </w:rPr>
        <w:tab/>
      </w:r>
      <w:r>
        <w:rPr>
          <w:rFonts w:ascii="Arial" w:cs="Arial" w:eastAsia="Arial" w:hAnsi="Arial"/>
          <w:sz w:val="16"/>
          <w:szCs w:val="16"/>
          <w:color w:val="auto"/>
        </w:rPr>
        <w:t>ADSs), based on an assumed initial public</w:t>
      </w:r>
    </w:p>
    <w:p>
      <w:pPr>
        <w:spacing w:after="0" w:line="9"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6"/>
          <w:szCs w:val="16"/>
          <w:color w:val="auto"/>
        </w:rPr>
        <w:t>per ADS, which is the midpoint of the price range set forth on the</w:t>
      </w:r>
    </w:p>
    <w:p>
      <w:pPr>
        <w:spacing w:after="0" w:line="9"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jc w:val="both"/>
        <w:ind w:left="4340" w:right="40"/>
        <w:spacing w:after="0" w:line="255" w:lineRule="auto"/>
        <w:rPr>
          <w:sz w:val="20"/>
          <w:szCs w:val="20"/>
          <w:color w:val="auto"/>
        </w:rPr>
      </w:pPr>
      <w:r>
        <w:rPr>
          <w:rFonts w:ascii="Arial" w:cs="Arial" w:eastAsia="Arial" w:hAnsi="Arial"/>
          <w:sz w:val="18"/>
          <w:szCs w:val="18"/>
          <w:color w:val="auto"/>
        </w:rPr>
        <w:t>cover page of this prospectus, and after deducting underwriting discounts and commissions and estimated offering expenses payable by us. We intend to use the net proceeds from this offering as follows:</w:t>
      </w:r>
    </w:p>
    <w:p>
      <w:pPr>
        <w:spacing w:after="0" w:line="95" w:lineRule="exact"/>
        <w:rPr>
          <w:sz w:val="20"/>
          <w:szCs w:val="20"/>
          <w:color w:val="auto"/>
        </w:rPr>
      </w:pPr>
    </w:p>
    <w:p>
      <w:pPr>
        <w:ind w:left="4520" w:hanging="156"/>
        <w:spacing w:after="0" w:line="254" w:lineRule="auto"/>
        <w:rPr>
          <w:sz w:val="20"/>
          <w:szCs w:val="20"/>
          <w:color w:val="auto"/>
        </w:rPr>
      </w:pPr>
      <w:r>
        <w:rPr>
          <w:rFonts w:ascii="Arial" w:cs="Arial" w:eastAsia="Arial" w:hAnsi="Arial"/>
          <w:sz w:val="18"/>
          <w:szCs w:val="18"/>
          <w:color w:val="auto"/>
        </w:rPr>
        <w:t>• approximately $</w:t>
      </w:r>
      <w:r>
        <w:rPr>
          <w:sz w:val="20"/>
          <w:szCs w:val="20"/>
          <w:color w:val="auto"/>
        </w:rPr>
        <w:t xml:space="preserve"> </w:t>
      </w:r>
      <w:r>
        <w:rPr>
          <w:rFonts w:ascii="Arial" w:cs="Arial" w:eastAsia="Arial" w:hAnsi="Arial"/>
          <w:sz w:val="18"/>
          <w:szCs w:val="18"/>
          <w:color w:val="auto"/>
        </w:rPr>
        <w:t>million to advance our clinical programs, including (but not limited to) clinical trials for our FixVac product candidates BNT111, BNT113 and BNT114, as well as to fund our portion of the research and development expenses for each of the following: RO7198457 (BNT122), which is being developed in collaboration with Genentech, SAR441000 (BNT131), which is being developed in collaboration with Sanofi, and GEN1046 (BNT311), which is being developed in collaboration with Genmab;</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approximately $</w:t>
            </w:r>
          </w:p>
        </w:tc>
        <w:tc>
          <w:tcPr>
            <w:tcW w:w="4820" w:type="dxa"/>
            <w:vAlign w:val="bottom"/>
          </w:tcPr>
          <w:p>
            <w:pPr>
              <w:ind w:left="280"/>
              <w:spacing w:after="0"/>
              <w:rPr>
                <w:sz w:val="20"/>
                <w:szCs w:val="20"/>
                <w:color w:val="auto"/>
              </w:rPr>
            </w:pPr>
            <w:r>
              <w:rPr>
                <w:rFonts w:ascii="Arial" w:cs="Arial" w:eastAsia="Arial" w:hAnsi="Arial"/>
                <w:sz w:val="18"/>
                <w:szCs w:val="18"/>
                <w:color w:val="auto"/>
                <w:w w:val="96"/>
              </w:rPr>
              <w:t>to advance additional product candidates into clinical trials,</w:t>
            </w:r>
          </w:p>
        </w:tc>
      </w:tr>
      <w:tr>
        <w:trPr>
          <w:trHeight w:val="216"/>
        </w:trPr>
        <w:tc>
          <w:tcPr>
            <w:tcW w:w="3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40" w:type="dxa"/>
            <w:vAlign w:val="bottom"/>
            <w:gridSpan w:val="2"/>
          </w:tcPr>
          <w:p>
            <w:pPr>
              <w:ind w:left="40"/>
              <w:spacing w:after="0"/>
              <w:rPr>
                <w:sz w:val="20"/>
                <w:szCs w:val="20"/>
                <w:color w:val="auto"/>
              </w:rPr>
            </w:pPr>
            <w:r>
              <w:rPr>
                <w:rFonts w:ascii="Arial" w:cs="Arial" w:eastAsia="Arial" w:hAnsi="Arial"/>
                <w:sz w:val="18"/>
                <w:szCs w:val="18"/>
                <w:color w:val="auto"/>
                <w:w w:val="92"/>
              </w:rPr>
              <w:t>including for our CAR T, RiboMabs and RiboCytokines platforms in oncology, and for</w:t>
            </w:r>
          </w:p>
        </w:tc>
      </w:tr>
      <w:tr>
        <w:trPr>
          <w:trHeight w:val="230"/>
        </w:trPr>
        <w:tc>
          <w:tcPr>
            <w:tcW w:w="3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40" w:type="dxa"/>
            <w:vAlign w:val="bottom"/>
            <w:gridSpan w:val="2"/>
          </w:tcPr>
          <w:p>
            <w:pPr>
              <w:ind w:left="40"/>
              <w:spacing w:after="0"/>
              <w:rPr>
                <w:sz w:val="20"/>
                <w:szCs w:val="20"/>
                <w:color w:val="auto"/>
              </w:rPr>
            </w:pPr>
            <w:r>
              <w:rPr>
                <w:rFonts w:ascii="Arial" w:cs="Arial" w:eastAsia="Arial" w:hAnsi="Arial"/>
                <w:sz w:val="18"/>
                <w:szCs w:val="18"/>
                <w:color w:val="auto"/>
              </w:rPr>
              <w:t>our infectious disease and rare disease programs;</w:t>
            </w:r>
          </w:p>
        </w:tc>
      </w:tr>
      <w:tr>
        <w:trPr>
          <w:trHeight w:val="323"/>
        </w:trPr>
        <w:tc>
          <w:tcPr>
            <w:tcW w:w="372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approximately $</w:t>
            </w:r>
          </w:p>
        </w:tc>
        <w:tc>
          <w:tcPr>
            <w:tcW w:w="4820" w:type="dxa"/>
            <w:vAlign w:val="bottom"/>
          </w:tcPr>
          <w:p>
            <w:pPr>
              <w:ind w:left="280"/>
              <w:spacing w:after="0"/>
              <w:rPr>
                <w:sz w:val="20"/>
                <w:szCs w:val="20"/>
                <w:color w:val="auto"/>
              </w:rPr>
            </w:pPr>
            <w:r>
              <w:rPr>
                <w:rFonts w:ascii="Arial" w:cs="Arial" w:eastAsia="Arial" w:hAnsi="Arial"/>
                <w:sz w:val="18"/>
                <w:szCs w:val="18"/>
                <w:color w:val="auto"/>
                <w:w w:val="93"/>
              </w:rPr>
              <w:t>to advance additional preclinical product candidates, develop</w:t>
            </w:r>
          </w:p>
        </w:tc>
      </w:tr>
      <w:tr>
        <w:trPr>
          <w:trHeight w:val="216"/>
        </w:trPr>
        <w:tc>
          <w:tcPr>
            <w:tcW w:w="3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40" w:type="dxa"/>
            <w:vAlign w:val="bottom"/>
            <w:gridSpan w:val="2"/>
          </w:tcPr>
          <w:p>
            <w:pPr>
              <w:ind w:left="40"/>
              <w:spacing w:after="0"/>
              <w:rPr>
                <w:sz w:val="20"/>
                <w:szCs w:val="20"/>
                <w:color w:val="auto"/>
              </w:rPr>
            </w:pPr>
            <w:r>
              <w:rPr>
                <w:rFonts w:ascii="Arial" w:cs="Arial" w:eastAsia="Arial" w:hAnsi="Arial"/>
                <w:sz w:val="18"/>
                <w:szCs w:val="18"/>
                <w:color w:val="auto"/>
                <w:w w:val="90"/>
              </w:rPr>
              <w:t>additional product candidates leveraging our current therapeutic platforms and fund the</w:t>
            </w:r>
          </w:p>
        </w:tc>
      </w:tr>
      <w:tr>
        <w:trPr>
          <w:trHeight w:val="230"/>
        </w:trPr>
        <w:tc>
          <w:tcPr>
            <w:tcW w:w="3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40" w:type="dxa"/>
            <w:vAlign w:val="bottom"/>
            <w:gridSpan w:val="2"/>
          </w:tcPr>
          <w:p>
            <w:pPr>
              <w:ind w:left="40"/>
              <w:spacing w:after="0"/>
              <w:rPr>
                <w:sz w:val="20"/>
                <w:szCs w:val="20"/>
                <w:color w:val="auto"/>
              </w:rPr>
            </w:pPr>
            <w:r>
              <w:rPr>
                <w:rFonts w:ascii="Arial" w:cs="Arial" w:eastAsia="Arial" w:hAnsi="Arial"/>
                <w:sz w:val="18"/>
                <w:szCs w:val="18"/>
                <w:color w:val="auto"/>
              </w:rPr>
              <w:t>further development of our core technologies; and</w:t>
            </w:r>
          </w:p>
        </w:tc>
      </w:tr>
      <w:tr>
        <w:trPr>
          <w:trHeight w:val="323"/>
        </w:trPr>
        <w:tc>
          <w:tcPr>
            <w:tcW w:w="372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approximately $</w:t>
            </w:r>
          </w:p>
        </w:tc>
        <w:tc>
          <w:tcPr>
            <w:tcW w:w="4820" w:type="dxa"/>
            <w:vAlign w:val="bottom"/>
          </w:tcPr>
          <w:p>
            <w:pPr>
              <w:ind w:left="280"/>
              <w:spacing w:after="0"/>
              <w:rPr>
                <w:sz w:val="20"/>
                <w:szCs w:val="20"/>
                <w:color w:val="auto"/>
              </w:rPr>
            </w:pPr>
            <w:r>
              <w:rPr>
                <w:rFonts w:ascii="Arial" w:cs="Arial" w:eastAsia="Arial" w:hAnsi="Arial"/>
                <w:sz w:val="18"/>
                <w:szCs w:val="18"/>
                <w:color w:val="auto"/>
                <w:w w:val="92"/>
              </w:rPr>
              <w:t>million to fund the further expansion of our manufacturing and</w:t>
            </w:r>
          </w:p>
        </w:tc>
      </w:tr>
      <w:tr>
        <w:trPr>
          <w:trHeight w:val="230"/>
        </w:trPr>
        <w:tc>
          <w:tcPr>
            <w:tcW w:w="3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40" w:type="dxa"/>
            <w:vAlign w:val="bottom"/>
            <w:gridSpan w:val="2"/>
          </w:tcPr>
          <w:p>
            <w:pPr>
              <w:ind w:left="40"/>
              <w:spacing w:after="0"/>
              <w:rPr>
                <w:sz w:val="20"/>
                <w:szCs w:val="20"/>
                <w:color w:val="auto"/>
              </w:rPr>
            </w:pPr>
            <w:r>
              <w:rPr>
                <w:rFonts w:ascii="Arial" w:cs="Arial" w:eastAsia="Arial" w:hAnsi="Arial"/>
                <w:sz w:val="18"/>
                <w:szCs w:val="18"/>
                <w:color w:val="auto"/>
              </w:rPr>
              <w:t>laboratory capacity and the continued development of our infrastructure.</w:t>
            </w:r>
          </w:p>
        </w:tc>
      </w:tr>
      <w:tr>
        <w:trPr>
          <w:trHeight w:val="445"/>
        </w:trPr>
        <w:tc>
          <w:tcPr>
            <w:tcW w:w="3720" w:type="dxa"/>
            <w:vAlign w:val="bottom"/>
          </w:tcPr>
          <w:p>
            <w:pPr>
              <w:spacing w:after="0"/>
              <w:rPr>
                <w:sz w:val="24"/>
                <w:szCs w:val="24"/>
                <w:color w:val="auto"/>
              </w:rPr>
            </w:pPr>
          </w:p>
        </w:tc>
        <w:tc>
          <w:tcPr>
            <w:tcW w:w="6800" w:type="dxa"/>
            <w:vAlign w:val="bottom"/>
            <w:gridSpan w:val="3"/>
          </w:tcPr>
          <w:p>
            <w:pPr>
              <w:ind w:left="320"/>
              <w:spacing w:after="0"/>
              <w:rPr>
                <w:sz w:val="20"/>
                <w:szCs w:val="20"/>
                <w:color w:val="auto"/>
              </w:rPr>
            </w:pPr>
            <w:r>
              <w:rPr>
                <w:rFonts w:ascii="Arial" w:cs="Arial" w:eastAsia="Arial" w:hAnsi="Arial"/>
                <w:sz w:val="18"/>
                <w:szCs w:val="18"/>
                <w:color w:val="auto"/>
                <w:w w:val="95"/>
              </w:rPr>
              <w:t>We expect to use the remainder of any net proceeds from this offering, as well as our</w:t>
            </w:r>
          </w:p>
        </w:tc>
      </w:tr>
      <w:tr>
        <w:trPr>
          <w:trHeight w:val="216"/>
        </w:trPr>
        <w:tc>
          <w:tcPr>
            <w:tcW w:w="3720" w:type="dxa"/>
            <w:vAlign w:val="bottom"/>
          </w:tcPr>
          <w:p>
            <w:pPr>
              <w:spacing w:after="0"/>
              <w:rPr>
                <w:sz w:val="18"/>
                <w:szCs w:val="18"/>
                <w:color w:val="auto"/>
              </w:rPr>
            </w:pPr>
          </w:p>
        </w:tc>
        <w:tc>
          <w:tcPr>
            <w:tcW w:w="6800" w:type="dxa"/>
            <w:vAlign w:val="bottom"/>
            <w:gridSpan w:val="3"/>
          </w:tcPr>
          <w:p>
            <w:pPr>
              <w:ind w:left="320"/>
              <w:spacing w:after="0"/>
              <w:rPr>
                <w:sz w:val="20"/>
                <w:szCs w:val="20"/>
                <w:color w:val="auto"/>
              </w:rPr>
            </w:pPr>
            <w:r>
              <w:rPr>
                <w:rFonts w:ascii="Arial" w:cs="Arial" w:eastAsia="Arial" w:hAnsi="Arial"/>
                <w:sz w:val="18"/>
                <w:szCs w:val="18"/>
                <w:color w:val="auto"/>
                <w:w w:val="92"/>
              </w:rPr>
              <w:t>existing cash and cash equivalents, for general corporate purposes. We may also use a</w:t>
            </w:r>
          </w:p>
        </w:tc>
      </w:tr>
      <w:tr>
        <w:trPr>
          <w:trHeight w:val="216"/>
        </w:trPr>
        <w:tc>
          <w:tcPr>
            <w:tcW w:w="3720" w:type="dxa"/>
            <w:vAlign w:val="bottom"/>
          </w:tcPr>
          <w:p>
            <w:pPr>
              <w:spacing w:after="0"/>
              <w:rPr>
                <w:sz w:val="18"/>
                <w:szCs w:val="18"/>
                <w:color w:val="auto"/>
              </w:rPr>
            </w:pPr>
          </w:p>
        </w:tc>
        <w:tc>
          <w:tcPr>
            <w:tcW w:w="6800" w:type="dxa"/>
            <w:vAlign w:val="bottom"/>
            <w:gridSpan w:val="3"/>
          </w:tcPr>
          <w:p>
            <w:pPr>
              <w:ind w:left="320"/>
              <w:spacing w:after="0"/>
              <w:rPr>
                <w:sz w:val="20"/>
                <w:szCs w:val="20"/>
                <w:color w:val="auto"/>
              </w:rPr>
            </w:pPr>
            <w:r>
              <w:rPr>
                <w:rFonts w:ascii="Arial" w:cs="Arial" w:eastAsia="Arial" w:hAnsi="Arial"/>
                <w:sz w:val="18"/>
                <w:szCs w:val="18"/>
                <w:color w:val="auto"/>
              </w:rPr>
              <w:t>portion of the net proceeds to in-license or acquire or invest in complementary</w:t>
            </w:r>
          </w:p>
        </w:tc>
      </w:tr>
      <w:tr>
        <w:trPr>
          <w:trHeight w:val="216"/>
        </w:trPr>
        <w:tc>
          <w:tcPr>
            <w:tcW w:w="3720" w:type="dxa"/>
            <w:vAlign w:val="bottom"/>
          </w:tcPr>
          <w:p>
            <w:pPr>
              <w:spacing w:after="0"/>
              <w:rPr>
                <w:sz w:val="18"/>
                <w:szCs w:val="18"/>
                <w:color w:val="auto"/>
              </w:rPr>
            </w:pPr>
          </w:p>
        </w:tc>
        <w:tc>
          <w:tcPr>
            <w:tcW w:w="6800" w:type="dxa"/>
            <w:vAlign w:val="bottom"/>
            <w:gridSpan w:val="3"/>
          </w:tcPr>
          <w:p>
            <w:pPr>
              <w:ind w:left="320"/>
              <w:spacing w:after="0"/>
              <w:rPr>
                <w:sz w:val="20"/>
                <w:szCs w:val="20"/>
                <w:color w:val="auto"/>
              </w:rPr>
            </w:pPr>
            <w:r>
              <w:rPr>
                <w:rFonts w:ascii="Arial" w:cs="Arial" w:eastAsia="Arial" w:hAnsi="Arial"/>
                <w:sz w:val="18"/>
                <w:szCs w:val="18"/>
                <w:color w:val="auto"/>
                <w:w w:val="90"/>
              </w:rPr>
              <w:t>technologies, products, businesses or assets, either alone or together with a collaborator.</w:t>
            </w:r>
          </w:p>
        </w:tc>
      </w:tr>
      <w:tr>
        <w:trPr>
          <w:trHeight w:val="230"/>
        </w:trPr>
        <w:tc>
          <w:tcPr>
            <w:tcW w:w="3720" w:type="dxa"/>
            <w:vAlign w:val="bottom"/>
          </w:tcPr>
          <w:p>
            <w:pPr>
              <w:spacing w:after="0"/>
              <w:rPr>
                <w:sz w:val="20"/>
                <w:szCs w:val="20"/>
                <w:color w:val="auto"/>
              </w:rPr>
            </w:pPr>
          </w:p>
        </w:tc>
        <w:tc>
          <w:tcPr>
            <w:tcW w:w="6800" w:type="dxa"/>
            <w:vAlign w:val="bottom"/>
            <w:gridSpan w:val="3"/>
          </w:tcPr>
          <w:p>
            <w:pPr>
              <w:ind w:left="320"/>
              <w:spacing w:after="0"/>
              <w:rPr>
                <w:sz w:val="20"/>
                <w:szCs w:val="20"/>
                <w:color w:val="auto"/>
              </w:rPr>
            </w:pPr>
            <w:r>
              <w:rPr>
                <w:rFonts w:ascii="Arial" w:cs="Arial" w:eastAsia="Arial" w:hAnsi="Arial"/>
                <w:sz w:val="18"/>
                <w:szCs w:val="18"/>
                <w:color w:val="auto"/>
              </w:rPr>
              <w:t>However, we have no current plans, commitments or obligations to do so.</w:t>
            </w:r>
          </w:p>
        </w:tc>
      </w:tr>
      <w:tr>
        <w:trPr>
          <w:trHeight w:val="445"/>
        </w:trPr>
        <w:tc>
          <w:tcPr>
            <w:tcW w:w="3720" w:type="dxa"/>
            <w:vAlign w:val="bottom"/>
          </w:tcPr>
          <w:p>
            <w:pPr>
              <w:spacing w:after="0"/>
              <w:rPr>
                <w:sz w:val="24"/>
                <w:szCs w:val="24"/>
                <w:color w:val="auto"/>
              </w:rPr>
            </w:pPr>
          </w:p>
        </w:tc>
        <w:tc>
          <w:tcPr>
            <w:tcW w:w="6800" w:type="dxa"/>
            <w:vAlign w:val="bottom"/>
            <w:gridSpan w:val="3"/>
          </w:tcPr>
          <w:p>
            <w:pPr>
              <w:ind w:left="320"/>
              <w:spacing w:after="0"/>
              <w:rPr>
                <w:sz w:val="20"/>
                <w:szCs w:val="20"/>
                <w:color w:val="auto"/>
              </w:rPr>
            </w:pPr>
            <w:r>
              <w:rPr>
                <w:rFonts w:ascii="Arial" w:cs="Arial" w:eastAsia="Arial" w:hAnsi="Arial"/>
                <w:sz w:val="18"/>
                <w:szCs w:val="18"/>
                <w:color w:val="auto"/>
                <w:w w:val="92"/>
              </w:rPr>
              <w:t>See “Use of Proceeds” for a more complete description of the intended use of proceeds</w:t>
            </w:r>
          </w:p>
        </w:tc>
      </w:tr>
      <w:tr>
        <w:trPr>
          <w:trHeight w:val="230"/>
        </w:trPr>
        <w:tc>
          <w:tcPr>
            <w:tcW w:w="3720" w:type="dxa"/>
            <w:vAlign w:val="bottom"/>
          </w:tcPr>
          <w:p>
            <w:pPr>
              <w:spacing w:after="0"/>
              <w:rPr>
                <w:sz w:val="20"/>
                <w:szCs w:val="20"/>
                <w:color w:val="auto"/>
              </w:rPr>
            </w:pP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from this offering.</w:t>
            </w:r>
          </w:p>
        </w:tc>
        <w:tc>
          <w:tcPr>
            <w:tcW w:w="4820" w:type="dxa"/>
            <w:vAlign w:val="bottom"/>
          </w:tcPr>
          <w:p>
            <w:pPr>
              <w:spacing w:after="0"/>
              <w:rPr>
                <w:sz w:val="20"/>
                <w:szCs w:val="20"/>
                <w:color w:val="auto"/>
              </w:rPr>
            </w:pPr>
          </w:p>
        </w:tc>
      </w:tr>
      <w:tr>
        <w:trPr>
          <w:trHeight w:val="445"/>
        </w:trPr>
        <w:tc>
          <w:tcPr>
            <w:tcW w:w="3720" w:type="dxa"/>
            <w:vAlign w:val="bottom"/>
          </w:tcPr>
          <w:p>
            <w:pPr>
              <w:spacing w:after="0"/>
              <w:rPr>
                <w:sz w:val="20"/>
                <w:szCs w:val="20"/>
                <w:color w:val="auto"/>
              </w:rPr>
            </w:pPr>
            <w:r>
              <w:rPr>
                <w:rFonts w:ascii="Arial" w:cs="Arial" w:eastAsia="Arial" w:hAnsi="Arial"/>
                <w:sz w:val="18"/>
                <w:szCs w:val="18"/>
                <w:color w:val="auto"/>
              </w:rPr>
              <w:t>Risk factors</w:t>
            </w:r>
          </w:p>
        </w:tc>
        <w:tc>
          <w:tcPr>
            <w:tcW w:w="6800" w:type="dxa"/>
            <w:vAlign w:val="bottom"/>
            <w:gridSpan w:val="3"/>
          </w:tcPr>
          <w:p>
            <w:pPr>
              <w:ind w:left="320"/>
              <w:spacing w:after="0"/>
              <w:rPr>
                <w:sz w:val="20"/>
                <w:szCs w:val="20"/>
                <w:color w:val="auto"/>
              </w:rPr>
            </w:pPr>
            <w:r>
              <w:rPr>
                <w:rFonts w:ascii="Arial" w:cs="Arial" w:eastAsia="Arial" w:hAnsi="Arial"/>
                <w:sz w:val="18"/>
                <w:szCs w:val="18"/>
                <w:color w:val="auto"/>
                <w:w w:val="96"/>
              </w:rPr>
              <w:t>See “Risk Factors” beginning on page 13 and the other information contained in this</w:t>
            </w:r>
          </w:p>
        </w:tc>
      </w:tr>
      <w:tr>
        <w:trPr>
          <w:trHeight w:val="216"/>
        </w:trPr>
        <w:tc>
          <w:tcPr>
            <w:tcW w:w="3720" w:type="dxa"/>
            <w:vAlign w:val="bottom"/>
          </w:tcPr>
          <w:p>
            <w:pPr>
              <w:spacing w:after="0"/>
              <w:rPr>
                <w:sz w:val="18"/>
                <w:szCs w:val="18"/>
                <w:color w:val="auto"/>
              </w:rPr>
            </w:pPr>
          </w:p>
        </w:tc>
        <w:tc>
          <w:tcPr>
            <w:tcW w:w="6800" w:type="dxa"/>
            <w:vAlign w:val="bottom"/>
            <w:gridSpan w:val="3"/>
          </w:tcPr>
          <w:p>
            <w:pPr>
              <w:ind w:left="320"/>
              <w:spacing w:after="0"/>
              <w:rPr>
                <w:sz w:val="20"/>
                <w:szCs w:val="20"/>
                <w:color w:val="auto"/>
              </w:rPr>
            </w:pPr>
            <w:r>
              <w:rPr>
                <w:rFonts w:ascii="Arial" w:cs="Arial" w:eastAsia="Arial" w:hAnsi="Arial"/>
                <w:sz w:val="18"/>
                <w:szCs w:val="18"/>
                <w:color w:val="auto"/>
                <w:w w:val="90"/>
              </w:rPr>
              <w:t>prospectus for a discussion of factors you should consider before deciding to invest in the</w:t>
            </w:r>
          </w:p>
        </w:tc>
      </w:tr>
      <w:tr>
        <w:trPr>
          <w:trHeight w:val="230"/>
        </w:trPr>
        <w:tc>
          <w:tcPr>
            <w:tcW w:w="3720" w:type="dxa"/>
            <w:vAlign w:val="bottom"/>
          </w:tcPr>
          <w:p>
            <w:pPr>
              <w:spacing w:after="0"/>
              <w:rPr>
                <w:sz w:val="20"/>
                <w:szCs w:val="20"/>
                <w:color w:val="auto"/>
              </w:rPr>
            </w:pP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ADSs.</w:t>
            </w:r>
          </w:p>
        </w:tc>
        <w:tc>
          <w:tcPr>
            <w:tcW w:w="4820" w:type="dxa"/>
            <w:vAlign w:val="bottom"/>
          </w:tcPr>
          <w:p>
            <w:pPr>
              <w:spacing w:after="0"/>
              <w:rPr>
                <w:sz w:val="20"/>
                <w:szCs w:val="20"/>
                <w:color w:val="auto"/>
              </w:rPr>
            </w:pPr>
          </w:p>
        </w:tc>
      </w:tr>
      <w:tr>
        <w:trPr>
          <w:trHeight w:val="445"/>
        </w:trPr>
        <w:tc>
          <w:tcPr>
            <w:tcW w:w="3720" w:type="dxa"/>
            <w:vAlign w:val="bottom"/>
          </w:tcPr>
          <w:p>
            <w:pPr>
              <w:spacing w:after="0"/>
              <w:rPr>
                <w:sz w:val="20"/>
                <w:szCs w:val="20"/>
                <w:color w:val="auto"/>
              </w:rPr>
            </w:pPr>
            <w:r>
              <w:rPr>
                <w:rFonts w:ascii="Arial" w:cs="Arial" w:eastAsia="Arial" w:hAnsi="Arial"/>
                <w:sz w:val="18"/>
                <w:szCs w:val="18"/>
                <w:color w:val="auto"/>
                <w:w w:val="97"/>
              </w:rPr>
              <w:t>Proposed Nasdaq Global Select Market symbol</w:t>
            </w:r>
          </w:p>
        </w:tc>
        <w:tc>
          <w:tcPr>
            <w:tcW w:w="6800" w:type="dxa"/>
            <w:vAlign w:val="bottom"/>
            <w:gridSpan w:val="3"/>
          </w:tcPr>
          <w:p>
            <w:pPr>
              <w:ind w:left="320"/>
              <w:spacing w:after="0"/>
              <w:rPr>
                <w:sz w:val="20"/>
                <w:szCs w:val="20"/>
                <w:color w:val="auto"/>
              </w:rPr>
            </w:pPr>
            <w:r>
              <w:rPr>
                <w:rFonts w:ascii="Arial" w:cs="Arial" w:eastAsia="Arial" w:hAnsi="Arial"/>
                <w:sz w:val="18"/>
                <w:szCs w:val="18"/>
                <w:color w:val="auto"/>
                <w:w w:val="92"/>
              </w:rPr>
              <w:t>We have applied to list the ADSs on the Nasdaq Global Select Market under the symbol</w:t>
            </w:r>
          </w:p>
        </w:tc>
      </w:tr>
      <w:tr>
        <w:trPr>
          <w:trHeight w:val="230"/>
        </w:trPr>
        <w:tc>
          <w:tcPr>
            <w:tcW w:w="3720" w:type="dxa"/>
            <w:vAlign w:val="bottom"/>
          </w:tcPr>
          <w:p>
            <w:pPr>
              <w:spacing w:after="0"/>
              <w:rPr>
                <w:sz w:val="20"/>
                <w:szCs w:val="20"/>
                <w:color w:val="auto"/>
              </w:rPr>
            </w:pP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“BNTX.”</w:t>
            </w:r>
          </w:p>
        </w:tc>
        <w:tc>
          <w:tcPr>
            <w:tcW w:w="4820" w:type="dxa"/>
            <w:vAlign w:val="bottom"/>
          </w:tcPr>
          <w:p>
            <w:pPr>
              <w:spacing w:after="0"/>
              <w:rPr>
                <w:sz w:val="20"/>
                <w:szCs w:val="20"/>
                <w:color w:val="auto"/>
              </w:rPr>
            </w:pPr>
          </w:p>
        </w:tc>
      </w:tr>
    </w:tbl>
    <w:p>
      <w:pPr>
        <w:spacing w:after="0" w:line="202"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Unless otherwise indicated, the number of our ordinary shares to be outstanding after this offering is based on 10,738,632 ordinary shares outstanding as of December 31, 2018.</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number of ordinary shares to be outstanding after this offering excludes:</w:t>
      </w:r>
    </w:p>
    <w:p>
      <w:pPr>
        <w:spacing w:after="0" w:line="131" w:lineRule="exact"/>
        <w:rPr>
          <w:sz w:val="20"/>
          <w:szCs w:val="20"/>
          <w:color w:val="auto"/>
        </w:rPr>
      </w:pPr>
    </w:p>
    <w:p>
      <w:pPr>
        <w:ind w:left="1120" w:hanging="295"/>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658,109 ordinary shares issuable upon the exercise of options outstanding as of December 31, 2018; and</w:t>
      </w:r>
    </w:p>
    <w:p>
      <w:pPr>
        <w:spacing w:after="0" w:line="130" w:lineRule="exact"/>
        <w:rPr>
          <w:rFonts w:ascii="Arial" w:cs="Arial" w:eastAsia="Arial" w:hAnsi="Arial"/>
          <w:sz w:val="18"/>
          <w:szCs w:val="18"/>
          <w:color w:val="auto"/>
        </w:rPr>
      </w:pPr>
    </w:p>
    <w:p>
      <w:pPr>
        <w:ind w:left="1700" w:hanging="87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shares available for future issuance under our Employee Stock Ownership Plan.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all information contained in this prospectus:</w:t>
      </w:r>
    </w:p>
    <w:p>
      <w:pPr>
        <w:spacing w:after="0" w:line="131" w:lineRule="exact"/>
        <w:rPr>
          <w:sz w:val="20"/>
          <w:szCs w:val="20"/>
          <w:color w:val="auto"/>
        </w:rPr>
      </w:pPr>
    </w:p>
    <w:p>
      <w:pPr>
        <w:ind w:left="1120" w:hanging="295"/>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no exercise of the outstanding options described above;</w:t>
      </w:r>
    </w:p>
    <w:p>
      <w:pPr>
        <w:spacing w:after="0" w:line="130" w:lineRule="exact"/>
        <w:rPr>
          <w:rFonts w:ascii="Arial" w:cs="Arial" w:eastAsia="Arial" w:hAnsi="Arial"/>
          <w:sz w:val="18"/>
          <w:szCs w:val="18"/>
          <w:color w:val="auto"/>
        </w:rPr>
      </w:pPr>
    </w:p>
    <w:p>
      <w:pPr>
        <w:ind w:left="1120" w:right="160" w:hanging="295"/>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an initial public offering price of $ per ADS, which is the midpoint of the price range set forth on the cover page of this prospectus; and</w:t>
      </w:r>
    </w:p>
    <w:p>
      <w:pPr>
        <w:spacing w:after="0" w:line="76" w:lineRule="exact"/>
        <w:rPr>
          <w:sz w:val="20"/>
          <w:szCs w:val="20"/>
          <w:color w:val="auto"/>
        </w:rPr>
      </w:pPr>
    </w:p>
    <w:p>
      <w:pPr>
        <w:ind w:left="820"/>
        <w:spacing w:after="0"/>
        <w:tabs>
          <w:tab w:leader="none" w:pos="1100" w:val="left"/>
          <w:tab w:leader="none" w:pos="7380" w:val="left"/>
        </w:tabs>
        <w:rPr>
          <w:sz w:val="20"/>
          <w:szCs w:val="20"/>
          <w:color w:val="auto"/>
        </w:rPr>
      </w:pPr>
      <w:r>
        <w:rPr>
          <w:rFonts w:ascii="Arial" w:cs="Arial" w:eastAsia="Arial" w:hAnsi="Arial"/>
          <w:sz w:val="18"/>
          <w:szCs w:val="18"/>
          <w:color w:val="auto"/>
        </w:rPr>
        <w:t>•</w:t>
        <w:tab/>
        <w:t>assumes no exercise of the option granted to the underwriters to purchase up to</w:t>
      </w:r>
      <w:r>
        <w:rPr>
          <w:sz w:val="20"/>
          <w:szCs w:val="20"/>
          <w:color w:val="auto"/>
        </w:rPr>
        <w:tab/>
      </w:r>
      <w:r>
        <w:rPr>
          <w:rFonts w:ascii="Arial" w:cs="Arial" w:eastAsia="Arial" w:hAnsi="Arial"/>
          <w:sz w:val="16"/>
          <w:szCs w:val="16"/>
          <w:color w:val="auto"/>
        </w:rPr>
        <w:t>additional ADSs in this offering.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20"/>
          </w:cols>
          <w:pgMar w:left="320" w:top="459" w:right="7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tables set forth a summary of our historical consolidated financial data as of and for the years ended December 31, 2018 and</w:t>
      </w:r>
    </w:p>
    <w:p>
      <w:pPr>
        <w:spacing w:after="0" w:line="46" w:lineRule="exact"/>
        <w:rPr>
          <w:sz w:val="20"/>
          <w:szCs w:val="20"/>
          <w:color w:val="auto"/>
        </w:rPr>
      </w:pPr>
    </w:p>
    <w:p>
      <w:pPr>
        <w:ind w:left="300" w:right="760"/>
        <w:spacing w:after="0" w:line="260" w:lineRule="auto"/>
        <w:rPr>
          <w:sz w:val="20"/>
          <w:szCs w:val="20"/>
          <w:color w:val="auto"/>
        </w:rPr>
      </w:pPr>
      <w:r>
        <w:rPr>
          <w:rFonts w:ascii="Arial" w:cs="Arial" w:eastAsia="Arial" w:hAnsi="Arial"/>
          <w:sz w:val="18"/>
          <w:szCs w:val="18"/>
          <w:color w:val="auto"/>
        </w:rPr>
        <w:t>2017. We derived this summary from our audited consolidated financial statements included elsewhere in this prospectus. We present our consolidated financial statements in Euros and in accordance with IFRS as issued by the IASB.</w:t>
      </w:r>
    </w:p>
    <w:p>
      <w:pPr>
        <w:spacing w:after="0" w:line="185"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The summary consolidated financial data below should be read together with our consolidated financial statements and related notes included elsewhere in this prospectus, as well as the sections of this prospectus titled “Selected Consolidated Financial Data” and “Management’s Discussion and Analysis of Financial Condition and Results of Operations.” Our historical results for any prior period are not necessarily indicative of results to be expected in any future period.</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6"/>
          </w:tcPr>
          <w:p>
            <w:pPr>
              <w:jc w:val="right"/>
              <w:ind w:right="301"/>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Revenues from contracts with customers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127,575</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61,598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(13,690)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113,885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0"/>
              </w:rPr>
              <w:t>(143,040)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(3,041)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(26,334)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Other operating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(53,854)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(61,277)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Finance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lease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(1,721)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Share of loss of equity method investees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(47,662)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(85,905)</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(48,262)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(85,950)</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Loss attributable to equity holders of the parent</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(85,653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presents our summary consolidated statement of financial position as of December 31, 2018 (i) on an actual basis and (ii)</w:t>
      </w:r>
    </w:p>
    <w:p>
      <w:pPr>
        <w:spacing w:after="0" w:line="46" w:lineRule="exact"/>
        <w:rPr>
          <w:sz w:val="20"/>
          <w:szCs w:val="20"/>
          <w:color w:val="auto"/>
        </w:rPr>
      </w:pPr>
    </w:p>
    <w:p>
      <w:pPr>
        <w:ind w:left="300"/>
        <w:spacing w:after="0"/>
        <w:tabs>
          <w:tab w:leader="none" w:pos="4580" w:val="left"/>
          <w:tab w:leader="none" w:pos="6940" w:val="left"/>
        </w:tabs>
        <w:rPr>
          <w:sz w:val="20"/>
          <w:szCs w:val="20"/>
          <w:color w:val="auto"/>
        </w:rPr>
      </w:pPr>
      <w:r>
        <w:rPr>
          <w:rFonts w:ascii="Arial" w:cs="Arial" w:eastAsia="Arial" w:hAnsi="Arial"/>
          <w:sz w:val="18"/>
          <w:szCs w:val="18"/>
          <w:color w:val="auto"/>
        </w:rPr>
        <w:t>on an as adjusted basis to give effect to the sale of</w:t>
      </w:r>
      <w:r>
        <w:rPr>
          <w:sz w:val="20"/>
          <w:szCs w:val="20"/>
          <w:color w:val="auto"/>
        </w:rPr>
        <w:tab/>
      </w:r>
      <w:r>
        <w:rPr>
          <w:rFonts w:ascii="Arial" w:cs="Arial" w:eastAsia="Arial" w:hAnsi="Arial"/>
          <w:sz w:val="18"/>
          <w:szCs w:val="18"/>
          <w:color w:val="auto"/>
        </w:rPr>
        <w:t>ADSs representing</w:t>
      </w:r>
      <w:r>
        <w:rPr>
          <w:sz w:val="20"/>
          <w:szCs w:val="20"/>
          <w:color w:val="auto"/>
        </w:rPr>
        <w:tab/>
      </w:r>
      <w:r>
        <w:rPr>
          <w:rFonts w:ascii="Arial" w:cs="Arial" w:eastAsia="Arial" w:hAnsi="Arial"/>
          <w:sz w:val="16"/>
          <w:szCs w:val="16"/>
          <w:color w:val="auto"/>
        </w:rPr>
        <w:t>ordinary shares by us in the offering at the assumed</w:t>
      </w:r>
    </w:p>
    <w:p>
      <w:pPr>
        <w:spacing w:after="0" w:line="9" w:lineRule="exact"/>
        <w:rPr>
          <w:sz w:val="20"/>
          <w:szCs w:val="20"/>
          <w:color w:val="auto"/>
        </w:rPr>
      </w:pPr>
    </w:p>
    <w:p>
      <w:pPr>
        <w:ind w:left="300" w:right="380"/>
        <w:spacing w:after="0" w:line="260" w:lineRule="auto"/>
        <w:rPr>
          <w:sz w:val="20"/>
          <w:szCs w:val="20"/>
          <w:color w:val="auto"/>
        </w:rPr>
      </w:pPr>
      <w:r>
        <w:rPr>
          <w:rFonts w:ascii="Arial" w:cs="Arial" w:eastAsia="Arial" w:hAnsi="Arial"/>
          <w:sz w:val="18"/>
          <w:szCs w:val="18"/>
          <w:color w:val="auto"/>
        </w:rPr>
        <w:t>initial public offering price of $ per ADS, which is the midpoint of the price range set forth on the cover page of this prospectus, and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755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27559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40" w:type="dxa"/>
            <w:vAlign w:val="bottom"/>
            <w:gridSpan w:val="3"/>
          </w:tcPr>
          <w:p>
            <w:pPr>
              <w:ind w:left="30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120" w:type="dxa"/>
            <w:vAlign w:val="bottom"/>
            <w:tcBorders>
              <w:top w:val="single" w:sz="8" w:color="auto"/>
            </w:tcBorders>
            <w:vMerge w:val="restart"/>
          </w:tcPr>
          <w:p>
            <w:pPr>
              <w:jc w:val="right"/>
              <w:ind w:right="468"/>
              <w:spacing w:after="0"/>
              <w:rPr>
                <w:sz w:val="20"/>
                <w:szCs w:val="20"/>
                <w:color w:val="auto"/>
              </w:rPr>
            </w:pPr>
            <w:r>
              <w:rPr>
                <w:rFonts w:ascii="Arial" w:cs="Arial" w:eastAsia="Arial" w:hAnsi="Arial"/>
                <w:sz w:val="14"/>
                <w:szCs w:val="14"/>
                <w:b w:val="1"/>
                <w:bCs w:val="1"/>
                <w:color w:val="auto"/>
              </w:rPr>
              <w:t>Actual</w:t>
            </w:r>
          </w:p>
        </w:tc>
        <w:tc>
          <w:tcPr>
            <w:tcW w:w="980" w:type="dxa"/>
            <w:vAlign w:val="bottom"/>
            <w:tcBorders>
              <w:top w:val="single" w:sz="8" w:color="auto"/>
            </w:tcBorders>
          </w:tcPr>
          <w:p>
            <w:pPr>
              <w:jc w:val="center"/>
              <w:ind w:left="231"/>
              <w:spacing w:after="0" w:line="119" w:lineRule="exact"/>
              <w:rPr>
                <w:sz w:val="20"/>
                <w:szCs w:val="20"/>
                <w:color w:val="auto"/>
              </w:rPr>
            </w:pPr>
            <w:r>
              <w:rPr>
                <w:rFonts w:ascii="Arial" w:cs="Arial" w:eastAsia="Arial" w:hAnsi="Arial"/>
                <w:sz w:val="13"/>
                <w:szCs w:val="13"/>
                <w:b w:val="1"/>
                <w:bCs w:val="1"/>
                <w:color w:val="auto"/>
                <w:w w:val="96"/>
              </w:rPr>
              <w:t>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20" w:type="dxa"/>
            <w:vAlign w:val="bottom"/>
            <w:gridSpan w:val="2"/>
          </w:tcPr>
          <w:p>
            <w:pPr>
              <w:jc w:val="center"/>
              <w:ind w:left="191"/>
              <w:spacing w:after="0"/>
              <w:rPr>
                <w:sz w:val="20"/>
                <w:szCs w:val="20"/>
                <w:color w:val="auto"/>
              </w:rPr>
            </w:pPr>
            <w:r>
              <w:rPr>
                <w:rFonts w:ascii="Arial" w:cs="Arial" w:eastAsia="Arial" w:hAnsi="Arial"/>
                <w:sz w:val="14"/>
                <w:szCs w:val="14"/>
                <w:b w:val="1"/>
                <w:bCs w:val="1"/>
                <w:color w:val="auto"/>
                <w:w w:val="94"/>
              </w:rPr>
              <w:t>adjusted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42"/>
        </w:trPr>
        <w:tc>
          <w:tcPr>
            <w:tcW w:w="626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2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60" w:type="dxa"/>
            <w:vAlign w:val="bottom"/>
            <w:gridSpan w:val="2"/>
          </w:tcPr>
          <w:p>
            <w:pPr>
              <w:jc w:val="right"/>
              <w:ind w:right="308"/>
              <w:spacing w:after="0"/>
              <w:rPr>
                <w:sz w:val="20"/>
                <w:szCs w:val="20"/>
                <w:color w:val="auto"/>
              </w:rPr>
            </w:pPr>
            <w:r>
              <w:rPr>
                <w:rFonts w:ascii="Arial" w:cs="Arial" w:eastAsia="Arial" w:hAnsi="Arial"/>
                <w:sz w:val="18"/>
                <w:szCs w:val="18"/>
                <w:color w:val="auto"/>
              </w:rPr>
              <w:t>€ 411,495</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652,986</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Share capital</w:t>
            </w:r>
          </w:p>
        </w:tc>
        <w:tc>
          <w:tcPr>
            <w:tcW w:w="3360" w:type="dxa"/>
            <w:vAlign w:val="bottom"/>
            <w:gridSpan w:val="2"/>
          </w:tcPr>
          <w:p>
            <w:pPr>
              <w:jc w:val="right"/>
              <w:ind w:right="308"/>
              <w:spacing w:after="0"/>
              <w:rPr>
                <w:sz w:val="20"/>
                <w:szCs w:val="20"/>
                <w:color w:val="auto"/>
              </w:rPr>
            </w:pPr>
            <w:r>
              <w:rPr>
                <w:rFonts w:ascii="Arial" w:cs="Arial" w:eastAsia="Arial" w:hAnsi="Arial"/>
                <w:sz w:val="18"/>
                <w:szCs w:val="18"/>
                <w:color w:val="auto"/>
              </w:rPr>
              <w:t>10,739</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385,986</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Accumulated losses</w:t>
            </w:r>
          </w:p>
        </w:tc>
        <w:tc>
          <w:tcPr>
            <w:tcW w:w="3360" w:type="dxa"/>
            <w:vAlign w:val="bottom"/>
            <w:gridSpan w:val="2"/>
          </w:tcPr>
          <w:p>
            <w:pPr>
              <w:jc w:val="right"/>
              <w:ind w:right="248"/>
              <w:spacing w:after="0"/>
              <w:rPr>
                <w:sz w:val="20"/>
                <w:szCs w:val="20"/>
                <w:color w:val="auto"/>
              </w:rPr>
            </w:pPr>
            <w:r>
              <w:rPr>
                <w:rFonts w:ascii="Arial" w:cs="Arial" w:eastAsia="Arial" w:hAnsi="Arial"/>
                <w:sz w:val="18"/>
                <w:szCs w:val="18"/>
                <w:color w:val="auto"/>
              </w:rPr>
              <w:t>(245,771)</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267,000</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6260" w:type="dxa"/>
            <w:vAlign w:val="bottom"/>
          </w:tcPr>
          <w:p>
            <w:pPr>
              <w:spacing w:after="0"/>
              <w:rPr>
                <w:sz w:val="20"/>
                <w:szCs w:val="20"/>
                <w:color w:val="auto"/>
              </w:rPr>
            </w:pPr>
            <w:r>
              <w:rPr>
                <w:rFonts w:ascii="Arial" w:cs="Arial" w:eastAsia="Arial" w:hAnsi="Arial"/>
                <w:sz w:val="18"/>
                <w:szCs w:val="18"/>
                <w:color w:val="auto"/>
                <w:w w:val="95"/>
              </w:rPr>
              <w:t>(1)  Each $1.00 increase (decrease) in the assumed initial public offering price of $</w:t>
            </w:r>
          </w:p>
        </w:tc>
        <w:tc>
          <w:tcPr>
            <w:tcW w:w="4380" w:type="dxa"/>
            <w:vAlign w:val="bottom"/>
            <w:gridSpan w:val="4"/>
          </w:tcPr>
          <w:p>
            <w:pPr>
              <w:ind w:left="180"/>
              <w:spacing w:after="0"/>
              <w:rPr>
                <w:sz w:val="20"/>
                <w:szCs w:val="20"/>
                <w:color w:val="auto"/>
              </w:rPr>
            </w:pPr>
            <w:r>
              <w:rPr>
                <w:rFonts w:ascii="Arial" w:cs="Arial" w:eastAsia="Arial" w:hAnsi="Arial"/>
                <w:sz w:val="18"/>
                <w:szCs w:val="18"/>
                <w:color w:val="auto"/>
                <w:w w:val="99"/>
              </w:rPr>
              <w:t>per ADS, which is the midpoint of the price range set</w:t>
            </w:r>
          </w:p>
        </w:tc>
        <w:tc>
          <w:tcPr>
            <w:tcW w:w="0" w:type="dxa"/>
            <w:vAlign w:val="bottom"/>
          </w:tcPr>
          <w:p>
            <w:pPr>
              <w:spacing w:after="0"/>
              <w:rPr>
                <w:sz w:val="1"/>
                <w:szCs w:val="1"/>
                <w:color w:val="auto"/>
              </w:rPr>
            </w:pPr>
          </w:p>
        </w:tc>
      </w:tr>
    </w:tbl>
    <w:p>
      <w:pPr>
        <w:ind w:left="720"/>
        <w:spacing w:after="0"/>
        <w:rPr>
          <w:sz w:val="20"/>
          <w:szCs w:val="20"/>
          <w:color w:val="auto"/>
        </w:rPr>
      </w:pPr>
      <w:r>
        <w:rPr>
          <w:rFonts w:ascii="Arial" w:cs="Arial" w:eastAsia="Arial" w:hAnsi="Arial"/>
          <w:sz w:val="16"/>
          <w:szCs w:val="16"/>
          <w:color w:val="auto"/>
        </w:rPr>
        <w:t>forth on the cover page of this prospectus, would increase (decrease) each of cash and cash equivalents, total assets and total equity by</w:t>
      </w:r>
    </w:p>
    <w:p>
      <w:pPr>
        <w:spacing w:after="0" w:line="32" w:lineRule="exact"/>
        <w:rPr>
          <w:sz w:val="20"/>
          <w:szCs w:val="20"/>
          <w:color w:val="auto"/>
        </w:rPr>
      </w:pPr>
    </w:p>
    <w:p>
      <w:pPr>
        <w:jc w:val="both"/>
        <w:ind w:left="720" w:right="360" w:hanging="3"/>
        <w:spacing w:after="0" w:line="281" w:lineRule="auto"/>
        <w:tabs>
          <w:tab w:leader="none" w:pos="11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million, assuming the number of ADSs offered by us, as set forth on the cover page of this prospectus, remains the same, and after deducting underwriting discounts and commissions and estimated offering expenses payable by us. We may also increase or decrease the</w:t>
      </w:r>
    </w:p>
    <w:p>
      <w:pPr>
        <w:spacing w:after="0" w:line="1" w:lineRule="exact"/>
        <w:rPr>
          <w:sz w:val="20"/>
          <w:szCs w:val="20"/>
          <w:color w:val="auto"/>
        </w:rPr>
      </w:pPr>
    </w:p>
    <w:p>
      <w:pPr>
        <w:ind w:left="720" w:right="80"/>
        <w:spacing w:after="0" w:line="302" w:lineRule="auto"/>
        <w:rPr>
          <w:sz w:val="20"/>
          <w:szCs w:val="20"/>
          <w:color w:val="auto"/>
        </w:rPr>
      </w:pPr>
      <w:r>
        <w:rPr>
          <w:rFonts w:ascii="Arial" w:cs="Arial" w:eastAsia="Arial" w:hAnsi="Arial"/>
          <w:sz w:val="16"/>
          <w:szCs w:val="16"/>
          <w:color w:val="auto"/>
        </w:rPr>
        <w:t>number of ADSs we are offering. An increase (decrease) of in the number of ADSs offered by us would increase (decrease) each of cash and cash equivalents, total assets, share capital and total equity by approximately $ million, assuming no change in the assumed initial public offering price and after deducting underwriting discounts and commissions and estimated offering expenses payable by us.</w:t>
      </w:r>
    </w:p>
    <w:p>
      <w:pPr>
        <w:spacing w:after="0" w:line="200" w:lineRule="exact"/>
        <w:rPr>
          <w:sz w:val="20"/>
          <w:szCs w:val="20"/>
          <w:color w:val="auto"/>
        </w:rPr>
      </w:pPr>
    </w:p>
    <w:p>
      <w:pPr>
        <w:spacing w:after="0" w:line="3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b w:val="1"/>
          <w:bCs w:val="1"/>
          <w:i w:val="1"/>
          <w:iCs w:val="1"/>
          <w:color w:val="auto"/>
        </w:rPr>
        <w:t>We are a clinical-stage biopharmaceutical company with no pharmaceutical products approved for commercial sale. We have incurred significant losses since our inception and we anticipate that we will continue to incur significant losses for the foreseeable future, which makes it difficult to assess our future viability.</w:t>
      </w:r>
    </w:p>
    <w:p>
      <w:pPr>
        <w:spacing w:after="0" w:line="76"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We have incurred net losses in each year since our inception in 2008, including net losses of €48.3 million and €86.0 million for the years ended December 31, 2018 and 2017, respectively. As of December 31, 2018, we had an accumulated deficit of €245.8 million.</w:t>
      </w:r>
    </w:p>
    <w:p>
      <w:pPr>
        <w:spacing w:after="0" w:line="14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and the development of our platforms. To date, we have financed our operations primarily through the sale of equity securities and proceeds from collaborations and, to a lesser extent, through revenue from manufacturing operations and grants from governmental and private organizations. The amount of our future net losses will depend, in part, on the rate of our future expenditures and our ability to obtain funding through equity or debt financings, sales of assets, collaborations or grants. We have not commenced or completed pivotal clinical trials for our programs and it will be several years, if ever, before we or our collaborators have a product candidate ready for commercialization. Even if we obtain regulatory approval to market a product candidate, our future revenues will depend upon the size of any markets in which our product candidates have received approval, and our ability to achieve sufficient market acceptance, reimbursement from third-party payors, and adequate market share in those markets. We may never achieve profitability.</w:t>
      </w:r>
    </w:p>
    <w:p>
      <w:pPr>
        <w:spacing w:after="0" w:line="19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 and our collaborators:</w:t>
      </w:r>
    </w:p>
    <w:p>
      <w:pPr>
        <w:spacing w:after="0" w:line="7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trials for our product candidates, including under our collaboration agreements;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or add to internal manufacturing capacity or capability;</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13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our product candidates toward commercialization;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30" w:lineRule="exact"/>
        <w:rPr>
          <w:rFonts w:ascii="Arial" w:cs="Arial" w:eastAsia="Arial" w:hAnsi="Arial"/>
          <w:sz w:val="18"/>
          <w:szCs w:val="18"/>
          <w:color w:val="auto"/>
        </w:rPr>
      </w:pPr>
    </w:p>
    <w:p>
      <w:pPr>
        <w:ind w:left="980" w:right="100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as a public company and our product development and planned future commercialization efforts, including expansion of sites in Germany and new sites in the United States;</w:t>
      </w:r>
    </w:p>
    <w:p>
      <w:pPr>
        <w:spacing w:after="0" w:line="51"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53"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33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If our operating results fall below expectations, the price of the ADSs could decline.</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financial condition and operating results have varied in the past and will continue to fluctuate from one financial period to the next due to a variety of factors, many of which are beyond our control. Factors relating to our business that may contribute to these fluctuations include the following, as well as other factors described elsewhere in this prospectus:</w:t>
      </w:r>
    </w:p>
    <w:p>
      <w:pPr>
        <w:spacing w:after="0" w:line="89"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failures in advancement of existing or future product candidates into the clinic or in clinical trials;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manufacture and commercialize our programs;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30" w:lineRule="exact"/>
        <w:rPr>
          <w:rFonts w:ascii="Arial" w:cs="Arial" w:eastAsia="Arial" w:hAnsi="Arial"/>
          <w:sz w:val="18"/>
          <w:szCs w:val="18"/>
          <w:color w:val="auto"/>
        </w:rPr>
      </w:pPr>
    </w:p>
    <w:p>
      <w:pPr>
        <w:ind w:left="980" w:right="94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or approval processes conducted by us and our collaborators;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collaborators to develop and successfully commercialize products developed from our suite of therapeutic classes;</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relationships, and any associated exclusivity terms, with collaborators;</w:t>
      </w:r>
    </w:p>
    <w:p>
      <w:pPr>
        <w:spacing w:after="0" w:line="13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contractual or other obligations to provide resources to fund our product candidates, and to provide resources to our collaborators or to the collaborations themselves;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operation in a net loss position for the foreseeable future;</w:t>
      </w:r>
    </w:p>
    <w:p>
      <w:pPr>
        <w:spacing w:after="0" w:line="13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the international aspects of our business outside Germany, including the conduct of clinical trials in multiple locations and potential commercialization in such locations;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protect, maintain, defend and enforce our intellectual property rights;</w:t>
      </w:r>
    </w:p>
    <w:p>
      <w:pPr>
        <w:spacing w:after="0" w:line="13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prevent the theft or infringement, misappropriation or other violation of our intellectual property, trade secrets, know-how or technologies;</w:t>
      </w:r>
    </w:p>
    <w:p>
      <w:pPr>
        <w:spacing w:after="0" w:line="7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obtaining the rights to critical intellectual property or developing competing technologies or products;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13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collaborators’ ability to obtain additional capital that may be necessary to develop and commercialize products under our collaboration agreements;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interruptions such as power outages, strikes, acts of terrorism or natural disasters;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to offset future taxable income.</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of our periods should not be relied upon as indications of our future operating performance.</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net losses we incur may fluctuate significantly from one reporting period to the next, such that a period-to-period comparison of our results of operations may not be a good indication of our future performance.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overall valuation. The price of the ADSs may decline as a result of unexpected clinical trial results in one or more of our programs, including adverse safety events reported for any of our programs.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only generated limited revenue and may never be profitable.</w:t>
      </w:r>
    </w:p>
    <w:p>
      <w:pPr>
        <w:spacing w:after="0" w:line="117"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Our ability to generate revenue and achieve profitability depends on our ability, alone or with collaborators, to successfully complete the development of, and obtain the regulatory approvals necessary to commercialize, our product candidates. Although we generate limited revenue from sales of products by our external services business unit, we do not anticipate generating revenues from pharmaceutical product sales in the near term. Our ability to generate future revenues from pharmaceutical product sales depends heavily on our success in:</w:t>
      </w:r>
    </w:p>
    <w:p>
      <w:pPr>
        <w:spacing w:after="0" w:line="7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seeking and obtaining U.S. and non-U.S. marketing approvals for product candidates for which we complete clinical trials;</w:t>
      </w:r>
    </w:p>
    <w:p>
      <w:pPr>
        <w:spacing w:after="0" w:line="130" w:lineRule="exact"/>
        <w:rPr>
          <w:rFonts w:ascii="Arial" w:cs="Arial" w:eastAsia="Arial" w:hAnsi="Arial"/>
          <w:sz w:val="18"/>
          <w:szCs w:val="18"/>
          <w:color w:val="auto"/>
        </w:rPr>
      </w:pPr>
    </w:p>
    <w:p>
      <w:pPr>
        <w:ind w:left="980" w:right="12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furthering the development of our own manufacturing capabilities and manufacturing relationships with third parties in order to provide adequate (in amount and quality) products and services to support clinical development and the market demand for our product candidates, if approved;</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a treatment option;</w:t>
      </w:r>
    </w:p>
    <w:p>
      <w:pPr>
        <w:spacing w:after="0" w:line="130" w:lineRule="exact"/>
        <w:rPr>
          <w:rFonts w:ascii="Arial" w:cs="Arial" w:eastAsia="Arial" w:hAnsi="Arial"/>
          <w:sz w:val="18"/>
          <w:szCs w:val="18"/>
          <w:color w:val="auto"/>
        </w:rPr>
      </w:pPr>
    </w:p>
    <w:p>
      <w:pPr>
        <w:ind w:left="980" w:right="980" w:hanging="324"/>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and reimbursement, either through collaborations or, if launched independently, by establishing a sales force, marketing and distribution infrastructure;</w:t>
      </w:r>
    </w:p>
    <w:p>
      <w:pPr>
        <w:spacing w:after="0" w:line="29"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3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defending, protecting, enforcing and expanding our portfolio of intellectual property rights, including patents, trade secrets and know-how; and</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one or more of the product candidates that we develop is approved for commercial sale, we anticipate incurring significant costs associated with commercializing any approved product candidate. Our expenses could increase beyond our expectations if we are required by the U.S. Food and Drug Administration, or the FDA, the European Medicines Agency, or the EMA, or other regulatory agencies to perform clinical and other trials or make changes to our manufacturing or quality systems in addition to those that we currently anticipate. Even if we are able to generate revenues from the sale of any approved products, we may not become profitable and may need to obtain additional funding to continue operations.</w:t>
      </w:r>
    </w:p>
    <w:p>
      <w:pPr>
        <w:spacing w:after="0" w:line="26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amount of and our ability to use net operating losses and research and development credits to offset future taxable income may be subject to certain limitations and uncertainty.</w:t>
      </w:r>
    </w:p>
    <w:p>
      <w:pPr>
        <w:spacing w:after="0" w:line="6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Germany, we have unused tax loss carryforwards for corporate taxes, though we have not recognized deferred tax assets related to such loss carryforwards for IFRS reporting purposes. In general, net operating loss,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or NOL, carryforwards in Germany do not expire. They are, however, subject to review and possible adjustment by the German tax authorities. Furthermore, under current German tax laws, certain substantial changes in the Company’s ownership and business may further limit the amount of NOL carryforwards that can be used annually to offset future taxable income. In addition, we may in the future have U.S. federal and state NOL carryforwards due to our subsidiary in the United States.</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may not be able to utilize a material portion of our NOLs or credits in either Germany or the United States. In addition, the rules regarding the timing of revenue and expense recognition for tax purposes in connection with various transactions are complex and uncertain in many respects, and our recognition could be subject to challenge by taxing authorities. In the event any such challenge is sustained, our NOLs could be materially reduced or we could be determined to be a material cash taxpayer for one or more years. Furthermore, our ability to use our NOLs or credits is conditioned upon our attaining profitability and generating taxable income. As described above, we have incurred significant net losses since our inception and anticipate that we will continue to incur significant losses for the foreseeable future. We do not know whether or when we will generate the taxable income necessary to utilize our NOL or credit carryforwards.</w:t>
      </w:r>
    </w:p>
    <w:p>
      <w:pPr>
        <w:spacing w:after="0" w:line="285"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We will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of December 31, 2018, we had €411.5 million in cash and cash equivalents. We estimate that the net proceeds from this offering will be</w:t>
      </w:r>
    </w:p>
    <w:p>
      <w:pPr>
        <w:spacing w:after="0" w:line="23" w:lineRule="exact"/>
        <w:rPr>
          <w:sz w:val="20"/>
          <w:szCs w:val="20"/>
          <w:color w:val="auto"/>
        </w:rPr>
      </w:pPr>
    </w:p>
    <w:p>
      <w:pPr>
        <w:ind w:left="120" w:right="220"/>
        <w:spacing w:after="0" w:line="281" w:lineRule="auto"/>
        <w:rPr>
          <w:sz w:val="20"/>
          <w:szCs w:val="20"/>
          <w:color w:val="auto"/>
        </w:rPr>
      </w:pPr>
      <w:r>
        <w:rPr>
          <w:rFonts w:ascii="Arial" w:cs="Arial" w:eastAsia="Arial" w:hAnsi="Arial"/>
          <w:sz w:val="16"/>
          <w:szCs w:val="16"/>
          <w:color w:val="auto"/>
        </w:rPr>
        <w:t>approximately $ , based on the assumed initial public offering price of $ per ADS, which is the midpoint of the price range set forth on the cover page of this prospectus, and after deducting underwriting discounts and commissions and estimated offering expenses payable by us. We expect that the net proceeds from this offering and our existing cash and cash equivalents will be sufficient to fund our operating expenses and capital</w:t>
      </w:r>
    </w:p>
    <w:p>
      <w:pPr>
        <w:spacing w:after="0" w:line="2"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expenditure requirements through at least the next months. However, our operating plan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In any event, we will require additional capital to obtain regulatory approval for, and to commercialize, our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high uncertainty of the length of time and activities associated with discovery and development of our product candidates, we are unable to estimate the actual funds we will require for development, marketing and commercialization activities.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funding requirements, both near and long term, will depend on many factors, including, but not limited to:</w:t>
      </w:r>
    </w:p>
    <w:p>
      <w:pPr>
        <w:spacing w:after="0" w:line="13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or nonclinical studies and clinical trials for our product candidates;</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of research and our other platform activities;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development plans we establish for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any agreements with our current or future collaborators;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13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the EMA and other comparable regulatory authorities;</w:t>
      </w:r>
    </w:p>
    <w:p>
      <w:pPr>
        <w:spacing w:after="0" w:line="7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filing, prosecuting, obtaining, maintaining, protecting, defending and enforcing our patent claims and other intellectual property rights, including actions for patent and other intellectual property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00"/>
        <w:spacing w:after="0" w:line="277" w:lineRule="auto"/>
        <w:rPr>
          <w:sz w:val="20"/>
          <w:szCs w:val="20"/>
          <w:color w:val="auto"/>
        </w:rPr>
      </w:pPr>
      <w:r>
        <w:rPr>
          <w:rFonts w:ascii="Arial" w:cs="Arial" w:eastAsia="Arial" w:hAnsi="Arial"/>
          <w:sz w:val="18"/>
          <w:szCs w:val="18"/>
          <w:color w:val="auto"/>
        </w:rPr>
        <w:t>infringement, misappropriation and other violations brought by third parties against us regarding our product candidates or actions by us challenging the patent or intellectual property rights of others;</w:t>
      </w:r>
    </w:p>
    <w:p>
      <w:pPr>
        <w:spacing w:after="0" w:line="76" w:lineRule="exact"/>
        <w:rPr>
          <w:sz w:val="20"/>
          <w:szCs w:val="20"/>
          <w:color w:val="auto"/>
        </w:rPr>
      </w:pPr>
    </w:p>
    <w:p>
      <w:pPr>
        <w:ind w:left="980" w:right="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including other products that may compete with one or more of our product candidates;</w:t>
      </w:r>
    </w:p>
    <w:p>
      <w:pPr>
        <w:spacing w:after="0" w:line="7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completion and further expansion of clinical and commercial scale manufacturing activities sufficient to support all of our current and future programs; and</w:t>
      </w:r>
    </w:p>
    <w:p>
      <w:pPr>
        <w:spacing w:after="0" w:line="7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date, we have financed our operations primarily through the sale of equity securities and revenue from collaborations and we cannot be certain that additional funding will be available on favorable terms, or at all. Until we can generate sufficient product sales or royalty revenue to finance our operations, which we may never do, we expect to finance our future cash needs through a combination of public or private equity offerings, debt financings, collaborations, sales of assets,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our shares to decline. If we raise additional funds through public or private equity offerings, the terms of these securities may include liquidation or other preferences that may adversely affect our shareholders’ rights.</w:t>
      </w:r>
    </w:p>
    <w:p>
      <w:pPr>
        <w:spacing w:after="0" w:line="18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Further, to the extent that we raise additional capital through the sale of ADSs, ordinary shares or securities convertible or exchangeable into ordinary shares, your ownership interest will be diluted. We have entered into two secured credit facilities with an aggregate drawing capacity of €20 million.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or other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27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6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As of June 14, 2019, we had more than 1,000 full-time employees and, in connection with the growth and advancement of our pipeline and becoming a public company, we expect to increase the number of employees and the scope of our operations. To manage our anticipated development and expansion, we must continue to implement and improve our managerial, operational, legal, compliance and financial systems, expand our facilities, and continue to recruit and train additional qualified personnel. Also, our management may need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divert a disproportionate amount of its attention away from its day-to-day activities and devote a substantial amount of time to managing these development activities.</w:t>
      </w:r>
    </w:p>
    <w:p>
      <w:pPr>
        <w:spacing w:after="0" w:line="17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As a growing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protect us only from some business risks, which leaves us exposed to significant uninsured liabilities.</w:t>
      </w:r>
    </w:p>
    <w:p>
      <w:pPr>
        <w:spacing w:after="0" w:line="15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If we obtain marketing approval for any product candidates that we or our collaborators may develop, we intend to acquire insurance coverage to include the sale of commercial products, but we may be unable to</w:t>
      </w:r>
    </w:p>
    <w:p>
      <w:pPr>
        <w:spacing w:after="0" w:line="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obtain such insurance on commercially reasonable terms or in adequate amounts. We currently maintain in insurance coverage for losses relating to an interruption of our development, manufacturing or commercialization efforts caused by contamination, and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 We also expect that operating as a public company will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Supervisory Board, our board committees or our Management Board.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b w:val="1"/>
          <w:bCs w:val="1"/>
          <w:i w:val="1"/>
          <w:iCs w:val="1"/>
          <w:color w:val="auto"/>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spacing w:after="0" w:line="5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Even if we complete the necessary preclinical studies and clinical trials, the marketing approval process is expensive, time-consuming and uncertain, and we may not be able to obtain approvals for the commercialization of any product candidates we may develop. Any immunotherapy we may develop and the activities associated with its development and commercialization, including design, testing, manufacture, recordkeeping, labeling,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color w:val="auto"/>
        </w:rPr>
        <w:t>storage, approval, advertising, promotion, sale and distribution, are subject to comprehensive regulation by the FDA and by comparable global health authorities. To obtain the requisite regulatory approvals to commercialize any of our product candidates, we and our collaborators must demonstrate through extensive preclinical studies and clinical trials that our products are safe and effective, including in the target populations. Successful completion of clinical trials is a prerequisite to submitting a biologics 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Failure to obtain marketing approval for a product candidate will prevent us from commercializing the product candidate in a given jurisdiction. We have not received approval to market any biopharmaceutical product candidates from regulatory authorities in any jurisdiction, and it is possible that none of our product candidates, or any product candidates we may seek to develop in the future, will ever obtain regulatory approval. We have limited experience in filing and supporting the applications necessary to gain marketing approvals and may need to rely on third-party contract research organizations, or CROs, regulatory consultants or collaborators to assist us in this process. To our knowledge, there is no current precedent for an mRNA-based immunotherapy such as the type we are developing being approved for sale by the FDA, European Commission or any other regulatory agency elsewhere in the world. Although we expect to submit BLAs for our mRNA-based product candidates in the United States, and in the European Union, mRNA therapies have been classified as gene therapy medicinal products, other jurisdictions may consider our mRNA-based product candidates to be new drugs, not biologics or gene therapy medicinal products, and require different marketing applications.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EMA and comparable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if an FDA panel of experts, referred to as an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79"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Regulatory agencies also may approve an immunotherapy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FDA, EMA and other regulatory agencies review the Quality or Chemistry, Manufacturing and Controls, or CMC, section of regulatory filings. Any aspects found unsatisfactory by regulatory agencies may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296" w:lineRule="exact"/>
        <w:rPr>
          <w:sz w:val="20"/>
          <w:szCs w:val="20"/>
          <w:color w:val="auto"/>
        </w:rPr>
      </w:pPr>
    </w:p>
    <w:p>
      <w:pPr>
        <w:ind w:left="120" w:right="740"/>
        <w:spacing w:after="0" w:line="263" w:lineRule="auto"/>
        <w:rPr>
          <w:sz w:val="20"/>
          <w:szCs w:val="20"/>
          <w:color w:val="auto"/>
        </w:rPr>
      </w:pPr>
      <w:r>
        <w:rPr>
          <w:rFonts w:ascii="Arial" w:cs="Arial" w:eastAsia="Arial" w:hAnsi="Arial"/>
          <w:sz w:val="18"/>
          <w:szCs w:val="18"/>
          <w:b w:val="1"/>
          <w:bCs w:val="1"/>
          <w:i w:val="1"/>
          <w:iCs w:val="1"/>
          <w:color w:val="auto"/>
        </w:rPr>
        <w:t>No mRNA immunotherapy has been approved, and none may ever be approved, in this new potential category of therapeutics. mRNA drug development has substantial clinical development and regulatory risks due to the novel and unprecedented nature of this new category of therapeutics.</w:t>
      </w:r>
    </w:p>
    <w:p>
      <w:pPr>
        <w:spacing w:after="0" w:line="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As a potential new category of therapeutics, to our knowledge, no mRNA immunotherapies have been approved to date by the FDA, EMA or other regulatory agency. Successful discovery and development of mRNA-based (and other) immunotherapies by either us or our collaborators is highly uncertain and depends on numerous factors, many of which are beyond our or their control. To date, there has never been a Phase 3 trial for an mRNA-based product or a commercialized mRNA-based product. Our product candidates that appear promising in the early phases of development may fail to advance, experience delays in the clinic or clinical holds, or fail to reach the market for many reasons, including:</w:t>
      </w:r>
    </w:p>
    <w:p>
      <w:pPr>
        <w:spacing w:after="0" w:line="82"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discovery efforts aimed at identifying potential immunotherapies may not be successful;</w:t>
      </w:r>
    </w:p>
    <w:p>
      <w:pPr>
        <w:spacing w:after="0" w:line="130"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nonclinical or preclinical study results may show product candidates to be less effective than desired or have harmful or problematic side effects;</w:t>
      </w:r>
    </w:p>
    <w:p>
      <w:pPr>
        <w:spacing w:after="0" w:line="7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results may show the product candidates to be less effective than expected, including a failure to meet one or more endpoints or have unacceptable side effects or toxicities;</w:t>
      </w:r>
    </w:p>
    <w:p>
      <w:pPr>
        <w:spacing w:after="0" w:line="7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failures or insufficient supply of GMP materials for clinical trials, or higher than expected cost could delay or set back clinical trials, or make our product candidates commercially unattractive;</w:t>
      </w:r>
    </w:p>
    <w:p>
      <w:pPr>
        <w:spacing w:after="0" w:line="75"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improvements in the manufacturing processes may not be sufficient to satisfy the clinical or commercial demand of our product candidates or regulatory requirements for clinical trials;</w:t>
      </w:r>
    </w:p>
    <w:p>
      <w:pPr>
        <w:spacing w:after="0" w:line="7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that we make to optimize our manufacturing, testing or formulating of GMP materials could impact the safety, tolerability and efficacy of our product candidates;</w:t>
      </w:r>
    </w:p>
    <w:p>
      <w:pPr>
        <w:spacing w:after="0" w:line="7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or reimbursement issues or other factors could delay clinical trials or make any immunotherapy uneconomical or noncompetitive with other therapies;</w:t>
      </w:r>
    </w:p>
    <w:p>
      <w:pPr>
        <w:spacing w:after="0" w:line="75" w:lineRule="exact"/>
        <w:rPr>
          <w:rFonts w:ascii="Arial" w:cs="Arial" w:eastAsia="Arial" w:hAnsi="Arial"/>
          <w:sz w:val="18"/>
          <w:szCs w:val="18"/>
          <w:color w:val="auto"/>
        </w:rPr>
      </w:pPr>
    </w:p>
    <w:p>
      <w:pPr>
        <w:ind w:left="980" w:right="20" w:hanging="324"/>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9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proprietary rights, products and technologies of our competitors may prevent our immunotherapies from being commercialized.</w:t>
      </w:r>
    </w:p>
    <w:p>
      <w:pPr>
        <w:spacing w:after="0" w:line="23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Currently, mRNA is considered a gene therapy product by the FDA. Unlike certain gene therapies that irreversibly alter cell DNA and may cause certain side effects, mRNA-based medicines are designed not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irreversibly change cell DNA. Side effects observed in other gene therapies, however, could negatively impact the perception of immunotherapies despite the differences in mechanism. In addition, because no mRNA-based product has been approved, the regulatory pathway in the United States and may other jurisdictions for approval is uncertain. The pathway for an individualized therapy, such as our iNeST mRNA-based immunotherapy where each patient receives a different combination of mRNAs, remains particularly unsettled. The number and design of the clinical and preclinical studies required for the approval of these types of medicines have not been established, may be different from those required for gene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spacing w:after="0" w:line="30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Our product candidates may not work as intended, may cause undesirable side effects or may have other properties that could delay or prevent their regulatory approval, limit the commercial profile of an approved label, or result in significant negative consequences following marketing approval, if any.</w:t>
      </w:r>
    </w:p>
    <w:p>
      <w:pPr>
        <w:spacing w:after="0" w:line="7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with most biological products, use of our product candidates could be associated with side effects or adverse events which can vary in severity from minor reactions to death and in frequency from infrequent to prevalent. The potential for adverse events is especially acute in the oncology setting, where patients may have advanced disease, have compromised immune and other systems and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17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unacceptable side effects arise in the development of our product candidates, we, the FDA, competent authorities of European Union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28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Monitoring the safety of patients receiving our product candidates is challenging, which could adversely affect our ability to obtain regulatory approval and commercialize our product candidates.</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our ongoing and planned clinical trials, we have contracted with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EMA or other comparable regulatory authority delaying, suspending or terminating one or more of our clinical trials, and which could jeopardize regulatory approval. We also expect the centers using our product candidates, if approved, on a commercial basis could have similar difficulty in managing adverse events. Medicines used at centers to help manage adverse side effects of our product candidates may not adequately control the side effects and may have a detrimental impact on the efficacy of the treatment. Use of these medicines may increase with new physicians and centers administering our product candidates.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addition, even if we successfully advance one of our product candidates into and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 and safety consequences of taking our product candidates over a multi-year period.</w:t>
      </w:r>
    </w:p>
    <w:p>
      <w:pPr>
        <w:spacing w:after="0" w:line="17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3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3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265"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in the past and may in the future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292"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2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92" w:lineRule="exact"/>
        <w:rPr>
          <w:sz w:val="20"/>
          <w:szCs w:val="20"/>
          <w:color w:val="auto"/>
        </w:rPr>
      </w:pPr>
    </w:p>
    <w:p>
      <w:pPr>
        <w:ind w:left="980" w:right="80" w:hanging="324"/>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29" w:lineRule="exact"/>
        <w:rPr>
          <w:rFonts w:ascii="Arial" w:cs="Arial" w:eastAsia="Arial" w:hAnsi="Arial"/>
          <w:sz w:val="16"/>
          <w:szCs w:val="16"/>
          <w:color w:val="auto"/>
        </w:rPr>
      </w:pPr>
    </w:p>
    <w:p>
      <w:pPr>
        <w:ind w:left="980" w:right="100" w:hanging="324"/>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51" w:lineRule="exact"/>
        <w:rPr>
          <w:rFonts w:ascii="Arial" w:cs="Arial" w:eastAsia="Arial" w:hAnsi="Arial"/>
          <w:sz w:val="17"/>
          <w:szCs w:val="17"/>
          <w:color w:val="auto"/>
        </w:rPr>
      </w:pPr>
    </w:p>
    <w:p>
      <w:pPr>
        <w:ind w:left="980" w:right="6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optimized in the past and may in the future optimize our manufacturing processes, including through changes to the scale and site of manufacturing, which may lead to additional studies (including bridging and bioequivalence studies) or potentially significant changes in our clinical trial designs, requiring additional cost and time, and, as a consequence, lead to a delay in plans for progressing one or more product candidates;</w:t>
      </w:r>
    </w:p>
    <w:p>
      <w:pPr>
        <w:spacing w:after="0" w:line="92"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our preclinical studies and our early clinical trials may not be predictive of the success of later clinical trials, and interim results of a clinical trial do not necessarily predict final results;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establish clinical endpoints that applicable regulatory authorities would consider clinically meaningful;</w:t>
      </w:r>
    </w:p>
    <w:p>
      <w:pPr>
        <w:spacing w:after="0" w:line="130" w:lineRule="exact"/>
        <w:rPr>
          <w:rFonts w:ascii="Arial" w:cs="Arial" w:eastAsia="Arial" w:hAnsi="Arial"/>
          <w:sz w:val="18"/>
          <w:szCs w:val="18"/>
          <w:color w:val="auto"/>
        </w:rPr>
      </w:pPr>
    </w:p>
    <w:p>
      <w:pPr>
        <w:ind w:left="980" w:right="30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an effort to optimize product features, we have made in the past and may continue to make changes to our product candidates after we commence clinical trials of a medicine which may require us to repeat earlier stages of clinical testing or delay later-stage testing of the medicine;</w:t>
      </w:r>
    </w:p>
    <w:p>
      <w:pPr>
        <w:spacing w:after="0" w:line="89" w:lineRule="exact"/>
        <w:rPr>
          <w:rFonts w:ascii="Arial" w:cs="Arial" w:eastAsia="Arial" w:hAnsi="Arial"/>
          <w:sz w:val="18"/>
          <w:szCs w:val="18"/>
          <w:color w:val="auto"/>
        </w:rPr>
      </w:pPr>
    </w:p>
    <w:p>
      <w:pPr>
        <w:ind w:left="980" w:right="28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or may produce negative or inconclusive results, and we may decide, or regulators may require us, to conduct additional nonclinical studies or clinical trials, or we may decide to abandon product development programs;</w:t>
      </w:r>
    </w:p>
    <w:p>
      <w:pPr>
        <w:spacing w:after="0" w:line="89"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differences in trial design between early-stage clinical trials and later-stage clinical trials may make it difficult to extrapolate the results of earlier clinical trials to later clinical trials;</w:t>
      </w:r>
    </w:p>
    <w:p>
      <w:pPr>
        <w:spacing w:after="0" w:line="75" w:lineRule="exact"/>
        <w:rPr>
          <w:rFonts w:ascii="Arial" w:cs="Arial" w:eastAsia="Arial" w:hAnsi="Arial"/>
          <w:sz w:val="18"/>
          <w:szCs w:val="18"/>
          <w:color w:val="auto"/>
        </w:rPr>
      </w:pPr>
    </w:p>
    <w:p>
      <w:pPr>
        <w:ind w:left="980" w:right="400" w:hanging="324"/>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w:t>
      </w:r>
    </w:p>
    <w:p>
      <w:pPr>
        <w:spacing w:after="0" w:line="51" w:lineRule="exact"/>
        <w:rPr>
          <w:rFonts w:ascii="Arial" w:cs="Arial" w:eastAsia="Arial" w:hAnsi="Arial"/>
          <w:sz w:val="17"/>
          <w:szCs w:val="17"/>
          <w:color w:val="auto"/>
        </w:rPr>
      </w:pPr>
    </w:p>
    <w:p>
      <w:pPr>
        <w:jc w:val="both"/>
        <w:ind w:left="980" w:right="220" w:hanging="324"/>
        <w:spacing w:after="0" w:line="311"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One or more of such effects or events could cause 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14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trial participants required for clinical trials of any product candidates may be larger than we anticipate, identification of trial participants for such trials may be limited, enrollment in these clinical trials may be slower than we anticipate due to perceived adverse effects, limited patient populations, competitive trials or other reasons, or participants may withdraw from clinical trials or fail to return for post-treatment follow-up at a higher rate than we anticipate;</w:t>
      </w:r>
    </w:p>
    <w:p>
      <w:pPr>
        <w:spacing w:after="0" w:line="92"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withdraw from the trial, which may require that we add new clinical trial sites;</w:t>
      </w:r>
    </w:p>
    <w:p>
      <w:pPr>
        <w:spacing w:after="0" w:line="29" w:lineRule="exact"/>
        <w:rPr>
          <w:rFonts w:ascii="Arial" w:cs="Arial" w:eastAsia="Arial" w:hAnsi="Arial"/>
          <w:sz w:val="16"/>
          <w:szCs w:val="16"/>
          <w:color w:val="auto"/>
        </w:rPr>
      </w:pPr>
    </w:p>
    <w:p>
      <w:pPr>
        <w:ind w:left="980" w:right="4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may elect to impose a clinical hold, or we, our investigators, IRBs or ethics committees may elect to suspend or terminate clinical research or trials for various reasons, including noncompliance with regulatory requirements or a finding that the participants are being exposed to an unacceptable benefit-risk ratio;</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of preclinical or nonclinical testing and studies and clinical trials of any product candidates may be greater than we anticipate;</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may be insufficient or inadequate;</w:t>
      </w:r>
    </w:p>
    <w:p>
      <w:pPr>
        <w:spacing w:after="0" w:line="142" w:lineRule="exact"/>
        <w:rPr>
          <w:rFonts w:ascii="Arial" w:cs="Arial" w:eastAsia="Arial" w:hAnsi="Arial"/>
          <w:sz w:val="17"/>
          <w:szCs w:val="17"/>
          <w:color w:val="auto"/>
        </w:rPr>
      </w:pPr>
    </w:p>
    <w:p>
      <w:pPr>
        <w:ind w:left="980" w:right="340" w:hanging="324"/>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safety or efficacy concerns regarding our product candidates may result from any concerns arising from nonclinical or clinical testing of other therapies targeting a similar disease state or other therapies, such as gene therapy, that are perceived as similar to ours; and</w:t>
      </w:r>
    </w:p>
    <w:p>
      <w:pPr>
        <w:spacing w:after="0" w:line="29"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70"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could also encounter delays if a clinical trial is suspended or terminated by us, the FDA or other regulatory authorities, ethics committees, or the IRBs of the institutions in which such trials are being conducted, or if such trial is recommended for suspension or termination by the DSMB for such trial. We may in the 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18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Moreover,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17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Significant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of our product candidates may harm our business, financial condition and prospects significantly.</w:t>
      </w:r>
    </w:p>
    <w:p>
      <w:pPr>
        <w:spacing w:after="0" w:line="25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we or our collaborators encounter difficulties enrolling participants in our clinical trials, our clinical development activities could be delayed or otherwise adversely affected.</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specific a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168"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29"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complexity and design of the study protocol;</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trial participants;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including between our own clinical trials;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monitor trial participants adequately during and after treatment;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980" w:right="6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clinicians’ and trial participants’ perceptions of the potential advantages and side effects of the product candidate being studied in relation to other available therapies, including any new drugs or treatments that may be approved for the indications we are investigating;</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participant informed consent;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that trial participants enrolled in clinical trials will not complete a clinical trial.</w:t>
      </w:r>
    </w:p>
    <w:p>
      <w:pPr>
        <w:spacing w:after="0" w:line="22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departure from more traditional methods for disease treatment and prevention, potential trial participants and their doctors may be inclined to use conventional therapies or other new therapies rather than enroll trial participants in any future clinical trial involving individualized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168"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w:t>
      </w:r>
    </w:p>
    <w:p>
      <w:pPr>
        <w:spacing w:after="0" w:line="292"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62"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Clinical trials of our product candidates are currently being conducted in numerous countries, including Germany, Austria, Belgium, Czechia, France, Italy, the Netherlands, Poland, Spain, Sweden, the United Kingdom, Israel, Australia, Canada and the United States, and we plan to commercialize our product candidates, if approved, globally. Accordingly, we expect that we will be subject to additional risks related to operating in multiple countries, including:</w:t>
      </w:r>
    </w:p>
    <w:p>
      <w:pPr>
        <w:spacing w:after="0" w:line="92"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regulatory requirements in such countries;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Germany and shipping the product candidate to the patient abroad;</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taxes, including withholding of payroll taxes;</w:t>
      </w:r>
    </w:p>
    <w:p>
      <w:pPr>
        <w:spacing w:after="0" w:line="13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staffing and managing operations outside of Germany;</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or comparable regulations in other jurisdictions;</w:t>
      </w:r>
    </w:p>
    <w:p>
      <w:pPr>
        <w:spacing w:after="0" w:line="13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countries that do not respect and protect intellectual property rights to the same extent as do Germany and the United States;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These and other risks associated with our international operations and our collaborations with our collaborators may materially adversely affect our ability to attain or maintain profitable operations.</w:t>
      </w:r>
    </w:p>
    <w:p>
      <w:pPr>
        <w:spacing w:after="0" w:line="278"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16"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6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earlier studies and trials of our product candidates may not be predictive of future trial results.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regulatory approval for our product 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286"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b w:val="1"/>
          <w:bCs w:val="1"/>
          <w:i w:val="1"/>
          <w:iCs w:val="1"/>
          <w:color w:val="auto"/>
        </w:rPr>
        <w:t>Our planned clinical trials or those of our collaborators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There is typically an extremely high rate of attrition for product candidates across categories of medicines proceeding through clinical trials. 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178"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Some of our product candidates are being developed or are intended to be co-administered with other developmental therapies or approved medicines. For example, RO198457 (BNT122) is being developed to be co-administered with checkpoint inhibitors. Such combinations may have additional side effects which may be difficult to predict in future clinical trials.</w:t>
      </w:r>
    </w:p>
    <w:p>
      <w:pPr>
        <w:spacing w:after="0" w:line="184"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applicable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not be able to develop or obtain approval for companion diagnostics required for commercialization of some of our product candidates.</w:t>
      </w:r>
    </w:p>
    <w:p>
      <w:pPr>
        <w:spacing w:after="0" w:line="14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Administration of some of our product candidates may require the use of immuno-assays and bioinformatic tools in which patients are screened for optimal target antigens of our product candidates. If safe and effective use of a biologic product depends 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then the FDA generally requires approval or clearance of the diagnostic, known as a companion diagnostic, concurrently with approval of the therapeutic product. To date, the FDA has generally required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intended to select the patients who will respond to cancer treatment to obtain a pre-market approval, or PMA, for that diagnostic, which can take up to several years, simultaneously with approval of the biologic product. Similarly, in the European Union,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may be placed on the market only if it conforms to certain “essential requirements” and bears the </w:t>
      </w:r>
      <w:r>
        <w:rPr>
          <w:rFonts w:ascii="Arial" w:cs="Arial" w:eastAsia="Arial" w:hAnsi="Arial"/>
          <w:sz w:val="16"/>
          <w:szCs w:val="16"/>
          <w:i w:val="1"/>
          <w:iCs w:val="1"/>
          <w:color w:val="auto"/>
        </w:rPr>
        <w:t xml:space="preserve">Conformité Européene </w:t>
      </w:r>
      <w:r>
        <w:rPr>
          <w:rFonts w:ascii="Arial" w:cs="Arial" w:eastAsia="Arial" w:hAnsi="Arial"/>
          <w:sz w:val="16"/>
          <w:szCs w:val="16"/>
          <w:color w:val="auto"/>
        </w:rPr>
        <w:t>Mark, or CE Mark, and the conformity assessment process to obtain the CE Mark can be lengthy.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For our individualized immunotherapy candidates, the FDA and similar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w:t>
      </w:r>
    </w:p>
    <w:p>
      <w:pPr>
        <w:spacing w:after="0" w:line="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further clinical trials or obtain regulatory approval.</w:t>
      </w:r>
    </w:p>
    <w:p>
      <w:pPr>
        <w:spacing w:after="0" w:line="2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EMA or other regulatory authorities may not consider the endpoints of our clinical trials to provide clinically meaningful results.</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There may not be pharmacologic therapies approved to treat the underlying causes of many diseases that we may address in the future. For instance, we and our collaborators are applying our technology to develop 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countries may make similar findings with respect to these endpoints.</w:t>
      </w:r>
    </w:p>
    <w:p>
      <w:pPr>
        <w:spacing w:after="0" w:line="28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FDA, EMA or other comparable regulatory authorities may disagree with our regulatory plan and we may fail to obtain regulatory approval of our product candidates.</w:t>
      </w:r>
    </w:p>
    <w:p>
      <w:pPr>
        <w:spacing w:after="0" w:line="6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If the results of our clinical trials are sufficiently compelling, we or our collaborators intend to discuss with the FDA submission of a BLA for our product candidates. However, we do not have any agreement or guidance from the FDA that our regulatory development plans will be sufficient for submission of a BLA for any of our product candidates. The FDA, EMA or other regulatory agencies may grant accelerated approval for our product candidates and, as a condition for accelerated approval, the FDA,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EMA or other regulatory agencies that are more accelerated than those available for regular approvals. In addition, the standard of care may change with the approval of new products in the same indications that we are studying. This may result in the FDA, EMA or other regulatory agencies requesting additional studies to show that our product candidate is superior to the new products.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clinical trial results may also not support approval. In addition, our product candidates could fail to receive regulatory approval for many reasons, including the following:</w:t>
      </w:r>
    </w:p>
    <w:p>
      <w:pPr>
        <w:spacing w:after="0" w:line="76"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regulatory authorities that our product candidates are safe and effective for any of their proposed indications;</w:t>
      </w:r>
    </w:p>
    <w:p>
      <w:pPr>
        <w:spacing w:after="0" w:line="7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regulatory authorities for approval, including due to the heterogeneity of patient populations;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13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may disagree with our interpretation of data from preclinical studies or clinical trials;</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the EMA or comparable regulatory authorities to support the submission of a BLA or other comparable submissions or to obtain regulatory approval in the United States or elsewhere;</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the EMA or comparable regulatory authorities will inspect our manufacturing facilities and may not approve our facilities; and</w:t>
      </w:r>
    </w:p>
    <w:p>
      <w:pPr>
        <w:spacing w:after="0" w:line="142" w:lineRule="exact"/>
        <w:rPr>
          <w:rFonts w:ascii="Arial" w:cs="Arial" w:eastAsia="Arial" w:hAnsi="Arial"/>
          <w:sz w:val="17"/>
          <w:szCs w:val="17"/>
          <w:color w:val="auto"/>
        </w:rPr>
      </w:pPr>
    </w:p>
    <w:p>
      <w:pPr>
        <w:ind w:left="980" w:right="56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regulatory authorities may significantly change in a manner rendering our clinical data insufficient for approval.</w:t>
      </w:r>
    </w:p>
    <w:p>
      <w:pPr>
        <w:spacing w:after="0" w:line="2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may not be able to file INDs with the FDA, clinical trial applications with the competent authorities of European Union member states or similar applications with other comparable regulatory authorities to commence additional clinical trials on the timelines we expect, and even if we are able to, one or more of these regulatory authorities may not permit us to proceed.</w:t>
      </w:r>
    </w:p>
    <w:p>
      <w:pPr>
        <w:spacing w:after="0" w:line="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timing of filing on our product candidates is dependent on further preclinical, clinical and manufacturing success. We cannot be sure that submission of an IND or IND amendment with the FDA, a clinical trial application with the competent authorities of European Union member states or similar application with other comparable regulatory authorities will result in the FDA, the competent authorities of European Union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303"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strategy includes filing for orphan drug designation where available for our product candidates. Under the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17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effectively protect the product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302"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or fast-track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76"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w:t>
      </w:r>
    </w:p>
    <w:p>
      <w:pPr>
        <w:spacing w:after="0" w:line="17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may also seek Fast Track Designation in the United States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if it believes that the designation is no longer supported by data from our clinical development program. Fast Track Designation alone does not guarantee qualification for the FDA’s priority review procedures.</w:t>
      </w:r>
    </w:p>
    <w:p>
      <w:pPr>
        <w:spacing w:after="0" w:line="27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We expect some of the product candidates we develop will be regulated as biologics in the United States and therefore they may be subject to competition from biosimilars approved through an abbreviated regulatory pathway.</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8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72"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b w:val="1"/>
          <w:bCs w:val="1"/>
          <w:i w:val="1"/>
          <w:iCs w:val="1"/>
          <w:color w:val="auto"/>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4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integrate into cell DNA, or otherwise make any permanent changes to cell DNA. Consequently, we expect that our product candidates will have a different potential side effect profile from gene therapies because they lack risks associated with altering cell DNA irreversibly. Further, we may avail ourselves of ways of mitigating side effects in developing our product candidates to address safety concerns that are not available to all gene therapies, such as lowering the dose of our product candidates during repeat dosing or stopping treatment to potentially ameliorate undesirable side effects.</w:t>
      </w:r>
    </w:p>
    <w:p>
      <w:pPr>
        <w:spacing w:after="0" w:line="17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93" w:lineRule="auto"/>
        <w:rPr>
          <w:sz w:val="20"/>
          <w:szCs w:val="20"/>
          <w:color w:val="auto"/>
        </w:rPr>
      </w:pPr>
      <w:r>
        <w:rPr>
          <w:rFonts w:ascii="Arial" w:cs="Arial" w:eastAsia="Arial" w:hAnsi="Arial"/>
          <w:sz w:val="16"/>
          <w:szCs w:val="16"/>
          <w:color w:val="auto"/>
        </w:rPr>
        <w:t>Product. In certain countries, mRNA therapies have not yet been classified or any such classification is not known to us. Specifically, in Japan, the Pharmaceuticals and Medical Devices Agency has not taken a position on the regulatory classification.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clinical hold on gene therapy products across the field due to risks associated with altering cell DNA irreversibly may apply to our mRNA product candidates irrespective of the mechanistic differences between gene therapies and mRNA.</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mRNA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293" w:lineRule="exact"/>
        <w:rPr>
          <w:sz w:val="20"/>
          <w:szCs w:val="20"/>
          <w:color w:val="auto"/>
        </w:rPr>
      </w:pPr>
    </w:p>
    <w:p>
      <w:pPr>
        <w:jc w:val="both"/>
        <w:ind w:left="120" w:right="520"/>
        <w:spacing w:after="0" w:line="263" w:lineRule="auto"/>
        <w:rPr>
          <w:sz w:val="20"/>
          <w:szCs w:val="20"/>
          <w:color w:val="auto"/>
        </w:rPr>
      </w:pPr>
      <w:r>
        <w:rPr>
          <w:rFonts w:ascii="Arial" w:cs="Arial" w:eastAsia="Arial" w:hAnsi="Arial"/>
          <w:sz w:val="18"/>
          <w:szCs w:val="18"/>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7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regulatory requirements that we will be subject to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or IBC,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16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or CAT,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18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These various regulatory review committees and advisory groups and new or revised guidelines that they promulgate from time to time may lengthen the regulatory review process, require us to perform additional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studies, increase our development costs, lead to changes in regulatory positions and interpretations, delay or prevent approval and commercialization of our product candidates or lead to significant post-approval limitations or restrictions. As the regulatory landscape for our CAR-T 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76"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Delay or failure to obtain, or unexpected costs in obtaining, the regulatory approval necessary to bring a potential product to market could decrease our ability to generate sufficient product sales revenue to maintain our business.</w:t>
      </w:r>
    </w:p>
    <w:p>
      <w:pPr>
        <w:spacing w:after="0" w:line="27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under applicable international regulatory requirements. The denial or delay of such approval would delay commercialization of our product candidates and adversely impact our potential to generate revenue, our business and our results of operations.</w:t>
      </w:r>
    </w:p>
    <w:p>
      <w:pPr>
        <w:spacing w:after="0" w:line="7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Approval by the FDA in the United States, if obtained, does not ensure approval by regulatory authorities in other countries or jurisdictions. In order to eventually market any of our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w:t>
      </w:r>
    </w:p>
    <w:p>
      <w:pPr>
        <w:spacing w:after="0" w:line="28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 third-party investigational drug used in combination with our product candidates may be unable to obtain regulatory approval, which may delay commercialization of our product candidates.</w:t>
      </w:r>
    </w:p>
    <w:p>
      <w:pPr>
        <w:spacing w:after="0" w:line="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are developing several of our product candidates to be used in combination with our and third-party drugs. Even if any product candidate we develop were to receive marketing approval or be commercialized for use in combination with other existing therapies, we would continue to be subject to the risks that the FDA, the EMA or similar regulatory authorities in other jurisdictions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the EMA or similar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therapies that have not yet been approved for marketing by the FDA, the EMA or similar regulatory authorities in other jurisdictions. We will not be able to market any product candidate we develop in combination with an unapproved therapy if that unapproved therapy does not ultimately obtain marketing approval. In addition, unapproved therapies face the same risks described with respect to our product candidates currently in development and clinical trials, including the potential for serious adverse effects, delay in their clinical trials and lack of FDA, EMA or similar regulatory authority approval.</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the FDA, the EMA or similar regulatory authorities in other jurisdictions do not approve these other drugs or revoke their approval of, or if safety, efficacy, manufacturing or supply issues arise with, the drugs we choose to evaluate in combination with any product candidate we develop, we may be unable to obtain approval of or market any product candidate we develop.</w:t>
      </w:r>
    </w:p>
    <w:p>
      <w:pPr>
        <w:spacing w:after="0" w:line="292"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We may be subject to penalties if we fail to comply with regulatory requirements or experience unanticipated problems with our product candidates.</w:t>
      </w:r>
    </w:p>
    <w:p>
      <w:pPr>
        <w:spacing w:after="0" w:line="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Even if we obtain regulatory approval in a jurisdiction,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agency may:</w:t>
      </w:r>
    </w:p>
    <w:p>
      <w:pPr>
        <w:spacing w:after="0" w:line="13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approve a pending BLA or supplements to a BLA submitted by us;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product; or</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any of our product candidates cause undesirable side effects, it could delay or prevent their regulatory approval, limit the commercial potential, or result in significant negative consequences following any potential marketing approval. Product candidates we may develop may be associated with an adverse immune response or other serious adverse events, undesirable side effects or unexpected characteristics. In addition to serious adverse events or side effects caused by any of our product candidates, the administration process or related procedures also can cause undesirable side effects. If any such events occur, the clinical trials of any of our product candidates could be suspended or terminated.</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may be harmed and our ability to generate product sale revenues from any of these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product candidates may be delayed or eliminated. Any of these occurrences may harm our ability to identify and develop product candidates, and may harm our business, financial condition, result of operations and prospects significantly.</w:t>
      </w:r>
    </w:p>
    <w:p>
      <w:pPr>
        <w:spacing w:after="0" w:line="170" w:lineRule="exact"/>
        <w:rPr>
          <w:sz w:val="20"/>
          <w:szCs w:val="20"/>
          <w:color w:val="auto"/>
        </w:rPr>
      </w:pPr>
    </w:p>
    <w:p>
      <w:pPr>
        <w:ind w:left="120" w:right="400" w:firstLine="440"/>
        <w:spacing w:after="0" w:line="273" w:lineRule="auto"/>
        <w:rPr>
          <w:sz w:val="20"/>
          <w:szCs w:val="20"/>
          <w:color w:val="auto"/>
        </w:rPr>
      </w:pPr>
      <w:r>
        <w:rPr>
          <w:rFonts w:ascii="Arial" w:cs="Arial" w:eastAsia="Arial" w:hAnsi="Arial"/>
          <w:sz w:val="17"/>
          <w:szCs w:val="17"/>
          <w:color w:val="auto"/>
        </w:rPr>
        <w:t>Additionally, if we successfully obtain regulatory approval for a product candidate, the FDA or other regulatory authority could require us to adopt a REMS or a risk management plan, or RMP,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that we develop, several potentially significant negative consequences could result, including:</w:t>
      </w:r>
    </w:p>
    <w:p>
      <w:pPr>
        <w:spacing w:after="0" w:line="83"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or revoke licenses of such product;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clinical trials;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 their children;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products we may identify and develop and could have a material adverse impact on our business, financial condition, results of operations and prospects.</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If we are successful in gaining approval for any of our product candidates we will continue to face significant regulatory oversight of the manufacturing and distribution of our products. Product manufacturers and their facilities are subject to payment of user fees and continual review and periodic inspections by the FDA and other regulatory authorities for compliance with GMP and adherence to commitments made in the BLA.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28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developing and commercializing additional product candidates beyond our current portfolio, our ability to expand our business and achieve our strategic objectives would be impaired.</w:t>
      </w:r>
    </w:p>
    <w:p>
      <w:pPr>
        <w:spacing w:after="0" w:line="6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Although a substantial amount of our efforts will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successfully develop and commercialize such products for many reasons, including the following:</w:t>
      </w:r>
    </w:p>
    <w:p>
      <w:pPr>
        <w:spacing w:after="0" w:line="83"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w:t>
      </w:r>
    </w:p>
    <w:p>
      <w:pPr>
        <w:spacing w:after="0" w:line="130" w:lineRule="exact"/>
        <w:rPr>
          <w:rFonts w:ascii="Arial" w:cs="Arial" w:eastAsia="Arial" w:hAnsi="Arial"/>
          <w:sz w:val="18"/>
          <w:szCs w:val="18"/>
          <w:color w:val="auto"/>
        </w:rPr>
      </w:pPr>
    </w:p>
    <w:p>
      <w:pPr>
        <w:ind w:left="5540" w:right="2200" w:hanging="4884"/>
        <w:spacing w:after="0" w:line="449" w:lineRule="auto"/>
        <w:tabs>
          <w:tab w:leader="none" w:pos="9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 36</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3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approved product may not be accepted as safe and effective by trial participants, the medical community or third-party payors.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are unsuccessful in identifying and developing additional products, our potential for growth may be impaired.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Manufacturing of our Product Candidates and Future Pipeline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Our mRNA product candidates are based on novel technologies and any product candidates we develop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79"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manufacturing processes for our product candidates are novel and complex. There are no immunotherapies commercialized to date or manufactured at such scale. Due to the novel nature of this technology and limited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in the past resulted in and may in the future result in our having to resupply batches for preclinical or clinical activities when there is insufficient product stability during storage and insufficient supply. Insufficient stability or shelf life of our product candidates could materially delay our or our collaborators’ ability to continue the clinical trial for that product candidate or require us to begin a new clinical trial with a newly formulated drug product, due to the need to manufacture additional preclinical or clinical supply.</w:t>
      </w:r>
    </w:p>
    <w:p>
      <w:pPr>
        <w:spacing w:after="0" w:line="18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process to generate mRNA product candidates is complex and, if not developed and manufactured under well-controlled conditions, can adversely impact pharmacological activity. Furthermore, we have not manufactured immunotherapies at commercial scale.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188"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As we continue developing new manufacturing processes for our drug substance and drug product, the changes we implement to manufacturing process may in turn impact specification and stability of the drug product. Changes in our manufacturing processes may lead to failure of lots and this could lead to a substantial delay in our clinical trial. Our mRNA product candidates may prove to have a stability profile that leads to a lower than desired shelf life of the final approved immunotherapy. This poses risk in supply requirements, wasted stock and higher cost of goods.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9"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184"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Due to the number of different programs, we may have cross contamination of products inside of our factories, CROs,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12-month stability testing. That may require resupplying clinical material, or making additional GMP batches to keep up with clinical trial demand before such pharmaceutical property testing is completed.</w:t>
      </w:r>
    </w:p>
    <w:p>
      <w:pPr>
        <w:spacing w:after="0" w:line="19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product candidates. Further, now and in the future one or more of our programs may have a single source of supply for raw materials and excipients.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established a number of analytical assays, and may have to establish several more, to assess the quality of our mRNA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 candidates until the manufacturing or testing process is rectified.</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 candidates and result in delays or interruptions to clinical or commercial supply. In addition, the cost associated with such transportation services and the limited pool of vendors may also add additional risks of supply disruptions.</w:t>
      </w:r>
    </w:p>
    <w:p>
      <w:pPr>
        <w:spacing w:after="0" w:line="26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our product candidates for clinical trials or our products for patients, if approved, could be delayed or stopped, or we may be unable to maintain a commercially viable cost structure.</w:t>
      </w:r>
    </w:p>
    <w:p>
      <w:pPr>
        <w:spacing w:after="0" w:line="7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76"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logistics associated with the collection of a patient’s tumor, blood or other tissue sample;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shipping such samples to a facility for genetic sequencing;</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next-generation sequencing of the tumor mRNA;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biopsy of a sufficient quantity of cancerous tissue to allow for proper sequencing and identification of tumor-specific mutations;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of appropriate tumor-specific mutations;</w:t>
      </w:r>
    </w:p>
    <w:p>
      <w:pPr>
        <w:spacing w:after="0" w:line="130" w:lineRule="exact"/>
        <w:rPr>
          <w:rFonts w:ascii="Arial" w:cs="Arial" w:eastAsia="Arial" w:hAnsi="Arial"/>
          <w:sz w:val="18"/>
          <w:szCs w:val="18"/>
          <w:color w:val="auto"/>
        </w:rPr>
      </w:pPr>
    </w:p>
    <w:p>
      <w:pPr>
        <w:ind w:left="980" w:right="30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use of a software program, including proprietary and open source components, which is hosted in the cloud and a part of our product candidate, to assist with the design of the patient-specific mRNA, which software must be maintained and secured;</w:t>
      </w:r>
    </w:p>
    <w:p>
      <w:pPr>
        <w:spacing w:after="0" w:line="51" w:lineRule="exact"/>
        <w:rPr>
          <w:rFonts w:ascii="Arial" w:cs="Arial" w:eastAsia="Arial" w:hAnsi="Arial"/>
          <w:sz w:val="17"/>
          <w:szCs w:val="17"/>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design of the patient-specific mRNA that encodes for the required neoantigens;</w:t>
      </w:r>
    </w:p>
    <w:p>
      <w:pPr>
        <w:spacing w:after="0" w:line="130"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batch-specific manufacturing failures or issues that arise due to the uniqueness of each patient-specific batch that may not have been foreseen;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quality control testing failures;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failures of batches placed on stability;</w:t>
      </w:r>
    </w:p>
    <w:p>
      <w:pPr>
        <w:spacing w:after="0" w:line="13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shortages or quality control issues with single-use assemblies, consumables or critical parts sourced from third-party vendors that must be changed out for each patient-specific batch;</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costs associated with individualized manufacturing that may adversely affect our ability to continue development;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 and timely manufacture and release of the patient-specific batch;</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shipment issues encountered during transport of the batch to the patient site of care;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define a consistent safety profile at a given dose when each participant receives a unique treatment;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reliance on single-source suppliers.</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due to the custom nature of the equipment and single-use assemblies, we may not be able to supply this expanded need reliably without significant investments. In addition, there will be considerable time to scale up our facilities or build new facilities before we can begin to meet any commercial demand if one or more of our product candidates are approved. This expansion or addition of new facilities could also lead to product comparability issues, which can further delay introduction of new capacity.</w:t>
      </w:r>
    </w:p>
    <w:p>
      <w:pPr>
        <w:spacing w:after="0" w:line="17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As certain of our product candidates are manufactured for each individual patient, we will be required to maintain a chain of identity with respect to each patient’s tissue sample, sequence data derived from such tissue sample, results of analysis of such patient’s genomic analysis, and the custom manufactured product for each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28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Our inability to manufacture sufficient quantities of our product candidates, or our failure to comply with applicable regulatory requirements, would materially and adversely affect our business.</w:t>
      </w:r>
    </w:p>
    <w:p>
      <w:pPr>
        <w:spacing w:after="0" w:line="62"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Manufacturing is a vital component of our individualized immunotherapy approach, and we have invested significantly in our manufacturing facilities. All internal manufacturing is performed under GMP guidelines. We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do not rely on any external CMOs for the manufacture of our product candidates and at this time, we have limited redundancy among our facilities. Due to the individualized nature of our product candidates, we do not maintain product reserves. If any of our manufacturing facilities experiences difficulties, including related to manufacturing, product release, shelf life, testing, storage and supply chain management or shipping, our clinical development programs may be delayed or suspended until we can resume operations. We may also be required to incur significant expenditures to resolve such difficulties.</w:t>
      </w:r>
    </w:p>
    <w:p>
      <w:pPr>
        <w:spacing w:after="0" w:line="18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facilities are subject to various regulatory requirements and may be subject to the inspection of the FDA or other regulatory authorities. If we cannot successfully manufacture material that conforms to our specifications and the strict regulatory requirements of the FDA, EMA or comparable regulatory authorities in other jurisdictions, we may not be able to rely on our manufacturing facilities for the manufacture of our product candidates. If the FDA, EMA or another comparable regulatory authority finds our facilities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7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Additionally, we may experience manufacturing difficulties due to resource constraints or as a result of labor disputes or unstable political environments. If we were to encounter any of these difficulties, our ability to provide our product candidate to patients in clinical trials, or to provide product for the treatment of patients once approved, would be jeopardized.</w:t>
      </w:r>
    </w:p>
    <w:p>
      <w:pPr>
        <w:spacing w:after="0" w:line="29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are subject to regulatory and operational risks associated with the physical and digital infrastructure at both our internal manufacturing facilities and at those of our external service providers.</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While the design of our facilities is based on current standards for biotechnology facilities, it has not been reviewed or pre-approved by any regulatory agency, nor have our facilities been inspected by any regulatory agency such as the FDA. We have designed our facilities to incorporate a significant level of automation of equipment with integration of several digital systems to improve efficiency of operations. We have attempted to achieve a high level of digitization for clinical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delay in supply or shutdown of our facilities. Any disruption in our manufacturing capabilities could cause delays in our production capacity for our drug substances or drug products, impose additional costs, or may require us to identify, qualify and establish an alternative manufacturing site, the occurrence of which could have a material adverse effect on our business, financial condition, results of operations and prospects.</w:t>
      </w:r>
    </w:p>
    <w:p>
      <w:pPr>
        <w:spacing w:after="0" w:line="18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we expand our development and commercial capacity, we may establish additional manufacturing capabilities and expand to other locations or geographies, which may lead to regulatory delays or prove costly. If we fail to select the correct location, complete the construction in an efficient manner, recruit the required personnel, and generally manage our growth effectively, the development and production of our product candidates could be delayed or curtailed. Additional investments may be needed if changes in our manufacturing process lead to required changes in our infrastructure.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Certain of our product candidates rely on the availability of specialty raw materials, which may not be available to us on acceptable terms or at all.</w:t>
      </w:r>
    </w:p>
    <w:p>
      <w:pPr>
        <w:spacing w:after="0" w:line="15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product candidates require many specialty raw materials, some of which are manufactured by small companies with limited resources and experience to support a commercial product, and the suppliers may not be able to deliver raw materials to our specifications. In addition, those suppliers normally support blood-based hospital businesses and generally do not have the capacity to support commercial products manufactured under GMP by biopharmaceutical firms. These suppliers may be ill-equipped to support our needs, especially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which could have a material adverse impact on our business.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product candidates are inherently sensitive to shipping and storage conditions and could be subject to risk of loss or damage.</w:t>
      </w:r>
    </w:p>
    <w:p>
      <w:pPr>
        <w:spacing w:after="0" w:line="1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product candidates are sensitive to temperature, storage and handling conditions. Loss in product candidates could occur if the product or product intermediates are not stored or handled properly. Shelf life for our product candidates may vary by product and is not fully quantified and is expected to be variable, and it is possible that our product candidates could be lost due to expiration prior to use. This has in the past led and could in the future lead to additional manufacturing costs and delays in our ability to supply required quantities for clinical trials or otherwise.</w:t>
      </w:r>
    </w:p>
    <w:p>
      <w:pPr>
        <w:spacing w:after="0" w:line="27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b w:val="1"/>
          <w:bCs w:val="1"/>
          <w:i w:val="1"/>
          <w:iCs w:val="1"/>
          <w:color w:val="auto"/>
        </w:rPr>
        <w:t>We are subject to significant regulatory oversight with respect to manufacturing our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7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clinical trials. Poor control of the GMP production processes can lead to product quality failures that can impact our ability to supply product, resulting in cost overruns and delays to clinical timelines, which could be extensive. Such production process issues include but are not limited to:</w:t>
      </w:r>
    </w:p>
    <w:p>
      <w:pPr>
        <w:spacing w:after="0" w:line="93"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critical deviations in the manufacturing process;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facility and equipment failures;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contamination of the product due to an ineffective quality control strategy;</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facility contamination as assessed by the facility and utility environmental monitoring program;</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ineffective process, equipment or analytical change management, resulting in failed lot release criteria;</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raw material failures due to ineffective supplier qualification or regulatory compliance issues at critical suppliers;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ineffective product stability;</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failed lot release or facility and utility quality control testing;</w:t>
      </w:r>
    </w:p>
    <w:p>
      <w:pPr>
        <w:spacing w:after="0" w:line="13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ineffective corrective actions or preventative actions taken to correct or avoid critical deviations due to our developing understanding of the manufacturing process as we scale; and</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failed or defective components or consumables.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Regulatory authorities typically require representative manufacturing site inspections to assess adequate compliance with GMPs and manufacturing controls as described in the filing. If either we or one of our third-party manufacturing sites fails to provide sufficient quality assurance or control, approval to commercialize our product candidates may not be granted. Inspections by regulatory authorities may occur at any time during the development or commercialization phase of products. The inspections may be product-specific or facility-specific for broader GMP inspections or as a follow up to market or development issues that the regulatory agency may identify. Deficient inspection outcomes may influence the ability of our third-party manufacturers or suppliers to fulfill their supply obligations, impacting or delaying supply or delaying programs.</w:t>
      </w:r>
    </w:p>
    <w:p>
      <w:pPr>
        <w:spacing w:after="0" w:line="16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manufacturing process for any products that we may develop is subject to the FDA’s, the EMA’s and other regulatory authorities’ approval processes, and we may need to contract with manufacturers who we believe can meet applicable regulatory authority requirements on an ongoing basis. If we or our third-party manufacturers are unable to reliably produce product candidates to specifications acceptable to the FDA, the EMA or other regulatory authorities, we or our collaborators may not obtain or maintain the approvals we or they need to commercialize such products. Even if we or our collaborators obtain regulatory approval for any of our immunotherapies, there is no assurance that either we or our CMOs will be able to manufacture our product candidates to specifications acceptable to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spacing w:after="0" w:line="18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In addition, we may not have direct control over the ability of our contract manufacturers to maintain adequate quality control, quality assurance and qualified personnel. Furthermore, all of our contract manufacturers are engaged with other companies to supply or manufacture materials or products for such companies, which exposes our contract manufacturers to regulatory risks for the production of such materials and products. As a result, failure to meet the regulatory requirements for the production of those materials and products may generally affect the regulatory status of our CMOs’ facilities.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 Our potential future dependence upon others for the manufacture of our product candidates and raw materials may adversely affect our future profit margins and our ability to commercialize any products that receive regulatory approval on a timely and competitive basis.</w:t>
      </w:r>
    </w:p>
    <w:p>
      <w:pPr>
        <w:spacing w:after="0" w:line="18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FDA,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third-party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or product launches, which could be costly to us and otherwise harm our business, financial condition, results of operations and prospects.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for or ultimately detect intentional sabotage or negligence by any employee or contractor.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Commercialization of our Pipeline</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will depend in part on the extent to which governmental authorities, private health insurers and other third-party payors provide coverage and adequate reimbursement levels and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63"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The availability and extent of reimbursement by governmental and private payors is essential for most patients to be able to afford expensive treatments such as the medicines that we hope to develop and sell. In addition, because our several of our product candidates represent new approaches to the treatment of cancer, we cannot accurately estimate how these products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in any of our products.</w:t>
      </w:r>
    </w:p>
    <w:p>
      <w:pPr>
        <w:spacing w:after="0" w:line="18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For example, the U.S. government recently released a “Blueprint,” which is a plan to reduce the cost of drugs. The Blueprint contains certain measures that the HHS is already working to implement.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 the marketplace.</w:t>
      </w:r>
    </w:p>
    <w:p>
      <w:pPr>
        <w:spacing w:after="0" w:line="29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89" w:lineRule="exact"/>
        <w:rPr>
          <w:sz w:val="20"/>
          <w:szCs w:val="20"/>
          <w:color w:val="auto"/>
        </w:rPr>
      </w:pPr>
    </w:p>
    <w:p>
      <w:pPr>
        <w:ind w:left="980" w:right="11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financial, technical and human resources than we have at every stage of the discovery, development, manufacture and commercialization of products;</w:t>
      </w:r>
    </w:p>
    <w:p>
      <w:pPr>
        <w:spacing w:after="0" w:line="7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more extensive experience in preclinical testing, conducting clinical trials, obtaining regulatory approvals, and in manufacturing, marketing and selling drug products;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will face intense competition from drugs that have already been approved and accepted by the medical community for the treatment of the conditions for which we may develop drugs. We also expect to face competition from new drugs that enter the market. There are a number of drugs currently under development, which may become commercially available in the future, for the treatment of conditions for which we are trying, or may in the future try, to develop drugs. These drugs may be more effective, safer, less expensive, or marketed and sold more effectively, than any products we develop.</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anticipate competing with the largest pharmaceutical companies in the world, many of which are all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we successfully develop product candidates, and obtain approval for them, we will face competition based on many different factors, including:</w:t>
      </w:r>
    </w:p>
    <w:p>
      <w:pPr>
        <w:spacing w:after="0" w:line="154" w:lineRule="exact"/>
        <w:rPr>
          <w:sz w:val="20"/>
          <w:szCs w:val="20"/>
          <w:color w:val="auto"/>
        </w:rPr>
      </w:pPr>
    </w:p>
    <w:p>
      <w:pPr>
        <w:ind w:left="5540" w:right="4200" w:hanging="4884"/>
        <w:spacing w:after="0" w:line="490" w:lineRule="auto"/>
        <w:tabs>
          <w:tab w:leader="none" w:pos="98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safety and effectiveness of our products relative to alternative therapies, if any; 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ease with which our products can be administered and the extent to which patients accept relatively new routes of administration;</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and scope of regulatory approvals for these products;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price of any approved immunotherapy;</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intellectual property position.</w:t>
      </w:r>
    </w:p>
    <w:p>
      <w:pPr>
        <w:spacing w:after="0" w:line="225"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Our competitors may develop or commercialize products with significant advantages over any products we develop based on any of the factors listed above or on other factors. In addition, our competitors may develop collaborations with or receive funding from larger pharmaceutical or biotechnology companies, providing them with an advantage over us. 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products, if approved.</w:t>
      </w:r>
    </w:p>
    <w:p>
      <w:pPr>
        <w:spacing w:after="0" w:line="269"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b w:val="1"/>
          <w:bCs w:val="1"/>
          <w:i w:val="1"/>
          <w:iCs w:val="1"/>
          <w:color w:val="auto"/>
        </w:rPr>
        <w:t>The market opportunities for certain of our product candidates may be limited due to the rarity of the disease, or limited to those patients who are ineligible for or have failed prior treatments, and may be small. As the target patient populations for some of our programs are small, we must be able to successfully identify trial participants and achieve a significant market share to maintain profitability and growth.</w:t>
      </w:r>
    </w:p>
    <w:p>
      <w:pPr>
        <w:spacing w:after="0" w:line="4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FDA often approves new therapies initially only for use by patients with relapsed or refractory advanced cancer. We expect to initially seek approval of certain of our product candidates in this context. Subsequently, for those products that prove to be sufficiently beneficial, if any, we would expect to seek approval in earlier lines of treatment and potentially as a first-line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are small, we may never achieve profitability without obtaining regulatory approval for additional indications.</w:t>
      </w:r>
    </w:p>
    <w:p>
      <w:pPr>
        <w:spacing w:after="0" w:line="28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We currently have no marketing and sales organization and as a company, we have no experience in marketing pharmaceutical products. If we are unable to establish marketing and sales capabilities on our own or through third parties, we may not be able to market and sell our product candidates effectively in the United States and other jurisdictions, if approved, or generate product sales revenue.</w:t>
      </w:r>
    </w:p>
    <w:p>
      <w:pPr>
        <w:spacing w:after="0" w:line="4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Given our stage of development, we have no sales, distribution or marketing capabilities, and we have not designed our preclinical studies and clinical trials with specific commercialization or marketing considerations in mind. To successfully commercialize any products that may result from our development programs, we will need to develop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future collaborators do not commit sufficient resources to commercialize our future products, if any, and we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are unable to develop the necessary marketing capabilities on our own, we may be unable to generate sufficient product sales revenue to sustain our business. We will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w:t>
      </w:r>
    </w:p>
    <w:p>
      <w:pPr>
        <w:spacing w:after="0" w:line="29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Our future profitability, if any,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7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future profitability, if any,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89"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on a country-by-country basis, the applicable marketing authorization from the competent regulatory authority;</w:t>
      </w:r>
    </w:p>
    <w:p>
      <w:pPr>
        <w:spacing w:after="0" w:line="13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regulatory, tax, accounting, labor and other legal requirements in each jurisdiction that we or our collaborators pursue;</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differing medical practices and customs affecting acceptance in the marketplace;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governmental controls, trade restrictions or changes in tariffs;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language barriers;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reimbursement, pricing and insurance regimes;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local laws in the event of a contract dispute.</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273"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b w:val="1"/>
          <w:bCs w:val="1"/>
          <w:i w:val="1"/>
          <w:iCs w:val="1"/>
          <w:color w:val="auto"/>
        </w:rPr>
        <w:t>Even if we obtain regulatory approval for our product candidates, the products may not gain the market acceptance among physicians, patients, hospitals, cancer treatment centers and others in the medical community necessary for commercial success.</w:t>
      </w:r>
    </w:p>
    <w:p>
      <w:pPr>
        <w:spacing w:after="0" w:line="3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 Any product that we bring to the market may not gain market acceptance by physicians, trial participants, third-party payors, and others in the medical</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community. Additionally, ethical, social and legal concerns about genetic research could result in additional regulations restricting or prohibiting the products and processes we may use. If these products do not achieve an adequate level of acceptance, we may not generate significant product sales revenue and may not become profitable. The degree of market acceptance of our product candidates, if approved for commercial sale, will depend on a number of factors, including:</w:t>
      </w:r>
    </w:p>
    <w:p>
      <w:pPr>
        <w:spacing w:after="0" w:line="92"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to offer our products, if approved, at competitive prices;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142" w:lineRule="exact"/>
        <w:rPr>
          <w:rFonts w:ascii="Arial" w:cs="Arial" w:eastAsia="Arial" w:hAnsi="Arial"/>
          <w:sz w:val="17"/>
          <w:szCs w:val="17"/>
          <w:color w:val="auto"/>
        </w:rPr>
      </w:pPr>
    </w:p>
    <w:p>
      <w:pPr>
        <w:ind w:left="980" w:right="1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prevalence and severity of any side effects resulting from checkpoint inhibitors or other drugs or therapies with which our products are administered;</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 and patients’ willingness to pay out-of-pocket in the absence of third-party coverage or adequate reimbursement.</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Commercial success of any approved products will also depend in large part on the availability of coverage and adequate reimbursement from third-party payors, including government payors such as the Medicare and Medicaid programs and entry into managed care organizations,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do not provide adequate coverage and reimbursement levels for any of our products once approved, whether due to healthcare reform legislation or otherwise, market acceptance and commercial success would be reduced.</w:t>
      </w:r>
    </w:p>
    <w:p>
      <w:pPr>
        <w:spacing w:after="0" w:line="16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addition, if any of our products are approved for marketing, we or a collaborator will be subject to significant regulatory obligations regarding the submission of safety and other post-marketing information and reports for such product, and will need to continue to comply (or ensure that our third-party providers comply) with GMP and current good clinical practices, or GCP, for any clinical trials that we or a collaborator conduct post-approval. In addition, there is always the risk that we or a 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if approved, profitably.</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8" w:lineRule="exact"/>
        <w:rPr>
          <w:sz w:val="20"/>
          <w:szCs w:val="20"/>
          <w:color w:val="auto"/>
        </w:rPr>
      </w:pPr>
    </w:p>
    <w:p>
      <w:pPr>
        <w:jc w:val="both"/>
        <w:ind w:left="120" w:right="720" w:firstLine="440"/>
        <w:spacing w:after="0" w:line="342"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12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52"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Obtaining coverage and reimbursement of a product from a government or other third-party payor is a time-consuming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 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18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7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6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advancement of healthcare reform legislation may increase the difficulty and cost for us to obtain marketing approval of and commercialize any product candidates we or our collaborators develop and may adversely affect the prices for such product candidates.</w:t>
      </w:r>
    </w:p>
    <w:p>
      <w:pPr>
        <w:spacing w:after="0" w:line="16"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ACA was passed, which substantially changes the way health care is financed by both governmental and private insurers, and significantly impacts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178"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The Tax Cuts and Jobs Act of 2017, or the TCJA, includes a provision repealing, effective January 1, 2019, the tax-based shared responsibility payment imposed by the ACA on certain individuals who fail to maintain qualifying health coverage for all or part of a year that is commonly referred to as the “individual mandate.”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October 13, 2017, an executive order was signed terminating the cost-sharing reduction, or CSR, subsidies that reimburse insurers under the ACA.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Another executive order was signed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With the current presidential administration and Congress, there may be additional administrative or legislative changes, including modification, repeal or replacement of all, or certain provisions of, the ACA. However, it remains to be seen whether new legislation modifying the ACA will be enacted and, if so, precisely what the new legislation will provide, when it will be enacted and what impact it will have on the availability of healthcare and containing or lowering the cost of healthcare. The implications of a potential repeal or replacement of the ACA, for our and our collaborators’ business and financial condition, if any, are not yet clear.</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of at least $1.2 trillion for the years 2013 through 2021, was unable to reach required goals, thereby triggering the legislation’s automatic reduction to several government programs. This includes aggregate reductions of Medicare payments to providers up to 2% per fiscal year. These reductions will remain in effect through 2025 unless additional congressional action is taken.</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7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expect that additional healthcare reform measures or proposals will be adopted in the future, any of which could limit the amounts that governments will pay for healthcare products and services, which could result in reduced demand for our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16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2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European Union drug marketing and reimbursement regulations may materially affect our ability to market and receive coverage for our products in the European Union member states.</w:t>
      </w:r>
    </w:p>
    <w:p>
      <w:pPr>
        <w:spacing w:after="0" w:line="6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intend to seek approval to market our product candidates in both the United States and in other selected jurisdictions. If we obtain approval for our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9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European Union member states and parallel distribution, or arbitrage between low-priced and high-priced member states, can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have entered into several arrangements with a related party for the performance of nonclinical research programs, and these arrangements present potential conflicts of interest.</w:t>
      </w:r>
    </w:p>
    <w:p>
      <w:pPr>
        <w:spacing w:after="0" w:line="6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have had a longstanding relationship with Translational Oncology at the University Medical Center of the Johannes Gutenberg University Mainz (Translationale Onkologie an der Universitätsmedizin der Johannes Gutenberg Universität Mainz gemeinnützige GmbH), or TRON, a non-profit limited liability company engaged in biopharmaceutical research. During 2018, we paid €11.2 million to TRON, and TRON’s research has historically constituted a significant portion of our discovery pipeline and target discovery engine. Prof. Ugur Sahin, M.D., our co-founder and Chief Executive Officer, co-founded TRON and served as Managing Director at TRON until 2019 and currently serves as a Professor of Medicine at the University of Mainz. Additionally, Prof. Christoph Huber, M.D., a member of our Supervisory Board, served on TRON’s supervisory board until his resignation in April 2019. We and TRON also share certain intellectual property.</w:t>
      </w:r>
    </w:p>
    <w:p>
      <w:pPr>
        <w:spacing w:after="0" w:line="17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existence or appearance of a conflict of interest could depress the price of the ADSs or attract scrutiny from shareholders, regulators or other stakeholders. Additionally, any conflicts of interest would create the risk that our officers may favor their personal interests over those of our shareholders.</w:t>
      </w:r>
    </w:p>
    <w:p>
      <w:pPr>
        <w:spacing w:after="0" w:line="292"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b w:val="1"/>
          <w:bCs w:val="1"/>
          <w:i w:val="1"/>
          <w:iCs w:val="1"/>
          <w:color w:val="auto"/>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4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currently rely and expect to continue to rely on third parties, such as CROs, clinical data management organizations, collaborators, medical institutions and clinical investigators, to conduct various and significant elements of our clinical trials.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17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regulatory or contractual responsibilities. We will be responsible for ensuring that each of our preclinical studies and clinical trials is conducted in accordance with the applicable protocol, legal and regulatory requirements and scientific standards. For example, we will remain responsible for ensuring that each of our clinical trials is conducted in accordance with the general investigational plan and protocols for the trial.</w:t>
      </w:r>
    </w:p>
    <w:p>
      <w:pPr>
        <w:spacing w:after="0" w:line="17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Moreover, the FDA requires us to comply with GCP for conducting, recording and reporting the results of clinical trials to assure that data and reported results are credible and accurate and that the rights, integrity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7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and our CROs will be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also are responsible for ensuring that the rights of our clinical trial participants are protected. These regulations are enforced by the FDA, the competent authorities of the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assure you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17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Although we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83"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human errors; or</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 subject to cyberattacks.</w:t>
      </w:r>
    </w:p>
    <w:p>
      <w:pPr>
        <w:spacing w:after="0" w:line="225"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also expect to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w:t>
      </w:r>
    </w:p>
    <w:p>
      <w:pPr>
        <w:spacing w:after="0" w:line="30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 candidates.</w:t>
      </w:r>
    </w:p>
    <w:p>
      <w:pPr>
        <w:spacing w:after="0" w:line="7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entered into collaborations under which our collaborators have provided, and may in the future provide, funding and other resources for developing and potentially commercializing our product candidates. We expect to enter into additional collaborations to access additional funding, capabilities and expertise in the future. Our existing collaborations, and any future collaborations we enter into, may pose a number of risks, including the following:</w:t>
      </w:r>
    </w:p>
    <w:p>
      <w:pPr>
        <w:spacing w:after="0" w:line="92"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perform or prioritize their obligations as expected;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clinical trials conducted as part of such collaborations may not be successful;</w:t>
      </w:r>
    </w:p>
    <w:p>
      <w:pPr>
        <w:spacing w:after="0" w:line="130" w:lineRule="exact"/>
        <w:rPr>
          <w:rFonts w:ascii="Arial" w:cs="Arial" w:eastAsia="Arial" w:hAnsi="Arial"/>
          <w:sz w:val="18"/>
          <w:szCs w:val="18"/>
          <w:color w:val="auto"/>
        </w:rPr>
      </w:pPr>
    </w:p>
    <w:p>
      <w:pPr>
        <w:ind w:left="980" w:right="20" w:hanging="324"/>
        <w:spacing w:after="0" w:line="311"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of programs based on clinical trial results, changes in the collaborators’ focus or available funding, or external factors, such as an acquisition, that divert resources or create competing priorities;</w:t>
      </w:r>
    </w:p>
    <w:p>
      <w:pPr>
        <w:spacing w:after="0" w:line="54" w:lineRule="exact"/>
        <w:rPr>
          <w:rFonts w:ascii="Arial" w:cs="Arial" w:eastAsia="Arial" w:hAnsi="Arial"/>
          <w:sz w:val="16"/>
          <w:szCs w:val="16"/>
          <w:color w:val="auto"/>
        </w:rPr>
      </w:pPr>
    </w:p>
    <w:p>
      <w:pPr>
        <w:ind w:left="980" w:right="4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clinical trials, stop a clinical trial,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auto"/>
        </w:rPr>
      </w:pPr>
    </w:p>
    <w:p>
      <w:pPr>
        <w:ind w:left="980" w:right="400" w:hanging="324"/>
        <w:spacing w:after="0" w:line="263"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candidates developed in collaborations with us may be viewed by our collaborators as competitive with their own product candidates or products, which may cause collaborators to cease to devote resources to the development or commercialization of our product candidates;</w:t>
      </w:r>
    </w:p>
    <w:p>
      <w:pPr>
        <w:spacing w:after="0" w:line="89"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w:t>
      </w:r>
    </w:p>
    <w:p>
      <w:pPr>
        <w:spacing w:after="0" w:line="75"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92" w:lineRule="exact"/>
        <w:rPr>
          <w:rFonts w:ascii="Arial" w:cs="Arial" w:eastAsia="Arial" w:hAnsi="Arial"/>
          <w:sz w:val="18"/>
          <w:szCs w:val="18"/>
          <w:color w:val="auto"/>
        </w:rPr>
      </w:pPr>
    </w:p>
    <w:p>
      <w:pPr>
        <w:ind w:left="980" w:right="20" w:hanging="324"/>
        <w:spacing w:after="0" w:line="263"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properly maintain, protect,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44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the development of our product candidates may be delayed, and we could be required to raise additional capital to pursue further development or commercialization of the applicable product candidates;</w:t>
      </w:r>
    </w:p>
    <w:p>
      <w:pPr>
        <w:spacing w:after="0" w:line="89"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relationships may require us to incur non-recurring and other charges, increase our near- and long-term expenditures, issue securities that dilute our existing shareholders, or disrupt our management and business;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could face significant competition in seeking appropriate collaborators, and the negotiation process is time-consuming and complex; and</w:t>
      </w:r>
    </w:p>
    <w:p>
      <w:pPr>
        <w:spacing w:after="0" w:line="153" w:lineRule="exact"/>
        <w:rPr>
          <w:rFonts w:ascii="Arial" w:cs="Arial" w:eastAsia="Arial" w:hAnsi="Arial"/>
          <w:sz w:val="16"/>
          <w:szCs w:val="16"/>
          <w:color w:val="auto"/>
        </w:rPr>
      </w:pPr>
    </w:p>
    <w:p>
      <w:pPr>
        <w:ind w:left="980" w:right="24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international operations through any future collaborations, acquisitions or joint ventures may expose us to certain operating, legal and other risks not encountered in the United States.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our collaborations do not result in the successful development and commercialization of programs, or if one of our collaborators terminates its agreement with us, we may not receive any future research funding or milestone, earn-out, royalty, or other contingent payments under the collaborations. If we do not receive the funding we expect under these agreements, our development of product candidates could be delayed and we may need additional resources to develop our product candidates. In addition, in general our collaborators have the right to terminate their agreements with us for convenience.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prospectus apply to the activities of our collaborators.</w:t>
      </w:r>
    </w:p>
    <w:p>
      <w:pPr>
        <w:spacing w:after="0" w:line="285" w:lineRule="exact"/>
        <w:rPr>
          <w:sz w:val="20"/>
          <w:szCs w:val="20"/>
          <w:color w:val="auto"/>
        </w:rPr>
      </w:pPr>
    </w:p>
    <w:p>
      <w:pPr>
        <w:ind w:left="120" w:right="118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collaborations on commercially reasonable terms, we may have to alter our research, development and commercialization plans.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similar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172"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28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have entered into in-licensing arrangements and may form or seek to enter into additional licensing arrangements in the future, and we may not realize the benefits of such licensing arrangements.</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are a party to licenses that give us rights to third-party intellectual property, including patents and patent applications, that are necessary or useful for our business. In particular, we have obtained licenses from CellScript LLC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17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the intellectual property of the licensor that is not subject to the licensing agreement;</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 and other intellectual property rights to third parties under collaborative relationships;</w:t>
      </w:r>
    </w:p>
    <w:p>
      <w:pPr>
        <w:spacing w:after="0" w:line="13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intellectual property and technology in relation to our development and commercialization of our product candidates, and what activities satisfy those diligence obligations;</w:t>
      </w:r>
    </w:p>
    <w:p>
      <w:pPr>
        <w:spacing w:after="0" w:line="7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ownership of inventions, trade secrets, know-how and other intellectual property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left="120" w:right="440" w:firstLine="440"/>
        <w:spacing w:after="0" w:line="342" w:lineRule="auto"/>
        <w:rPr>
          <w:sz w:val="20"/>
          <w:szCs w:val="20"/>
          <w:color w:val="auto"/>
        </w:rPr>
      </w:pPr>
      <w:r>
        <w:rPr>
          <w:rFonts w:ascii="Arial" w:cs="Arial" w:eastAsia="Arial" w:hAnsi="Arial"/>
          <w:sz w:val="16"/>
          <w:szCs w:val="16"/>
          <w:color w:val="auto"/>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29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rely on third parties to manufacture certain of our clinical product supplies, and we may have to rely on third parties to produce and process our product candidates, if approved.</w:t>
      </w:r>
    </w:p>
    <w:p>
      <w:pPr>
        <w:spacing w:after="0" w:line="6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Although we expect to continue using our own clinical manufacturing facilities, we may need to rely on outside vendors to manufacture supplies and process our product candidates. We have not yet caused our product candidates to be manufactured or processed on a commercial scale and may not be able to achieve commercial-scale manufacturing and processing and may be unable to create an inventory of mass-produced, off-the-shelf product to satisfy demands for our product candidates.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our reliance on a limited number of third-party manufacturers exposes us to the following risks:</w:t>
      </w:r>
    </w:p>
    <w:p>
      <w:pPr>
        <w:spacing w:after="0" w:line="131" w:lineRule="exact"/>
        <w:rPr>
          <w:sz w:val="20"/>
          <w:szCs w:val="20"/>
          <w:color w:val="auto"/>
        </w:rPr>
      </w:pPr>
    </w:p>
    <w:p>
      <w:pPr>
        <w:ind w:left="980" w:right="80" w:hanging="324"/>
        <w:spacing w:after="0" w:line="25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pacing w:after="0" w:line="9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formulate and manufacture our product or produce the quantity and quality required to meet our clinical and commercial needs, if any;</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CMOs may not be able to execute our manufacturing procedures appropriately;</w:t>
      </w:r>
    </w:p>
    <w:p>
      <w:pPr>
        <w:spacing w:after="0" w:line="13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future CMOs may not perform as agreed or may not remain in the contract manufacturing business for the time required to supply our clinical trials or to successfully produce, store and distribute our products;</w:t>
      </w:r>
    </w:p>
    <w:p>
      <w:pPr>
        <w:spacing w:after="0" w:line="75"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the U.S. Drug Enforcement Administration and corresponding state agencies and by regulatory authorities in other jurisdictions to ensure strict compliance with GMP and other government regulations and corresponding standards in other jurisdictions. We do not have control over third-party manufacturers’ compliance with these regulations and standards;</w:t>
      </w:r>
    </w:p>
    <w:p>
      <w:pPr>
        <w:spacing w:after="0" w:line="9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 with us;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CMOs would also be subject to the same risks we face in developing our own manufacturing capabilities, as described above.</w:t>
      </w:r>
    </w:p>
    <w:p>
      <w:pPr>
        <w:spacing w:after="0" w:line="23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of these risks could delay our clinical trials, the approval, if any, of our product candidates by the FDA or regulatory authorities in other jurisdictions or the commercialization of our product candidates, or result in higher costs or deprive us of potential product sales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are dependent on single-source suppliers for some of the components and materials used in, and the processes required to develop, our product candidates.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currently depend on single-source suppliers for some of the components and materials used in, and manufacturing processes required to develop,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product candidates.</w:t>
      </w:r>
    </w:p>
    <w:p>
      <w:pPr>
        <w:spacing w:after="0" w:line="19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 addition, as part of the FDA’s approval of our product candidates, we will also require FDA review of the individual components of our process, which include the manufacturing processes and facilities of our single-source suppliers.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reliance on these suppliers, service providers and manufacturers subjects us to a number of risks that could harm our reputation, business and financial condition, including, among other things:</w:t>
      </w:r>
    </w:p>
    <w:p>
      <w:pPr>
        <w:spacing w:after="0" w:line="76"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to the development timelines for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980" w:right="102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production delays related to the evaluation and testing of components from alternative suppliers, and corresponding regulatory qualifications;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 in delivery due to our suppliers’ prioritizing other customer orders over ours;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jc w:val="center"/>
        <w:ind w:right="340"/>
        <w:spacing w:after="0" w:line="449" w:lineRule="auto"/>
        <w:rPr>
          <w:sz w:val="20"/>
          <w:szCs w:val="20"/>
          <w:color w:val="auto"/>
        </w:rPr>
      </w:pPr>
      <w:r>
        <w:rPr>
          <w:rFonts w:ascii="Arial" w:cs="Arial" w:eastAsia="Arial" w:hAnsi="Arial"/>
          <w:sz w:val="18"/>
          <w:szCs w:val="18"/>
          <w:color w:val="auto"/>
        </w:rPr>
        <w:t>If any of these risks materialize, costs could significantly increase and our ability to meet demand for our products could be impacted. 57</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our efforts to obtain, maintain, protect, defend and/or enforce the intellectual property related to our product candidates and technologies are not adequate, we may not be able to compete effectively in our market.</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commercial success depends in part on our ability to obtain, maintain, protect, defend and enforce patent and other intellectual property, including trade secret and know-how, protection for our product candidates, proprietary technologies and their uses, as well as our ability to operate, develop, manufacture and commercialize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United States and abroad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the claims in our issued patents will not be found invalid or unenforceable if challenged. Accordingly, there can be no assurance that our patent applications or those of our licensors will result in additional patents being issued or that issued patents will adequately cover our product candidates or otherwise afford sufficient protection against competitors with similar technology, nor can there be any assurance that the patents issued will not be infringed, designed around, invalidated or held unenforceable. Furthermore, we may not be able to apply for patents on certain aspects of our current or future product candidates, proprietary technologies and their uses in a timely fashion, at a reasonable cost, in all jurisdictions, or at all, and any potential patent protection we obtain may not be sufficient to prevent substantial competition.</w:t>
      </w:r>
    </w:p>
    <w:p>
      <w:pPr>
        <w:spacing w:after="0" w:line="18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 candidates, proprietary technologies (including methods of manufacture) and their uses. These risks and uncertainties include, from time to time, the following:</w:t>
      </w:r>
    </w:p>
    <w:p>
      <w:pPr>
        <w:spacing w:after="0" w:line="92" w:lineRule="exact"/>
        <w:rPr>
          <w:sz w:val="20"/>
          <w:szCs w:val="20"/>
          <w:color w:val="auto"/>
        </w:rPr>
      </w:pPr>
    </w:p>
    <w:p>
      <w:pPr>
        <w:ind w:left="980" w:hanging="324"/>
        <w:spacing w:after="0" w:line="286"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USPTO and various other governmental patent agencies require compliance with a number of procedural, documentary, fee payment and other provisions during the patent process, the noncompliance with which can result in abandonment or lapse of a patent or patent application or a finding that a patent is unenforceable, and partial or complete loss of patent rights in the relevant jurisdiction;</w:t>
      </w:r>
    </w:p>
    <w:p>
      <w:pPr>
        <w:spacing w:after="0" w:line="70" w:lineRule="exact"/>
        <w:rPr>
          <w:rFonts w:ascii="Arial" w:cs="Arial" w:eastAsia="Arial" w:hAnsi="Arial"/>
          <w:sz w:val="17"/>
          <w:szCs w:val="17"/>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3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issued patents that we own (solely or jointly) or have in-licensed may be challenged, invalidated, modified, revoked, circumvented, found to be unenforceable or otherwise may not provide any competitive advantage;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140" w:hanging="324"/>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sell, import or otherwise exploit our product candidates or other technologies;</w:t>
      </w:r>
    </w:p>
    <w:p>
      <w:pPr>
        <w:spacing w:after="0" w:line="89"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parties may have designed around our patent claims or developed technologies that may be related or competitive to our product candidates or other technologies, may have filed or may file patent applications and may have received or may receive patents that overlap or conflict with our patent filings, either by claiming the same or overlapping methods, products, reagents or devices or by claiming subject matter that could dominate one or more of our patent claims;</w:t>
      </w:r>
    </w:p>
    <w:p>
      <w:pPr>
        <w:spacing w:after="0" w:line="92" w:lineRule="exact"/>
        <w:rPr>
          <w:rFonts w:ascii="Arial" w:cs="Arial" w:eastAsia="Arial" w:hAnsi="Arial"/>
          <w:sz w:val="18"/>
          <w:szCs w:val="18"/>
          <w:color w:val="auto"/>
        </w:rPr>
      </w:pPr>
    </w:p>
    <w:p>
      <w:pPr>
        <w:ind w:left="980" w:right="460" w:hanging="324"/>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in-licensed to us could deprive us of rights necessary for the development and exploitation of our product candidates and other technologies or the successful commercialization of any product candidates and other technologies that we may develop;</w:t>
      </w:r>
    </w:p>
    <w:p>
      <w:pPr>
        <w:spacing w:after="0" w:line="89" w:lineRule="exact"/>
        <w:rPr>
          <w:rFonts w:ascii="Arial" w:cs="Arial" w:eastAsia="Arial" w:hAnsi="Arial"/>
          <w:sz w:val="18"/>
          <w:szCs w:val="18"/>
          <w:color w:val="auto"/>
        </w:rPr>
      </w:pPr>
    </w:p>
    <w:p>
      <w:pPr>
        <w:ind w:left="980" w:right="180" w:hanging="324"/>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jurisdictions are confidential for a period of time after filing, we cannot be certain that we, our co-owners or our licensors were the first to file any patent application related to our product candidates, proprietary technologies and their uses;</w:t>
      </w:r>
    </w:p>
    <w:p>
      <w:pPr>
        <w:spacing w:after="0" w:line="89" w:lineRule="exact"/>
        <w:rPr>
          <w:rFonts w:ascii="Arial" w:cs="Arial" w:eastAsia="Arial" w:hAnsi="Arial"/>
          <w:sz w:val="18"/>
          <w:szCs w:val="18"/>
          <w:color w:val="auto"/>
        </w:rPr>
      </w:pPr>
    </w:p>
    <w:p>
      <w:pPr>
        <w:ind w:left="980" w:right="120" w:hanging="324"/>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w:t>
      </w:r>
    </w:p>
    <w:p>
      <w:pPr>
        <w:spacing w:after="0" w:line="89" w:lineRule="exact"/>
        <w:rPr>
          <w:rFonts w:ascii="Arial" w:cs="Arial" w:eastAsia="Arial" w:hAnsi="Arial"/>
          <w:sz w:val="18"/>
          <w:szCs w:val="18"/>
          <w:color w:val="auto"/>
        </w:rPr>
      </w:pPr>
    </w:p>
    <w:p>
      <w:pPr>
        <w:ind w:left="980" w:right="240" w:hanging="324"/>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 court or other patent proceeding, such as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w:t>
      </w:r>
    </w:p>
    <w:p>
      <w:pPr>
        <w:spacing w:after="0" w:line="89" w:lineRule="exact"/>
        <w:rPr>
          <w:rFonts w:ascii="Arial" w:cs="Arial" w:eastAsia="Arial" w:hAnsi="Arial"/>
          <w:sz w:val="18"/>
          <w:szCs w:val="18"/>
          <w:color w:val="auto"/>
        </w:rPr>
      </w:pPr>
    </w:p>
    <w:p>
      <w:pPr>
        <w:ind w:left="980" w:right="60" w:hanging="324"/>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9"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competitors a better opportunity to create, develop and market competing product candidates.</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Congress of the United States and in international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laws, and those countries may lack adequate rules and procedures for granting, maintaining, protecting, defending and enforcing our intellectual property rights.</w:t>
      </w:r>
    </w:p>
    <w:p>
      <w:pPr>
        <w:spacing w:after="0" w:line="16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Furthermore, the patent prosecution process is also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16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product candidates or which effectively prevent others from commercializing competitive technologies and product candidates. As a result, our intellectual property may not provide us with sufficient rights to exclude others from commercializing products similar or identical to ours.</w:t>
      </w:r>
    </w:p>
    <w:p>
      <w:pPr>
        <w:spacing w:after="0" w:line="17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16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and technical personnel, even if the eventual outcome is favorable to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degree of future protection for our intellectual property and other proprietary rights is uncertain, and we cannot ensure that:</w:t>
      </w:r>
    </w:p>
    <w:p>
      <w:pPr>
        <w:spacing w:after="0" w:line="131" w:lineRule="exact"/>
        <w:rPr>
          <w:sz w:val="20"/>
          <w:szCs w:val="20"/>
          <w:color w:val="auto"/>
        </w:rPr>
      </w:pPr>
    </w:p>
    <w:p>
      <w:pPr>
        <w:ind w:left="980" w:right="70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 candidates and other technologies;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130"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7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that we own or license expire;</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were the first to make the inventions covered by each of the patents and pending patent applications that we own or license;</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our co-owners or our licensors were the first to file patent applications for these inventions;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will not develop similar or alternative products or technologies that do not infringe the patents we own or license;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13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 candidates and other technologies or will provide us with any competitive advantages;</w:t>
      </w:r>
    </w:p>
    <w:p>
      <w:pPr>
        <w:spacing w:after="0" w:line="7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3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development and commercialization activities, including our manufacturing processes, or products will not infringe upon the patents of our competitors or any other third parties, including any non-practicing entities or patent assertion entities.</w:t>
      </w:r>
    </w:p>
    <w:p>
      <w:pPr>
        <w:spacing w:after="0" w:line="27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intellectual property rights or may assert intellectual property rights that prevent us from developing and commercializing our product candidates and other technologies.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and methods including uses and manufacturing methods, or features or aspects of any of these. These issued patents and pending patent applications claim certain compositions of matter and methods relating to the discovery, development, manufacture and commercialization of therapeutic modalities and our delivery technologies, including LNPs. If we, our co-owners or our licensors are unable to obtain, maintain, protect, defend or enforce patent protection with respect to our product candidates and other technology and any product candidates and technology we develop, our business, financial condition, results of operations and prospects could be materially harmed.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the scientific fields mature, our known competitors and other third parties have filed, and will continue to file, patent applications claiming inventions in the field in the United States and abroad.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8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 xml:space="preserve">We, our co-owners or our licensors may in the future become a party to patent proceedings or priority disputes in the United States, Europe or other jurisdictions. The Leahy-Smith America Invents Act, or the America Invents Act, enacted in September 2011, included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We expect that our competitors and other third parties will institute litigation and other proceedings, such as interference, reexamination and opposition proceedings, as well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and post-grant review proceedings against us and the patents and patent applications that we own and in-license. We expect that we will be subject to similar proceedings or priority disputes, including oppositions, in Europe or other foreign jurisdictions relating to patents and patent applications in our portfolio.</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If we, our co-owners or our licensors are unsuccessful in any interference proceedings or other priority or validity disputes, including any derivations,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adverse impact on our business and our ability to successfully compete against our current and future competitors.</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There are many issued and pending patent filings that claim aspects of technologies that we may need for our mRNA product candidates or other product candidates, including patent filings that relate to relevant delivery technologies. There are also many issued patents that claim targeting genes or portions of genes that may be relevant for immunotherapies we wish to develop. In addition, there may be issued and pending patent applications that may be asserted against us in a court proceeding or otherwise based upon the asserting party’s belief that we may need such patents for the development, manufacturing and commercialization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or a court rules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and commercialization of one or more of the product candidates we may develop. Any of the foregoing could result in a material adverse effect on our business, financial condition, results of operations or prospects.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We may not be successful in obtaining, maintaining, protecting or defending the necessary intellectual property rights to allow us to identify and develop product candidates, product components and manufacturing processes for our development pipeline.</w:t>
      </w:r>
    </w:p>
    <w:p>
      <w:pPr>
        <w:spacing w:after="0" w:line="3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currently have rights to certain intellectual property, through our owned and in-licensed patents and other intellectual property rights, relating to identification and development of our product candidates or other technologies. As our pipeline may involve additional product candidates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68"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For example, we sometimes collaborate with academic institutions in certain aspects of our preclinical research or development under written agreements with these institutions. Typically, these institutions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w:t>
      </w:r>
    </w:p>
    <w:p>
      <w:pPr>
        <w:spacing w:after="0" w:line="192"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9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lifespans of our patents may not be sufficient to effectively protect our product candidates, technologies and business.</w:t>
      </w:r>
    </w:p>
    <w:p>
      <w:pPr>
        <w:spacing w:after="0" w:line="117"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non-provisional filing date, assuming maintenance fees are timely paid after the patent has issued. Most foreign jurisdictions also provide a 20-year nominal patent term, though many require payment of regular, often annual, annuities to maintain pendency of an application or viability of an issued patent. In some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any product candidates we may develop, our business may be materially harmed.</w:t>
      </w:r>
    </w:p>
    <w:p>
      <w:pPr>
        <w:spacing w:after="0" w:line="15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90" w:lineRule="exact"/>
        <w:rPr>
          <w:sz w:val="20"/>
          <w:szCs w:val="20"/>
          <w:color w:val="auto"/>
        </w:rPr>
      </w:pPr>
    </w:p>
    <w:p>
      <w:pPr>
        <w:ind w:left="120" w:right="56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are heavily reliant upon licenses to certain intellectual property and other proprietary rights from third parties that are important or necessary to the development and commercialization of our technology and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any or all of our licenses.</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third parties, or such activities, if controlled by us, may require the input of such third parties. In some cases, patent prosecution of our in-licensed intellectual property is controlled solely by the licensor. We may also require the cooperation of our licensors and collaborators to enforce or defend any in-licensed patent rights, and such cooperation may not be provided.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Any of the foregoing could have a material adverse effect on our competitive position, business, financial conditions, results of operations and prospects.</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Moreover, any failure to satisfy obligations or any material breach under any of our licenses to third-party intellectual property could give the licensor the right to terminate the license. Our existing license agreements impose, and we expect that future license agreements will impose, various diligence, milestone and royalty payment, exclusivity and other obligations on us. If we fail to comply with our obligations under these agreements, or we are subject to a bankruptcy, the licensor may have the right to terminate the license agreement, in which event we would not be able to develop, market and commercialize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and commercialize the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terminated, or if the underlying patents or other intellectual property fail to provide the intended exclusivity, competitors would have the freedom to seek regulatory approval of, and to market and commercialize, products similar or identical to ours.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74"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market and commercialize our product candidates could suffer. Moreover, if disputes over intellectual property that we have in-licensed prevent or impair our ability to maintain our current licensing arrangements on commercially acceptable terms, we may be unable to successfully develop, market and commercialize the affected product candidates, which could have a material adverse effect on our business, financial condition, results of operations and prospects.</w:t>
      </w:r>
    </w:p>
    <w:p>
      <w:pPr>
        <w:spacing w:after="0" w:line="30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76"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Certain intellectual property rights that have been in-licensed, including patent applications and patents that we in-license from the University of Pennsylvania and the Louisiana State University, have been 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the Bayh-Dole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necessary to meet public health or safety needs or (iii) government action is necessary to meet requirements for public use under federal regulations (also collectively referred to as “march-in rights”). The U.S. government also has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19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are unable to comply with these manufacturing requirements, we may experience a material adverse effect on our competitive position, business, financial conditions, results of operations and prospects.</w:t>
      </w:r>
    </w:p>
    <w:p>
      <w:pPr>
        <w:spacing w:after="0" w:line="28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b w:val="1"/>
          <w:bCs w:val="1"/>
          <w:i w:val="1"/>
          <w:iCs w:val="1"/>
          <w:color w:val="auto"/>
        </w:rPr>
        <w:t>Our current proprietary position for certain product candidates depends upon our owned or in-licensed patent filings covering components of such product candidates, manufacturing-related methods, formulations and/or methods of use, which may not adequately prevent a competitor or other third party from using the same product candidate for the same or a different use.</w:t>
      </w:r>
    </w:p>
    <w:p>
      <w:pPr>
        <w:spacing w:after="0" w:line="7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Composition of matter patent protection is generally considered to be desirable because it provides protection without regard to any particular method of use or manufacture or formulation. While we have obtained patent protection covering components of certain product candidates, manufacturing-related methods, formulations and/or methods of use, we do not currently have any claims in our owned or in-licensed issued U.S. patents that cover, for example, the overall construct used in our iNeST product candidates, and we cannot be certain that claims in any future patents issuing from our pending owned or in-licensed patent applications or our future owned or in-licensed patent applications will cover the composition of matter of our current or future product candidates.</w:t>
      </w:r>
    </w:p>
    <w:p>
      <w:pPr>
        <w:spacing w:after="0" w:line="19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Method of use patents protect the use of a product for the specified method and formulation patents cover formulations to deliver therapeutics. These types of patents do not prevent a competitor or other third party from developing,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w:t>
      </w:r>
    </w:p>
    <w:p>
      <w:pPr>
        <w:spacing w:after="0" w:line="30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w:t>
      </w:r>
    </w:p>
    <w:p>
      <w:pPr>
        <w:spacing w:after="0" w:line="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Because our product candidates are still in early developmental stages, and one or more features of the product candidates or related technologies such as their manufacture, formulation or use, may still change, we cannot be confident that we are aware of all third-party intellectual property that might be relevant to products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9" w:right="5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that we eventually hope to commercialize.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is submitted. Given the uncertainty of clinical trials, we cannot be certain of the timing of their completion and it is possible that we might want to submit an NDA at a time when one or more relevant third-party patents is in force. Thus, it is possible that at the time that we commercialize our product candidates, one or more third parties may have issued patent claims that cover our products or critical features of their production or use. We may not be able to commercialize our products if patents issued to third parties or other third-party intellectual property rights cover, or may be alleged to cover, our products or elements thereof, or their methods of manufacture or use at the time that we seek to commercialize them. In such cases, we may not be in a position to develop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or not available on commercially reasonable terms or at all, and design-around could be prohibitively expensive or impossible.</w:t>
      </w:r>
    </w:p>
    <w:p>
      <w:pPr>
        <w:spacing w:after="0" w:line="16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It is also possible that we have failed to identify relevant third-party patents that cover, or applications that will mature into patents that cover, one or more aspects of our platform or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27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76"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 xml:space="preserve">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reexaminations, post-grant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and corresponding European and other non-U.S. patent offices. 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against issued U.S. patents and opposition proceedings against European patents owned by third parties in the field of immunotherapy. We have a number of these opposition proceedings ongoing at the European Patent Office against third-party patents related to mRNA technologies. As the biotechnology and pharmaceutical industries expand and more patents are issued, the risk increases that our product candidates may be subject to claims of infringement of the patent rights of third parties.</w:t>
      </w:r>
    </w:p>
    <w:p>
      <w:pPr>
        <w:spacing w:after="0" w:line="16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addition, in a patent infringement proceeding, our owned or in-licensed patents may be challenged and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Third parties may also raise similar claims before the USPTO, even outside the context of litigation. Similar mechanisms for challenging the validity and enforceability of a patent exist in ex-U.S.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competitive position, business, financial conditions, results of operations and prospects.</w:t>
      </w:r>
    </w:p>
    <w:p>
      <w:pPr>
        <w:spacing w:after="0" w:line="178"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Third parties, ranging from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methods of manufacture or methods for treatment related to the use, development, manufacture or commercialization of our product candidates. As patent applications can take many years to issue, there may be currently pending patent applications which may later result in issued patents that our product candidates may infringe. In addition, third parties may obtain patents in the future and claim that our technologies infringe upon these patents. If any third-party patents were held by a court of competent jurisdiction to cover the manufacturing process of any of our product candidates, any molecules formed during the manufacturing process or any final product itself, the holders of any such patents may obtain injunctive or other equitable relief, which could effectively block our ability to develop and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 or may be non-exclusive.</w:t>
      </w:r>
    </w:p>
    <w:p>
      <w:pPr>
        <w:spacing w:after="0" w:line="16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collaborations that would help us bring our product candidates to market.</w:t>
      </w:r>
    </w:p>
    <w:p>
      <w:pPr>
        <w:spacing w:after="0" w:line="16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4"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 candidates, which could limit our ability to generate revenues or achieve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195"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it could have a material adverse effect on the price of the ADSs.</w:t>
      </w:r>
    </w:p>
    <w:p>
      <w:pPr>
        <w:spacing w:after="0" w:line="27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28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or in other countries could diminish the value of patents in general, thereby impairing our ability to protect our products.</w:t>
      </w:r>
    </w:p>
    <w:p>
      <w:pPr>
        <w:spacing w:after="0" w:line="6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first to invent the claimed invention. The America Invents Act also includes a number of significant changes that affect the way patent applications will be prosecuted and also may affect patent litigation.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to seeking patent protection for some of our technology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and development processes that involve proprietary know-how, information or technology that is not covered by patents. However, trade secrets and know-how may be difficult to protect.</w:t>
      </w:r>
    </w:p>
    <w:p>
      <w:pPr>
        <w:spacing w:after="0" w:line="17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Despite our best efforts, any of these parties may breach the agreements and we cannot be certain that our trade secrets and other confidential proprietary information will not be disclosed or that competitors will not otherwise gain access to our trade secrets or independently develop substantially equivalent information and techniques.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If any of our trade secrets or know-how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will not be able to establish or maintain a competitive advantage in our market, which could materially adversely affect our business, operating results, financial condition and prospects.</w:t>
      </w:r>
    </w:p>
    <w:p>
      <w:pPr>
        <w:spacing w:after="0" w:line="27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7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may in the future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The assignment of intellectual property rights may not be self-executing, or the assignment agreements may be breached. For example, we may have inventorship disputes arise from conflicting obligations of employees, consultants, independent contractors, collaborators or other third parties who are involved in developing and commercializing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Furthermore, the laws of some other countries do not protect intellectual property and other proprietary rights or establish ownership of inventions to the same extent or in the same manner as the laws of the United States. A majority of our employees work in Germany and are subject to German employment law. Ideas, developments, discoveries and inventions made by such employees and consultants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Filing, prosecuting and defending patents on product candidates and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marketing and commercialization of competing products in violation of our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980" w:right="100" w:hanging="324"/>
        <w:spacing w:after="0" w:line="263"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be able to make personalized cancer immunotherapies that are similar to any product candidates we may develop and commercialize or utilize similar technologies that are not covered by the claims of the patents that we now or may in the future own or have exclusively in-licensed;</w:t>
      </w:r>
    </w:p>
    <w:p>
      <w:pPr>
        <w:spacing w:after="0" w:line="89"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our co-owners or our licensors or future collaborators might not have been the first to make the inventions covered by the issued patents or pending patent applications that we own or have exclusively in-licensed;</w:t>
      </w:r>
    </w:p>
    <w:p>
      <w:pPr>
        <w:spacing w:after="0" w:line="7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our co-owners or our licensors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or those that we may own or in-license in the future will not lead to issued patents;</w:t>
      </w:r>
    </w:p>
    <w:p>
      <w:pPr>
        <w:spacing w:after="0" w:line="142"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issued patents that we own or have exclusively in-licensed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980" w:right="660" w:hanging="324"/>
        <w:spacing w:after="0" w:line="308"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and other healthcare laws. If we are unable to comply, or have not fully complied, with such laws, we could face substantial penalties.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may be subject to additional healthcare regulation and enforcement by the U.S. federal government and by authorities in the United States, the European Union and other jurisdictions in which we conduct our business. 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92" w:lineRule="exact"/>
        <w:rPr>
          <w:sz w:val="20"/>
          <w:szCs w:val="20"/>
          <w:color w:val="auto"/>
        </w:rPr>
      </w:pPr>
    </w:p>
    <w:p>
      <w:pPr>
        <w:ind w:left="980" w:right="20" w:hanging="324"/>
        <w:spacing w:after="0" w:line="254"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100"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which prohibit, among other things, individuals or 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93" w:lineRule="exact"/>
        <w:rPr>
          <w:rFonts w:ascii="Arial" w:cs="Arial" w:eastAsia="Arial" w:hAnsi="Arial"/>
          <w:sz w:val="18"/>
          <w:szCs w:val="18"/>
          <w:color w:val="auto"/>
        </w:rPr>
      </w:pPr>
    </w:p>
    <w:p>
      <w:pPr>
        <w:ind w:left="980" w:right="480" w:hanging="324"/>
        <w:spacing w:after="0" w:line="263"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a person from knowingly and willfully executing a scheme or making false or fraudulent statements to defraud any healthcare benefit program, regardless of the payor (</w:t>
      </w:r>
      <w:r>
        <w:rPr>
          <w:rFonts w:ascii="Arial" w:cs="Arial" w:eastAsia="Arial" w:hAnsi="Arial"/>
          <w:sz w:val="18"/>
          <w:szCs w:val="18"/>
          <w:i w:val="1"/>
          <w:iCs w:val="1"/>
          <w:color w:val="auto"/>
        </w:rPr>
        <w:t>e.g.</w:t>
      </w:r>
      <w:r>
        <w:rPr>
          <w:rFonts w:ascii="Arial" w:cs="Arial" w:eastAsia="Arial" w:hAnsi="Arial"/>
          <w:sz w:val="18"/>
          <w:szCs w:val="18"/>
          <w:color w:val="auto"/>
        </w:rPr>
        <w:t>, public or private).</w:t>
      </w:r>
    </w:p>
    <w:p>
      <w:pPr>
        <w:spacing w:after="0" w:line="89" w:lineRule="exact"/>
        <w:rPr>
          <w:rFonts w:ascii="Arial" w:cs="Arial" w:eastAsia="Arial" w:hAnsi="Arial"/>
          <w:sz w:val="18"/>
          <w:szCs w:val="18"/>
          <w:color w:val="auto"/>
        </w:rPr>
      </w:pPr>
    </w:p>
    <w:p>
      <w:pPr>
        <w:ind w:left="980" w:right="60" w:hanging="324"/>
        <w:spacing w:after="0" w:line="311"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implementing regulations,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54" w:lineRule="exact"/>
        <w:rPr>
          <w:rFonts w:ascii="Arial" w:cs="Arial" w:eastAsia="Arial" w:hAnsi="Arial"/>
          <w:sz w:val="16"/>
          <w:szCs w:val="16"/>
          <w:color w:val="auto"/>
        </w:rPr>
      </w:pPr>
    </w:p>
    <w:p>
      <w:pPr>
        <w:ind w:left="980" w:right="22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U.S.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980" w:right="80" w:hanging="324"/>
        <w:spacing w:after="0" w:line="286"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Federal transparency laws, including the federal Physician Payment Sunshine Act, which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spacing w:after="0" w:line="70" w:lineRule="exact"/>
        <w:rPr>
          <w:rFonts w:ascii="Arial" w:cs="Arial" w:eastAsia="Arial" w:hAnsi="Arial"/>
          <w:sz w:val="17"/>
          <w:szCs w:val="17"/>
          <w:color w:val="auto"/>
        </w:rPr>
      </w:pPr>
    </w:p>
    <w:p>
      <w:pPr>
        <w:ind w:left="980" w:hanging="324"/>
        <w:spacing w:after="0" w:line="301"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62" w:lineRule="exact"/>
        <w:rPr>
          <w:rFonts w:ascii="Arial" w:cs="Arial" w:eastAsia="Arial" w:hAnsi="Arial"/>
          <w:sz w:val="16"/>
          <w:szCs w:val="16"/>
          <w:color w:val="auto"/>
        </w:rPr>
      </w:pPr>
    </w:p>
    <w:p>
      <w:pPr>
        <w:ind w:left="980" w:right="100" w:hanging="324"/>
        <w:spacing w:after="0" w:line="25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as well as non-U.S. companies that are registered with the Securities and Exchange Commission, or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82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similar healthcare laws and regulations in the European Union and other jurisdictions, including reporting requirements detailing interactions with and payments to healthcare providers.</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61"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9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are subject to certain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27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are subject to stringent privacy laws, information security policies and contractual obligations governing the use, processing, and cross-border transfer of personal information and our data privacy and security practices.</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receive, generate and store significant and increasing volumes of sensitive information, such as employee, personal and patient data. 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collection and use of personal health data in the European Union had previously been governed by the provisions of the Data Protection Directive, which has been replaced by the European Union General Data Protection Regulation, or GDPR. While the Data Protection Directive did not apply to organizations based outside the European Union, the GDPR has expanded its reach to include any business, regardless of its location, that provides goods or services to residents in the European Union. The GDPR imposes strict requirements on controllers and processors of personal data, including special protections for “sensitive information” which includes health and genetic information of data subjects residing in the European Union. The GDPR also imposes strict rules on the transfer of personal data out of the European Union to the United States and other countries. In addition, the GDPR provides that European Union member states may make their own further laws and regulations limiting the processing of personal data, including genetic, biometric or health data.</w:t>
      </w:r>
    </w:p>
    <w:p>
      <w:pPr>
        <w:spacing w:after="0" w:line="17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spacing w:after="0" w:line="16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Other jurisdictions outside the European Union are similarly introducing or enhancing privacy and data security laws, rules and regulations, which could increase our compliance costs and the risks associated with non-compliance. 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especially with regard to clinical trial conduct.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may be onerous and adversely affect our business, financial condition, results of operations and prospects. If we fail to comply with the GDPR and the applicable national data protection laws of the European Union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186"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the United States, notice of breaches must be made to affected individuals and the U.S. Secretary of HHS, and for extensive breaches, notice may need to be made to the media or U.S. state Attorneys General. Such a notice could harm our reputation and our ability to compete. HHS has the discretion to impose penalties without attempting to resolve violations through informal means. In addition, U.S. state Attorneys General are authorized to bring civil actions seeking either injunctions or damages in response to violations that threaten the privacy of state residents.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2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will become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95"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14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92"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18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Risks Related to our Business</w:t>
      </w:r>
    </w:p>
    <w:p>
      <w:pPr>
        <w:spacing w:after="0" w:line="22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senior management and scientific personnel.</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The loss of any of these persons’ services may adversely impact the achievement of our research, development, financing and commercialization objectives. We currently do not have “key person” insurance on any of our employees.</w:t>
      </w:r>
    </w:p>
    <w:p>
      <w:pPr>
        <w:spacing w:after="0" w:line="18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Recruiting and retaining other qualified employees, consultants and advisors for our business, including scientific and technical personnel, also will be critical to our success. Competition for skilled personnel, including in mRNA research, clinical operations, regulatory affairs, therapeutic area management and manufacturing,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failure to succeed in preclinical studies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300"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b w:val="1"/>
          <w:bCs w:val="1"/>
          <w:i w:val="1"/>
          <w:iCs w:val="1"/>
          <w:color w:val="auto"/>
        </w:rPr>
        <w:t>Our employees, principal investigators and consultants may engage in misconduct or other improper activities, including non-compliance with regulatory standards and requirements and insider trading, which could have an adverse effect on our results of operations.</w:t>
      </w:r>
    </w:p>
    <w:p>
      <w:pPr>
        <w:spacing w:after="0" w:line="16"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We are exposed to the risk of fraud or other misconduct by our employees, principal investigators and consultants.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litigation and unfavorable publicity could negatively affect our future business.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employees may, from time to time, bring lawsuits against us regarding injury, creating a hostile work 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w:t>
      </w:r>
    </w:p>
    <w:p>
      <w:pPr>
        <w:spacing w:after="0" w:line="28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7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to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GDPR and relevant member state law in the European Union, and HIPAA and other relevant state and federal privacy laws in the United States.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6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While we have not experienced any material system failures, accidents or security breaches to date, we and a vendor have separately in the past been subject to a security breach resulting in us unknowingly making payments to third parties that were able to gain unauthorized access to our and the vendor’s email systems. We have since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continuity and disaster recovery plans may not adequately protect us from a serious disaster.</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recognize the need for, and are in the early stages of, developing disaster recovery, business continuity and document retention plans that would allow us to be operational despite casualties or unforeseen events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impacting our corporate headquarters or distribution center. Without disaster recovery, business continuity and document retention plans, if we encounter difficulties or disasters with our manufacturing facilities or at our corporate headquarters, our critical systems, operations and information may not be restored in a timely manner, or at all, and this could have an adverse effect on our business.</w:t>
      </w:r>
    </w:p>
    <w:p>
      <w:pPr>
        <w:spacing w:after="0" w:line="2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our current or future product candidates.</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of our current or future product candidates in clinical trials, and we may face an even greater risk if we commercialize any product candidate that we may develop. If we cannot successfully defend ourselves against claims that our product candidates caused injuries, we could incur substantial liabilities. Regardless of merit or eventual outcome, liability claims may result in:</w:t>
      </w:r>
    </w:p>
    <w:p>
      <w:pPr>
        <w:spacing w:after="0" w:line="92"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substantial monetary awards to patients, healthy volunteers or their children;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carry clinical trial insurance, including product liability insurance, which we believe to be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price of the ADS to decline and, if judgments exceed our insurance coverage, could adversely affect our results of operations and business.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our products become subject to a product recall it could harm our reputation, business and financial results.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of other quantity of the biologic product presents an imminent or substantial hazard to the public health. In addition, some governmental bodies outside the United States have the authority to require the recall of any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 Recalls of any of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we engage in future acquisitions, joint ventures or collaborations, this may increase our capital requirements, dilute our shareholders, cause us to incur debt or assume contingent liabilities, and subject us to other risks. We may not realize the benefits of these acquisitions, joint ventures or collaborations.</w:t>
      </w:r>
    </w:p>
    <w:p>
      <w:pPr>
        <w:spacing w:after="0" w:line="76"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52"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7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if we undertake acquisitions, we may utilize our cash,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the ADSs and this Offering</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The price of the ADSs may be volatile and fluctuate substantially, which could result in substantial losses for purchasers of the ADSs in this offering.</w:t>
      </w:r>
    </w:p>
    <w:p>
      <w:pPr>
        <w:spacing w:after="0" w:line="6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market price of the ADSs is likely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the ADSs at or above the initial public offering price. The market price for the ADSs may be influenced by many factors, including:</w:t>
      </w:r>
    </w:p>
    <w:p>
      <w:pPr>
        <w:spacing w:after="0" w:line="92"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commencement or termination of collaborations;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numerous programs in our pipeline, the development of which could each generate news or significant adverse events that could impact financial results or recommendations by securities analysts.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our semi-annual or annual results fall below the expectations of investors or securities analysts, the price of the ADSs could decline substantially. Furthermore, any semi-annual or annual fluctuations in our results may, in turn, cause the price of the ADSs to fluctuate substantially. We believe that period-to-period comparisons of our results are not necessarily meaningful and should not be relied upon as an indication of our future performance.</w:t>
      </w:r>
    </w:p>
    <w:p>
      <w:pPr>
        <w:spacing w:after="0" w:line="18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273" w:lineRule="exact"/>
        <w:rPr>
          <w:sz w:val="20"/>
          <w:szCs w:val="20"/>
          <w:color w:val="auto"/>
        </w:rPr>
      </w:pPr>
    </w:p>
    <w:p>
      <w:pPr>
        <w:jc w:val="both"/>
        <w:ind w:left="120" w:right="160"/>
        <w:spacing w:after="0" w:line="301"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and our management will be required to devote substantial time to new compliance initiatives. We will be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4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a public company, and particularly after we are no longer an “emerging growth company” as defined in the Jumpstart Our Business Startups Act of 2012, or the JOBS Act, we will incur significant legal, accounting and other expenses that we did not incur as a private company. In addition, the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18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Pursuant to Section 404 of the Sarbanes-Oxley Act, or Section 404, we will be required to furnish a report by our management on our internal control over financial reporting, including the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our annual filings with</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9"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the SEC.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92" w:lineRule="exact"/>
        <w:rPr>
          <w:sz w:val="20"/>
          <w:szCs w:val="20"/>
          <w:color w:val="auto"/>
        </w:rPr>
      </w:pPr>
    </w:p>
    <w:p>
      <w:pPr>
        <w:ind w:left="120" w:right="200" w:firstLine="440"/>
        <w:spacing w:after="0" w:line="270" w:lineRule="auto"/>
        <w:rPr>
          <w:sz w:val="20"/>
          <w:szCs w:val="20"/>
          <w:color w:val="auto"/>
        </w:rPr>
      </w:pPr>
      <w:r>
        <w:rPr>
          <w:rFonts w:ascii="Arial" w:cs="Arial" w:eastAsia="Arial" w:hAnsi="Arial"/>
          <w:sz w:val="17"/>
          <w:szCs w:val="17"/>
          <w:color w:val="auto"/>
        </w:rPr>
        <w:t>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w:t>
      </w:r>
    </w:p>
    <w:p>
      <w:pPr>
        <w:spacing w:after="0" w:line="289" w:lineRule="exact"/>
        <w:rPr>
          <w:sz w:val="20"/>
          <w:szCs w:val="20"/>
          <w:color w:val="auto"/>
        </w:rPr>
      </w:pPr>
    </w:p>
    <w:p>
      <w:pPr>
        <w:ind w:left="120" w:right="460"/>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and may identify additional material weaknesses in the future that may cause us to fail to meet our reporting obligations or result in material misstatements in our financial statements. If we fail to remediate our material weakness, we may not be able to report our financial results accurately or to prevent fraud.</w:t>
      </w:r>
    </w:p>
    <w:p>
      <w:pPr>
        <w:spacing w:after="0" w:line="4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17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Prior to this offering, we have operated as a private company that was not required to comply with the obligations of a public company with respect to internal control over financial reporting. We have historically operated with limited accounting personnel and other resources with which to address our internal control over financial reporting.</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connection with the audit of our 2018 and 2017 financial statements in preparation for this offering, we and our auditors identified a material weakness primarily related to (i) a lack of sufficient accounting and supervisory personnel who have the appropriate level of technical accounting experience and training, (ii) a lack of supervision over external consultants and (iii) a lack of consistent application of accounting processes and procedures by our accounting personnel. These deficiencies constitute a material weakness in our internal control over financial reporting in both design and operation. As a result of the material weakness, management failed to identify audit adjustments in various areas, including but not limited to revenue, capitalization of tangible and intangible assets, and share-based compensation. We have relied on the assistance of outside advisors with expertise in these matters to assist us in the preparation of our financial statements and in our compliance with SEC reporting obligations related to this offering, and we expect to continue to do so while we remediate this material weakness.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have begun to develop a remediation plan to address the material weakness; however, our overall control environment is still immature and may expose us to errors, losses or fraud. Our remediation plan includes the hiring of additional staff. Additionally, we intend to document and implement consistent accounting policies and procedures and provide additional training to our accounting and finance staff. While we are working to remediate the material weakness as quickly and efficiently as possible, we cannot at this time provide an estimate of the costs we expect to incur or the expected timeline in connection with implementing our remediation plan. These remediation measures may be time-consuming and costly, and might place significant demands on our financial and operational resources. If we are unable to successfully remediate this material weakness or successfully supervise and rely on outside advisors with expertise in these matters to assist us in the preparation of our financial statements, our financial statements could contain material misstatements that, when discovered in the future, could cause us to fail to meet our future reporting obligations and cause the price of our ADSs to decline.</w:t>
      </w:r>
    </w:p>
    <w:p>
      <w:pPr>
        <w:spacing w:after="0" w:line="28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and the ADSs less attractive to investors.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an “emerging growth company” under the JOBS Act, and we will remain an emerging growth company until the earlier of:</w:t>
      </w:r>
    </w:p>
    <w:p>
      <w:pPr>
        <w:spacing w:after="0" w:line="131"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$1.07 billion;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previous three years;</w:t>
      </w:r>
    </w:p>
    <w:p>
      <w:pPr>
        <w:spacing w:after="0" w:line="130" w:lineRule="exact"/>
        <w:rPr>
          <w:rFonts w:ascii="Arial" w:cs="Arial" w:eastAsia="Arial" w:hAnsi="Arial"/>
          <w:sz w:val="18"/>
          <w:szCs w:val="18"/>
          <w:color w:val="auto"/>
        </w:rPr>
      </w:pPr>
    </w:p>
    <w:p>
      <w:pPr>
        <w:ind w:left="980" w:right="140" w:hanging="324"/>
        <w:spacing w:after="0" w:line="263"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as of the last business day of our most recently completed second fiscal quarter, the market value of our common equity held by non-affiliates exceeds $700 million; and</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completion of this offering.</w:t>
      </w:r>
    </w:p>
    <w:p>
      <w:pPr>
        <w:spacing w:after="0" w:line="22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52"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980" w:right="340" w:hanging="324"/>
        <w:spacing w:after="0" w:line="263"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emerging growth company. We cannot predict whether investors will find the ADSs less attractive if we rely on certain or all of these exemptions. If some investors find the ADSs less attractive as a result, there may be a less active trading market for the ADSs and the price per ADS may be more volatile.</w:t>
      </w:r>
    </w:p>
    <w:p>
      <w:pPr>
        <w:spacing w:after="0" w:line="15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the JOBS Act provides that an emerging growth company may take advantage of an extended transition period for complying with new or revised accounting standards. This allows an emerging growth</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9"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company to delay the adoption of certain accounting standards until those standards would otherwise apply to private companies. Such provisions are only applicable under U.S. GAAP. As a result, we will adopt new or revised accounting standards on the relevant dates on which adoption of such standards is required or permitted by the IASB.</w:t>
      </w:r>
    </w:p>
    <w:p>
      <w:pPr>
        <w:spacing w:after="0" w:line="29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as well as Nasdaq rules, and we are permitted to file less information with the SEC than are U.S. companies. This may limit the information available to holders of the ADSs and may make our ordinary shares and the ADSs less attractive to investors.</w:t>
      </w:r>
    </w:p>
    <w:p>
      <w:pPr>
        <w:spacing w:after="0" w:line="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a “foreign private issuer,” as defined in the rules and regulations of the SEC, and, consequently, we are not subject to all of the disclosure requirements applicable to companies organized within the United States. For example, we are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6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 foreign private issuer, we will file an annual report on Form 20-F within four months of the close of each fiscal year ending December 31 and reports on Form 6-K relating to certain material events promptly after we publicly announce these events. Additionally, we rely on a provision in the Nasdaq Stock Market’s Listed Company Manual that allows us to follow German company law and European law applicable to European stock corporations in general and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the Council Regulation (EC) No 2157/2001 of October 8, 2001 on the Statute for a European company (SE), or the SE Regulation, and the German Act on the Implementation of Council Regulation (EC) No 2157/2001 of October 8, 2001 on the Statute for a European company (SE) (</w:t>
      </w:r>
      <w:r>
        <w:rPr>
          <w:rFonts w:ascii="Arial" w:cs="Arial" w:eastAsia="Arial" w:hAnsi="Arial"/>
          <w:sz w:val="17"/>
          <w:szCs w:val="17"/>
          <w:i w:val="1"/>
          <w:iCs w:val="1"/>
          <w:color w:val="auto"/>
        </w:rPr>
        <w:t>Gesetz zur Ausführung der Verordnung</w:t>
      </w:r>
      <w:r>
        <w:rPr>
          <w:rFonts w:ascii="Arial" w:cs="Arial" w:eastAsia="Arial" w:hAnsi="Arial"/>
          <w:sz w:val="17"/>
          <w:szCs w:val="17"/>
          <w:color w:val="auto"/>
        </w:rPr>
        <w:t xml:space="preserve"> (EG) NR. 2157/2001 </w:t>
      </w:r>
      <w:r>
        <w:rPr>
          <w:rFonts w:ascii="Arial" w:cs="Arial" w:eastAsia="Arial" w:hAnsi="Arial"/>
          <w:sz w:val="17"/>
          <w:szCs w:val="17"/>
          <w:i w:val="1"/>
          <w:iCs w:val="1"/>
          <w:color w:val="auto"/>
        </w:rPr>
        <w:t>des Rates vom 8. Oktober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2001 über das Statut der Europäischen Gesellschaft </w:t>
      </w:r>
      <w:r>
        <w:rPr>
          <w:rFonts w:ascii="Arial" w:cs="Arial" w:eastAsia="Arial" w:hAnsi="Arial"/>
          <w:sz w:val="17"/>
          <w:szCs w:val="17"/>
          <w:color w:val="auto"/>
        </w:rPr>
        <w:t>(SE)) (SE-</w:t>
      </w:r>
      <w:r>
        <w:rPr>
          <w:rFonts w:ascii="Arial" w:cs="Arial" w:eastAsia="Arial" w:hAnsi="Arial"/>
          <w:sz w:val="17"/>
          <w:szCs w:val="17"/>
          <w:i w:val="1"/>
          <w:iCs w:val="1"/>
          <w:color w:val="auto"/>
        </w:rPr>
        <w:t>Ausführungsgesetz</w:t>
      </w:r>
      <w:r>
        <w:rPr>
          <w:rFonts w:ascii="Arial" w:cs="Arial" w:eastAsia="Arial" w:hAnsi="Arial"/>
          <w:sz w:val="17"/>
          <w:szCs w:val="17"/>
          <w:color w:val="auto"/>
        </w:rPr>
        <w:t>—SEAG), in particular with regard to certain aspects of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This allows us to follow certain corporate governance practices that differ in significant respects from the corporate governance requirements applicable to U.S. companies listed on Nasdaq.</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example, we are exempt from regulations of Nasdaq that require a listed U.S. company to:</w:t>
      </w:r>
    </w:p>
    <w:p>
      <w:pPr>
        <w:spacing w:after="0" w:line="131"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have a majority of the board of directors consist of independent directors;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require non-management directors to meet on a regular basis without management present;</w:t>
      </w:r>
    </w:p>
    <w:p>
      <w:pPr>
        <w:spacing w:after="0" w:line="130"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adopt a code of conduct and promptly disclose any waivers of the code for directors or executive officers that should address certain specified items;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have an independent compensation committee;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have an independent nominating committee;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shareholder meetings;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a foreign private issuer, we are permitted to follow home country practice in lieu of the above requirements. We therefore intend to continue to follow German corporate governance practices in lieu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corporate governance requirements of Nasdaq in certain respects. In particular, we intend to follow German corporate governance practices in connection with the distribution of annual and interim reports to shareholders, the application of our code of conduct to our Supervisory Board, proxy solicitation in connection with shareholders’ meetings, and obtaining shareholder approval in connection with the issuance of shares in connection with an acquisition, change of control transactions, the establishment or material amendment to any equity-based compensation plans and the issuance of shares in a private placement in excess of 20% of the outstanding share capital at less than the greater of book or market value.</w:t>
      </w:r>
    </w:p>
    <w:p>
      <w:pPr>
        <w:spacing w:after="0" w:line="16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accordance with our Nasdaq listing, 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the Nasdaq applicable to listed U.S. companies, including an affirmative determination that all members of the audit committee are “independent,” using more stringent criteria than those applicable to us as a foreign private issuer.</w:t>
      </w:r>
    </w:p>
    <w:p>
      <w:pPr>
        <w:spacing w:after="0" w:line="15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29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A significant portion of our total outstanding ordinary shares after this offering will be restricted from immediate resale but may be sold in the near future. The large number of shares eligible for sale or subject to rights requiring us to register them for sale could cause the market price of the ADSs to drop significantly, even if our business is performing well.</w:t>
      </w:r>
    </w:p>
    <w:p>
      <w:pPr>
        <w:spacing w:after="0" w:line="76"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Sales of a substantial number of ordinary shares or the ADSs could occur at any time, subject to certain restrictions described below. These sales, or the perception in the market that holders of a large number of shares intend to sell shares, could reduce the market price of the ADSs. Based on the</w:t>
      </w:r>
    </w:p>
    <w:p>
      <w:pPr>
        <w:ind w:left="120" w:right="1320"/>
        <w:spacing w:after="0" w:line="260" w:lineRule="auto"/>
        <w:rPr>
          <w:sz w:val="20"/>
          <w:szCs w:val="20"/>
          <w:color w:val="auto"/>
        </w:rPr>
      </w:pPr>
      <w:r>
        <w:rPr>
          <w:rFonts w:ascii="Arial" w:cs="Arial" w:eastAsia="Arial" w:hAnsi="Arial"/>
          <w:sz w:val="18"/>
          <w:szCs w:val="18"/>
          <w:color w:val="auto"/>
        </w:rPr>
        <w:t>number of our ordinary shares outstanding as of , 2019, we will have ordinary shares outstanding after this offering (or ordinary shares if the underwriters exercise their option to purchase additional ADSs in full).</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connection with our initial public offering, we, all of our directors and officers, and substantially all of our shareholders have entered into lock-up agreements with the underwriters and/or are subject to market standoff agreements or other agreements with us under which we and they agreed, subject to specific exceptions, not to sell any of our shares for at least 180 days following the date of our initial public offering. The remaining ordinary shares will be available for sale after this offering since they are not subject to contractual and legal restrictions on resale. Any or all of the shares subject to lock-up agreements may be released prior to the expiration of the lock-up period at the discretion of the lead underwriters for this offering. To the extent shares are released before the expiration of the lock-up period and these shares are sold into the market, the market price of the ADSs could decline.</w:t>
      </w:r>
    </w:p>
    <w:p>
      <w:pPr>
        <w:spacing w:after="0" w:line="19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of 1933, as amended, or the Securities Act, to register all ordinary shares issued or issuable under our equity plans. Any such Form S-8 registration statements will automatically become effective upon filing. Accordingly, shares registered under such registration statements will be available for sale in the open market following the expiration of the applicable lock-up period. See “Shares and ADSs Eligible for Future Sale” appearing elsewhere in this prospectus for a more detailed description of the restrictions on selling shares.</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for you to sell the ADSs.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ADSs in this offering, you will incur immediate and substantial dilution in the book value of your investment.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will suffer immediate and substantial dilution in the net tangible book value of the ADSs if you purchase ADSs in this offering. Based on an</w:t>
      </w:r>
    </w:p>
    <w:p>
      <w:pPr>
        <w:spacing w:after="0" w:line="46" w:lineRule="exact"/>
        <w:rPr>
          <w:sz w:val="20"/>
          <w:szCs w:val="20"/>
          <w:color w:val="auto"/>
        </w:rPr>
      </w:pPr>
    </w:p>
    <w:p>
      <w:pPr>
        <w:ind w:left="120" w:right="260"/>
        <w:spacing w:after="0" w:line="265" w:lineRule="auto"/>
        <w:rPr>
          <w:sz w:val="20"/>
          <w:szCs w:val="20"/>
          <w:color w:val="auto"/>
        </w:rPr>
      </w:pPr>
      <w:r>
        <w:rPr>
          <w:rFonts w:ascii="Arial" w:cs="Arial" w:eastAsia="Arial" w:hAnsi="Arial"/>
          <w:sz w:val="17"/>
          <w:szCs w:val="17"/>
          <w:color w:val="auto"/>
        </w:rPr>
        <w:t>assumed initial public offering price of $ per ADS, which is the midpoint of the price range set forth on the cover page of this prospectus, after giving effect to this offering, purchasers of ADSs in this offering will experience immediate dilution in net tangible book value of $ per ADS. In</w:t>
      </w:r>
    </w:p>
    <w:p>
      <w:pPr>
        <w:jc w:val="both"/>
        <w:ind w:left="120" w:right="40"/>
        <w:spacing w:after="0" w:line="255" w:lineRule="auto"/>
        <w:rPr>
          <w:sz w:val="20"/>
          <w:szCs w:val="20"/>
          <w:color w:val="auto"/>
        </w:rPr>
      </w:pPr>
      <w:r>
        <w:rPr>
          <w:rFonts w:ascii="Arial" w:cs="Arial" w:eastAsia="Arial" w:hAnsi="Arial"/>
          <w:sz w:val="18"/>
          <w:szCs w:val="18"/>
          <w:color w:val="auto"/>
        </w:rPr>
        <w:t>addition, after giving effect to this offering, investors purchasing ADSs in this offering will contribute % of the total amount invested by shareholders since inception but will only own % of the ordinary shares outstanding. See “Dilution” for a more detailed description of the dilution to new investors in the offering.</w:t>
      </w:r>
    </w:p>
    <w:p>
      <w:pPr>
        <w:spacing w:after="0" w:line="29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Holders of the ADSs are not treated as shareholders of our company and will not have the same voting rights as our shareholders, which may affect the value of the ADSs.</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By participating in this offering, you will become a holder of ADSs with underlying ordinary shares in a European stock corporation (</w:t>
      </w:r>
      <w:r>
        <w:rPr>
          <w:rFonts w:ascii="Arial" w:cs="Arial" w:eastAsia="Arial" w:hAnsi="Arial"/>
          <w:sz w:val="17"/>
          <w:szCs w:val="17"/>
          <w:i w:val="1"/>
          <w:iCs w:val="1"/>
          <w:color w:val="auto"/>
        </w:rPr>
        <w:t>Societas</w:t>
      </w:r>
      <w:r>
        <w:rPr>
          <w:rFonts w:ascii="Arial" w:cs="Arial" w:eastAsia="Arial" w:hAnsi="Arial"/>
          <w:sz w:val="17"/>
          <w:szCs w:val="17"/>
          <w:color w:val="auto"/>
        </w:rPr>
        <w:t xml:space="preserve"> </w:t>
      </w:r>
      <w:r>
        <w:rPr>
          <w:rFonts w:ascii="Arial" w:cs="Arial" w:eastAsia="Arial" w:hAnsi="Arial"/>
          <w:sz w:val="17"/>
          <w:szCs w:val="17"/>
          <w:i w:val="1"/>
          <w:iCs w:val="1"/>
          <w:color w:val="auto"/>
        </w:rPr>
        <w:t>Europaea</w:t>
      </w:r>
      <w:r>
        <w:rPr>
          <w:rFonts w:ascii="Arial" w:cs="Arial" w:eastAsia="Arial" w:hAnsi="Arial"/>
          <w:sz w:val="17"/>
          <w:szCs w:val="17"/>
          <w:color w:val="auto"/>
        </w:rPr>
        <w:t>). Holders of ADSs are not treated as our shareholders unless they withdraw the ordinary shares underlying the ADSs from the depositary,</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the holder of the ordinary shares underlying the ADSs. Holders of ADSs, therefore, do not have any rights as shareholders of our company, other than the rights that they have pursuant to the deposit agreement. As such, holders of ADSs will not be able to directly vote underlying ordinary shares. Holders of ADSs may instruct the depositary how to vote the ordinary shares underlying their ADSs. If we ask it to, the depositary will send out information about shareholder meetings and solicit voting instructions and will try to carry out voting instructions it receives. However, we are not required to instruct the depositary to take action with respect to shareholder meetings. If we do not do so, holders of the ADSs can still send voting instructions to the depositary, and the depositary may try to carry out those instructions, but it is not required to do so. Holders of the ADSs may not become aware of shareholder meetings if the depositary does not send out information. Even if the depositary does solicit voting instructions, holders of ADSs may not receive the information in time. As a result of these factors, holders of ADSs may not be able to effectively exercise voting rights that they would have if they held our ordinary shares directly.</w:t>
      </w:r>
    </w:p>
    <w:p>
      <w:pPr>
        <w:spacing w:after="0" w:line="29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we sell our ordinary shares or ADSs in future financings, holders of ADSs may experience immediate dilution and, as a result, the price of the ADSs may decline.</w:t>
      </w:r>
    </w:p>
    <w:p>
      <w:pPr>
        <w:spacing w:after="0" w:line="6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may from time to time issue additional ordinary shares or ADSs at a discount from the current trading price of our ordinary shares or ADSs. As a result, holders of ADSs would experience further immediate dilution upon the purchase of any ordinary shares or ADSs sold at such discount. In addition, as opportunities present themselves, we may enter into financing or similar arrangements in the future, including the issuance of debt securities, ordinary shares or ADSs. If we issue ordinary shares or securities convertible or exchangeable into ordinary shares, such as ADSs, holders of the ADSs would experience additional dilution and, as a result, the price of the ADSs may decline.</w:t>
      </w:r>
    </w:p>
    <w:p>
      <w:pPr>
        <w:spacing w:after="0" w:line="284"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collaborations and licensing arrangements. To the extent that we raise additional capital through the sale of equity or debt securities, your ownership interest will be diluted and the terms may include liquidation or other preferences that adversely affect your rights as a holder of ADSs.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collaborations and licensing arrangements with third parties or through asset sales, we may have to relinquish valuable rights to our technologies or product candidates, or grant licenses on terms unfavorable to us.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German law, the existing shareholders of a company have a preemptive right to subscribe for shares offered in proportion to the amount of shares they hold in connection with any offering of shares. However,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non-German shareholders may not be able to exercise their preemptive subscription rights in our future offerings due to the legislation and regulations of their home country. For example, ADS holders in the United States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 of ADSs may suffer adverse tax consequences if we are characterized as a passive foreign investment company.</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more than 25% (by value) of the stock. Based on certain estimates of our gross income and gross assets, the latter determined by reference to the expected value of the ADSs and our ordinary shares, we believe that we will not be classified as a PFIC for the taxable year ending December 31, 2019 and we do not expect to be treated as a PFIC in any future taxable year.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 If we were to be or become a PFIC for any taxable year during which a U.S. holder (defined below in “Taxation—Material United States Federal Income Tax Considerations”) holds ADSs, certain adverse U.S. federal income tax consequences could apply to such U.S. holder. See “Taxation—Material United States Federal Income Tax Considerations—Passive Foreign Investment Company Considerations.”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interpretation of the treatment of ADSs by the German tax authorities is subject to change.</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specific treatment of ADSs under German tax law is based on administrative provisions by the fiscal authorities, which are not codified law and are subject to change. Tax authorities may modify their interpretation and the current treatment of ADSs may change, as the circular issued by the German Federal Ministry of Finance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BMF-Schreiben</w:t>
      </w:r>
      <w:r>
        <w:rPr>
          <w:rFonts w:ascii="Arial" w:cs="Arial" w:eastAsia="Arial" w:hAnsi="Arial"/>
          <w:sz w:val="17"/>
          <w:szCs w:val="17"/>
          <w:color w:val="auto"/>
        </w:rPr>
        <w:t>), dated November 8, 2017, reference number IV C 1 – S 1980-1/16/10010 :10, shows. According to this new circular, ADSs are not treated as capital participation (</w:t>
      </w:r>
      <w:r>
        <w:rPr>
          <w:rFonts w:ascii="Arial" w:cs="Arial" w:eastAsia="Arial" w:hAnsi="Arial"/>
          <w:sz w:val="17"/>
          <w:szCs w:val="17"/>
          <w:i w:val="1"/>
          <w:iCs w:val="1"/>
          <w:color w:val="auto"/>
        </w:rPr>
        <w:t>Kapitalbeteiligung</w:t>
      </w:r>
      <w:r>
        <w:rPr>
          <w:rFonts w:ascii="Arial" w:cs="Arial" w:eastAsia="Arial" w:hAnsi="Arial"/>
          <w:sz w:val="17"/>
          <w:szCs w:val="17"/>
          <w:color w:val="auto"/>
        </w:rPr>
        <w:t>) within the meaning of Section 2 Para. 8 of the Investment Tax Code (</w:t>
      </w:r>
      <w:r>
        <w:rPr>
          <w:rFonts w:ascii="Arial" w:cs="Arial" w:eastAsia="Arial" w:hAnsi="Arial"/>
          <w:sz w:val="17"/>
          <w:szCs w:val="17"/>
          <w:i w:val="1"/>
          <w:iCs w:val="1"/>
          <w:color w:val="auto"/>
        </w:rPr>
        <w:t>Investmentsteuergesetz</w:t>
      </w:r>
      <w:r>
        <w:rPr>
          <w:rFonts w:ascii="Arial" w:cs="Arial" w:eastAsia="Arial" w:hAnsi="Arial"/>
          <w:sz w:val="17"/>
          <w:szCs w:val="17"/>
          <w:color w:val="auto"/>
        </w:rPr>
        <w:t>). Such changes in the interpretation by the fiscal authorities may have adverse effects on the taxation of investors.</w:t>
      </w:r>
    </w:p>
    <w:p>
      <w:pPr>
        <w:spacing w:after="0" w:line="27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and members of our Supervisory Board and Management Board and the experts named in this prospectus.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are incorporated under the laws of Germany as a European stock corporation (</w:t>
      </w:r>
      <w:r>
        <w:rPr>
          <w:rFonts w:ascii="Arial" w:cs="Arial" w:eastAsia="Arial" w:hAnsi="Arial"/>
          <w:sz w:val="16"/>
          <w:szCs w:val="16"/>
          <w:i w:val="1"/>
          <w:iCs w:val="1"/>
          <w:color w:val="auto"/>
        </w:rPr>
        <w:t>Societas Europaea</w:t>
      </w:r>
      <w:r>
        <w:rPr>
          <w:rFonts w:ascii="Arial" w:cs="Arial" w:eastAsia="Arial" w:hAnsi="Arial"/>
          <w:sz w:val="16"/>
          <w:szCs w:val="16"/>
          <w:color w:val="auto"/>
        </w:rPr>
        <w:t>) pursuant to the SE Regulation. The majority of our assets are located outside the United States and all of the members of our Management Board and Supervisory Board reside outside of the United States. As a result, it may not be possible for investors to effect service of process within the United States upon such persons or to enforce against them or us in U.S. courts’ judgments predicated upon the civil liability provisions of the federal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We have been advised by Freshfields Bruckhaus Deringer LLP, our German counsel, that there is currently no treaty between the United States and Germany providing for reciprocal recognition and enforceability of judgments rendered in connection with civil and commercial disputes and, accordingly, a final judgment rendered by a U.S. court based on civil liability would, except where explicitly ruled enforceable by a competent German court, not be enforceable in Germany as such. However, a U.S. court’s judgment may carry evidentiary value in any proceedings for civil liability brought in the German courts. Litigation in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or any members of our Management or Supervisory Boards.</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German and other non-U.S. courts may refuse to hear a U.S. securities law claim because such courts may not be the most appropriate forums in which to bring such a claim. Even if a non-U.S. court agrees to hear a claim, it may determine that the law of the jurisdiction in which the court resides, and not U.S. law, is applicable to the claim. Further, if U.S. law is found to be applicable, the content of applicable U.S. law must be proved as fact, which can be a time-consuming and costly process, and certain matters of procedure would still be governed by the law of the jurisdiction in which the foreign court resides.</w:t>
      </w:r>
    </w:p>
    <w:p>
      <w:pPr>
        <w:spacing w:after="0" w:line="29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rights of shareholders in a stock corporation subject to German law differ in material respects from the rights of shareholders of corporations incorporated in the United States.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are a European stock corporation (</w:t>
      </w:r>
      <w:r>
        <w:rPr>
          <w:rFonts w:ascii="Arial" w:cs="Arial" w:eastAsia="Arial" w:hAnsi="Arial"/>
          <w:sz w:val="17"/>
          <w:szCs w:val="17"/>
          <w:i w:val="1"/>
          <w:iCs w:val="1"/>
          <w:color w:val="auto"/>
        </w:rPr>
        <w:t>Societas Europaea</w:t>
      </w:r>
      <w:r>
        <w:rPr>
          <w:rFonts w:ascii="Arial" w:cs="Arial" w:eastAsia="Arial" w:hAnsi="Arial"/>
          <w:sz w:val="17"/>
          <w:szCs w:val="17"/>
          <w:color w:val="auto"/>
        </w:rPr>
        <w:t>) with our registered office in Germany. Our corporate affairs are governed by the laws governing stock corporations and European stock corporations incorporated in Germany, the SE Regulation and our articles of association. The rights of shareholders may be different from the rights and obligations of shareholders in companies governed by the laws of U.S. jurisdictions. Among other differences in shareholder rights, under German law, certain important resolutions, including, for example, capital decreases, measures under the German Transformation Act (</w:t>
      </w:r>
      <w:r>
        <w:rPr>
          <w:rFonts w:ascii="Arial" w:cs="Arial" w:eastAsia="Arial" w:hAnsi="Arial"/>
          <w:sz w:val="17"/>
          <w:szCs w:val="17"/>
          <w:i w:val="1"/>
          <w:iCs w:val="1"/>
          <w:color w:val="auto"/>
        </w:rPr>
        <w:t>Umwandlungsgesetz</w:t>
      </w:r>
      <w:r>
        <w:rPr>
          <w:rFonts w:ascii="Arial" w:cs="Arial" w:eastAsia="Arial" w:hAnsi="Arial"/>
          <w:sz w:val="17"/>
          <w:szCs w:val="17"/>
          <w:color w:val="auto"/>
        </w:rPr>
        <w:t>), such as mergers, conversions and spin-offs, the issuance of convertible bonds or bonds with warrants attached and the dissolution of the German stock corporation apart from insolvency and certain other proceedings, require the vote of a 75% majority of the capital present or represented at the relevant shareholders’ meeting. Therefore, the holder or holders of a blocking minority of 25% or, depending on the attendance level at the shareholders’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meeting, the holder or holders of a smaller percentage of the shares in a German stock corporation may be able to block any such votes, possibly to our detriment or the detriment of other shareholders.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a general rule under German law, in the case of a two-tier European stock corporation a shareholder has no direct recourse against the members of the management board and the supervisory board, in the event that it is alleged that they have breached their duty of loyalty or duty of care to the corporation. Apart from insolvency or other special circumstances, only the European stock corporation itself has the right to claim damages from members of the management and supervisory boards. A European stock corporation may waive or settle these damages claims only if at least three years have passed and the shareholders approve the waiver or settlement at the shareholders’ meeting with a simple majority of the votes cast, provided that a minority holding, in the aggregate, 10% or more of the European stock corporation’s share capital does not have its opposition formally noted in the minutes maintained by a German civil law notary.</w:t>
      </w:r>
    </w:p>
    <w:p>
      <w:pPr>
        <w:spacing w:after="0" w:line="17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In addition, the responsibilities of members of our Management Board and Supervisory Board may differ from the duties of directors of U.S. corporations. For example, in the performance of their duties, our Management Board and Supervisory Board may take into account a broad range of considerations, including our interests, the interests of our shareholders, employees, creditors and, to a limited extent, the general public. It is possible that some of these parties will have interests that are different from, or in addition to, your interests as a holder of ADSs.</w:t>
      </w:r>
    </w:p>
    <w:p>
      <w:pPr>
        <w:spacing w:after="0" w:line="157" w:lineRule="exact"/>
        <w:rPr>
          <w:sz w:val="20"/>
          <w:szCs w:val="20"/>
          <w:color w:val="auto"/>
        </w:rPr>
      </w:pPr>
    </w:p>
    <w:p>
      <w:pPr>
        <w:jc w:val="both"/>
        <w:ind w:left="120" w:right="200" w:firstLine="440"/>
        <w:spacing w:after="0" w:line="277" w:lineRule="auto"/>
        <w:rPr>
          <w:sz w:val="20"/>
          <w:szCs w:val="20"/>
          <w:color w:val="auto"/>
        </w:rPr>
      </w:pPr>
      <w:r>
        <w:rPr>
          <w:rFonts w:ascii="Arial" w:cs="Arial" w:eastAsia="Arial" w:hAnsi="Arial"/>
          <w:sz w:val="18"/>
          <w:szCs w:val="18"/>
          <w:color w:val="auto"/>
        </w:rPr>
        <w:t>For more information, we have provided summaries of relevant German corporation law and of our articles of association under “Management” and “Description of Share Capital and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the ADSs may not develop.</w:t>
      </w:r>
    </w:p>
    <w:p>
      <w:pPr>
        <w:spacing w:after="0" w:line="117"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Prior to this offering, there has been no public market for ADSs representing our ordinary shares. The initial public offering price for the ADSs was determined through negotiations with the underwriters. Although we have applied to list the ADSs on the Nasdaq Global Select Market, an active trading market for the ADSs may never develop or be sustained following this offering. If an active market for the ADSs does not develop, it may be difficult for you to sell ADSs you purchase in this offering without depressing the market price for the ADSs, or at all.</w:t>
      </w:r>
    </w:p>
    <w:p>
      <w:pPr>
        <w:spacing w:after="0" w:line="27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the ADSs, the price of the ADSs could decline.</w:t>
      </w:r>
    </w:p>
    <w:p>
      <w:pPr>
        <w:spacing w:after="0" w:line="6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trading market for the ADSs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the ADSs would likely decrease. Even if we do obtain analyst coverage, if one or more of the analysts covering our business downgrade their evaluations of the ADSs, the price of the ADSs could decline. If one or more of these analysts cease to cover the ADSs, we could lose visibility in the market for the ADSs, which in turn could cause price of the ADSs to decline.</w:t>
      </w:r>
    </w:p>
    <w:p>
      <w:pPr>
        <w:spacing w:after="0" w:line="2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executive officers, directors, five percent shareholders, and their affiliates beneficially own approximately 84.67% of our ordinary shares and,</w:t>
      </w:r>
    </w:p>
    <w:p>
      <w:pPr>
        <w:spacing w:after="0" w:line="4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upon closing of this offering, that same group will beneficially own approximately % of our outstanding ordinary shares. Therefore, even after this offering, these shareholders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you may believe are in your best interest as one of our shareholders.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including the net proceeds from this offering, and we may not use them effectively.</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management will have broad discretion in the application of our cash, cash equivalents and investments, including the net proceeds from this offering, and could spend the proceeds in ways that do not improve our results of operations or enhance the value of our ordinary shares. The failure by our management to apply these funds effectively could result in financial losses that could have a material adverse impact on our business, cause the price of the ADSs to decline, and delay the development of our product candidates. Pending their use, we may invest our cash, cash equivalents and investments, including the net proceeds from this offering, in a manner that does not produce income or that loses value. See “Use of Proceeds” for more information.</w:t>
      </w:r>
    </w:p>
    <w:p>
      <w:pPr>
        <w:spacing w:after="0" w:line="300"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b w:val="1"/>
          <w:bCs w:val="1"/>
          <w:i w:val="1"/>
          <w:iCs w:val="1"/>
          <w:color w:val="auto"/>
        </w:rPr>
        <w:t>Because we do not currently pay cash dividends on our ordinary shares and do not anticipate paying any cash dividends on our ordinary shares in the foreseeable future, capital appreciation, if any, will be your sole source of gain on your investment in the ADSs.</w:t>
      </w:r>
    </w:p>
    <w:p>
      <w:pPr>
        <w:spacing w:after="0" w:line="38"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We do not currently intend to declare or pay cash dividends on our ordinary shares. We currently intend to retain all of our future earnings, if any, to finance the growth and development of our business. In addition, the terms of any future debt agreements may preclude us from paying dividends. As a result, capital appreciation, if any, on the ADSs will be your sole source of gain for the foreseeable future.</w:t>
      </w:r>
    </w:p>
    <w:p>
      <w:pPr>
        <w:spacing w:after="0" w:line="27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62"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As a German tax resident company, if we were to pay dividends, such dividends will be subject to German withholding tax. Currently, the applicable German withholding tax rate is 26.375% of the gross dividend. This German tax can be reduced to the applicable U.S.-Germany income tax treaty, or Treaty, rate, which is generally 15%, if the applicable taxpayer is eligible for such Treaty rate and files an application containing a specific German tax certificate with the German Federal Central Tax Office (</w:t>
      </w:r>
      <w:r>
        <w:rPr>
          <w:rFonts w:ascii="Arial" w:cs="Arial" w:eastAsia="Arial" w:hAnsi="Arial"/>
          <w:sz w:val="17"/>
          <w:szCs w:val="17"/>
          <w:i w:val="1"/>
          <w:iCs w:val="1"/>
          <w:color w:val="auto"/>
        </w:rPr>
        <w:t>Bundeszentralamt für Steuern</w:t>
      </w:r>
      <w:r>
        <w:rPr>
          <w:rFonts w:ascii="Arial" w:cs="Arial" w:eastAsia="Arial" w:hAnsi="Arial"/>
          <w:sz w:val="17"/>
          <w:szCs w:val="17"/>
          <w:color w:val="auto"/>
        </w:rPr>
        <w:t>). If such a tax certificate cannot be delivered to the ADS holder due to applicable settlement mechanics or lack of information regarding the 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7"/>
          <w:szCs w:val="17"/>
          <w:i w:val="1"/>
          <w:iCs w:val="1"/>
          <w:color w:val="auto"/>
        </w:rPr>
        <w:t>Besteuerung von American Depositary Receipts (ADR) auf</w:t>
      </w:r>
      <w:r>
        <w:rPr>
          <w:rFonts w:ascii="Arial" w:cs="Arial" w:eastAsia="Arial" w:hAnsi="Arial"/>
          <w:sz w:val="17"/>
          <w:szCs w:val="17"/>
          <w:color w:val="auto"/>
        </w:rPr>
        <w:t xml:space="preserve"> </w:t>
      </w:r>
      <w:r>
        <w:rPr>
          <w:rFonts w:ascii="Arial" w:cs="Arial" w:eastAsia="Arial" w:hAnsi="Arial"/>
          <w:sz w:val="17"/>
          <w:szCs w:val="17"/>
          <w:i w:val="1"/>
          <w:iCs w:val="1"/>
          <w:color w:val="auto"/>
        </w:rPr>
        <w:t>inländische Aktien</w:t>
      </w:r>
      <w:r>
        <w:rPr>
          <w:rFonts w:ascii="Arial" w:cs="Arial" w:eastAsia="Arial" w:hAnsi="Arial"/>
          <w:sz w:val="17"/>
          <w:szCs w:val="17"/>
          <w:color w:val="auto"/>
        </w:rPr>
        <w:t>) issued by the German Federal Ministry of Finance</w:t>
      </w:r>
      <w:r>
        <w:rPr>
          <w:rFonts w:ascii="Arial" w:cs="Arial" w:eastAsia="Arial" w:hAnsi="Arial"/>
          <w:sz w:val="17"/>
          <w:szCs w:val="17"/>
          <w:i w:val="1"/>
          <w:iCs w:val="1"/>
          <w:color w:val="auto"/>
        </w:rPr>
        <w:t xml:space="preserve"> (Bundesministerium der Finanzen</w:t>
      </w:r>
      <w:r>
        <w:rPr>
          <w:rFonts w:ascii="Arial" w:cs="Arial" w:eastAsia="Arial" w:hAnsi="Arial"/>
          <w:sz w:val="17"/>
          <w:szCs w:val="17"/>
          <w:color w:val="auto"/>
        </w:rPr>
        <w:t>), dated May 24, 2013 (reference number IV C</w:t>
      </w:r>
      <w:r>
        <w:rPr>
          <w:rFonts w:ascii="Arial" w:cs="Arial" w:eastAsia="Arial" w:hAnsi="Arial"/>
          <w:sz w:val="17"/>
          <w:szCs w:val="17"/>
          <w:i w:val="1"/>
          <w:iCs w:val="1"/>
          <w:color w:val="auto"/>
        </w:rPr>
        <w:t xml:space="preserve"> </w:t>
      </w:r>
      <w:r>
        <w:rPr>
          <w:rFonts w:ascii="Arial" w:cs="Arial" w:eastAsia="Arial" w:hAnsi="Arial"/>
          <w:sz w:val="17"/>
          <w:szCs w:val="17"/>
          <w:color w:val="auto"/>
        </w:rPr>
        <w:t>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price volatility in recent years. If we face such litigation, it could result in substantial costs and a diversion of management’s attention and resources, which could harm our business.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62"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16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Nevertheless, if this jury trial waiver provision is not permitted by applicable law, an action could proceed under the terms of the deposit agreement with a jury trial.</w:t>
      </w: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This prospectus contains forward-looking statements concerning our business, operations and financial performance and condition, as well as our plans, objectives and expectations for our business operations and financial performance and condition. Many of the forward-looking statements contained in this prospectus can be identified by the use of forward-looking words such as “anticipate,” “believe,” “could,” “estimate,” “expect,” “intend,” “may,” “might,” “plan,” “potential,” “should,” “target,” “would” and other similar expressions that are predictions of or indicate future events and future trends, although not all forward-looking statements contain these identifying words.</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a variety of factors, including, but not limited to, those identified in the section titled “Risk Factors” in this prospectus. These risks and uncertainties include factors relating to:</w:t>
      </w:r>
    </w:p>
    <w:p>
      <w:pPr>
        <w:spacing w:after="0" w:line="92" w:lineRule="exact"/>
        <w:rPr>
          <w:sz w:val="20"/>
          <w:szCs w:val="20"/>
          <w:color w:val="auto"/>
        </w:rPr>
      </w:pPr>
    </w:p>
    <w:p>
      <w:pPr>
        <w:ind w:left="980" w:right="20" w:hanging="324"/>
        <w:spacing w:after="0" w:line="286" w:lineRule="auto"/>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70" w:lineRule="exact"/>
        <w:rPr>
          <w:rFonts w:ascii="Arial" w:cs="Arial" w:eastAsia="Arial" w:hAnsi="Arial"/>
          <w:sz w:val="17"/>
          <w:szCs w:val="17"/>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 for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identify research opportunities and discover and develop investigational medicines;</w:t>
      </w:r>
    </w:p>
    <w:p>
      <w:pPr>
        <w:spacing w:after="0" w:line="13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ability and willingness of our third-party collaborators to continue research and development activities relating to our development candidates and investigational medicines;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 and our needs for or ability to obtain additional financing;</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3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and our collaborators’ ability to protect and enforce our intellectual property protection for our proprietary and collaborative product candidates, and the scope of such protection;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development of and projections relating to our competitors or our industry;</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pricing and reimbursement of our investigational medicines, if approved;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rate and degree of market acceptance of our investigational medicines;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of and our ability to use net operating losses and research and development credits to offset future taxable income;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manage our development and expansion;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with advantages in turnaround times or manufacturing cost;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use of the proceeds from this offering;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 and a foreign private issuer.</w:t>
      </w:r>
    </w:p>
    <w:p>
      <w:pPr>
        <w:spacing w:after="0" w:line="24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contained in this prospectus speak only as of the date of this prospectus, and unless otherwise required by law,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40"/>
          </w:cols>
          <w:pgMar w:left="320" w:top="459" w:right="5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3000" w:type="dxa"/>
            <w:vAlign w:val="bottom"/>
          </w:tcPr>
          <w:p>
            <w:pPr>
              <w:ind w:left="1120"/>
              <w:spacing w:after="0"/>
              <w:rPr>
                <w:sz w:val="20"/>
                <w:szCs w:val="20"/>
                <w:color w:val="auto"/>
              </w:rPr>
            </w:pPr>
            <w:r>
              <w:rPr>
                <w:rFonts w:ascii="Arial" w:cs="Arial" w:eastAsia="Arial" w:hAnsi="Arial"/>
                <w:sz w:val="18"/>
                <w:szCs w:val="18"/>
                <w:b w:val="1"/>
                <w:bCs w:val="1"/>
                <w:color w:val="auto"/>
              </w:rPr>
              <w:t>USE OF PROCEEDS</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18"/>
        </w:trPr>
        <w:tc>
          <w:tcPr>
            <w:tcW w:w="6660" w:type="dxa"/>
            <w:vAlign w:val="bottom"/>
            <w:gridSpan w:val="3"/>
          </w:tcPr>
          <w:p>
            <w:pPr>
              <w:ind w:left="560"/>
              <w:spacing w:after="0"/>
              <w:rPr>
                <w:sz w:val="20"/>
                <w:szCs w:val="20"/>
                <w:color w:val="auto"/>
              </w:rPr>
            </w:pPr>
            <w:r>
              <w:rPr>
                <w:rFonts w:ascii="Arial" w:cs="Arial" w:eastAsia="Arial" w:hAnsi="Arial"/>
                <w:sz w:val="18"/>
                <w:szCs w:val="18"/>
                <w:color w:val="auto"/>
                <w:w w:val="94"/>
              </w:rPr>
              <w:t>We estimate that the net proceeds to us from this offering will be approximately $</w:t>
            </w:r>
          </w:p>
        </w:tc>
        <w:tc>
          <w:tcPr>
            <w:tcW w:w="2420" w:type="dxa"/>
            <w:vAlign w:val="bottom"/>
            <w:gridSpan w:val="2"/>
          </w:tcPr>
          <w:p>
            <w:pPr>
              <w:ind w:left="400"/>
              <w:spacing w:after="0"/>
              <w:rPr>
                <w:sz w:val="20"/>
                <w:szCs w:val="20"/>
                <w:color w:val="auto"/>
              </w:rPr>
            </w:pPr>
            <w:r>
              <w:rPr>
                <w:rFonts w:ascii="Arial" w:cs="Arial" w:eastAsia="Arial" w:hAnsi="Arial"/>
                <w:sz w:val="18"/>
                <w:szCs w:val="18"/>
                <w:color w:val="auto"/>
              </w:rPr>
              <w:t>(or approximately $</w:t>
            </w:r>
          </w:p>
        </w:tc>
        <w:tc>
          <w:tcPr>
            <w:tcW w:w="2000" w:type="dxa"/>
            <w:vAlign w:val="bottom"/>
          </w:tcPr>
          <w:p>
            <w:pPr>
              <w:jc w:val="right"/>
              <w:spacing w:after="0"/>
              <w:rPr>
                <w:sz w:val="20"/>
                <w:szCs w:val="20"/>
                <w:color w:val="auto"/>
              </w:rPr>
            </w:pPr>
            <w:r>
              <w:rPr>
                <w:rFonts w:ascii="Arial" w:cs="Arial" w:eastAsia="Arial" w:hAnsi="Arial"/>
                <w:sz w:val="18"/>
                <w:szCs w:val="18"/>
                <w:color w:val="auto"/>
                <w:w w:val="92"/>
              </w:rPr>
              <w:t>if the underwriters exercise</w:t>
            </w:r>
          </w:p>
        </w:tc>
      </w:tr>
      <w:tr>
        <w:trPr>
          <w:trHeight w:val="216"/>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in full their options to purchase an additional</w:t>
            </w:r>
          </w:p>
        </w:tc>
        <w:tc>
          <w:tcPr>
            <w:tcW w:w="4420" w:type="dxa"/>
            <w:vAlign w:val="bottom"/>
            <w:gridSpan w:val="2"/>
          </w:tcPr>
          <w:p>
            <w:pPr>
              <w:ind w:left="320"/>
              <w:spacing w:after="0"/>
              <w:rPr>
                <w:sz w:val="20"/>
                <w:szCs w:val="20"/>
                <w:color w:val="auto"/>
              </w:rPr>
            </w:pPr>
            <w:r>
              <w:rPr>
                <w:rFonts w:ascii="Arial" w:cs="Arial" w:eastAsia="Arial" w:hAnsi="Arial"/>
                <w:sz w:val="18"/>
                <w:szCs w:val="18"/>
                <w:color w:val="auto"/>
              </w:rPr>
              <w:t>ADSs), assuming an initial public offering price of $</w:t>
            </w:r>
          </w:p>
        </w:tc>
        <w:tc>
          <w:tcPr>
            <w:tcW w:w="3000" w:type="dxa"/>
            <w:vAlign w:val="bottom"/>
            <w:gridSpan w:val="2"/>
          </w:tcPr>
          <w:p>
            <w:pPr>
              <w:jc w:val="right"/>
              <w:ind w:right="110"/>
              <w:spacing w:after="0"/>
              <w:rPr>
                <w:sz w:val="20"/>
                <w:szCs w:val="20"/>
                <w:color w:val="auto"/>
              </w:rPr>
            </w:pPr>
            <w:r>
              <w:rPr>
                <w:rFonts w:ascii="Arial" w:cs="Arial" w:eastAsia="Arial" w:hAnsi="Arial"/>
                <w:sz w:val="18"/>
                <w:szCs w:val="18"/>
                <w:color w:val="auto"/>
              </w:rPr>
              <w:t>per ADS, which is the midpoint of</w:t>
            </w:r>
          </w:p>
        </w:tc>
      </w:tr>
      <w:tr>
        <w:trPr>
          <w:trHeight w:val="216"/>
        </w:trPr>
        <w:tc>
          <w:tcPr>
            <w:tcW w:w="11080" w:type="dxa"/>
            <w:vAlign w:val="bottom"/>
            <w:gridSpan w:val="6"/>
          </w:tcPr>
          <w:p>
            <w:pPr>
              <w:ind w:left="120"/>
              <w:spacing w:after="0"/>
              <w:rPr>
                <w:sz w:val="20"/>
                <w:szCs w:val="20"/>
                <w:color w:val="auto"/>
              </w:rPr>
            </w:pPr>
            <w:r>
              <w:rPr>
                <w:rFonts w:ascii="Arial" w:cs="Arial" w:eastAsia="Arial" w:hAnsi="Arial"/>
                <w:sz w:val="18"/>
                <w:szCs w:val="18"/>
                <w:color w:val="auto"/>
                <w:w w:val="94"/>
              </w:rPr>
              <w:t>the price range set forth on the cover page of this prospectus, and after deducting underwriting discounts and commissions and estimated offering</w:t>
            </w:r>
          </w:p>
        </w:tc>
      </w:tr>
      <w:tr>
        <w:trPr>
          <w:trHeight w:val="230"/>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expenses payable by us.</w:t>
            </w:r>
          </w:p>
        </w:tc>
        <w:tc>
          <w:tcPr>
            <w:tcW w:w="3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18"/>
        </w:trPr>
        <w:tc>
          <w:tcPr>
            <w:tcW w:w="6660" w:type="dxa"/>
            <w:vAlign w:val="bottom"/>
            <w:gridSpan w:val="3"/>
          </w:tcPr>
          <w:p>
            <w:pPr>
              <w:ind w:left="560"/>
              <w:spacing w:after="0"/>
              <w:rPr>
                <w:sz w:val="20"/>
                <w:szCs w:val="20"/>
                <w:color w:val="auto"/>
              </w:rPr>
            </w:pPr>
            <w:r>
              <w:rPr>
                <w:rFonts w:ascii="Arial" w:cs="Arial" w:eastAsia="Arial" w:hAnsi="Arial"/>
                <w:sz w:val="18"/>
                <w:szCs w:val="18"/>
                <w:color w:val="auto"/>
                <w:w w:val="97"/>
              </w:rPr>
              <w:t>Each $1.00 increase (decrease) in the assumed initial public offering price of $</w:t>
            </w:r>
          </w:p>
        </w:tc>
        <w:tc>
          <w:tcPr>
            <w:tcW w:w="4420" w:type="dxa"/>
            <w:vAlign w:val="bottom"/>
            <w:gridSpan w:val="3"/>
          </w:tcPr>
          <w:p>
            <w:pPr>
              <w:jc w:val="right"/>
              <w:spacing w:after="0"/>
              <w:rPr>
                <w:sz w:val="20"/>
                <w:szCs w:val="20"/>
                <w:color w:val="auto"/>
              </w:rPr>
            </w:pPr>
            <w:r>
              <w:rPr>
                <w:rFonts w:ascii="Arial" w:cs="Arial" w:eastAsia="Arial" w:hAnsi="Arial"/>
                <w:sz w:val="18"/>
                <w:szCs w:val="18"/>
                <w:color w:val="auto"/>
                <w:w w:val="95"/>
              </w:rPr>
              <w:t>per ADS, which is the midpoint of the price range set forth</w:t>
            </w:r>
          </w:p>
        </w:tc>
      </w:tr>
      <w:tr>
        <w:trPr>
          <w:trHeight w:val="230"/>
        </w:trPr>
        <w:tc>
          <w:tcPr>
            <w:tcW w:w="9080" w:type="dxa"/>
            <w:vAlign w:val="bottom"/>
            <w:gridSpan w:val="5"/>
          </w:tcPr>
          <w:p>
            <w:pPr>
              <w:ind w:left="120"/>
              <w:spacing w:after="0"/>
              <w:rPr>
                <w:sz w:val="20"/>
                <w:szCs w:val="20"/>
                <w:color w:val="auto"/>
              </w:rPr>
            </w:pPr>
            <w:r>
              <w:rPr>
                <w:rFonts w:ascii="Arial" w:cs="Arial" w:eastAsia="Arial" w:hAnsi="Arial"/>
                <w:sz w:val="18"/>
                <w:szCs w:val="18"/>
                <w:color w:val="auto"/>
                <w:w w:val="90"/>
              </w:rPr>
              <w:t>on the cover page of this prospectus, would increase (decrease) the net proceeds to us from this offering by approximately $</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million, assuming</w:t>
            </w:r>
          </w:p>
        </w:tc>
      </w:tr>
    </w:tbl>
    <w:p>
      <w:pPr>
        <w:ind w:left="120" w:right="20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ADSs offered by us, as set forth on the cover page of this prospectus, remains the same, and after deducting underwriting discounts and commissions and estimated offering expenses payable by us. We may also increase or decrease the number of ADSs we are offering. An increase</w:t>
      </w:r>
    </w:p>
    <w:p>
      <w:pPr>
        <w:spacing w:after="0" w:line="1" w:lineRule="exact"/>
        <w:rPr>
          <w:sz w:val="20"/>
          <w:szCs w:val="20"/>
          <w:color w:val="auto"/>
        </w:rPr>
      </w:pPr>
    </w:p>
    <w:p>
      <w:pPr>
        <w:jc w:val="right"/>
        <w:ind w:left="120" w:right="500"/>
        <w:spacing w:after="0" w:line="265" w:lineRule="auto"/>
        <w:rPr>
          <w:sz w:val="20"/>
          <w:szCs w:val="20"/>
          <w:color w:val="auto"/>
        </w:rPr>
      </w:pPr>
      <w:r>
        <w:rPr>
          <w:rFonts w:ascii="Arial" w:cs="Arial" w:eastAsia="Arial" w:hAnsi="Arial"/>
          <w:sz w:val="17"/>
          <w:szCs w:val="17"/>
          <w:color w:val="auto"/>
        </w:rPr>
        <w:t>(decrease) of       in the number of ADSs offered by us would increase (decrease) the net proceeds to us from this offering by approximately $ million, assuming no change in the assumed initial public offering price and after deducting underwriting discounts and commissions and</w:t>
      </w:r>
    </w:p>
    <w:p>
      <w:pPr>
        <w:ind w:left="120"/>
        <w:spacing w:after="0"/>
        <w:rPr>
          <w:sz w:val="20"/>
          <w:szCs w:val="20"/>
          <w:color w:val="auto"/>
        </w:rPr>
      </w:pPr>
      <w:r>
        <w:rPr>
          <w:rFonts w:ascii="Arial" w:cs="Arial" w:eastAsia="Arial" w:hAnsi="Arial"/>
          <w:sz w:val="18"/>
          <w:szCs w:val="18"/>
          <w:color w:val="auto"/>
        </w:rPr>
        <w:t>estimated offering expenses payable by us.</w:t>
      </w:r>
    </w:p>
    <w:p>
      <w:pPr>
        <w:spacing w:after="0" w:line="2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December 31, 2018, we had cash and cash equivalents of €411.5 million. We currently intend to use the net proceeds from this offering as follows:</w:t>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680" w:type="dxa"/>
            <w:vAlign w:val="bottom"/>
          </w:tcPr>
          <w:p>
            <w:pPr>
              <w:ind w:left="300"/>
              <w:spacing w:after="0"/>
              <w:rPr>
                <w:sz w:val="20"/>
                <w:szCs w:val="20"/>
                <w:color w:val="auto"/>
              </w:rPr>
            </w:pPr>
            <w:r>
              <w:rPr>
                <w:rFonts w:ascii="Arial" w:cs="Arial" w:eastAsia="Arial" w:hAnsi="Arial"/>
                <w:sz w:val="18"/>
                <w:szCs w:val="18"/>
                <w:color w:val="auto"/>
              </w:rPr>
              <w:t>million to advance our clinical programs, including (but not limited to) clinical trials for our FixVac product</w:t>
            </w:r>
          </w:p>
        </w:tc>
      </w:tr>
      <w:tr>
        <w:trPr>
          <w:trHeight w:val="216"/>
        </w:trPr>
        <w:tc>
          <w:tcPr>
            <w:tcW w:w="180" w:type="dxa"/>
            <w:vAlign w:val="bottom"/>
          </w:tcPr>
          <w:p>
            <w:pPr>
              <w:spacing w:after="0"/>
              <w:rPr>
                <w:sz w:val="18"/>
                <w:szCs w:val="18"/>
                <w:color w:val="auto"/>
              </w:rPr>
            </w:pP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w w:val="96"/>
              </w:rPr>
              <w:t>candidates BNT111, BNT113 and BNT114, as well as to fund our portion of the research and development expenses for each of the</w:t>
            </w:r>
          </w:p>
        </w:tc>
      </w:tr>
      <w:tr>
        <w:trPr>
          <w:trHeight w:val="216"/>
        </w:trPr>
        <w:tc>
          <w:tcPr>
            <w:tcW w:w="180" w:type="dxa"/>
            <w:vAlign w:val="bottom"/>
          </w:tcPr>
          <w:p>
            <w:pPr>
              <w:spacing w:after="0"/>
              <w:rPr>
                <w:sz w:val="18"/>
                <w:szCs w:val="18"/>
                <w:color w:val="auto"/>
              </w:rPr>
            </w:pP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w w:val="97"/>
              </w:rPr>
              <w:t>following: RO7198457 (BNT122), which is being developed in collaboration with Genentech, SAR441000 (BNT131), which is being</w:t>
            </w:r>
          </w:p>
        </w:tc>
      </w:tr>
      <w:tr>
        <w:trPr>
          <w:trHeight w:val="230"/>
        </w:trPr>
        <w:tc>
          <w:tcPr>
            <w:tcW w:w="180" w:type="dxa"/>
            <w:vAlign w:val="bottom"/>
          </w:tcPr>
          <w:p>
            <w:pPr>
              <w:spacing w:after="0"/>
              <w:rPr>
                <w:sz w:val="20"/>
                <w:szCs w:val="20"/>
                <w:color w:val="auto"/>
              </w:rPr>
            </w:pP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rPr>
              <w:t>developed in collaboration with Sanofi, and GEN1046 (BNT311), which is being developed in collaboration with Genmab;</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680" w:type="dxa"/>
            <w:vAlign w:val="bottom"/>
          </w:tcPr>
          <w:p>
            <w:pPr>
              <w:ind w:left="300"/>
              <w:spacing w:after="0"/>
              <w:rPr>
                <w:sz w:val="20"/>
                <w:szCs w:val="20"/>
                <w:color w:val="auto"/>
              </w:rPr>
            </w:pPr>
            <w:r>
              <w:rPr>
                <w:rFonts w:ascii="Arial" w:cs="Arial" w:eastAsia="Arial" w:hAnsi="Arial"/>
                <w:sz w:val="18"/>
                <w:szCs w:val="18"/>
                <w:color w:val="auto"/>
                <w:w w:val="92"/>
              </w:rPr>
              <w:t>to advance additional product candidates into clinical trials, including for our CAR T, RiboMabs and RiboCytokines</w:t>
            </w:r>
          </w:p>
        </w:tc>
      </w:tr>
      <w:tr>
        <w:trPr>
          <w:trHeight w:val="230"/>
        </w:trPr>
        <w:tc>
          <w:tcPr>
            <w:tcW w:w="180" w:type="dxa"/>
            <w:vAlign w:val="bottom"/>
          </w:tcPr>
          <w:p>
            <w:pPr>
              <w:spacing w:after="0"/>
              <w:rPr>
                <w:sz w:val="20"/>
                <w:szCs w:val="20"/>
                <w:color w:val="auto"/>
              </w:rPr>
            </w:pP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rPr>
              <w:t>platforms in oncology, and for our infectious disease and rare disease programs;</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680" w:type="dxa"/>
            <w:vAlign w:val="bottom"/>
          </w:tcPr>
          <w:p>
            <w:pPr>
              <w:ind w:left="300"/>
              <w:spacing w:after="0"/>
              <w:rPr>
                <w:sz w:val="20"/>
                <w:szCs w:val="20"/>
                <w:color w:val="auto"/>
              </w:rPr>
            </w:pPr>
            <w:r>
              <w:rPr>
                <w:rFonts w:ascii="Arial" w:cs="Arial" w:eastAsia="Arial" w:hAnsi="Arial"/>
                <w:sz w:val="18"/>
                <w:szCs w:val="18"/>
                <w:color w:val="auto"/>
                <w:w w:val="92"/>
              </w:rPr>
              <w:t>to advance additional preclinical product candidates, develop additional product candidates leveraging our current</w:t>
            </w:r>
          </w:p>
        </w:tc>
      </w:tr>
      <w:tr>
        <w:trPr>
          <w:trHeight w:val="230"/>
        </w:trPr>
        <w:tc>
          <w:tcPr>
            <w:tcW w:w="180" w:type="dxa"/>
            <w:vAlign w:val="bottom"/>
          </w:tcPr>
          <w:p>
            <w:pPr>
              <w:spacing w:after="0"/>
              <w:rPr>
                <w:sz w:val="20"/>
                <w:szCs w:val="20"/>
                <w:color w:val="auto"/>
              </w:rPr>
            </w:pPr>
          </w:p>
        </w:tc>
        <w:tc>
          <w:tcPr>
            <w:tcW w:w="10280" w:type="dxa"/>
            <w:vAlign w:val="bottom"/>
            <w:gridSpan w:val="2"/>
          </w:tcPr>
          <w:p>
            <w:pPr>
              <w:ind w:left="140"/>
              <w:spacing w:after="0"/>
              <w:rPr>
                <w:sz w:val="20"/>
                <w:szCs w:val="20"/>
                <w:color w:val="auto"/>
              </w:rPr>
            </w:pPr>
            <w:r>
              <w:rPr>
                <w:rFonts w:ascii="Arial" w:cs="Arial" w:eastAsia="Arial" w:hAnsi="Arial"/>
                <w:sz w:val="18"/>
                <w:szCs w:val="18"/>
                <w:color w:val="auto"/>
              </w:rPr>
              <w:t>therapeutic platforms and fund the further development of our core technologies; and</w:t>
            </w:r>
          </w:p>
        </w:tc>
      </w:tr>
    </w:tbl>
    <w:p>
      <w:pPr>
        <w:spacing w:after="0" w:line="107" w:lineRule="exact"/>
        <w:rPr>
          <w:sz w:val="20"/>
          <w:szCs w:val="20"/>
          <w:color w:val="auto"/>
        </w:rPr>
      </w:pPr>
    </w:p>
    <w:p>
      <w:pPr>
        <w:ind w:left="980" w:right="12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approximately $ million to fund the further expansion of our manufacturing and laboratory capacity and the continued development of our infrastructure.</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expect to use the remainder of any net proceeds from this offering, as well as our existing cash and cash equivalents, for general corporate purposes. We may also use a portion of the net proceeds to in-license or acquire or invest in complementary technologies, products, businesses or assets, either alone or together with a collaborator. However, we have no current plans, commitments or obligations to do so.</w:t>
      </w:r>
    </w:p>
    <w:p>
      <w:pPr>
        <w:spacing w:after="0" w:line="16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expected use of net proceeds from this offering represents our current intentions based on our present plans and business condition, which could change as our plans and business conditions evolve. The amounts and timing of our actual use of net proceeds will vary depending on numerous factors, including the progress of our clinical development of our product candidates, including our ongoing clinical trials. As a result, we cannot predict with certainty all of the particular uses for the net proceeds to be received upon the closing of this offering or the amounts that we will actually spend on the uses set forth above. Our management will have broad discretion in the application of the net proceeds from this offering.</w:t>
      </w:r>
    </w:p>
    <w:p>
      <w:pPr>
        <w:spacing w:after="0" w:line="16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Based on our planned use of the net proceeds of this offering and our existing cash and cash equivalents described above, we estimate that such funds will be sufficient to enable us to fund our operating expenses and capital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46"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4340" w:val="left"/>
        </w:tabs>
        <w:rPr>
          <w:sz w:val="20"/>
          <w:szCs w:val="20"/>
          <w:color w:val="auto"/>
        </w:rPr>
      </w:pPr>
      <w:r>
        <w:rPr>
          <w:rFonts w:ascii="Arial" w:cs="Arial" w:eastAsia="Arial" w:hAnsi="Arial"/>
          <w:sz w:val="18"/>
          <w:szCs w:val="18"/>
          <w:color w:val="auto"/>
        </w:rPr>
        <w:t>expenditure requirements through at least the next</w:t>
      </w:r>
      <w:r>
        <w:rPr>
          <w:sz w:val="20"/>
          <w:szCs w:val="20"/>
          <w:color w:val="auto"/>
        </w:rPr>
        <w:tab/>
      </w:r>
      <w:r>
        <w:rPr>
          <w:rFonts w:ascii="Arial" w:cs="Arial" w:eastAsia="Arial" w:hAnsi="Arial"/>
          <w:sz w:val="16"/>
          <w:szCs w:val="16"/>
          <w:color w:val="auto"/>
        </w:rPr>
        <w:t>months. We have based this estimate on assumptions that may prove to be incorrect, and we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could use our available capital resources sooner than we currently expect.</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Pending our use of the net proceeds from this offering, we plan to invest the net proceeds in short- and intermediate-term interest-bearing financial instruments.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All of the shares represented by the ADSs offered by this prospectus will generally have the same dividend rights as all of our other outstanding shares.</w:t>
      </w:r>
    </w:p>
    <w:p>
      <w:pPr>
        <w:spacing w:after="0" w:line="14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Under German law, we may pay dividends only from the distributable profit (</w:t>
      </w:r>
      <w:r>
        <w:rPr>
          <w:rFonts w:ascii="Arial" w:cs="Arial" w:eastAsia="Arial" w:hAnsi="Arial"/>
          <w:sz w:val="16"/>
          <w:szCs w:val="16"/>
          <w:i w:val="1"/>
          <w:iCs w:val="1"/>
          <w:color w:val="auto"/>
        </w:rPr>
        <w:t>Bilanzgewinn</w:t>
      </w:r>
      <w:r>
        <w:rPr>
          <w:rFonts w:ascii="Arial" w:cs="Arial" w:eastAsia="Arial" w:hAnsi="Arial"/>
          <w:sz w:val="16"/>
          <w:szCs w:val="16"/>
          <w:color w:val="auto"/>
        </w:rPr>
        <w:t>) reflected in our unconsolidated financial statements (as opposed to the consolidated financial statements for us and our subsidiaries) prepared in accordance with the principles set forth in the German Commercial Code (</w:t>
      </w:r>
      <w:r>
        <w:rPr>
          <w:rFonts w:ascii="Arial" w:cs="Arial" w:eastAsia="Arial" w:hAnsi="Arial"/>
          <w:sz w:val="16"/>
          <w:szCs w:val="16"/>
          <w:i w:val="1"/>
          <w:iCs w:val="1"/>
          <w:color w:val="auto"/>
        </w:rPr>
        <w:t>Handelsgesetzbuch</w:t>
      </w:r>
      <w:r>
        <w:rPr>
          <w:rFonts w:ascii="Arial" w:cs="Arial" w:eastAsia="Arial" w:hAnsi="Arial"/>
          <w:sz w:val="16"/>
          <w:szCs w:val="16"/>
          <w:color w:val="auto"/>
        </w:rPr>
        <w:t>) and adopted by our management board (</w:t>
      </w:r>
      <w:r>
        <w:rPr>
          <w:rFonts w:ascii="Arial" w:cs="Arial" w:eastAsia="Arial" w:hAnsi="Arial"/>
          <w:sz w:val="16"/>
          <w:szCs w:val="16"/>
          <w:i w:val="1"/>
          <w:iCs w:val="1"/>
          <w:color w:val="auto"/>
        </w:rPr>
        <w:t>Vorstand</w:t>
      </w:r>
      <w:r>
        <w:rPr>
          <w:rFonts w:ascii="Arial" w:cs="Arial" w:eastAsia="Arial" w:hAnsi="Arial"/>
          <w:sz w:val="16"/>
          <w:szCs w:val="16"/>
          <w:color w:val="auto"/>
        </w:rPr>
        <w:t>) and the supervisory board (</w:t>
      </w:r>
      <w:r>
        <w:rPr>
          <w:rFonts w:ascii="Arial" w:cs="Arial" w:eastAsia="Arial" w:hAnsi="Arial"/>
          <w:sz w:val="16"/>
          <w:szCs w:val="16"/>
          <w:i w:val="1"/>
          <w:iCs w:val="1"/>
          <w:color w:val="auto"/>
        </w:rPr>
        <w:t>Aufsichtsrat</w:t>
      </w:r>
      <w:r>
        <w:rPr>
          <w:rFonts w:ascii="Arial" w:cs="Arial" w:eastAsia="Arial" w:hAnsi="Arial"/>
          <w:sz w:val="16"/>
          <w:szCs w:val="16"/>
          <w:color w:val="auto"/>
        </w:rPr>
        <w:t>), or, as the case may be, by our shareholders in a shareholders’ meeting. See “Description of Share Capital and Articles of Association (</w:t>
      </w:r>
      <w:r>
        <w:rPr>
          <w:rFonts w:ascii="Arial" w:cs="Arial" w:eastAsia="Arial" w:hAnsi="Arial"/>
          <w:sz w:val="16"/>
          <w:szCs w:val="16"/>
          <w:i w:val="1"/>
          <w:iCs w:val="1"/>
          <w:color w:val="auto"/>
        </w:rPr>
        <w:t>Satzung</w:t>
      </w:r>
      <w:r>
        <w:rPr>
          <w:rFonts w:ascii="Arial" w:cs="Arial" w:eastAsia="Arial" w:hAnsi="Arial"/>
          <w:sz w:val="16"/>
          <w:szCs w:val="16"/>
          <w:color w:val="auto"/>
        </w:rPr>
        <w:t>),” which explains in more detail the procedures we must follow and the German law provisions that determine whether we are entitled to declare a dividend.</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320" w:top="459" w:right="5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sets forth our cash and cash equivalents and our total capitalization as of December 31, 2018:</w:t>
      </w:r>
    </w:p>
    <w:p>
      <w:pPr>
        <w:spacing w:after="0" w:line="154"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an actual basis; and</w:t>
      </w:r>
    </w:p>
    <w:p>
      <w:pPr>
        <w:sectPr>
          <w:pgSz w:w="11900" w:h="16838" w:orient="portrait"/>
          <w:cols w:equalWidth="0" w:num="1">
            <w:col w:w="11140"/>
          </w:cols>
          <w:pgMar w:left="320" w:top="459" w:right="43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an as adjusted basis to give effect to our issuance and the sale of ADSs by us in this offering, assuming an initial public offering price of $ per ADS, which is the midpoint of the price range set forth on the cover page of this prospectus, and after deducting underwriting discounts and commissions and estimated offering expenses payable by us.</w:t>
      </w:r>
    </w:p>
    <w:p>
      <w:pPr>
        <w:spacing w:after="0" w:line="184" w:lineRule="exact"/>
        <w:rPr>
          <w:sz w:val="20"/>
          <w:szCs w:val="20"/>
          <w:color w:val="auto"/>
        </w:rPr>
      </w:pPr>
    </w:p>
    <w:p>
      <w:pPr>
        <w:sectPr>
          <w:pgSz w:w="11900" w:h="16838" w:orient="portrait"/>
          <w:cols w:equalWidth="0" w:num="2">
            <w:col w:w="720" w:space="260"/>
            <w:col w:w="10160"/>
          </w:cols>
          <w:pgMar w:left="320" w:top="459" w:right="439" w:bottom="1440" w:gutter="0" w:footer="0" w:header="0"/>
          <w:type w:val="continuous"/>
        </w:sectPr>
      </w:pPr>
    </w:p>
    <w:p>
      <w:pPr>
        <w:ind w:left="120" w:right="160" w:firstLine="440"/>
        <w:spacing w:after="0" w:line="279" w:lineRule="auto"/>
        <w:rPr>
          <w:sz w:val="20"/>
          <w:szCs w:val="20"/>
          <w:color w:val="auto"/>
        </w:rPr>
      </w:pPr>
      <w:r>
        <w:rPr>
          <w:rFonts w:ascii="Arial" w:cs="Arial" w:eastAsia="Arial" w:hAnsi="Arial"/>
          <w:sz w:val="17"/>
          <w:szCs w:val="17"/>
          <w:color w:val="auto"/>
        </w:rPr>
        <w:t>Our capitalization following the offering will be adjusted based on the actual offering price and other terms of the offering determined at pricing, including the amount by which actual offering expenses are higher or lower than estimated. You should read this table in conjunction with our consolidated financial statements and related notes included in this prospectus as well as the sections titled “Use of Proceeds,” “Selected Consolidated Financial Data” and “Management’s Discussion and Analysis of Financial Condition and Results of Operations.”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6"/>
          </w:tcPr>
          <w:p>
            <w:pPr>
              <w:ind w:left="240"/>
              <w:spacing w:after="0"/>
              <w:rPr>
                <w:sz w:val="20"/>
                <w:szCs w:val="20"/>
                <w:color w:val="auto"/>
              </w:rPr>
            </w:pPr>
            <w:r>
              <w:rPr>
                <w:rFonts w:ascii="Arial" w:cs="Arial" w:eastAsia="Arial" w:hAnsi="Arial"/>
                <w:sz w:val="14"/>
                <w:szCs w:val="14"/>
                <w:b w:val="1"/>
                <w:bCs w:val="1"/>
                <w:color w:val="auto"/>
              </w:rPr>
              <w:t>As of December 31, 2018</w:t>
            </w:r>
          </w:p>
        </w:tc>
      </w:tr>
      <w:tr>
        <w:trPr>
          <w:trHeight w:val="142"/>
        </w:trPr>
        <w:tc>
          <w:tcPr>
            <w:tcW w:w="546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Actual</w:t>
            </w:r>
          </w:p>
        </w:tc>
        <w:tc>
          <w:tcPr>
            <w:tcW w:w="4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As Adjusted</w:t>
            </w:r>
          </w:p>
        </w:tc>
        <w:tc>
          <w:tcPr>
            <w:tcW w:w="60" w:type="dxa"/>
            <w:vAlign w:val="bottom"/>
            <w:tcBorders>
              <w:bottom w:val="single" w:sz="8" w:color="CCEEFF"/>
            </w:tcBorders>
          </w:tcPr>
          <w:p>
            <w:pPr>
              <w:spacing w:after="0"/>
              <w:rPr>
                <w:sz w:val="12"/>
                <w:szCs w:val="12"/>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 thousands except share and per share data)</w:t>
            </w:r>
          </w:p>
        </w:tc>
        <w:tc>
          <w:tcPr>
            <w:tcW w:w="3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346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€ 411,495</w:t>
            </w:r>
          </w:p>
        </w:tc>
        <w:tc>
          <w:tcPr>
            <w:tcW w:w="44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4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Equity</w:t>
            </w: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Ordinary shares, no par value per share: 10,738,632 shares, actual;</w:t>
            </w:r>
          </w:p>
        </w:tc>
        <w:tc>
          <w:tcPr>
            <w:tcW w:w="4300" w:type="dxa"/>
            <w:vAlign w:val="bottom"/>
            <w:gridSpan w:val="5"/>
            <w:shd w:val="clear" w:color="auto" w:fill="CCEEFF"/>
          </w:tcPr>
          <w:p>
            <w:pPr>
              <w:jc w:val="right"/>
              <w:ind w:right="2640"/>
              <w:spacing w:after="0"/>
              <w:rPr>
                <w:sz w:val="20"/>
                <w:szCs w:val="20"/>
                <w:color w:val="auto"/>
              </w:rPr>
            </w:pPr>
            <w:r>
              <w:rPr>
                <w:rFonts w:ascii="Arial" w:cs="Arial" w:eastAsia="Arial" w:hAnsi="Arial"/>
                <w:sz w:val="18"/>
                <w:szCs w:val="18"/>
                <w:color w:val="auto"/>
              </w:rPr>
              <w:t>shares, as adjusted</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Share capital</w:t>
            </w:r>
            <w:r>
              <w:rPr>
                <w:rFonts w:ascii="Arial" w:cs="Arial" w:eastAsia="Arial" w:hAnsi="Arial"/>
                <w:sz w:val="15"/>
                <w:szCs w:val="15"/>
                <w:color w:val="auto"/>
              </w:rPr>
              <w:t>(1)</w:t>
            </w:r>
          </w:p>
        </w:tc>
        <w:tc>
          <w:tcPr>
            <w:tcW w:w="4300" w:type="dxa"/>
            <w:vAlign w:val="bottom"/>
            <w:gridSpan w:val="5"/>
          </w:tcPr>
          <w:p>
            <w:pPr>
              <w:jc w:val="right"/>
              <w:ind w:right="100"/>
              <w:spacing w:after="0"/>
              <w:rPr>
                <w:sz w:val="20"/>
                <w:szCs w:val="20"/>
                <w:color w:val="auto"/>
              </w:rPr>
            </w:pPr>
            <w:r>
              <w:rPr>
                <w:rFonts w:ascii="Arial" w:cs="Arial" w:eastAsia="Arial" w:hAnsi="Arial"/>
                <w:sz w:val="18"/>
                <w:szCs w:val="18"/>
                <w:color w:val="auto"/>
              </w:rPr>
              <w:t>10,739</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reserve</w:t>
            </w:r>
            <w:r>
              <w:rPr>
                <w:rFonts w:ascii="Arial" w:cs="Arial" w:eastAsia="Arial" w:hAnsi="Arial"/>
                <w:sz w:val="15"/>
                <w:szCs w:val="15"/>
                <w:color w:val="auto"/>
              </w:rPr>
              <w:t>(1)</w:t>
            </w:r>
          </w:p>
        </w:tc>
        <w:tc>
          <w:tcPr>
            <w:tcW w:w="4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526,672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profit/(losses)</w:t>
            </w:r>
          </w:p>
        </w:tc>
        <w:tc>
          <w:tcPr>
            <w:tcW w:w="43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(245,771)</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Other reserves</w:t>
            </w:r>
          </w:p>
        </w:tc>
        <w:tc>
          <w:tcPr>
            <w:tcW w:w="3480" w:type="dxa"/>
            <w:vAlign w:val="bottom"/>
            <w:gridSpan w:val="2"/>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(25,487)</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attributable to equity holders of the parent</w:t>
            </w:r>
          </w:p>
        </w:tc>
        <w:tc>
          <w:tcPr>
            <w:tcW w:w="3480" w:type="dxa"/>
            <w:vAlign w:val="bottom"/>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3480" w:type="dxa"/>
            <w:vAlign w:val="bottom"/>
            <w:gridSpan w:val="2"/>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847</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r>
              <w:rPr>
                <w:rFonts w:ascii="Arial" w:cs="Arial" w:eastAsia="Arial" w:hAnsi="Arial"/>
                <w:sz w:val="15"/>
                <w:szCs w:val="15"/>
                <w:color w:val="auto"/>
              </w:rPr>
              <w:t>(1)</w:t>
            </w:r>
          </w:p>
        </w:tc>
        <w:tc>
          <w:tcPr>
            <w:tcW w:w="3480" w:type="dxa"/>
            <w:vAlign w:val="bottom"/>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capitalization</w:t>
            </w:r>
            <w:r>
              <w:rPr>
                <w:rFonts w:ascii="Arial" w:cs="Arial" w:eastAsia="Arial" w:hAnsi="Arial"/>
                <w:sz w:val="15"/>
                <w:szCs w:val="15"/>
                <w:color w:val="auto"/>
              </w:rPr>
              <w:t>(1)</w:t>
            </w:r>
          </w:p>
        </w:tc>
        <w:tc>
          <w:tcPr>
            <w:tcW w:w="3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€ 272,600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0" w:hanging="419"/>
        <w:spacing w:after="0" w:line="284" w:lineRule="auto"/>
        <w:tabs>
          <w:tab w:leader="none" w:pos="520" w:val="left"/>
        </w:tabs>
        <w:rPr>
          <w:sz w:val="20"/>
          <w:szCs w:val="20"/>
          <w:color w:val="auto"/>
        </w:rPr>
      </w:pPr>
      <w:r>
        <w:rPr>
          <w:rFonts w:ascii="Arial" w:cs="Arial" w:eastAsia="Arial" w:hAnsi="Arial"/>
          <w:sz w:val="16"/>
          <w:szCs w:val="16"/>
          <w:color w:val="auto"/>
        </w:rPr>
        <w:t>(1)</w:t>
        <w:tab/>
        <w:t>Each $1.00 increase (decrease) in the assumed initial public offering price of $ per ADS, which is the midpoint of the price range set forth on the cover page of this prospectus, would increase (decrease) each of cash and cash equivalents, capital reserve, total equity and total capitalization by approximately $ million, assuming the number of ADSs offered by us, as set forth on the cover page of this prospectus, remains the same, and after deducting underwriting discounts and commissions and estimated offering expenses payable by us. We may also increase or decrease the number of ADSs we are offering. An increase (decrease) of in the number of ADSs offered by us would increase (decrease) each of cash and cash equivalents, share capital, capital reserve, total equity and total capitalization by approximately $ million,</w:t>
      </w:r>
    </w:p>
    <w:p>
      <w:pPr>
        <w:spacing w:after="0" w:line="4" w:lineRule="exact"/>
        <w:rPr>
          <w:sz w:val="20"/>
          <w:szCs w:val="20"/>
          <w:color w:val="auto"/>
        </w:rPr>
      </w:pPr>
    </w:p>
    <w:p>
      <w:pPr>
        <w:ind w:left="540" w:right="580"/>
        <w:spacing w:after="0" w:line="260" w:lineRule="auto"/>
        <w:rPr>
          <w:sz w:val="20"/>
          <w:szCs w:val="20"/>
          <w:color w:val="auto"/>
        </w:rPr>
      </w:pPr>
      <w:r>
        <w:rPr>
          <w:rFonts w:ascii="Arial" w:cs="Arial" w:eastAsia="Arial" w:hAnsi="Arial"/>
          <w:sz w:val="18"/>
          <w:szCs w:val="18"/>
          <w:color w:val="auto"/>
        </w:rPr>
        <w:t>assuming no change in the assumed initial public offering price and after deducting underwriting discounts and commissions and estimated offering expenses payable by us.</w:t>
      </w:r>
    </w:p>
    <w:p>
      <w:pPr>
        <w:spacing w:after="0" w:line="18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number of our ordinary shares to be outstanding after this offering is based on 10,738,632 ordinary shares outstanding as of December 31, 2018 and excludes:</w:t>
      </w:r>
    </w:p>
    <w:p>
      <w:pPr>
        <w:spacing w:after="0" w:line="76"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658,109 ordinary shares issuable upon the exercise of options outstanding as of December 31, 2018; and</w:t>
      </w:r>
    </w:p>
    <w:p>
      <w:pPr>
        <w:spacing w:after="0" w:line="130" w:lineRule="exact"/>
        <w:rPr>
          <w:rFonts w:ascii="Arial" w:cs="Arial" w:eastAsia="Arial" w:hAnsi="Arial"/>
          <w:sz w:val="18"/>
          <w:szCs w:val="18"/>
          <w:color w:val="auto"/>
        </w:rPr>
      </w:pPr>
    </w:p>
    <w:p>
      <w:pPr>
        <w:ind w:left="1520" w:hanging="864"/>
        <w:spacing w:after="0"/>
        <w:tabs>
          <w:tab w:leader="none" w:pos="1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ordinary shares available for future issuance under our Employee Stock Ownership Plan.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If you invest in our ADSs in this offering, your interest will be diluted immediately to the extent of the difference between the initial public offering price per ADS and our as adjusted net tangible book value per ADS after completion of the offering.</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of December 31, 2018, we had a historical net tangible book value of €179 million ($ million), corresponding to a net tangible book value per ordinary share of € ($ ) (equivalent to € ($ ) per ADS). Our net tangible book value per ADS represents the amount of our total assets less our total liabilities, excluding intangible assets, divided by the number of our ordinary shares outstanding as of December 31, 2018, and multiplied by (one ADS represents ordinary shares).</w:t>
      </w:r>
    </w:p>
    <w:p>
      <w:pPr>
        <w:spacing w:after="0" w:line="187" w:lineRule="exact"/>
        <w:rPr>
          <w:sz w:val="20"/>
          <w:szCs w:val="20"/>
          <w:color w:val="auto"/>
        </w:rPr>
      </w:pPr>
    </w:p>
    <w:p>
      <w:pPr>
        <w:ind w:left="560"/>
        <w:spacing w:after="0"/>
        <w:tabs>
          <w:tab w:leader="none" w:pos="4440" w:val="left"/>
          <w:tab w:leader="none" w:pos="9380" w:val="left"/>
        </w:tabs>
        <w:rPr>
          <w:sz w:val="20"/>
          <w:szCs w:val="20"/>
          <w:color w:val="auto"/>
        </w:rPr>
      </w:pPr>
      <w:r>
        <w:rPr>
          <w:rFonts w:ascii="Arial" w:cs="Arial" w:eastAsia="Arial" w:hAnsi="Arial"/>
          <w:sz w:val="18"/>
          <w:szCs w:val="18"/>
          <w:color w:val="auto"/>
        </w:rPr>
        <w:t>After giving effect to the issuance and sale of</w:t>
      </w:r>
      <w:r>
        <w:rPr>
          <w:sz w:val="20"/>
          <w:szCs w:val="20"/>
          <w:color w:val="auto"/>
        </w:rPr>
        <w:tab/>
      </w:r>
      <w:r>
        <w:rPr>
          <w:rFonts w:ascii="Arial" w:cs="Arial" w:eastAsia="Arial" w:hAnsi="Arial"/>
          <w:sz w:val="18"/>
          <w:szCs w:val="18"/>
          <w:color w:val="auto"/>
        </w:rPr>
        <w:t>ADSs in this offering at an assumed initial offering price of $</w:t>
      </w:r>
      <w:r>
        <w:rPr>
          <w:sz w:val="20"/>
          <w:szCs w:val="20"/>
          <w:color w:val="auto"/>
        </w:rPr>
        <w:tab/>
      </w:r>
      <w:r>
        <w:rPr>
          <w:rFonts w:ascii="Arial" w:cs="Arial" w:eastAsia="Arial" w:hAnsi="Arial"/>
          <w:sz w:val="16"/>
          <w:szCs w:val="16"/>
          <w:color w:val="auto"/>
        </w:rPr>
        <w:t>per ADS, which is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midpoint of the price range set forth on the cover page of this prospectus, and after deducting underwriting discounts and commissions and estimated</w:t>
      </w:r>
    </w:p>
    <w:p>
      <w:pPr>
        <w:spacing w:after="0" w:line="386"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offering expenses payable by us, our as adjusted net tangible book value as of December 31, 2018 would have been € million ($ million), corresponding to a net tangible book value per ordinary share of € ($ ) (equivalent to € ($ ) per ADS). This represents an immediate increase in net tangible book value of € ( ) per ordinary share to existing shareholders and immediate dilution of € ($</w:t>
      </w:r>
    </w:p>
    <w:p>
      <w:pPr>
        <w:spacing w:after="0" w:line="3" w:lineRule="exact"/>
        <w:rPr>
          <w:sz w:val="20"/>
          <w:szCs w:val="20"/>
          <w:color w:val="auto"/>
        </w:rPr>
      </w:pPr>
    </w:p>
    <w:p>
      <w:pPr>
        <w:ind w:left="120" w:right="80" w:firstLine="536"/>
        <w:spacing w:after="0" w:line="255" w:lineRule="auto"/>
        <w:tabs>
          <w:tab w:leader="none" w:pos="7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 ordinary share (equivalent to € ($ ) per ADS) to new investors purchasing ADSs in this offering. Dilution per ADS to new investors is determined by subtracting our as adjusted net tangible book value per ADS from the assumed initial public offering price per ADS paid by new investors.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460" w:type="dxa"/>
            <w:vAlign w:val="bottom"/>
          </w:tcPr>
          <w:p>
            <w:pPr>
              <w:ind w:left="440"/>
              <w:spacing w:after="0"/>
              <w:rPr>
                <w:sz w:val="20"/>
                <w:szCs w:val="20"/>
                <w:color w:val="auto"/>
              </w:rPr>
            </w:pPr>
            <w:r>
              <w:rPr>
                <w:rFonts w:ascii="Arial" w:cs="Arial" w:eastAsia="Arial" w:hAnsi="Arial"/>
                <w:sz w:val="18"/>
                <w:szCs w:val="18"/>
                <w:color w:val="auto"/>
              </w:rPr>
              <w:t>The following table illustrates this dilution on a per-ADS basis:</w:t>
            </w:r>
          </w:p>
        </w:tc>
        <w:tc>
          <w:tcPr>
            <w:tcW w:w="2560" w:type="dxa"/>
            <w:vAlign w:val="bottom"/>
          </w:tcPr>
          <w:p>
            <w:pPr>
              <w:spacing w:after="0"/>
              <w:rPr>
                <w:sz w:val="20"/>
                <w:szCs w:val="20"/>
                <w:color w:val="auto"/>
              </w:rPr>
            </w:pPr>
          </w:p>
        </w:tc>
      </w:tr>
      <w:tr>
        <w:trPr>
          <w:trHeight w:val="243"/>
        </w:trPr>
        <w:tc>
          <w:tcPr>
            <w:tcW w:w="8460" w:type="dxa"/>
            <w:vAlign w:val="bottom"/>
          </w:tcPr>
          <w:p>
            <w:pPr>
              <w:spacing w:after="0"/>
              <w:rPr>
                <w:sz w:val="21"/>
                <w:szCs w:val="21"/>
                <w:color w:val="auto"/>
              </w:rPr>
            </w:pPr>
          </w:p>
        </w:tc>
        <w:tc>
          <w:tcPr>
            <w:tcW w:w="2560" w:type="dxa"/>
            <w:vAlign w:val="bottom"/>
          </w:tcPr>
          <w:p>
            <w:pPr>
              <w:spacing w:after="0"/>
              <w:rPr>
                <w:sz w:val="21"/>
                <w:szCs w:val="2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ADS</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ADS as of December 31, 2018</w:t>
            </w:r>
          </w:p>
        </w:tc>
        <w:tc>
          <w:tcPr>
            <w:tcW w:w="2560" w:type="dxa"/>
            <w:vAlign w:val="bottom"/>
          </w:tcPr>
          <w:p>
            <w:pPr>
              <w:jc w:val="right"/>
              <w:ind w:right="163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ADS attributable to new investors participating in this offering</w:t>
            </w:r>
          </w:p>
        </w:tc>
        <w:tc>
          <w:tcPr>
            <w:tcW w:w="256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As adjusted net tangible book value per ADS after this offering</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Dilution per ADS to new investors participating in this offering</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7"/>
          <w:szCs w:val="17"/>
          <w:color w:val="auto"/>
        </w:rPr>
        <w:t>Each $1.00 increase (decrease) in the assumed initial offering price of $ per ADS, which is the midpoint of the price range set forth on the cover page of this prospectus, would increase (decrease) our as adjusted net tangible book value as of December 31, 2018 by € ($ ) per ADS, and would increase (decrease) dilution to new investors in this offering by € ($ ) per ADS, assuming that the number of ADSs</w:t>
      </w:r>
    </w:p>
    <w:p>
      <w:pPr>
        <w:ind w:left="120"/>
        <w:spacing w:after="0"/>
        <w:rPr>
          <w:sz w:val="20"/>
          <w:szCs w:val="20"/>
          <w:color w:val="auto"/>
        </w:rPr>
      </w:pPr>
      <w:r>
        <w:rPr>
          <w:rFonts w:ascii="Arial" w:cs="Arial" w:eastAsia="Arial" w:hAnsi="Arial"/>
          <w:sz w:val="16"/>
          <w:szCs w:val="16"/>
          <w:color w:val="auto"/>
        </w:rPr>
        <w:t>offered by us, as set forth on the cover page of this prospectus, remains the same, and after deducting underwriting discounts and commissions and</w:t>
      </w:r>
    </w:p>
    <w:p>
      <w:pPr>
        <w:spacing w:after="0" w:line="386"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estimated offering expenses payable by us. An increase (decrease) of in the number of ADSs offered by us would increase (decrease) our as adjusted net tangible book value after this offering by approximately € ($ ) per ADS, and would decrease (increase) dilution to investors in this offering by approximately € ($ ) per ADS, assuming no change in the assumed initial public offering price per ADS and after deducting underwriting discounts and commissions and estimated offering expenses payable by us.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underwriters exercise in full their option to purchase additional ADSs, our as adjusted net tangible book value per ADS would be</w:t>
      </w:r>
    </w:p>
    <w:p>
      <w:pPr>
        <w:spacing w:after="0" w:line="35" w:lineRule="exact"/>
        <w:rPr>
          <w:sz w:val="20"/>
          <w:szCs w:val="20"/>
          <w:color w:val="auto"/>
        </w:rPr>
      </w:pPr>
    </w:p>
    <w:p>
      <w:pPr>
        <w:ind w:left="120"/>
        <w:spacing w:after="0"/>
        <w:tabs>
          <w:tab w:leader="none" w:pos="780" w:val="left"/>
          <w:tab w:leader="none" w:pos="1500" w:val="left"/>
          <w:tab w:leader="none" w:pos="9620" w:val="left"/>
          <w:tab w:leader="none" w:pos="10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representing an immediate increase in as adjusted net tangible book value to existing shareholders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per ADS</w:t>
      </w:r>
    </w:p>
    <w:p>
      <w:pPr>
        <w:spacing w:after="0" w:line="9" w:lineRule="exact"/>
        <w:rPr>
          <w:sz w:val="20"/>
          <w:szCs w:val="20"/>
          <w:color w:val="auto"/>
        </w:rPr>
      </w:pPr>
    </w:p>
    <w:p>
      <w:pPr>
        <w:ind w:left="120"/>
        <w:spacing w:after="0"/>
        <w:tabs>
          <w:tab w:leader="none" w:pos="2680" w:val="left"/>
          <w:tab w:leader="none" w:pos="3420" w:val="left"/>
        </w:tabs>
        <w:rPr>
          <w:sz w:val="20"/>
          <w:szCs w:val="20"/>
          <w:color w:val="auto"/>
        </w:rPr>
      </w:pPr>
      <w:r>
        <w:rPr>
          <w:rFonts w:ascii="Arial" w:cs="Arial" w:eastAsia="Arial" w:hAnsi="Arial"/>
          <w:sz w:val="18"/>
          <w:szCs w:val="18"/>
          <w:color w:val="auto"/>
        </w:rPr>
        <w:t>and immediate dilution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per ADS to new investors, assuming no change in the assumed initial public offering price per ADS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deducting underwriting discounts and commissions and estimated offering expenses payable by us.</w:t>
      </w:r>
    </w:p>
    <w:p>
      <w:pPr>
        <w:spacing w:after="0" w:line="21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as adjusted information is illustrative only, and we will adjust this information based on the actual initial public offering price and other terms of this offering determined at pricing.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following table sets forth, on an as adjusted basis as of December 31, 2018, the number of ordinary shares owned by existing shareholders and to be owned by new investors purchasing ADSs in this offering, the total consideration paid to us, the average price per ordinary share paid by our existing shareholders and the average price per ADS to be paid by new investors purchasing ADSs in this offering. The calculation below is based on an</w:t>
      </w:r>
    </w:p>
    <w:p>
      <w:pPr>
        <w:spacing w:after="0" w:line="2"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assumed initial public offering price of $ per ADS, which is the midpoint of the price range set forth on the cover page of this prospectus, before deducting underwriting discounts and commissions and estimated offering expenses payable by us: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7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Pr>
          <w:p>
            <w:pPr>
              <w:spacing w:after="0"/>
              <w:rPr>
                <w:sz w:val="14"/>
                <w:szCs w:val="14"/>
                <w:color w:val="auto"/>
              </w:rPr>
            </w:pPr>
          </w:p>
        </w:tc>
        <w:tc>
          <w:tcPr>
            <w:tcW w:w="1920" w:type="dxa"/>
            <w:vAlign w:val="bottom"/>
            <w:gridSpan w:val="4"/>
            <w:vMerge w:val="restart"/>
          </w:tcPr>
          <w:p>
            <w:pPr>
              <w:jc w:val="right"/>
              <w:ind w:right="43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Average Price Per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78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3"/>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Per Share</w:t>
            </w:r>
          </w:p>
        </w:tc>
        <w:tc>
          <w:tcPr>
            <w:tcW w:w="420" w:type="dxa"/>
            <w:vAlign w:val="bottom"/>
          </w:tcPr>
          <w:p>
            <w:pPr>
              <w:spacing w:after="0"/>
              <w:rPr>
                <w:sz w:val="12"/>
                <w:szCs w:val="12"/>
                <w:color w:val="auto"/>
              </w:rPr>
            </w:pPr>
          </w:p>
        </w:tc>
        <w:tc>
          <w:tcPr>
            <w:tcW w:w="1180" w:type="dxa"/>
            <w:vAlign w:val="bottom"/>
            <w:gridSpan w:val="2"/>
          </w:tcPr>
          <w:p>
            <w:pPr>
              <w:ind w:left="420"/>
              <w:spacing w:after="0" w:line="142" w:lineRule="exact"/>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4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440" w:type="dxa"/>
            <w:vAlign w:val="bottom"/>
            <w:gridSpan w:val="5"/>
          </w:tcPr>
          <w:p>
            <w:pPr>
              <w:ind w:left="44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160" w:type="dxa"/>
            <w:vAlign w:val="bottom"/>
          </w:tcPr>
          <w:p>
            <w:pPr>
              <w:spacing w:after="0"/>
              <w:rPr>
                <w:sz w:val="24"/>
                <w:szCs w:val="24"/>
                <w:color w:val="auto"/>
              </w:rPr>
            </w:pPr>
          </w:p>
        </w:tc>
        <w:tc>
          <w:tcPr>
            <w:tcW w:w="4420" w:type="dxa"/>
            <w:vAlign w:val="bottom"/>
            <w:gridSpan w:val="9"/>
          </w:tcPr>
          <w:p>
            <w:pPr>
              <w:ind w:left="120"/>
              <w:spacing w:after="0"/>
              <w:rPr>
                <w:sz w:val="20"/>
                <w:szCs w:val="20"/>
                <w:color w:val="auto"/>
              </w:rPr>
            </w:pPr>
            <w:r>
              <w:rPr>
                <w:rFonts w:ascii="Arial" w:cs="Arial" w:eastAsia="Arial" w:hAnsi="Arial"/>
                <w:sz w:val="18"/>
                <w:szCs w:val="18"/>
                <w:color w:val="auto"/>
                <w:w w:val="92"/>
              </w:rPr>
              <w:t>per ADS, which is the midpoint of the price range set forth</w:t>
            </w:r>
          </w:p>
        </w:tc>
        <w:tc>
          <w:tcPr>
            <w:tcW w:w="0" w:type="dxa"/>
            <w:vAlign w:val="bottom"/>
          </w:tcPr>
          <w:p>
            <w:pPr>
              <w:spacing w:after="0"/>
              <w:rPr>
                <w:sz w:val="1"/>
                <w:szCs w:val="1"/>
                <w:color w:val="auto"/>
              </w:rPr>
            </w:pPr>
          </w:p>
        </w:tc>
      </w:tr>
      <w:tr>
        <w:trPr>
          <w:trHeight w:val="216"/>
        </w:trPr>
        <w:tc>
          <w:tcPr>
            <w:tcW w:w="8520" w:type="dxa"/>
            <w:vAlign w:val="bottom"/>
            <w:gridSpan w:val="10"/>
          </w:tcPr>
          <w:p>
            <w:pPr>
              <w:spacing w:after="0"/>
              <w:rPr>
                <w:sz w:val="20"/>
                <w:szCs w:val="20"/>
                <w:color w:val="auto"/>
              </w:rPr>
            </w:pPr>
            <w:r>
              <w:rPr>
                <w:rFonts w:ascii="Arial" w:cs="Arial" w:eastAsia="Arial" w:hAnsi="Arial"/>
                <w:sz w:val="18"/>
                <w:szCs w:val="18"/>
                <w:color w:val="auto"/>
                <w:w w:val="93"/>
              </w:rPr>
              <w:t>on the cover page of this prospectus, would increase (decrease) the total consideration paid by new investors by $</w:t>
            </w:r>
          </w:p>
        </w:tc>
        <w:tc>
          <w:tcPr>
            <w:tcW w:w="220" w:type="dxa"/>
            <w:vAlign w:val="bottom"/>
          </w:tcPr>
          <w:p>
            <w:pPr>
              <w:spacing w:after="0"/>
              <w:rPr>
                <w:sz w:val="18"/>
                <w:szCs w:val="18"/>
                <w:color w:val="auto"/>
              </w:rPr>
            </w:pPr>
          </w:p>
        </w:tc>
        <w:tc>
          <w:tcPr>
            <w:tcW w:w="2280" w:type="dxa"/>
            <w:vAlign w:val="bottom"/>
            <w:gridSpan w:val="4"/>
          </w:tcPr>
          <w:p>
            <w:pPr>
              <w:ind w:left="60"/>
              <w:spacing w:after="0"/>
              <w:rPr>
                <w:sz w:val="20"/>
                <w:szCs w:val="20"/>
                <w:color w:val="auto"/>
              </w:rPr>
            </w:pPr>
            <w:r>
              <w:rPr>
                <w:rFonts w:ascii="Arial" w:cs="Arial" w:eastAsia="Arial" w:hAnsi="Arial"/>
                <w:sz w:val="18"/>
                <w:szCs w:val="18"/>
                <w:color w:val="auto"/>
              </w:rPr>
              <w:t>million and increase</w:t>
            </w:r>
          </w:p>
        </w:tc>
        <w:tc>
          <w:tcPr>
            <w:tcW w:w="0" w:type="dxa"/>
            <w:vAlign w:val="bottom"/>
          </w:tcPr>
          <w:p>
            <w:pPr>
              <w:spacing w:after="0"/>
              <w:rPr>
                <w:sz w:val="1"/>
                <w:szCs w:val="1"/>
                <w:color w:val="auto"/>
              </w:rPr>
            </w:pPr>
          </w:p>
        </w:tc>
      </w:tr>
      <w:tr>
        <w:trPr>
          <w:trHeight w:val="230"/>
        </w:trPr>
        <w:tc>
          <w:tcPr>
            <w:tcW w:w="6440" w:type="dxa"/>
            <w:vAlign w:val="bottom"/>
            <w:gridSpan w:val="5"/>
          </w:tcPr>
          <w:p>
            <w:pPr>
              <w:spacing w:after="0"/>
              <w:rPr>
                <w:sz w:val="20"/>
                <w:szCs w:val="20"/>
                <w:color w:val="auto"/>
              </w:rPr>
            </w:pPr>
            <w:r>
              <w:rPr>
                <w:rFonts w:ascii="Arial" w:cs="Arial" w:eastAsia="Arial" w:hAnsi="Arial"/>
                <w:sz w:val="18"/>
                <w:szCs w:val="18"/>
                <w:color w:val="auto"/>
                <w:w w:val="91"/>
              </w:rPr>
              <w:t>(decrease) the percentage of total consideration paid by new investors by approximately</w:t>
            </w:r>
          </w:p>
        </w:tc>
        <w:tc>
          <w:tcPr>
            <w:tcW w:w="4580" w:type="dxa"/>
            <w:vAlign w:val="bottom"/>
            <w:gridSpan w:val="10"/>
          </w:tcPr>
          <w:p>
            <w:pPr>
              <w:ind w:left="120"/>
              <w:spacing w:after="0"/>
              <w:rPr>
                <w:sz w:val="20"/>
                <w:szCs w:val="20"/>
                <w:color w:val="auto"/>
              </w:rPr>
            </w:pPr>
            <w:r>
              <w:rPr>
                <w:rFonts w:ascii="Arial" w:cs="Arial" w:eastAsia="Arial" w:hAnsi="Arial"/>
                <w:sz w:val="18"/>
                <w:szCs w:val="18"/>
                <w:color w:val="auto"/>
                <w:w w:val="94"/>
              </w:rPr>
              <w:t>%, assuming that the number of ADSs offered by us, as set</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forth on the cover page of this prospectus, remains the same, and before deducting underwriting discounts and commissions and estimated offering</w:t>
      </w:r>
    </w:p>
    <w:p>
      <w:pPr>
        <w:spacing w:after="0" w:line="38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expenses payable by us. An increase (decrease) of in the number of ADSs offered by us would increase (decrease) the total consideration paid by investors participating in this offering, total consideration paid by all shareholders and the average price per share paid by all shareholders by approximately $ million, $ million and $ , respectively, assuming no change in the assumed initial public offering price and before deducting underwriting discounts and commissions and estimated offering expenses payable by us.</w:t>
      </w:r>
    </w:p>
    <w:p>
      <w:pPr>
        <w:sectPr>
          <w:pgSz w:w="11900" w:h="16838" w:orient="portrait"/>
          <w:cols w:equalWidth="0" w:num="1">
            <w:col w:w="11140"/>
          </w:cols>
          <w:pgMar w:left="320" w:top="459" w:right="439" w:bottom="1440" w:gutter="0" w:footer="0" w:header="0"/>
        </w:sectPr>
      </w:pP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underwriters exercise their option to purchase additional ADSs in full, our existing shareholders would own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or</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ectPr>
          <w:pgSz w:w="11900" w:h="16838" w:orient="portrait"/>
          <w:cols w:equalWidth="0" w:num="3">
            <w:col w:w="8740" w:space="640"/>
            <w:col w:w="1340" w:space="220"/>
            <w:col w:w="200"/>
          </w:cols>
          <w:pgMar w:left="320" w:top="459" w:right="439" w:bottom="1440" w:gutter="0" w:footer="0" w:header="0"/>
          <w:type w:val="continuous"/>
        </w:sectPr>
      </w:pPr>
    </w:p>
    <w:p>
      <w:pPr>
        <w:ind w:left="120"/>
        <w:spacing w:after="0"/>
        <w:tabs>
          <w:tab w:leader="none" w:pos="4400" w:val="left"/>
          <w:tab w:leader="none" w:pos="5960" w:val="left"/>
        </w:tabs>
        <w:rPr>
          <w:sz w:val="20"/>
          <w:szCs w:val="20"/>
          <w:color w:val="auto"/>
        </w:rPr>
      </w:pPr>
      <w:r>
        <w:rPr>
          <w:rFonts w:ascii="Arial" w:cs="Arial" w:eastAsia="Arial" w:hAnsi="Arial"/>
          <w:sz w:val="18"/>
          <w:szCs w:val="18"/>
          <w:color w:val="auto"/>
        </w:rPr>
        <w:t>in the aggregate, and our new investors would own</w:t>
      </w:r>
      <w:r>
        <w:rPr>
          <w:sz w:val="20"/>
          <w:szCs w:val="20"/>
          <w:color w:val="auto"/>
        </w:rPr>
        <w:tab/>
      </w:r>
      <w:r>
        <w:rPr>
          <w:rFonts w:ascii="Arial" w:cs="Arial" w:eastAsia="Arial" w:hAnsi="Arial"/>
          <w:sz w:val="18"/>
          <w:szCs w:val="18"/>
          <w:color w:val="auto"/>
        </w:rPr>
        <w:t>ordinary shares, or</w:t>
      </w:r>
      <w:r>
        <w:rPr>
          <w:sz w:val="20"/>
          <w:szCs w:val="20"/>
          <w:color w:val="auto"/>
        </w:rPr>
        <w:tab/>
      </w:r>
      <w:r>
        <w:rPr>
          <w:rFonts w:ascii="Arial" w:cs="Arial" w:eastAsia="Arial" w:hAnsi="Arial"/>
          <w:sz w:val="16"/>
          <w:szCs w:val="16"/>
          <w:color w:val="auto"/>
        </w:rPr>
        <w:t>% in the aggregate.</w:t>
      </w:r>
    </w:p>
    <w:p>
      <w:pPr>
        <w:sectPr>
          <w:pgSz w:w="11900" w:h="16838" w:orient="portrait"/>
          <w:cols w:equalWidth="0" w:num="1">
            <w:col w:w="11140"/>
          </w:cols>
          <w:pgMar w:left="320" w:top="459" w:right="439" w:bottom="1440" w:gutter="0" w:footer="0" w:header="0"/>
          <w:type w:val="continuous"/>
        </w:sectPr>
      </w:pPr>
    </w:p>
    <w:p>
      <w:pPr>
        <w:spacing w:after="0" w:line="21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number of our ordinary shares to be outstanding after this offering is based on 10,738,632 ordinary shares outstanding as of December 31, 2018 and excludes:</w:t>
      </w:r>
    </w:p>
    <w:p>
      <w:pPr>
        <w:spacing w:after="0" w:line="76"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658,109 ordinary shares issuable upon the exercise of options outstanding as of December 31, 2018; and</w:t>
      </w:r>
    </w:p>
    <w:p>
      <w:pPr>
        <w:spacing w:after="0" w:line="130" w:lineRule="exact"/>
        <w:rPr>
          <w:rFonts w:ascii="Arial" w:cs="Arial" w:eastAsia="Arial" w:hAnsi="Arial"/>
          <w:sz w:val="18"/>
          <w:szCs w:val="18"/>
          <w:color w:val="auto"/>
        </w:rPr>
      </w:pPr>
    </w:p>
    <w:p>
      <w:pPr>
        <w:ind w:left="1560" w:hanging="904"/>
        <w:spacing w:after="0"/>
        <w:tabs>
          <w:tab w:leader="none" w:pos="1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ordinary shares available for future issuance under our Employee Stock Ownership Plan.</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following tables present selected consolidated financial data as of and for the years ended December 31, 2018 and 2017. We derived the selected consolidated statements of operations for the years ended December 31, 2018 and 2017 and the selected consolidated balance sheet data as of December 31, 2018 and 2017 from our audited consolidated financial statements included elsewhere in this prospectus. We present our consolidated financial statements in Euros and in accordance with IFRS as issued by the IASB.</w:t>
      </w:r>
    </w:p>
    <w:p>
      <w:pPr>
        <w:spacing w:after="0" w:line="17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selected consolidated financial data below should be read together with our consolidated financial statements and related notes included elsewhere in this prospectus, as well as the sections of this prospectus titled “Capitalization” and “Management’s Discussion and Analysis of Financial Condition and Results of Operations.” Our historical results for any prior period are not necessarily indicative of results to be expected in any future period.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8"/>
          </w:tcPr>
          <w:p>
            <w:pPr>
              <w:ind w:left="1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6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Revenues from contracts with customers</w:t>
            </w:r>
          </w:p>
        </w:tc>
        <w:tc>
          <w:tcPr>
            <w:tcW w:w="3820" w:type="dxa"/>
            <w:vAlign w:val="bottom"/>
            <w:gridSpan w:val="2"/>
          </w:tcPr>
          <w:p>
            <w:pPr>
              <w:ind w:left="36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548"/>
              <w:spacing w:after="0"/>
              <w:rPr>
                <w:sz w:val="20"/>
                <w:szCs w:val="20"/>
                <w:color w:val="auto"/>
              </w:rPr>
            </w:pPr>
            <w:r>
              <w:rPr>
                <w:rFonts w:ascii="Arial" w:cs="Arial" w:eastAsia="Arial" w:hAnsi="Arial"/>
                <w:sz w:val="18"/>
                <w:szCs w:val="18"/>
                <w:color w:val="auto"/>
              </w:rPr>
              <w:t>127,575</w:t>
            </w: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61,598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(13,690)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113,885</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5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(143,040)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(85,496)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488"/>
              <w:spacing w:after="0"/>
              <w:rPr>
                <w:sz w:val="20"/>
                <w:szCs w:val="20"/>
                <w:color w:val="auto"/>
              </w:rPr>
            </w:pPr>
            <w:r>
              <w:rPr>
                <w:rFonts w:ascii="Arial" w:cs="Arial" w:eastAsia="Arial" w:hAnsi="Arial"/>
                <w:sz w:val="18"/>
                <w:szCs w:val="18"/>
                <w:color w:val="auto"/>
              </w:rPr>
              <w:t>(3,041)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(26,334)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548"/>
              <w:spacing w:after="0"/>
              <w:rPr>
                <w:sz w:val="20"/>
                <w:szCs w:val="20"/>
                <w:color w:val="auto"/>
              </w:rPr>
            </w:pPr>
            <w:r>
              <w:rPr>
                <w:rFonts w:ascii="Arial" w:cs="Arial" w:eastAsia="Arial" w:hAnsi="Arial"/>
                <w:sz w:val="18"/>
                <w:szCs w:val="18"/>
                <w:color w:val="auto"/>
              </w:rPr>
              <w:t>5,396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3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(53,854)</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(61,277)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8,046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Finance expense</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488"/>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lease liability</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(1,721)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Share of loss of equity method investees</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488"/>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(47,662)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(85,905)</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Income taxes</w:t>
            </w:r>
          </w:p>
        </w:tc>
        <w:tc>
          <w:tcPr>
            <w:tcW w:w="3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(600)</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382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(48,262)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(85,950)</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Loss attributable to non-controlling interests</w:t>
            </w:r>
          </w:p>
        </w:tc>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382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(48,019)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(85,653)</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€ 411,495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172,106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652,986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374,713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Share capital</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8"/>
                <w:szCs w:val="18"/>
                <w:color w:val="auto"/>
              </w:rPr>
              <w:t>10,739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9,265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385,986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422,920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Accumulated losses</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4"/>
          </w:tcPr>
          <w:p>
            <w:pPr>
              <w:jc w:val="right"/>
              <w:ind w:right="160"/>
              <w:spacing w:after="0"/>
              <w:rPr>
                <w:sz w:val="20"/>
                <w:szCs w:val="20"/>
                <w:color w:val="auto"/>
              </w:rPr>
            </w:pPr>
            <w:r>
              <w:rPr>
                <w:rFonts w:ascii="Arial" w:cs="Arial" w:eastAsia="Arial" w:hAnsi="Arial"/>
                <w:sz w:val="18"/>
                <w:szCs w:val="18"/>
                <w:color w:val="auto"/>
              </w:rPr>
              <w:t>(245,771)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(197,753)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267,000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(48,206)</w:t>
            </w:r>
          </w:p>
        </w:tc>
        <w:tc>
          <w:tcPr>
            <w:tcW w:w="0" w:type="dxa"/>
            <w:vAlign w:val="bottom"/>
          </w:tcPr>
          <w:p>
            <w:pPr>
              <w:spacing w:after="0"/>
              <w:rPr>
                <w:sz w:val="1"/>
                <w:szCs w:val="1"/>
                <w:color w:val="auto"/>
              </w:rPr>
            </w:pPr>
          </w:p>
        </w:tc>
      </w:tr>
      <w:tr>
        <w:trPr>
          <w:trHeight w:val="365"/>
        </w:trPr>
        <w:tc>
          <w:tcPr>
            <w:tcW w:w="4520" w:type="dxa"/>
            <w:vAlign w:val="bottom"/>
          </w:tcPr>
          <w:p>
            <w:pPr>
              <w:spacing w:after="0"/>
              <w:rPr>
                <w:sz w:val="24"/>
                <w:szCs w:val="24"/>
                <w:color w:val="auto"/>
              </w:rPr>
            </w:pPr>
          </w:p>
        </w:tc>
        <w:tc>
          <w:tcPr>
            <w:tcW w:w="3620" w:type="dxa"/>
            <w:vAlign w:val="bottom"/>
          </w:tcPr>
          <w:p>
            <w:pPr>
              <w:jc w:val="right"/>
              <w:ind w:right="241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information in “Selected Consolidated Financial Data” and our financial statements and related notes included elsewhere in this prospectus. The following discussion is based on our financial information prepared in accordance with the International Financial Reporting Standards, or IFRS, as issued by the International Accounting Standards Board, or IASB,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“Risk Factors” and elsewhere in this prospectus. Please also see “Cautionary Note Regarding Forward-Looking Statements.”</w:t>
      </w:r>
    </w:p>
    <w:p>
      <w:pPr>
        <w:spacing w:after="0" w:line="166"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individualized immunotherapies for cancer as well as other diseases. We leverage powerful new therapeutic mechanisms and exploit a diverse array of biological targets to harness the power of each patient’s immune system to address the unique molecular signature of each patient’s underlying disease. We believe we are uniquely positioned to develop and commercialize the next generation of immunotherapies with the potential to significantly improve clinical outcomes for patients and usher in a new era of individualized medicine.</w:t>
      </w:r>
    </w:p>
    <w:p>
      <w:pPr>
        <w:spacing w:after="0" w:line="17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clinical stage pipeline includes seven product candidates in eight ongoing clinical trials. Our immunotherapy drug classes consist of mRNA therapeutics, engineered cell therapies, antibodies and small molecule immunomodulators, and our product candidates span oncology, infectious diseases and rare diseases.</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have assembled an exceptional team of over 1,000 employees and have established relationships with seven pharmaceutical collaborators, which comprise Genentech, Inc., or Genentech, Sanofi S.A., or Sanofi, Genmab A/S, or Genmab, Genevant Sciences, or Genevant, Eli Lilly and Company, or Eli Lilly, Bayer AG, or Bayer, and Pfizer Inc., or Pfizer. We have built out comprehensive in-house manufacturing capabilities and aim to strengthen our position as a leader in the highly automated, on-demand manufacturing of individualized therapies.</w:t>
      </w:r>
    </w:p>
    <w:p>
      <w:pPr>
        <w:spacing w:after="0" w:line="15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raised $1.1 billion of capital in private placements of our shares and from our collaborators. We use the capital we have raised to fund operations and investing activities across research for technology creation, drug discovery and clinical development programs, infrastructure (including digital infrastructure), creation of our portfolio of intellectual property, and administrative support.</w:t>
      </w:r>
    </w:p>
    <w:p>
      <w:pPr>
        <w:spacing w:after="0" w:line="184"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Since we were founded we have incurred significant operating losses. Our net losses were €48.3 million and €86.0 million for the years ended December 31, 2018 and 2017, respectively. As of December 31, 2018 and 2017, our accumulated losses were €245.8 million and €197.8 million, respectively. We expect to continue to incur significant expenses and operating losses for the foreseeable future. In addition, we anticipate that our expenses will increase significantly in connection with our ongoing activities as we:</w:t>
      </w:r>
    </w:p>
    <w:p>
      <w:pPr>
        <w:spacing w:after="0" w:line="77"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initiate additional preclinical studies or clinical or other trials for our product candidates, including under our collaboration agreements;</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or add to internal manufacturing capacity or capability;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130"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our product candidates toward commercialization;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30" w:lineRule="exact"/>
        <w:rPr>
          <w:rFonts w:ascii="Arial" w:cs="Arial" w:eastAsia="Arial" w:hAnsi="Arial"/>
          <w:sz w:val="18"/>
          <w:szCs w:val="18"/>
          <w:color w:val="auto"/>
        </w:rPr>
      </w:pPr>
    </w:p>
    <w:p>
      <w:pPr>
        <w:ind w:left="980" w:right="1040" w:hanging="324"/>
        <w:spacing w:after="0" w:line="308" w:lineRule="auto"/>
        <w:tabs>
          <w:tab w:leader="none" w:pos="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as a public company and our product development and planned future commercialization efforts, including expansion of sites in Germany and new sites in the United States;</w:t>
      </w:r>
    </w:p>
    <w:p>
      <w:pPr>
        <w:spacing w:after="0" w:line="51" w:lineRule="exact"/>
        <w:rPr>
          <w:rFonts w:ascii="Arial" w:cs="Arial" w:eastAsia="Arial" w:hAnsi="Arial"/>
          <w:sz w:val="17"/>
          <w:szCs w:val="17"/>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do not expect to generate revenue from the sale of our product candidates unless and until we successfully complete clinical development and obtain regulatory approval for such product candidates. If we seek to obtain regulatory approval for any of our product candidates, we expect to incur significant commercialization expenses.</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As a result, we will need substantial additional funding to support our continued operations and pursue our growth strategy. Until we can generate significant revenue from pharmaceutical product sales, if ever, we expect to finance our operations through a combination of public or private equity offerings and debt financings, government funding arrangements, collaborations and marketing, distribution and licensing arrangements. We may be unable to raise additional funds or enter into such other agreements on favorable terms, or at all. If we fail to raise capital or enter into such agreements as, and when, needed, we may have to significantly delay, scale back or discontinue the development and commercialization of one or more of our programs.</w:t>
      </w:r>
    </w:p>
    <w:p>
      <w:pPr>
        <w:spacing w:after="0" w:line="192"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products, we may not become profitable. If we fail to become profitable or are unable to sustain profitability on a continuing basis, then we may be unable to continue our operations at planned levels and may be forced to reduce our operations.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Our Business Units and Operating Segments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business is managed in two business units: our biotech business unit and our external services business unit. Our biotech business unit is comprised of the following three operating segments:</w:t>
      </w:r>
    </w:p>
    <w:p>
      <w:pPr>
        <w:spacing w:after="0" w:line="72" w:lineRule="exact"/>
        <w:rPr>
          <w:sz w:val="20"/>
          <w:szCs w:val="20"/>
          <w:color w:val="auto"/>
        </w:rPr>
      </w:pPr>
    </w:p>
    <w:p>
      <w:pPr>
        <w:ind w:left="980" w:hanging="324"/>
        <w:spacing w:after="0" w:line="261"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Clinical</w:t>
      </w:r>
      <w:r>
        <w:rPr>
          <w:rFonts w:ascii="Arial" w:cs="Arial" w:eastAsia="Arial" w:hAnsi="Arial"/>
          <w:sz w:val="18"/>
          <w:szCs w:val="18"/>
          <w:color w:val="auto"/>
        </w:rPr>
        <w:t xml:space="preserve"> segment contains all development activities relating to clinical programs. Clinical trials include testing the product candidates on humans. Clinical trials are an essential part of the development and licensing of the pharmaceutical products and are performed before the respective product can be placed on the market. We are actively engaged in many collaborations and licensing deals with leading pharmaceutical companies and academic collaborators.</w:t>
      </w:r>
    </w:p>
    <w:p>
      <w:pPr>
        <w:spacing w:after="0" w:line="85" w:lineRule="exact"/>
        <w:rPr>
          <w:rFonts w:ascii="Arial" w:cs="Arial" w:eastAsia="Arial" w:hAnsi="Arial"/>
          <w:sz w:val="18"/>
          <w:szCs w:val="18"/>
          <w:color w:val="auto"/>
        </w:rPr>
      </w:pPr>
    </w:p>
    <w:p>
      <w:pPr>
        <w:ind w:left="980" w:right="60" w:hanging="324"/>
        <w:spacing w:after="0" w:line="266"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Technology Platform</w:t>
      </w:r>
      <w:r>
        <w:rPr>
          <w:rFonts w:ascii="Arial" w:cs="Arial" w:eastAsia="Arial" w:hAnsi="Arial"/>
          <w:sz w:val="18"/>
          <w:szCs w:val="18"/>
          <w:color w:val="auto"/>
        </w:rPr>
        <w:t xml:space="preserve"> segment contains all development activities relating to preclinical programs. Preclinical development is the stage of research that begins before clinical trials. It is performed to determine the desired pharmacological effects and to identify any unwanted effects that may cause adverse reactions during human exposure.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right="20" w:hanging="324"/>
        <w:spacing w:after="0" w:line="314"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Manufacturing</w:t>
      </w:r>
      <w:r>
        <w:rPr>
          <w:rFonts w:ascii="Arial" w:cs="Arial" w:eastAsia="Arial" w:hAnsi="Arial"/>
          <w:sz w:val="16"/>
          <w:szCs w:val="16"/>
          <w:color w:val="auto"/>
        </w:rPr>
        <w:t xml:space="preserve"> segment is an essential part of the research and development process as it comprises the manufacturing unit of mRNA and engineered cell therapies. All of the medical substances and tools that form the basis for the research studies performed by BioNTech are manufactured in this segment (</w:t>
      </w:r>
      <w:r>
        <w:rPr>
          <w:rFonts w:ascii="Arial" w:cs="Arial" w:eastAsia="Arial" w:hAnsi="Arial"/>
          <w:sz w:val="16"/>
          <w:szCs w:val="16"/>
          <w:i w:val="1"/>
          <w:iCs w:val="1"/>
          <w:color w:val="auto"/>
        </w:rPr>
        <w:t>i.e.</w:t>
      </w:r>
      <w:r>
        <w:rPr>
          <w:rFonts w:ascii="Arial" w:cs="Arial" w:eastAsia="Arial" w:hAnsi="Arial"/>
          <w:sz w:val="16"/>
          <w:szCs w:val="16"/>
          <w:color w:val="auto"/>
        </w:rPr>
        <w:t>, the manufacturing segment contains only internally produced substances and tools).</w:t>
      </w:r>
    </w:p>
    <w:p>
      <w:pPr>
        <w:spacing w:after="0" w:line="14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biotech business unit also includes our business services operations. Our business services operations comprise our central administrative functions, such as finance, procurement, human resources, legal and intellectual property. Revenue and Expenses relating to a program are attributed to the Technology Platform segment until the program commences late-stage preclinical studies, including IND-enabling studies, at which time the program revenues and expenses are attributed to the clinical segment. In addition, the majority of our Manufacturing segment revenue and expenses are related to the development of our clinical product candidates.</w:t>
      </w:r>
    </w:p>
    <w:p>
      <w:pPr>
        <w:spacing w:after="0" w:line="188"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Our external services business unit comprises the external services segment, which includes activities related to the sales of diagnostic products, peptides, retroviral vectors for clinical supply, and development and manufacturing services that are sold to third-party customers.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940" w:type="dxa"/>
            <w:vAlign w:val="bottom"/>
          </w:tcPr>
          <w:p>
            <w:pPr>
              <w:spacing w:after="0"/>
              <w:rPr>
                <w:sz w:val="12"/>
                <w:szCs w:val="12"/>
                <w:color w:val="auto"/>
              </w:rPr>
            </w:pPr>
          </w:p>
        </w:tc>
        <w:tc>
          <w:tcPr>
            <w:tcW w:w="8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127,575</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61,598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(13,690)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(9,318)</w:t>
            </w:r>
          </w:p>
        </w:tc>
      </w:tr>
      <w:tr>
        <w:trPr>
          <w:trHeight w:val="27"/>
        </w:trPr>
        <w:tc>
          <w:tcPr>
            <w:tcW w:w="5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113,885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52,280</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(143,040)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(85,496)</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(3,041)</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(6,603)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(26,334)</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(23,520)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5,396</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(720)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(288)</w:t>
            </w:r>
          </w:p>
        </w:tc>
      </w:tr>
      <w:tr>
        <w:trPr>
          <w:trHeight w:val="27"/>
        </w:trPr>
        <w:tc>
          <w:tcPr>
            <w:tcW w:w="5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(53,854)</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(61,277)</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Finance income</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(26,007)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(1,721)</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(676)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equity method investees</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(47,662)</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(85,905)</w:t>
            </w:r>
          </w:p>
        </w:tc>
        <w:tc>
          <w:tcPr>
            <w:tcW w:w="10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(48,262)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(85,950)</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To date, we have not generated any revenue from the sale of pharmaceutical products. Our revenue has been primarily derived from our collaborations and the sale of diagnostic products, peptides, retroviral vectors for clinical supply, and development and manufacturing services that are sold to third-party customers.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40"/>
          </w:cols>
          <w:pgMar w:left="320" w:top="459" w:right="5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revenue recognized for the years ended December 31, 2018 and 2017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Collaboration revenue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101,837</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42,333</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sales transactions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25,738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19,265</w:t>
            </w:r>
          </w:p>
        </w:tc>
      </w:tr>
      <w:tr>
        <w:trPr>
          <w:trHeight w:val="223"/>
        </w:trPr>
        <w:tc>
          <w:tcPr>
            <w:tcW w:w="6340" w:type="dxa"/>
            <w:vAlign w:val="bottom"/>
          </w:tcPr>
          <w:p>
            <w:pPr>
              <w:ind w:left="72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127,575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61,598</w:t>
            </w: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collaboration revenue for the years ended December 31, 2018 and 2017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454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Collaboration revenue:</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Eli Lilly</w:t>
            </w:r>
          </w:p>
        </w:tc>
        <w:tc>
          <w:tcPr>
            <w:tcW w:w="1920" w:type="dxa"/>
            <w:vAlign w:val="bottom"/>
            <w:gridSpan w:val="2"/>
          </w:tcPr>
          <w:p>
            <w:pPr>
              <w:ind w:left="18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676</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2,074</w:t>
            </w: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Genentech</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27,829</w:t>
            </w: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Genmab</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2,740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6,765</w:t>
            </w: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Pfizer</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Sanofi</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41,712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5,665</w:t>
            </w:r>
          </w:p>
        </w:tc>
      </w:tr>
      <w:tr>
        <w:trPr>
          <w:trHeight w:val="27"/>
        </w:trPr>
        <w:tc>
          <w:tcPr>
            <w:tcW w:w="4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collaboration revenue</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101,837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42,333</w:t>
            </w:r>
          </w:p>
        </w:tc>
      </w:tr>
      <w:tr>
        <w:trPr>
          <w:trHeight w:val="20"/>
        </w:trPr>
        <w:tc>
          <w:tcPr>
            <w:tcW w:w="4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Our collaboration revenue consists of milestone payments, upfront licensing payments and reimbursement of development expenses. Certain of these payments are initially recorded on our statement of financial position and are subsequently recognized as revenue in accordance with our accounting policy as described further in “—Critical Accounting Policies and Use of Estimates” and Note 2.3.4 to our consolidated financial statements included elsewhere in this prospectus. Our collaborations with Bayer and Genevant did not result in any revenue in 2018 and 2017.</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revenue from other sales transactions consists of sales of diagnostic products, peptides, retroviral vectors for clinical supply, and development and manufacturing services sold to third-party customers.</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ability to generate revenue from sales of pharmaceutical products and become profitable depends upon our and our collaborators’ ability to successfully commercialize our product candidates. For the foreseeable future, we do not expect revenue from pharmaceutical product sales. To the extent that existing or potential future collaborations generate revenue, our revenue may vary due to many uncertainties in the development of our product candidates and other factors.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further information on our revenue recognition policies, see “—Critical Accounting Policies and Use of Estimates—Revenue Recognition.”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cost of sales includes personnel-related expenses, social security expenses, laboratory supplies, purchased services, depreciation and other expenses incurred in connection with the manufacturing of our external products.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cost of sales for the years ended December 31, 2018 and 2017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sales: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Wages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5,582</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5,115</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Social security expenses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Laboratory supplies</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1,368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2,849</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 services</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r>
      <w:tr>
        <w:trPr>
          <w:trHeight w:val="223"/>
        </w:trPr>
        <w:tc>
          <w:tcPr>
            <w:tcW w:w="6200" w:type="dxa"/>
            <w:vAlign w:val="bottom"/>
          </w:tcPr>
          <w:p>
            <w:pPr>
              <w:ind w:left="720"/>
              <w:spacing w:after="0"/>
              <w:rPr>
                <w:sz w:val="20"/>
                <w:szCs w:val="20"/>
                <w:color w:val="auto"/>
              </w:rPr>
            </w:pPr>
            <w:r>
              <w:rPr>
                <w:rFonts w:ascii="Arial" w:cs="Arial" w:eastAsia="Arial" w:hAnsi="Arial"/>
                <w:sz w:val="18"/>
                <w:szCs w:val="18"/>
                <w:b w:val="1"/>
                <w:bCs w:val="1"/>
                <w:color w:val="auto"/>
              </w:rPr>
              <w:t>Total cost of sales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13,690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9,318</w:t>
            </w:r>
          </w:p>
        </w:tc>
        <w:tc>
          <w:tcPr>
            <w:tcW w:w="4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expenses. All research and development expenses are expensed as incurred. Research and development expenses include our share of expenses payable by us under the terms of our collaboration agreements and 100% of the expenses for our wholly owned product candidates. Research and development expenses represent costs incurred by us for the following:</w:t>
      </w:r>
    </w:p>
    <w:p>
      <w:pPr>
        <w:spacing w:after="0" w:line="92"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 to develop our platforms;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discovery efforts leading to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clinical development expenses for our programs;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 to develop our manufacturing technology and infrastructure;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digital infrastructure costs.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costs above comprise the following categories:</w:t>
      </w:r>
    </w:p>
    <w:p>
      <w:pPr>
        <w:spacing w:after="0" w:line="131" w:lineRule="exact"/>
        <w:rPr>
          <w:sz w:val="20"/>
          <w:szCs w:val="20"/>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share-based compensation expense and social security expense;</w:t>
      </w:r>
    </w:p>
    <w:p>
      <w:pPr>
        <w:spacing w:after="0" w:line="13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contract research organizations, or CROs, that conduct our preclinical studies and clinical trials, and in-licensing arrangements;</w:t>
      </w:r>
    </w:p>
    <w:p>
      <w:pPr>
        <w:spacing w:after="0" w:line="7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costs of acquiring, developing and manufacturing materials for preclinical studies and clinical trials, including both internal manufacturing and third-party contract manufacturing organizations, or CMOs;</w:t>
      </w:r>
    </w:p>
    <w:p>
      <w:pPr>
        <w:spacing w:after="0" w:line="7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incurred for the procurement of materials, laboratory supplies and non-capital equipment used in the research and development process; and</w:t>
      </w:r>
    </w:p>
    <w:p>
      <w:pPr>
        <w:spacing w:after="0" w:line="75" w:lineRule="exact"/>
        <w:rPr>
          <w:rFonts w:ascii="Arial" w:cs="Arial" w:eastAsia="Arial" w:hAnsi="Arial"/>
          <w:sz w:val="18"/>
          <w:szCs w:val="18"/>
          <w:color w:val="auto"/>
        </w:rPr>
      </w:pPr>
    </w:p>
    <w:p>
      <w:pPr>
        <w:ind w:left="5480" w:right="100" w:hanging="4824"/>
        <w:spacing w:after="0" w:line="449" w:lineRule="auto"/>
        <w:tabs>
          <w:tab w:leader="none" w:pos="9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facilities, depreciation and amortization, and other direct and allocated expenses incurred as a result of research and development activities. 106</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summarizes our research and development expenses for the years ended December 31, 2018 and 2017 (in thousands):</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Research and development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w w:val="98"/>
              </w:rPr>
              <w:t>Wages and social security expenses (excluding share-based compensation)</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38,882</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26,403</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5,567</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Purchased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42,079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22,686</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Laboratory supplies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22,921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15,762</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18,312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9,859</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5,219</w:t>
            </w:r>
          </w:p>
        </w:tc>
      </w:tr>
      <w:tr>
        <w:trPr>
          <w:trHeight w:val="223"/>
        </w:trPr>
        <w:tc>
          <w:tcPr>
            <w:tcW w:w="6340" w:type="dxa"/>
            <w:vAlign w:val="bottom"/>
          </w:tcPr>
          <w:p>
            <w:pPr>
              <w:ind w:left="720"/>
              <w:spacing w:after="0"/>
              <w:rPr>
                <w:sz w:val="20"/>
                <w:szCs w:val="20"/>
                <w:color w:val="auto"/>
              </w:rPr>
            </w:pPr>
            <w:r>
              <w:rPr>
                <w:rFonts w:ascii="Arial" w:cs="Arial" w:eastAsia="Arial" w:hAnsi="Arial"/>
                <w:sz w:val="18"/>
                <w:szCs w:val="18"/>
                <w:b w:val="1"/>
                <w:bCs w:val="1"/>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143,040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85,496</w:t>
            </w: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Our “other” research and development expenses comprise expenses in relation to clinical studies, travel costs, incidental rental costs, and lease and lease-related costs.</w:t>
      </w:r>
    </w:p>
    <w:p>
      <w:pPr>
        <w:spacing w:after="0" w:line="17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largest component of our total operating expenses has historically been our investment in research and development activities, including development of our platforms and manufacturing technologies. We cannot reasonably estimate the nature, timing and amount of research and development expenses required to complete the development of the product candidates we are currently developing or may develop in the future. There are numerous risks and uncertainties associated with the research and development of such product candidates, including, but not limited to:</w:t>
      </w:r>
    </w:p>
    <w:p>
      <w:pPr>
        <w:spacing w:after="0" w:line="63"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scope, progress and expense of developing ongoing and future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entry in and completion of related preclinical studies;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enrollment in and completion of subsequent clinical trials;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safety and efficacy of product candidates resulting from these clinical trials;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changes in laws or regulations relevant to the investigational medicines in development;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receipt of the required regulatory approvals;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commercialization, including establishing manufacturing and marketing capabilities.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 change in expectations or outcomes of any of the known or unknown risks and uncertainties may materially impact our expected research and development expenditures. Continued research and development is central to the ongoing activities of our business. Product candidates in later stages of clinical development generally have higher development expenses than those in earlier stages of clinical development, primarily due to the increased size and duration of later-stage clinical trials. We expect these costs to continue to increase in the future as our product candidates progress through the development phases and as we identify and develop additional programs.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Our sales and marketing expenses consist of personnel-related costs, purchased services, travel costs, social security, transport costs and depreciation. If we obtain regulatory approval for any of our product candidates and do not enter into any third-party commercialization collaborations, we expect to incur significant expenses related to building a sales and marketing team to support sales, marketing and distribution activities.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60"/>
          </w:cols>
          <w:pgMar w:left="320" w:top="459" w:right="5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Our sales and marketing expenses amounted to €3.0 million in 2018, €0.8 million of which constituted expenses for purchased services. Our sales and marketing expenses amounted to €6.6 million in 2017, €2.8 million of which constituted expenses for purchased services.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costs (including share-based compensation) for finance, legal, human resources, business development and other administrative and operational functions, professional fees, accounting and legal services, information technology and facility-related costs. These costs relate to the operation of the business, unrelated to the research and development function or any individual program.</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our general and administrative expenses for the years ended December 31, 2018 and 2017 (in thousands):</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544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General and administrative expenses:</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2"/>
        </w:trPr>
        <w:tc>
          <w:tcPr>
            <w:tcW w:w="5440" w:type="dxa"/>
            <w:vAlign w:val="bottom"/>
          </w:tcPr>
          <w:p>
            <w:pPr>
              <w:ind w:left="360"/>
              <w:spacing w:after="0" w:line="201" w:lineRule="exact"/>
              <w:rPr>
                <w:sz w:val="20"/>
                <w:szCs w:val="20"/>
                <w:color w:val="auto"/>
              </w:rPr>
            </w:pPr>
            <w:r>
              <w:rPr>
                <w:rFonts w:ascii="Arial" w:cs="Arial" w:eastAsia="Arial" w:hAnsi="Arial"/>
                <w:sz w:val="18"/>
                <w:szCs w:val="18"/>
                <w:color w:val="auto"/>
              </w:rPr>
              <w:t>Wages and social security expenses (excluding share-based</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440" w:type="dxa"/>
            <w:vAlign w:val="bottom"/>
          </w:tcPr>
          <w:p>
            <w:pPr>
              <w:ind w:left="540"/>
              <w:spacing w:after="0"/>
              <w:rPr>
                <w:sz w:val="20"/>
                <w:szCs w:val="20"/>
                <w:color w:val="auto"/>
              </w:rPr>
            </w:pPr>
            <w:r>
              <w:rPr>
                <w:rFonts w:ascii="Arial" w:cs="Arial" w:eastAsia="Arial" w:hAnsi="Arial"/>
                <w:sz w:val="18"/>
                <w:szCs w:val="18"/>
                <w:color w:val="auto"/>
              </w:rPr>
              <w:t>compensation)</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7,854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6,363</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3,498</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IT and office equipment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3,774</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2,706</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 services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5,177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3,544</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Office costs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1,611</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2,284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r>
      <w:tr>
        <w:trPr>
          <w:trHeight w:val="223"/>
        </w:trPr>
        <w:tc>
          <w:tcPr>
            <w:tcW w:w="5440" w:type="dxa"/>
            <w:vAlign w:val="bottom"/>
          </w:tcPr>
          <w:p>
            <w:pPr>
              <w:ind w:left="36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40" w:type="dxa"/>
            <w:vAlign w:val="bottom"/>
          </w:tcPr>
          <w:p>
            <w:pPr>
              <w:spacing w:after="0"/>
              <w:rPr>
                <w:sz w:val="19"/>
                <w:szCs w:val="19"/>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administrative expenses</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26,334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23,520</w:t>
            </w:r>
          </w:p>
        </w:tc>
      </w:tr>
      <w:tr>
        <w:trPr>
          <w:trHeight w:val="20"/>
        </w:trPr>
        <w:tc>
          <w:tcPr>
            <w:tcW w:w="5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“other” general and administrative expenses are mainly comprised of travel costs, job advertisement expenses, contract staffing expenses, training expenses and incidental rental costs.</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anticipate general and administrative expenses will increase as research and development expands. These increases will likely relate to additional personnel and increased costs related in part to finance, legal and intellectual property-related matters along with increased expenses related to operating as a publicly traded company, such as fees related to audit, legal and tax services, regulatory compliance programs and investor relations.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Income (Expenses)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other operating income consists primarily of government grants. In 2018, our other operating income amounted to €5.4 million, €4.2 million of which constituted government grants. In 2017, our other operating income amounted to €2.4 million, €2.3 million of which constituted government grants.</w:t>
      </w:r>
    </w:p>
    <w:p>
      <w:pPr>
        <w:spacing w:after="0" w:line="184" w:lineRule="exact"/>
        <w:rPr>
          <w:sz w:val="20"/>
          <w:szCs w:val="20"/>
          <w:color w:val="auto"/>
        </w:rPr>
      </w:pPr>
    </w:p>
    <w:p>
      <w:pPr>
        <w:jc w:val="both"/>
        <w:ind w:left="120" w:right="180" w:firstLine="440"/>
        <w:spacing w:after="0" w:line="277" w:lineRule="auto"/>
        <w:rPr>
          <w:sz w:val="20"/>
          <w:szCs w:val="20"/>
          <w:color w:val="auto"/>
        </w:rPr>
      </w:pPr>
      <w:r>
        <w:rPr>
          <w:rFonts w:ascii="Arial" w:cs="Arial" w:eastAsia="Arial" w:hAnsi="Arial"/>
          <w:sz w:val="18"/>
          <w:szCs w:val="18"/>
          <w:color w:val="auto"/>
        </w:rPr>
        <w:t>In 2018, no impairment loss was recognized. In 2017, we suffered an impairment loss of €281 thousand as a result of a write-down of a software program which was no longer usable.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 (Expenses)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finance income consists of interest income on cash and foreign exchange gains. In 2018, finance income amounted to €8.0 million, €6.1 million of which were attributable to unrealized foreign exchange gains. In 2017, no foreign exchange gains were reported under finance income and our finance income amounted to €2.1 million.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Our finance expense consists of the amortized cost of financial instruments and foreign exchange losses. In 2018, no foreign exchange losses were reported under finance expense and our finance expense amounted to €48 thousand. In 2017, our finance expense amounted to €26.0 million, almost all of which was attributable to unrealized foreign exchange losses resulting from unhedged U.S. dollar cash accounts.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Losses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We have accumulated tax losses with respect to corporate tax and trade tax. We had accumulated tax losses of €179.3 million with respect to corporate tax and €176.4 million with respect to trade tax as at December 31, 2018. We had accumulated tax losses of €178.5 million with respect to corporate tax and €176.0 million with respect to trade tax as at December 31, 2017.</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Biotech Business Unit</w:t>
      </w:r>
    </w:p>
    <w:p>
      <w:pPr>
        <w:spacing w:after="0" w:line="22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following table summarizes the statements of operations of our biotech business unit, consisting of the clinical, platform technology and manufacturing segments and the associated business services operations for each period presented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108,662</w:t>
            </w:r>
          </w:p>
        </w:tc>
        <w:tc>
          <w:tcPr>
            <w:tcW w:w="72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42,657</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380" w:type="dxa"/>
            <w:vAlign w:val="bottom"/>
            <w:gridSpan w:val="2"/>
          </w:tcPr>
          <w:p>
            <w:pPr>
              <w:jc w:val="right"/>
              <w:ind w:right="581"/>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108,622</w:t>
            </w:r>
          </w:p>
        </w:tc>
        <w:tc>
          <w:tcPr>
            <w:tcW w:w="7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42,657</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(142,448)</w:t>
            </w:r>
          </w:p>
        </w:tc>
        <w:tc>
          <w:tcPr>
            <w:tcW w:w="7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(83,583)</w:t>
            </w:r>
          </w:p>
        </w:tc>
        <w:tc>
          <w:tcPr>
            <w:tcW w:w="100" w:type="dxa"/>
            <w:vAlign w:val="bottom"/>
          </w:tcPr>
          <w:p>
            <w:pPr>
              <w:spacing w:after="0"/>
              <w:rPr>
                <w:sz w:val="19"/>
                <w:szCs w:val="19"/>
                <w:color w:val="auto"/>
              </w:rPr>
            </w:pPr>
          </w:p>
        </w:tc>
      </w:tr>
      <w:tr>
        <w:trPr>
          <w:trHeight w:val="216"/>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(2,106)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380" w:type="dxa"/>
            <w:vAlign w:val="bottom"/>
            <w:gridSpan w:val="2"/>
          </w:tcPr>
          <w:p>
            <w:pPr>
              <w:jc w:val="right"/>
              <w:ind w:right="581"/>
              <w:spacing w:after="0"/>
              <w:rPr>
                <w:sz w:val="20"/>
                <w:szCs w:val="20"/>
                <w:color w:val="auto"/>
              </w:rPr>
            </w:pPr>
            <w:r>
              <w:rPr>
                <w:rFonts w:ascii="Arial" w:cs="Arial" w:eastAsia="Arial" w:hAnsi="Arial"/>
                <w:sz w:val="18"/>
                <w:szCs w:val="18"/>
                <w:color w:val="auto"/>
              </w:rPr>
              <w:t>(23,791)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(21,094)</w:t>
            </w:r>
          </w:p>
        </w:tc>
      </w:tr>
      <w:tr>
        <w:trPr>
          <w:trHeight w:val="216"/>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result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7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1,598</w:t>
            </w: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4"/>
              </w:rPr>
              <w:t>(</w:t>
            </w:r>
            <w:r>
              <w:rPr>
                <w:rFonts w:ascii="Arial" w:cs="Arial" w:eastAsia="Arial" w:hAnsi="Arial"/>
                <w:sz w:val="18"/>
                <w:szCs w:val="18"/>
                <w:b w:val="1"/>
                <w:bCs w:val="1"/>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55,659</w:t>
            </w:r>
          </w:p>
        </w:tc>
        <w:tc>
          <w:tcPr>
            <w:tcW w:w="720" w:type="dxa"/>
            <w:vAlign w:val="bottom"/>
          </w:tcPr>
          <w:p>
            <w:pPr>
              <w:jc w:val="right"/>
              <w:ind w:right="581"/>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€ 65,326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0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revenue of our biotech business unit broken down by segment for each period presented (in thousands):</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Year Ended</w:t>
            </w:r>
          </w:p>
        </w:tc>
        <w:tc>
          <w:tcPr>
            <w:tcW w:w="10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w w:val="97"/>
              </w:rPr>
              <w:t>Change</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102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4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36,750</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€25,721</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11,029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Technology Platform</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46,235</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14,828</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31,407</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25,635</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2,108</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23,527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1,116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Business Services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unit revenue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6"/>
              </w:rPr>
              <w:t>108,662</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42,657</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8"/>
              </w:rPr>
              <w:t>66,005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total revenue of our biotech business unit increased by €66.0 million, or 155% from €42.7 million to €108.7 million, due to a significant increase in the revenue recognition of our collaboration revenue, particularly with respect to our collaborations with Genentech (in the Clinical and Manufacturing segments) and Sanofi, as well as revenue from our collaboration with Pfizer, which was entered into in 2018. In the segment Technology Platform, 2018 revenue included €3.9 million for outlicensing patents and know-how to a third party. No further payments are due.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research and development expenses of our biotech business unit for each period presented (in thousands):</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48,641</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€25,099</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23,542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Technology Platform</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60,320</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37,019</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23,301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31,508</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14,764</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16,744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Business Services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1,979</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6,701</w:t>
            </w:r>
          </w:p>
        </w:tc>
        <w:tc>
          <w:tcPr>
            <w:tcW w:w="4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(4,722)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unit research and development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142,448</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83,583</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4"/>
              </w:rPr>
              <w:t>58,865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research and development expenses of our biotech business unit increased by €58.9 million, or 70%, to €142.4 million in 2018 from</w:t>
      </w:r>
    </w:p>
    <w:p>
      <w:pPr>
        <w:spacing w:after="0" w:line="35"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€83.6 million in 2017. This increase was primarily due to increase in clinical development activities, manufacturing for the iNeST clinical study supply and increased headcount.</w:t>
      </w:r>
    </w:p>
    <w:p>
      <w:pPr>
        <w:spacing w:after="0" w:line="18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summarizes our clinical research and development expenses, broken down by drug class and selected platforms, for the years ended December 31, 2018 and 2017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65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0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FixVac</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€3,018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€2,539</w:t>
            </w:r>
          </w:p>
        </w:tc>
      </w:tr>
      <w:tr>
        <w:trPr>
          <w:trHeight w:val="216"/>
        </w:trPr>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iNeST</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13,335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17,223</w:t>
            </w: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Other mRNA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9,441</w:t>
            </w:r>
          </w:p>
        </w:tc>
        <w:tc>
          <w:tcPr>
            <w:tcW w:w="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3,124</w:t>
            </w:r>
          </w:p>
        </w:tc>
      </w:tr>
      <w:tr>
        <w:trPr>
          <w:trHeight w:val="23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mRNA</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20"/>
                <w:szCs w:val="20"/>
                <w:color w:val="auto"/>
              </w:rPr>
              <w:t>25,794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22,886</w:t>
            </w: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Engineered Cell Therapies</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653</w:t>
            </w:r>
          </w:p>
        </w:tc>
        <w:tc>
          <w:tcPr>
            <w:tcW w:w="3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2,213</w:t>
            </w:r>
          </w:p>
        </w:tc>
      </w:tr>
      <w:tr>
        <w:trPr>
          <w:trHeight w:val="229"/>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Antibodies</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20"/>
                <w:szCs w:val="20"/>
                <w:color w:val="auto"/>
              </w:rPr>
              <w:t>14,353</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w:t>
            </w: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Small Molecule Immunomodulators</w:t>
            </w:r>
          </w:p>
        </w:tc>
        <w:tc>
          <w:tcPr>
            <w:tcW w:w="1080" w:type="dxa"/>
            <w:vAlign w:val="bottom"/>
            <w:gridSpan w:val="3"/>
          </w:tcPr>
          <w:p>
            <w:pPr>
              <w:jc w:val="right"/>
              <w:ind w:right="380"/>
              <w:spacing w:after="0"/>
              <w:rPr>
                <w:sz w:val="20"/>
                <w:szCs w:val="20"/>
                <w:color w:val="auto"/>
              </w:rPr>
            </w:pPr>
            <w:r>
              <w:rPr>
                <w:rFonts w:ascii="Arial" w:cs="Arial" w:eastAsia="Arial" w:hAnsi="Arial"/>
                <w:sz w:val="20"/>
                <w:szCs w:val="20"/>
                <w:color w:val="auto"/>
              </w:rPr>
              <w:t>1,497</w:t>
            </w:r>
          </w:p>
        </w:tc>
        <w:tc>
          <w:tcPr>
            <w:tcW w:w="780" w:type="dxa"/>
            <w:vAlign w:val="bottom"/>
            <w:gridSpan w:val="2"/>
          </w:tcPr>
          <w:p>
            <w:pPr>
              <w:ind w:left="440"/>
              <w:spacing w:after="0"/>
              <w:rPr>
                <w:sz w:val="20"/>
                <w:szCs w:val="20"/>
                <w:color w:val="auto"/>
              </w:rPr>
            </w:pPr>
            <w:r>
              <w:rPr>
                <w:rFonts w:ascii="Arial" w:cs="Arial" w:eastAsia="Arial" w:hAnsi="Arial"/>
                <w:sz w:val="20"/>
                <w:szCs w:val="20"/>
                <w:color w:val="auto"/>
              </w:rPr>
              <w:t>—</w:t>
            </w:r>
          </w:p>
        </w:tc>
      </w:tr>
      <w:tr>
        <w:trPr>
          <w:trHeight w:val="23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20"/>
                <w:szCs w:val="20"/>
                <w:color w:val="auto"/>
              </w:rPr>
              <w:t>6,344</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w:t>
            </w:r>
          </w:p>
        </w:tc>
      </w:tr>
      <w:tr>
        <w:trPr>
          <w:trHeight w:val="223"/>
        </w:trPr>
        <w:tc>
          <w:tcPr>
            <w:tcW w:w="6500" w:type="dxa"/>
            <w:vAlign w:val="bottom"/>
          </w:tcPr>
          <w:p>
            <w:pPr>
              <w:ind w:left="720"/>
              <w:spacing w:after="0"/>
              <w:rPr>
                <w:sz w:val="20"/>
                <w:szCs w:val="20"/>
                <w:color w:val="auto"/>
              </w:rPr>
            </w:pPr>
            <w:r>
              <w:rPr>
                <w:rFonts w:ascii="Arial" w:cs="Arial" w:eastAsia="Arial" w:hAnsi="Arial"/>
                <w:sz w:val="18"/>
                <w:szCs w:val="18"/>
                <w:b w:val="1"/>
                <w:bCs w:val="1"/>
                <w:color w:val="auto"/>
              </w:rPr>
              <w:t>Total clinical research and development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€48,641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€25,099</w:t>
            </w: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sales and marketing expenses of our biotech business unit consist of sales and marketing expenses which are not directly attributable to one of our operating segments and are allocated to business services.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sales and marketing expenses of our biotech business unit decreased by €2.8 million, or 57%, to €2.1 million in 2018 from €4.9 million in 2017. This decrease was primarily due to a reduction of purchased sales and marketing services.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general and administrative expenses of our biotech business unit are attributable to the manufacturing segment and business services.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general and administrative expenses of our biotech business unit increased by €2.7 million, or 13%, to €23.8 million in 2018 from</w:t>
      </w:r>
    </w:p>
    <w:p>
      <w:pPr>
        <w:spacing w:after="0" w:line="35"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€21.1 million in 2017. This increase was primarily due to increased purchased administrative services, information technology and office equipment as well as increased depreciation.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Result</w:t>
      </w:r>
    </w:p>
    <w:p>
      <w:pPr>
        <w:spacing w:after="0" w:line="11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other result of our biotech business unit mostly relates to government grants. This income increased by €2.5 million, or 154%, to €4.1 million in fiscal year 2018 from €1.6 million in fiscal year 2017. This increase was primarily attributable to an increase in government grants.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External Services Business Unit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statements of operations of our external services business unit for each period presented (in thousands):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6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18,941</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w w:val="92"/>
              </w:rPr>
              <w:t>(13,358)</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(9,318)</w:t>
            </w:r>
          </w:p>
        </w:tc>
      </w:tr>
      <w:tr>
        <w:trPr>
          <w:trHeight w:val="27"/>
        </w:trPr>
        <w:tc>
          <w:tcPr>
            <w:tcW w:w="6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9,623</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(1,912)</w:t>
            </w:r>
          </w:p>
        </w:tc>
        <w:tc>
          <w:tcPr>
            <w:tcW w:w="10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rPr>
              <w:t>(2,542)</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(2,427)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result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4,049</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Our external services business unit’s operating profit decreased by €2.3 million, or 57%, during the year ended December 31, 2018, compared to the prior year. The decrease was primarily attributable to an increase in cost of sales by €4.0 million, or 43%, partially offset by a decrease in research and development and sales and marketing expenses in 2018 by €1.8 million, or 50%.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Expenditures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historically funded our operations primarily from private placements of our ordinary shares, proceeds from collaborators and services and proceeds from secured bank loans. As of December 31, 2018, we had cash and cash equivalents of €411.5 million. Cash and cash equivalents are invested in accordance with our investment policy, primarily with a view to liquidity and capital preservation, and consist primarily of cash in banks and on hand and short-term deposits with an original maturity of three months or less, which are stated at fair value.</w:t>
      </w:r>
    </w:p>
    <w:p>
      <w:pPr>
        <w:spacing w:after="0" w:line="171"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We maintain two secured credit facilities with Deutsche Bank AG to finance the buildout of our JPT Peptide Technologies GmbH facility and Innovative Manufacturing Services GmbH (IMFS) facility. Our €10.0 million secured credit facility bears interest at a rate of 2.15% and matures on December 30, 2027. We have drawn €4.0 million under this facility as of December 31, 2018. The loan is repayable in equal quarterly installments of €312.5 thousand commencing on March 31, 2020. Our €9.45 million facility bears interest at a rate of 2.08% and matures on September 30, 2029. We have drawn €1.6 million as of December 31, 2018. The loan is repayable by quarterly installments of €286.4 thousand commencing on September 30, 2020. The loan is drawn as construction costs are incurred, and we expect the loan to be fully drawn at January 15, 2020. Each of these facilities is secured by liens over our property.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primary sources and uses of cash for each period presented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1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flows from (used in):</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(€58,180)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(€52,562)</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(67,148)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(52,549)</w:t>
            </w: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820" w:type="dxa"/>
            <w:vAlign w:val="bottom"/>
          </w:tcPr>
          <w:p>
            <w:pPr>
              <w:jc w:val="right"/>
              <w:spacing w:after="0"/>
              <w:rPr>
                <w:sz w:val="20"/>
                <w:szCs w:val="20"/>
                <w:color w:val="auto"/>
              </w:rPr>
            </w:pPr>
            <w:r>
              <w:rPr>
                <w:rFonts w:ascii="Arial" w:cs="Arial" w:eastAsia="Arial" w:hAnsi="Arial"/>
                <w:sz w:val="18"/>
                <w:szCs w:val="18"/>
                <w:color w:val="auto"/>
              </w:rPr>
              <w:t>365,177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(1,643)</w:t>
            </w:r>
          </w:p>
        </w:tc>
      </w:tr>
      <w:tr>
        <w:trPr>
          <w:trHeight w:val="27"/>
        </w:trPr>
        <w:tc>
          <w:tcPr>
            <w:tcW w:w="6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rate differences</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(24,820)</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cash inflow (outflow)</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€239,389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(€131,573)</w:t>
            </w:r>
          </w:p>
        </w:tc>
        <w:tc>
          <w:tcPr>
            <w:tcW w:w="12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derive cash flows from operations primarily from collaborations, the sale of products and services rendered. Our cash flows from operating activities are significantly influenced by our use of cash for operating expenses and working capital to support the business. We have historically experienced negative cash flows from operating activities as we have invested in the development of our technologies and manufacturing capabilities, as well as for clinical and preclinical development of our product candidates.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in operating activities in 2018 was €58.2 million, comprising a loss before tax of €47.7 million, non-cash adjustments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€30.5 million, and a net negative change in assets and liabilities of €41.0 million. Non-cash items primarily included depreciation and share-based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compensation expenses. The net negative change in assets and liabilities was primarily due to an increase in trade receivables and a decrease in payables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liabilities.</w:t>
      </w:r>
    </w:p>
    <w:p>
      <w:pPr>
        <w:spacing w:after="0" w:line="21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Net cash used in operating activities for the year ended December 31, 2017 was €52.6 million, comprising a loss before tax of €85.9 million, non-cash adjustments of €43.1 million, and a net negative change in assets and liabilities of €9.8 million. Non-cash items primarily included depreciation and share-based compensation expenses and exchange rate differences. The net negative change in assets and liabilities was primarily due to a decrease in payables and liabilities.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Net cash used in investing activities in 2018 was €67.1 million, of which €37.3 million was attributable to the purchase of intangible assets, including payment for the license agreement for the CellScript, LLC patent, and €30.6 million was attributable to the purchase of property, plant and equipment, partially offset by proceeds from the sale of property, plant and equipment amounting to €705 thousand.</w:t>
      </w:r>
    </w:p>
    <w:p>
      <w:pPr>
        <w:spacing w:after="0" w:line="165"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Net cash used in investing activities in 2017 was €52.5 million, of which €33.4 million was attributable to the purchase of intangible assets, including payment for the license agreement for the CellScript, LLC patent, and €24.3 million was attributable to the purchase of property, plant and equipment, partially offset by proceeds from the sale of property, plant and equipment amounting to €5.2 million.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primary financing activities consist of issuances of share capital, proceeds from bank loans and payments of finance lease liabilities.</w:t>
      </w:r>
    </w:p>
    <w:p>
      <w:pPr>
        <w:spacing w:after="0" w:line="23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During the year ended December 31, 2018, we generated cash from financing activities of €365.2 million, primarily from proceeds from the issuance of shares in the amount of €361.7 million and proceeds from loans and borrowings in the amount of €5.6 million, partially offset by the payment of finance lease liabilities in the amount of €2.1 million.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had insignificant financing activities in 2017.</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Operation and Funding Requirements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Since our inception, we have incurred significant losses and negative cash flows from operations due to our significant research and development expenses and our investment in our manufacturing capabilities. We have an accumulated losses of €245.8 million as of December 31, 2018. We expect to continue to incur significant losses in the foreseeable future and expect our expenses to increase in connection with our ongoing activities, particularly as we continue research and development and clinical activities for our product candidates. In addition, upon the closing of this offering, we expect to incur additional costs associated with operating as a public company. Our expenses will also increase if, and as, we:</w:t>
      </w:r>
    </w:p>
    <w:p>
      <w:pPr>
        <w:spacing w:after="0" w:line="67"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initiate additional preclinical studies or clinical or other trials for our product candidates, including under our collaboration agreements;</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 or add to internal manufacturing capacity or capability;</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130"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our product candidates toward commercialization;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30" w:lineRule="exact"/>
        <w:rPr>
          <w:rFonts w:ascii="Arial" w:cs="Arial" w:eastAsia="Arial" w:hAnsi="Arial"/>
          <w:sz w:val="18"/>
          <w:szCs w:val="18"/>
          <w:color w:val="auto"/>
        </w:rPr>
      </w:pPr>
    </w:p>
    <w:p>
      <w:pPr>
        <w:ind w:left="980" w:right="1020" w:hanging="324"/>
        <w:spacing w:after="0" w:line="308" w:lineRule="auto"/>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as a public company and our product development and planned future commercialization efforts, including expansion of sites in Germany and new sites in the United States;</w:t>
      </w:r>
    </w:p>
    <w:p>
      <w:pPr>
        <w:spacing w:after="0" w:line="51" w:lineRule="exact"/>
        <w:rPr>
          <w:rFonts w:ascii="Arial" w:cs="Arial" w:eastAsia="Arial" w:hAnsi="Arial"/>
          <w:sz w:val="17"/>
          <w:szCs w:val="17"/>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are subject to all of the risks related to the development and commercialization of pharmaceutical products, and we may encounter unforeseen expenses, difficulties, complications, delays and other unknown factors that may adversely affect our business.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We believe that our cash and cash equivalents as of December 31, 2018, together with the proceeds of this offering, will be sufficient to enable us to fund our operating expenses and capital expenditure requirements through at least the</w:t>
      </w:r>
    </w:p>
    <w:p>
      <w:pPr>
        <w:spacing w:after="0" w:line="4"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8"/>
          <w:szCs w:val="18"/>
          <w:color w:val="auto"/>
        </w:rPr>
        <w:t>next</w:t>
      </w:r>
      <w:r>
        <w:rPr>
          <w:sz w:val="20"/>
          <w:szCs w:val="20"/>
          <w:color w:val="auto"/>
        </w:rPr>
        <w:tab/>
      </w:r>
      <w:r>
        <w:rPr>
          <w:rFonts w:ascii="Arial" w:cs="Arial" w:eastAsia="Arial" w:hAnsi="Arial"/>
          <w:sz w:val="18"/>
          <w:szCs w:val="18"/>
          <w:color w:val="auto"/>
        </w:rPr>
        <w:t>months.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31"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or nonclinical studies and clinical trials for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results of research and our other platform activities;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clinical development plans we establish for our product candidates;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terms of any agreements with our current or future collaborators;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outcome, timing and cost of meeting regulatory requirements established by the FDA, EMA and other comparable regulatory authorities;</w:t>
      </w:r>
    </w:p>
    <w:p>
      <w:pPr>
        <w:spacing w:after="0" w:line="153" w:lineRule="exact"/>
        <w:rPr>
          <w:rFonts w:ascii="Arial" w:cs="Arial" w:eastAsia="Arial" w:hAnsi="Arial"/>
          <w:sz w:val="16"/>
          <w:szCs w:val="16"/>
          <w:color w:val="auto"/>
        </w:rPr>
      </w:pPr>
    </w:p>
    <w:p>
      <w:pPr>
        <w:ind w:left="980" w:right="160" w:hanging="324"/>
        <w:spacing w:after="0" w:line="311" w:lineRule="auto"/>
        <w:tabs>
          <w:tab w:leader="none" w:pos="9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54" w:lineRule="exact"/>
        <w:rPr>
          <w:rFonts w:ascii="Arial" w:cs="Arial" w:eastAsia="Arial" w:hAnsi="Arial"/>
          <w:sz w:val="16"/>
          <w:szCs w:val="16"/>
          <w:color w:val="auto"/>
        </w:rPr>
      </w:pPr>
    </w:p>
    <w:p>
      <w:pPr>
        <w:ind w:left="980" w:right="6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including other products that may compete with one or more of our product candidates;</w:t>
      </w:r>
    </w:p>
    <w:p>
      <w:pPr>
        <w:spacing w:after="0" w:line="7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 and timing of completion and further expansion of clinical and commercial scale manufacturing activities sufficient to support all of our current and future programs; and</w:t>
      </w:r>
    </w:p>
    <w:p>
      <w:pPr>
        <w:spacing w:after="0" w:line="75"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that have or are reasonably likely to have a current or future effect on our financial condition, revenues or expenses, results of operations, liquidity, capital expenditures or capital resources.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2018 and the effects that such obligations are expected to have on our liquidity and cash flows in future periods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1"/>
              </w:rPr>
              <w:t>Payments Due by Period</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Less</w:t>
            </w: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1 – 3</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 – 5</w:t>
            </w: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6"/>
              </w:rPr>
              <w:t>than 1</w:t>
            </w:r>
          </w:p>
        </w:tc>
        <w:tc>
          <w:tcPr>
            <w:tcW w:w="8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than 5</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€73,669</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3,813</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6,333</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56,524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Loans</w:t>
            </w:r>
          </w:p>
        </w:tc>
        <w:tc>
          <w:tcPr>
            <w:tcW w:w="600" w:type="dxa"/>
            <w:vAlign w:val="bottom"/>
          </w:tcPr>
          <w:p>
            <w:pPr>
              <w:jc w:val="right"/>
              <w:spacing w:after="0"/>
              <w:rPr>
                <w:sz w:val="20"/>
                <w:szCs w:val="20"/>
                <w:color w:val="auto"/>
              </w:rPr>
            </w:pPr>
            <w:r>
              <w:rPr>
                <w:rFonts w:ascii="Arial" w:cs="Arial" w:eastAsia="Arial" w:hAnsi="Arial"/>
                <w:sz w:val="18"/>
                <w:szCs w:val="18"/>
                <w:color w:val="auto"/>
              </w:rPr>
              <w:t>5,600</w:t>
            </w:r>
          </w:p>
        </w:tc>
        <w:tc>
          <w:tcPr>
            <w:tcW w:w="26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5,350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79,269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3,813</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12,349</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6,583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56,524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have lease agreements for land and buildings in all of our locations, which will expire from 2019 to 2027. In addition, we have various leases for equipment and cars which will expire in 2019 and 2020. The amounts in the table above represent our fixed contractual lease obligations and do not include the optional extensions.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addition to the above obligations, we enter into a variety of agreements and financial commitments in the normal course of business. The terms generally allow us the option to cancel, reschedule and adjust our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Our consolidated financial statement for the fiscal year ending December 31, 2018 have been prepared in accordance with IFRS, as issued by the IASB.</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preparation of the consolidated financial statements for the fiscal year ended December 31, 2018 in accordance with IFRS required the use of estimates and assumptions by the management that affect the value of assets and liabilities—as well as contingent assets and liabilities—as reported on the balance sheet date, and revenues and expenses arising during the fiscal year. The main areas in which assumptions, estimates and the exercising of a degree of discretion are appropriate relate to the determination of the useful lives of non-current assets and the formation of provisions, as well as income taxes. We based our assumptions and estimates on parameters available when the consolidated financial statements were prepared. Existing circumstances and assumptions about future developments, however, may change due to market changes or circumstances arising that are beyond our control. Hence, our estimates may vary from the actual values.</w:t>
      </w:r>
    </w:p>
    <w:p>
      <w:pPr>
        <w:spacing w:after="0" w:line="17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We believe that the following accounting policies are critical to the process of making significant judgments and estimates in the preparation of our consolidated financial statements. We have reviewed these critical accounting policies and estimates with the audit committee of our Supervisory Board.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recognize revenue through collaboration and license agreements, rendering of services and sales of products.</w:t>
      </w:r>
    </w:p>
    <w:p>
      <w:pPr>
        <w:spacing w:after="0" w:line="22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Under our collaboration and license agreements, described in more detail in “Business—XIV. Third-Party Strategic Collaborations,” we receive milestone payments, up-front licensing payments and reimbursement of development expenses, for committing to collaborate with the respective collaborator to research and develop certain pharmaceutical products. Such collaboration agreements also include licenses of certain of our intellectual property to the respective collaborators. As these agreements comprise several promises, it must be assessed whether these promises are capable of being distinct within the context of the contract. For some agreements, this results in us accounting for all goods and services promised in a collaboration and license agreement as a single performance obligation with a single measure of progress. We determined that the grant of the license is the predominant promise within the (combined) performance obligation and the promise to grant a license is accounted for as a performance obligation satisfied over time as our customer simultaneously receives and consumes the benefits from our performance. Up-front licensing payments and reimbursement for development expenses are initially deferred on our statement of financial position and subsequently recognized as revenue over time, either as costs are incurred or over the length of the agreement, as above. Milestone payments are included in the transaction price at the amount stipulated in the respective agreement and recognized as revenue if the occurrence of reaching the future milestone is highly probable.</w:t>
      </w:r>
    </w:p>
    <w:p>
      <w:pPr>
        <w:spacing w:after="0" w:line="17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collaboration and license agreements may also provide for additional profit-sharing or royalty income, to the extent a pharmaceutical product is successfully commercialized. To date, no such income has been recognized.</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provide development and manufacturing services to customers and recognize revenue over time using an input-based method to measure progress toward complete satisfaction of the service because the customer simultaneously receives and consumes the benefits provided. We recognize such revenue based on a fixed agreed amount and therefore it is not subject to estimation.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recognize revenue from the sale of medical products (</w:t>
      </w:r>
      <w:r>
        <w:rPr>
          <w:rFonts w:ascii="Arial" w:cs="Arial" w:eastAsia="Arial" w:hAnsi="Arial"/>
          <w:sz w:val="18"/>
          <w:szCs w:val="18"/>
          <w:i w:val="1"/>
          <w:iCs w:val="1"/>
          <w:color w:val="auto"/>
        </w:rPr>
        <w:t>e.g.</w:t>
      </w:r>
      <w:r>
        <w:rPr>
          <w:rFonts w:ascii="Arial" w:cs="Arial" w:eastAsia="Arial" w:hAnsi="Arial"/>
          <w:sz w:val="18"/>
          <w:szCs w:val="18"/>
          <w:color w:val="auto"/>
        </w:rPr>
        <w:t>, peptides and retroviral vectors for clinical supply) when control has been transferred. The transaction price is quoted in the relevant price lists in force at the date of the customer placing the respective order for such products, and is not subject to significant discounts or rebates.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For further information regarding our revenue recognition policy, please refer to Note 2.3.4 of our consolidated financial statements included elsewhere in this prospectus.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expenses are expensed as incurred.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Employees (and others providing similar services) receive remuneration in the form of share-based payments which are settled in equity instruments (equity-settled transactions). In addition, in the past, employees and others providing similar services were granted share appreciation rights which were settled in part in cash (cash-settled transactions).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cost of equity-settled transactions is determined by the fair value at the date. These costs are recognized in research and development expenses, sales and marketing expenses or general and administrative expenses, together with a corresponding increase in equity (other capital reserves), over the period in which the service is provided (the vesting period). The cumulative expense recognized for equity-settled transactions at each reporting date until the vesting date reflects the extent to which the vesting period has expired and our best estimate of the number of equity instruments that will ultimately vest. The expenses or credits in the statement of profit or loss for a period represent the movement in cumulative expense recognized as at the beginning and end of that period.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Share-Based Awards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Stock Ownership Plan</w:t>
      </w:r>
    </w:p>
    <w:p>
      <w:pPr>
        <w:spacing w:after="0" w:line="117"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7"/>
          <w:szCs w:val="17"/>
          <w:color w:val="auto"/>
        </w:rPr>
        <w:t>On November 15, 2018, we established a share option program that grants selected employees options to receive shares in the Company. The program is designed as an Employee Stock Ownership Plan and option grants are classified as share-based equity-settled remuneration. As at December 31, 2018, we had 658,109 share options outstanding with a weighted-average exercise price of €182.53.</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share options were issued to the management board: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760" w:type="dxa"/>
            <w:vAlign w:val="bottom"/>
          </w:tcPr>
          <w:p>
            <w:pPr>
              <w:jc w:val="center"/>
              <w:ind w:left="980"/>
              <w:spacing w:after="0"/>
              <w:rPr>
                <w:sz w:val="20"/>
                <w:szCs w:val="20"/>
                <w:color w:val="auto"/>
              </w:rPr>
            </w:pPr>
            <w:r>
              <w:rPr>
                <w:rFonts w:ascii="Arial" w:cs="Arial" w:eastAsia="Arial" w:hAnsi="Arial"/>
                <w:sz w:val="14"/>
                <w:szCs w:val="14"/>
                <w:b w:val="1"/>
                <w:bCs w:val="1"/>
                <w:color w:val="auto"/>
                <w:w w:val="94"/>
              </w:rPr>
              <w:t>Number of</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760" w:type="dxa"/>
            <w:vAlign w:val="bottom"/>
          </w:tcPr>
          <w:p>
            <w:pPr>
              <w:jc w:val="center"/>
              <w:ind w:left="980"/>
              <w:spacing w:after="0" w:line="149" w:lineRule="exact"/>
              <w:rPr>
                <w:sz w:val="20"/>
                <w:szCs w:val="20"/>
                <w:color w:val="auto"/>
              </w:rPr>
            </w:pPr>
            <w:r>
              <w:rPr>
                <w:rFonts w:ascii="Arial" w:cs="Arial" w:eastAsia="Arial" w:hAnsi="Arial"/>
                <w:sz w:val="14"/>
                <w:szCs w:val="14"/>
                <w:b w:val="1"/>
                <w:bCs w:val="1"/>
                <w:color w:val="auto"/>
                <w:w w:val="99"/>
              </w:rPr>
              <w:t>Ordinary</w:t>
            </w: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760" w:type="dxa"/>
            <w:vAlign w:val="bottom"/>
          </w:tcPr>
          <w:p>
            <w:pPr>
              <w:jc w:val="center"/>
              <w:ind w:left="980"/>
              <w:spacing w:after="0" w:line="149" w:lineRule="exact"/>
              <w:rPr>
                <w:sz w:val="20"/>
                <w:szCs w:val="20"/>
                <w:color w:val="auto"/>
              </w:rPr>
            </w:pPr>
            <w:r>
              <w:rPr>
                <w:rFonts w:ascii="Arial" w:cs="Arial" w:eastAsia="Arial" w:hAnsi="Arial"/>
                <w:sz w:val="14"/>
                <w:szCs w:val="14"/>
                <w:b w:val="1"/>
                <w:bCs w:val="1"/>
                <w:color w:val="auto"/>
                <w:w w:val="89"/>
              </w:rPr>
              <w:t>Shares</w:t>
            </w: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760" w:type="dxa"/>
            <w:vAlign w:val="bottom"/>
          </w:tcPr>
          <w:p>
            <w:pPr>
              <w:jc w:val="center"/>
              <w:ind w:left="9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Option Exercise Price (€)</w:t>
            </w:r>
          </w:p>
        </w:tc>
        <w:tc>
          <w:tcPr>
            <w:tcW w:w="0" w:type="dxa"/>
            <w:vAlign w:val="bottom"/>
          </w:tcPr>
          <w:p>
            <w:pPr>
              <w:spacing w:after="0"/>
              <w:rPr>
                <w:sz w:val="1"/>
                <w:szCs w:val="1"/>
                <w:color w:val="auto"/>
              </w:rPr>
            </w:pPr>
          </w:p>
        </w:tc>
      </w:tr>
      <w:tr>
        <w:trPr>
          <w:trHeight w:val="171"/>
        </w:trPr>
        <w:tc>
          <w:tcPr>
            <w:tcW w:w="3520" w:type="dxa"/>
            <w:vAlign w:val="bottom"/>
            <w:vMerge w:val="continue"/>
          </w:tcPr>
          <w:p>
            <w:pPr>
              <w:spacing w:after="0"/>
              <w:rPr>
                <w:sz w:val="14"/>
                <w:szCs w:val="14"/>
                <w:color w:val="auto"/>
              </w:rPr>
            </w:pPr>
          </w:p>
        </w:tc>
        <w:tc>
          <w:tcPr>
            <w:tcW w:w="2760" w:type="dxa"/>
            <w:vAlign w:val="bottom"/>
          </w:tcPr>
          <w:p>
            <w:pPr>
              <w:jc w:val="center"/>
              <w:ind w:left="960"/>
              <w:spacing w:after="0"/>
              <w:rPr>
                <w:sz w:val="20"/>
                <w:szCs w:val="20"/>
                <w:color w:val="auto"/>
              </w:rPr>
            </w:pPr>
            <w:r>
              <w:rPr>
                <w:rFonts w:ascii="Arial" w:cs="Arial" w:eastAsia="Arial" w:hAnsi="Arial"/>
                <w:sz w:val="14"/>
                <w:szCs w:val="14"/>
                <w:b w:val="1"/>
                <w:bCs w:val="1"/>
                <w:color w:val="auto"/>
                <w:w w:val="90"/>
              </w:rPr>
              <w:t>Options</w:t>
            </w: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Prof. Dr. Ugur Sahin, M.D.</w:t>
            </w:r>
          </w:p>
        </w:tc>
        <w:tc>
          <w:tcPr>
            <w:tcW w:w="2760" w:type="dxa"/>
            <w:vAlign w:val="bottom"/>
            <w:shd w:val="clear" w:color="auto" w:fill="CCEEFF"/>
          </w:tcPr>
          <w:p>
            <w:pPr>
              <w:jc w:val="right"/>
              <w:ind w:right="420"/>
              <w:spacing w:after="0"/>
              <w:rPr>
                <w:sz w:val="20"/>
                <w:szCs w:val="20"/>
                <w:color w:val="auto"/>
              </w:rPr>
            </w:pPr>
            <w:r>
              <w:rPr>
                <w:rFonts w:ascii="Arial" w:cs="Arial" w:eastAsia="Arial" w:hAnsi="Arial"/>
                <w:sz w:val="18"/>
                <w:szCs w:val="18"/>
                <w:color w:val="auto"/>
              </w:rPr>
              <w:t>101,686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182.53</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Sean Marett</w:t>
            </w:r>
          </w:p>
        </w:tc>
        <w:tc>
          <w:tcPr>
            <w:tcW w:w="2760" w:type="dxa"/>
            <w:vAlign w:val="bottom"/>
          </w:tcPr>
          <w:p>
            <w:pPr>
              <w:jc w:val="right"/>
              <w:ind w:right="420"/>
              <w:spacing w:after="0"/>
              <w:rPr>
                <w:sz w:val="20"/>
                <w:szCs w:val="20"/>
                <w:color w:val="auto"/>
              </w:rPr>
            </w:pPr>
            <w:r>
              <w:rPr>
                <w:rFonts w:ascii="Arial" w:cs="Arial" w:eastAsia="Arial" w:hAnsi="Arial"/>
                <w:sz w:val="18"/>
                <w:szCs w:val="18"/>
                <w:color w:val="auto"/>
              </w:rPr>
              <w:t>33,895</w:t>
            </w:r>
          </w:p>
        </w:tc>
        <w:tc>
          <w:tcPr>
            <w:tcW w:w="2080" w:type="dxa"/>
            <w:vAlign w:val="bottom"/>
          </w:tcPr>
          <w:p>
            <w:pPr>
              <w:jc w:val="right"/>
              <w:spacing w:after="0"/>
              <w:rPr>
                <w:sz w:val="20"/>
                <w:szCs w:val="20"/>
                <w:color w:val="auto"/>
              </w:rPr>
            </w:pPr>
            <w:r>
              <w:rPr>
                <w:rFonts w:ascii="Arial" w:cs="Arial" w:eastAsia="Arial" w:hAnsi="Arial"/>
                <w:sz w:val="18"/>
                <w:szCs w:val="18"/>
                <w:color w:val="auto"/>
              </w:rPr>
              <w:t>182.53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Dr. Sierk Poetting, Ph.D.</w:t>
            </w:r>
          </w:p>
        </w:tc>
        <w:tc>
          <w:tcPr>
            <w:tcW w:w="2760" w:type="dxa"/>
            <w:vAlign w:val="bottom"/>
            <w:shd w:val="clear" w:color="auto" w:fill="CCEEFF"/>
          </w:tcPr>
          <w:p>
            <w:pPr>
              <w:jc w:val="right"/>
              <w:ind w:right="420"/>
              <w:spacing w:after="0"/>
              <w:rPr>
                <w:sz w:val="20"/>
                <w:szCs w:val="20"/>
                <w:color w:val="auto"/>
              </w:rPr>
            </w:pPr>
            <w:r>
              <w:rPr>
                <w:rFonts w:ascii="Arial" w:cs="Arial" w:eastAsia="Arial" w:hAnsi="Arial"/>
                <w:sz w:val="18"/>
                <w:szCs w:val="18"/>
                <w:color w:val="auto"/>
              </w:rPr>
              <w:t>33,895</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182.53</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Dr. Özlem Türeci, M.D.</w:t>
            </w:r>
          </w:p>
        </w:tc>
        <w:tc>
          <w:tcPr>
            <w:tcW w:w="2760" w:type="dxa"/>
            <w:vAlign w:val="bottom"/>
          </w:tcPr>
          <w:p>
            <w:pPr>
              <w:jc w:val="right"/>
              <w:ind w:right="420"/>
              <w:spacing w:after="0"/>
              <w:rPr>
                <w:sz w:val="20"/>
                <w:szCs w:val="20"/>
                <w:color w:val="auto"/>
              </w:rPr>
            </w:pPr>
            <w:r>
              <w:rPr>
                <w:rFonts w:ascii="Arial" w:cs="Arial" w:eastAsia="Arial" w:hAnsi="Arial"/>
                <w:sz w:val="18"/>
                <w:szCs w:val="18"/>
                <w:color w:val="auto"/>
              </w:rPr>
              <w:t>108,463</w:t>
            </w:r>
          </w:p>
        </w:tc>
        <w:tc>
          <w:tcPr>
            <w:tcW w:w="2080" w:type="dxa"/>
            <w:vAlign w:val="bottom"/>
          </w:tcPr>
          <w:p>
            <w:pPr>
              <w:jc w:val="right"/>
              <w:spacing w:after="0"/>
              <w:rPr>
                <w:sz w:val="20"/>
                <w:szCs w:val="20"/>
                <w:color w:val="auto"/>
              </w:rPr>
            </w:pPr>
            <w:r>
              <w:rPr>
                <w:rFonts w:ascii="Arial" w:cs="Arial" w:eastAsia="Arial" w:hAnsi="Arial"/>
                <w:sz w:val="18"/>
                <w:szCs w:val="18"/>
                <w:color w:val="auto"/>
              </w:rPr>
              <w:t>182.53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fair value of the employee share options has been measured using a binomial model. Service conditions were not taken into account in measuring the fair value.</w:t>
      </w:r>
    </w:p>
    <w:p>
      <w:pPr>
        <w:spacing w:after="0" w:line="170"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share options can only be exercised if as of the date of exercise the current price is at least equal to a certain threshold amount. The threshold amount constitutes the exercise price increased by 8 basis points on each anniversary of the allocation date (September 26, 2018). Moreover, the share options can only be exercised if we have completed a public offering in the United States. Both of these conditions have been incorporated into the fair value at grant date.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inputs used in the measurement of the fair values at grant date of the Employee Stock Ownership Plan were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Grant date</w:t>
            </w:r>
          </w:p>
        </w:tc>
      </w:tr>
      <w:tr>
        <w:trPr>
          <w:trHeight w:val="148"/>
        </w:trPr>
        <w:tc>
          <w:tcPr>
            <w:tcW w:w="64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15,</w:t>
            </w:r>
          </w:p>
        </w:tc>
      </w:tr>
      <w:tr>
        <w:trPr>
          <w:trHeight w:val="171"/>
        </w:trPr>
        <w:tc>
          <w:tcPr>
            <w:tcW w:w="6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2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Share price at grant date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259.28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Expected volatility (%)</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Expected dividends (%)</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r>
    </w:tbl>
    <w:p>
      <w:pPr>
        <w:spacing w:after="0" w:line="20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share price at grant date was determined by reference to an observable transaction. We involved an independent third-party appraiser to confirm that the transaction selected was appropriate for the purposes of determining fair value. Expected volatility was based on an evaluation of the historical and the implied volatilities of comparable companies over the historical period commensurate with the expected term. The expected term was based on general optionholder behavior for employee options.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Appreciation Rights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On December 1, 2017, we granted 32,373 shares to selected employees under the share appreciation rights (SAR) program. The shares vested immediately at the grant date (December 2017) as there were no vesting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we operate and generate taxable income. Management periodically evaluates positions taken in the tax returns with respect to situations in which applicable tax regulations are subject to interpretation and establishes provisions where appropriate.</w:t>
      </w:r>
    </w:p>
    <w:p>
      <w:pPr>
        <w:spacing w:after="0" w:line="171"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Deferred tax is provided using the liability method on temporary differences between the tax bases of assets and liabilities and their carrying amounts for financial reporting purposes at the reporting date. As long as taxable profit is not probable, no tax assets are recognized.</w:t>
      </w:r>
    </w:p>
    <w:p>
      <w:pPr>
        <w:spacing w:after="0" w:line="124"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Deferred tax items are recognized in correlation with the underlying transaction either in other comprehensive income or directly in equity.</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offset deferred tax assets and deferred tax liabilities if and only if we have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following standards and interpretations were recently issued but were not effective as of December 31, 2018. We intend to adopt these new and amended standards and interpretations, if applicable. We do not expect a significant impact of the application of these standards.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Standards/Interpretation</w:t>
            </w:r>
          </w:p>
        </w:tc>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Date of</w:t>
            </w:r>
          </w:p>
        </w:tc>
        <w:tc>
          <w:tcPr>
            <w:tcW w:w="0" w:type="dxa"/>
            <w:vAlign w:val="bottom"/>
          </w:tcPr>
          <w:p>
            <w:pPr>
              <w:spacing w:after="0"/>
              <w:rPr>
                <w:sz w:val="1"/>
                <w:szCs w:val="1"/>
                <w:color w:val="auto"/>
              </w:rPr>
            </w:pPr>
          </w:p>
        </w:tc>
      </w:tr>
      <w:tr>
        <w:trPr>
          <w:trHeight w:val="171"/>
        </w:trPr>
        <w:tc>
          <w:tcPr>
            <w:tcW w:w="3120" w:type="dxa"/>
            <w:vAlign w:val="bottom"/>
            <w:vMerge w:val="continue"/>
          </w:tcPr>
          <w:p>
            <w:pPr>
              <w:spacing w:after="0"/>
              <w:rPr>
                <w:sz w:val="14"/>
                <w:szCs w:val="14"/>
                <w:color w:val="auto"/>
              </w:rPr>
            </w:pPr>
          </w:p>
        </w:tc>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auto"/>
              </w:rPr>
              <w:t>application</w:t>
            </w:r>
          </w:p>
        </w:tc>
        <w:tc>
          <w:tcPr>
            <w:tcW w:w="0" w:type="dxa"/>
            <w:vAlign w:val="bottom"/>
          </w:tcPr>
          <w:p>
            <w:pPr>
              <w:spacing w:after="0"/>
              <w:rPr>
                <w:sz w:val="1"/>
                <w:szCs w:val="1"/>
                <w:color w:val="auto"/>
              </w:rPr>
            </w:pPr>
          </w:p>
        </w:tc>
      </w:tr>
      <w:tr>
        <w:trPr>
          <w:trHeight w:val="209"/>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IFRIC 23</w:t>
            </w:r>
          </w:p>
        </w:tc>
        <w:tc>
          <w:tcPr>
            <w:tcW w:w="62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Uncertainty over income tax treatment</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6"/>
              </w:rPr>
              <w:t>January 1, 2019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Amendments to IFRS 9</w:t>
            </w:r>
          </w:p>
        </w:tc>
        <w:tc>
          <w:tcPr>
            <w:tcW w:w="6440" w:type="dxa"/>
            <w:vAlign w:val="bottom"/>
            <w:gridSpan w:val="2"/>
          </w:tcPr>
          <w:p>
            <w:pPr>
              <w:ind w:left="180"/>
              <w:spacing w:after="0"/>
              <w:rPr>
                <w:sz w:val="20"/>
                <w:szCs w:val="20"/>
                <w:color w:val="auto"/>
              </w:rPr>
            </w:pPr>
            <w:r>
              <w:rPr>
                <w:rFonts w:ascii="Arial" w:cs="Arial" w:eastAsia="Arial" w:hAnsi="Arial"/>
                <w:sz w:val="18"/>
                <w:szCs w:val="18"/>
                <w:color w:val="auto"/>
              </w:rPr>
              <w:t>Prepayment features with negative compensation</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w w:val="92"/>
              </w:rPr>
              <w:t>January 1, 2019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Amendments to IAS 19</w:t>
            </w:r>
          </w:p>
        </w:tc>
        <w:tc>
          <w:tcPr>
            <w:tcW w:w="6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Plan amendment, curtailment or settlement</w:t>
            </w:r>
          </w:p>
        </w:tc>
        <w:tc>
          <w:tcPr>
            <w:tcW w:w="1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January 1, 2019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Amendments to IAS 28</w:t>
            </w:r>
          </w:p>
        </w:tc>
        <w:tc>
          <w:tcPr>
            <w:tcW w:w="6440" w:type="dxa"/>
            <w:vAlign w:val="bottom"/>
            <w:gridSpan w:val="2"/>
          </w:tcPr>
          <w:p>
            <w:pPr>
              <w:ind w:left="180"/>
              <w:spacing w:after="0"/>
              <w:rPr>
                <w:sz w:val="20"/>
                <w:szCs w:val="20"/>
                <w:color w:val="auto"/>
              </w:rPr>
            </w:pPr>
            <w:r>
              <w:rPr>
                <w:rFonts w:ascii="Arial" w:cs="Arial" w:eastAsia="Arial" w:hAnsi="Arial"/>
                <w:sz w:val="18"/>
                <w:szCs w:val="18"/>
                <w:color w:val="auto"/>
              </w:rPr>
              <w:t>Long-term interests in associates and joint ventures</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w w:val="92"/>
              </w:rPr>
              <w:t>January 1, 2019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6"/>
              </w:rPr>
              <w:t>Annual improvements 2015 -2017 Cycle</w:t>
            </w:r>
          </w:p>
        </w:tc>
        <w:tc>
          <w:tcPr>
            <w:tcW w:w="6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Annual improvement cycle to IFRS 2015 -2017</w:t>
            </w:r>
          </w:p>
        </w:tc>
        <w:tc>
          <w:tcPr>
            <w:tcW w:w="1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January 1, 2019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are exposed to various risks in relation to financial instruments, including liquidity risk and currency risk. Our risk management is coordinated by our executive board. We do not engage in the trading of financial assets for speculative purposes. The most significant financial risks to which we are exposed include the risks discussed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subject to currency risk, as our income and expenditures are denominated in Euro and the U.S. dollar. As such, we are exposed to exchange rate fluctuations between these currencies. We aim to match U.S. dollar cash inflows with U.S. dollar cash outflows where possible, and we do not hedge this exposure. If we increase sales of our products in the United States, we would expect to have significant increases in cash balances, revenues and sales and marketing expenses denominated in U.S. dollars, while we would expect the majority of our development and operating expenses to remain denominated in Euro.</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publish our consolidated financial statements in Euro. Revenue and expenses incurred in U.S. dollars will be translated into Euro when they are reported in our consolidated financial statements. As a result, any substantial future appreciation or decline of the U.S. dollar against the Euro could have a material effect on our revenue and profitability. As an example, if the U.S. dollar weakens by 10% against the Euro, cash and cash equivalents as of December 31, 2018 would decrease by €16.0 million, or 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Weakness</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Historically, we have been a private company and did not maintain the internal accounting and financial reporting resources necessary to comply with the obligations of a public reporting company, including maintaining effective internal control over financial reporting. We identified a material weakness primarily related to (i) our lack of sufficient accounting and supervisory personnel with the appropriate level of technical accounting experience/training and (ii) our lack of consistent application of its accounting processes and procedures, particularly in the areas of share-based compensation, revenue from collaborators and capitalization of tangible and intangible assets. As of consequence of point (i) above, management relies on the assistance of outside advisors with expertise in these matters to assist in the preparation of IFRS financial statements and compliance with SEC reporting obligations in relation to our anticipated U.S. public offering. However, our lack of sufficient accounting and supervisory personnel also means there has also been a lack of supervision over external consultants. We identified several other audit adjustments including leasing, inventory and accruals, which indicate difficulties in properly applying accounting policies and processes consistently throughout the organization and omission of assessment of critical accounting guidance for complex areas or areas requiring judgments indicating inadequate supervision of its external consultants.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We have begun to develop a remediation plan to address this material weakness. Our remediation plan includes the hiring of additional staff, documenting and implementing consistent accounting policies and procedures and providing additional training to our accounting and finance staff. While we are working to remediate the material weakness as quickly and efficiently as possible, we cannot at this time provide a timeline on such remediation. See our risk factor on this material weakness in “Risk Factors—Risks Related to Ownership of the ADSs and this Offering.”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and Emerging Growth Company Status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April 2012, the JOBS Act was enacted. The exemptions and reduced reporting requirements under the JOBS Act for emerging growth companies include presentation of only two years of audited financial statements in a registration statement for an initial public offering, an exemption from the requirement to provide an auditor’s report on internal control over financial reporting pursuant to Section 404(b) of the Sarbanes-Oxley Act, an exemption from any requirement that may be adopted by the Public Company Accounting Oversight Board regarding mandatory audit firm rotation, and less extensive disclosure about our executive compensation arrangements. Additionally, the JOBS Act provides that an emerging growth company can take advantage of an extended transition period for complying with new or revised accounting standards. Such provisions are only applicable under U.S. GAAP. As a result, we will adopt new or revised accounting standards on the relevant dates on which adoption of such standards is required or permitted by the IASB.</w:t>
      </w:r>
    </w:p>
    <w:p>
      <w:pPr>
        <w:spacing w:after="0" w:line="19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will remain classified as an emerging growth company until the earlier of (i) the last day of the fiscal year following the fifth anniversary of the date of the completion of this offering, (ii) the last day of the first fiscal year in which our annual gross revenues exceed $1.07 billion, (iii) the date on which we have issued more than $1 billion of non-convertible debt securities during the previous three years, or (iv) the date on which we are deemed a large accelerated filer under the rules of the SEC, which means the first day of the year following the first year in which, as of the last business day of our most recently completed second fiscal quarter, the market value of our common equity that is held by non-affiliates exceeds $700 million.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variety of patient profiling and bioinformatic tools to develop individualized immunotherapies for cancer as well as other diseases. We leverage powerful new therapeutic mechanisms and exploit a diverse array of biological targets to harness the power of each patient’s immune system to address the unique molecular signature of each patient’s underlying disease. We believe we are uniquely positioned to develop and commercialize the next generation of immunotherapies with the potential to significantly improve clinical outcomes for patients and usher in a new era of individualized medicine.</w:t>
      </w:r>
    </w:p>
    <w:p>
      <w:pPr>
        <w:spacing w:after="0" w:line="17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We and our collaborators have advanced a development pipeline of over 20 product candidates, of which seven have entered into eight ongoing clinical trials. While we believe our approach is broadly applicable across a number of therapeutic areas, our most advanced programs are focused on oncology, where we have treated over 250 patients across 17 tumor types to date. Our immunotherapy drug classes consist of messenger ribonucleic acid, or mRNA, therapeutics, engineered cell therapies, antibodies and small molecule immunomodulators. Our product candidates span oncology, infectious diseases and rare diseases.</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have assembled an exceptional team of over 1,000 employees and have established relationships with seven pharmaceutical collaborators, including Genentech, Inc., or Genentech, Sanofi S.A., or Sanofi, Genmab A/S, or Genmab, Genevant Sciences, or Genevant, Eli Lilly and Company, or Eli Lilly, Bayer AG, or Bayer, and Pfizer Inc., or Pfizer. We have built out comprehensive highly automated, on-demand in-house manufacturing capabilities that complement the development of our individualized immunotherapies.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programs are based on our pioneering development of numerous first-in-class immunotherapeutic platforms, designed to provide patients with highly tailored treatment options. Our platforms leverage the following four drug classes:</w:t>
      </w:r>
    </w:p>
    <w:p>
      <w:pPr>
        <w:spacing w:after="0" w:line="72" w:lineRule="exact"/>
        <w:rPr>
          <w:sz w:val="20"/>
          <w:szCs w:val="20"/>
          <w:color w:val="auto"/>
        </w:rPr>
      </w:pPr>
    </w:p>
    <w:p>
      <w:pPr>
        <w:ind w:left="540" w:hanging="316"/>
        <w:spacing w:after="0" w:line="292"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mRNA Therapeutics. </w:t>
      </w:r>
      <w:r>
        <w:rPr>
          <w:rFonts w:ascii="Arial" w:cs="Arial" w:eastAsia="Arial" w:hAnsi="Arial"/>
          <w:sz w:val="16"/>
          <w:szCs w:val="16"/>
          <w:color w:val="auto"/>
        </w:rPr>
        <w:t>We are utilizing messenger ribonucleic acid, or mRNA, to deliver genetic information to cells, where it is used to express</w:t>
      </w:r>
      <w:r>
        <w:rPr>
          <w:rFonts w:ascii="Arial" w:cs="Arial" w:eastAsia="Arial" w:hAnsi="Arial"/>
          <w:sz w:val="16"/>
          <w:szCs w:val="16"/>
          <w:b w:val="1"/>
          <w:bCs w:val="1"/>
          <w:color w:val="auto"/>
        </w:rPr>
        <w:t xml:space="preserve"> </w:t>
      </w:r>
      <w:r>
        <w:rPr>
          <w:rFonts w:ascii="Arial" w:cs="Arial" w:eastAsia="Arial" w:hAnsi="Arial"/>
          <w:sz w:val="16"/>
          <w:szCs w:val="16"/>
          <w:color w:val="auto"/>
        </w:rPr>
        <w:t>proteins for therapeutic effect. We are developing a portfolio of immunotherapies that utilize four different mRNA formats and three different formulations to derive five distinct platforms for the treatment of cancer. Three of these platforms are currently in human testing: (i) our off-the-shelf shared antigen immunotherapy, or FixVac; (ii) our individualized neoantigen specific immunotherapy, or iNeST, in collaboration with Genentech; and (iii) our intratumoral immunotherapy, in collaboration with Sanofi. In addition, we are developing two platforms in which we use mRNA to express directly in the patient either (a) particular antibodies, or RiboMabs, or (b) specific cytokines, or RiboCytokines. In collaboration with Pfizer and Genevant, we are also leveraging our mRNA technology beyond oncology to treat influenza and rare diseases.</w:t>
      </w:r>
    </w:p>
    <w:p>
      <w:pPr>
        <w:spacing w:after="0" w:line="66" w:lineRule="exact"/>
        <w:rPr>
          <w:rFonts w:ascii="Arial" w:cs="Arial" w:eastAsia="Arial" w:hAnsi="Arial"/>
          <w:sz w:val="16"/>
          <w:szCs w:val="16"/>
          <w:color w:val="auto"/>
        </w:rPr>
      </w:pPr>
    </w:p>
    <w:p>
      <w:pPr>
        <w:ind w:left="540" w:right="40" w:hanging="316"/>
        <w:spacing w:after="0" w:line="261"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Engineered Cell Therapies. </w:t>
      </w:r>
      <w:r>
        <w:rPr>
          <w:rFonts w:ascii="Arial" w:cs="Arial" w:eastAsia="Arial" w:hAnsi="Arial"/>
          <w:sz w:val="18"/>
          <w:szCs w:val="18"/>
          <w:color w:val="auto"/>
        </w:rPr>
        <w:t>We are developing a range of novel cell therapies in which the patient’s T cells are modified to target cancer-specific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antigens. These include two platforms for the treatment of solid tumors: chimeric antigen receptor, or CAR, T cells and T cell receptor, or TCR, programs. We are also combining our mRNA FixVac platform with our first CAR T product candidates to enhance the persistence of CAR-T cells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540" w:right="40" w:hanging="316"/>
        <w:spacing w:after="0" w:line="266"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Antibodies. </w:t>
      </w:r>
      <w:r>
        <w:rPr>
          <w:rFonts w:ascii="Arial" w:cs="Arial" w:eastAsia="Arial" w:hAnsi="Arial"/>
          <w:sz w:val="18"/>
          <w:szCs w:val="18"/>
          <w:color w:val="auto"/>
        </w:rPr>
        <w:t>We are developing, in collaboration with Genmab, next-generation bispecific antibodies that are designed to target immune</w:t>
      </w:r>
      <w:r>
        <w:rPr>
          <w:rFonts w:ascii="Arial" w:cs="Arial" w:eastAsia="Arial" w:hAnsi="Arial"/>
          <w:sz w:val="18"/>
          <w:szCs w:val="18"/>
          <w:b w:val="1"/>
          <w:bCs w:val="1"/>
          <w:color w:val="auto"/>
        </w:rPr>
        <w:t xml:space="preserve"> </w:t>
      </w:r>
      <w:r>
        <w:rPr>
          <w:rFonts w:ascii="Arial" w:cs="Arial" w:eastAsia="Arial" w:hAnsi="Arial"/>
          <w:sz w:val="18"/>
          <w:szCs w:val="18"/>
          <w:color w:val="auto"/>
        </w:rPr>
        <w:t>checkpoints that modulate the patient’s immune response to cancer. We are also exploring additional targeted cancer antibody approaches utilizing our in-house and recently acquired antibody capabilities.</w:t>
      </w:r>
    </w:p>
    <w:p>
      <w:pPr>
        <w:spacing w:after="0" w:line="81" w:lineRule="exact"/>
        <w:rPr>
          <w:rFonts w:ascii="Arial" w:cs="Arial" w:eastAsia="Arial" w:hAnsi="Arial"/>
          <w:sz w:val="18"/>
          <w:szCs w:val="18"/>
          <w:color w:val="auto"/>
        </w:rPr>
      </w:pPr>
    </w:p>
    <w:p>
      <w:pPr>
        <w:jc w:val="both"/>
        <w:ind w:left="540" w:right="280" w:hanging="316"/>
        <w:spacing w:after="0" w:line="266"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Small Molecule Immunomodulators. </w:t>
      </w:r>
      <w:r>
        <w:rPr>
          <w:rFonts w:ascii="Arial" w:cs="Arial" w:eastAsia="Arial" w:hAnsi="Arial"/>
          <w:sz w:val="18"/>
          <w:szCs w:val="18"/>
          <w:color w:val="auto"/>
        </w:rPr>
        <w:t>We use small molecules to augment the activity of other drug classes by inducing specific and discrete</w:t>
      </w:r>
      <w:r>
        <w:rPr>
          <w:rFonts w:ascii="Arial" w:cs="Arial" w:eastAsia="Arial" w:hAnsi="Arial"/>
          <w:sz w:val="18"/>
          <w:szCs w:val="18"/>
          <w:b w:val="1"/>
          <w:bCs w:val="1"/>
          <w:color w:val="auto"/>
        </w:rPr>
        <w:t xml:space="preserve"> </w:t>
      </w:r>
      <w:r>
        <w:rPr>
          <w:rFonts w:ascii="Arial" w:cs="Arial" w:eastAsia="Arial" w:hAnsi="Arial"/>
          <w:sz w:val="18"/>
          <w:szCs w:val="18"/>
          <w:color w:val="auto"/>
        </w:rPr>
        <w:t>patterns of immunomodulation. We are developing a small molecule toll-like receptor 7, or TLR7, immunomodulator for the treatment of solid tumors.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leveraged these four drug classes to build a robust pipeline of product candidates. Our pipeline includes seven product candidates in eight ongoing clinical trials. Our most advanced programs are focused on oncology, where we have to-date treated over 250 patients across 17 solid tumor types. We also are developing more than 10 additional preclinical programs and expect to initiate clinical testing with several of them in the near future. We expect to have up to 10 clinical-stage programs by the end of 2019, and are targeting the advancement of five product candidates into the clinic per year in 2019 and 2020, with meaningful clinical data updates for up to five programs expected by the end of 2020. In our completed Phase 1 trials, we have observed antigen-specific immune responses in over 90% of advanced melanoma patients treated with BNT111, our lead FixVac off-the-shelf product candidate, as a single agent. In addition, we have observed single-agent antigen-specific immune responses in patients treated with BNT121, the precursor to RO7198457 (BNT122), our lead iNeST product candidate. In both trials, we have observed durable objective responses (reduction in tumor volume) in both the monotherapy and checkpoint-combination settings.</w:t>
      </w:r>
    </w:p>
    <w:p>
      <w:pPr>
        <w:spacing w:after="0" w:line="181"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We have established multiple collaborations to advance our science and development capabilities and provide non-dilutive capital. We have entered into selective collaborations with leading pharmaceutical companies where a collaborator may bring incremental expertise or resources that we currently do not possess in-house. To date, we have formed relationships with seven pharmaceutical companies, which comprise Genentech, Sanofi, Genmab, Genevant, Eli Lilly, Bayer and Pfizer. We have entered into some of these collaborations in order to advance our technologies and business outside of our initial focus on cancer. We are collaborating with Pfizer to develop an influenza vaccine through our mRNA-based immunotherapy technology and have a collaboration with Genevant to develop protein replacement therapies in up to five rare disease indications. We have also collaborated with the University of Pennsylvania, or Penn, to develop mRNA-based vaccines in up to 10 additional infectious disease indications. In addition, we have a relationship with Translational Oncology at the University Medical Center of the Johannes Gutenberg University Mainz (Translationale Onkologie an der Universitätsmedizin der Johannes Gutenberg Universität Mainz gemeinnützige GmbH), or TRON, to further our immunotherapy research. We either wholly own or retain significant rights to all of our clinical stage programs, either in the form of a global share of profit and co-commercialization rights with our collaborators in certain markets or significant royalties and milestones.</w:t>
      </w:r>
    </w:p>
    <w:p>
      <w:pPr>
        <w:spacing w:after="0" w:line="17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ability to develop, control and optimize the manufacturing process is a core strategic pillar and competitive advantage across our portfolio, in particular for our individualized product candidates. We operate three Good Manufacturing Practice, or GMP, certified manufacturing facilities in Germany, where we manufacture mRNA therapeutics and engineered cell therapies for our own pipeline and for external customers. We operate a fourth manufacturing facility in Germany where we manufacture custom peptides to support our extensive immuno monitoring activities within our development programs. We have collaborated with Siemens AG, or Siemens, to develop efficient, semi-automated processes to produce our individualized mRNA immunotherapies on demand.</w:t>
      </w:r>
    </w:p>
    <w:p>
      <w:pPr>
        <w:spacing w:after="0" w:line="192"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were founded in 2008, and to date we have raised $1.1 billion of capital in private placements of our shares and from our collaborators. Our investors include the Strüngmann Family Office, which is our majority shareholder, MIG Fonds, Fidelity Management &amp; Research Company, Redmile Group, Janus Henderson Investors and the Invus Group, LLC.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Team</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team combines proven biotechnology entrepreneurs, world-renowned immunologists and sophisticated biopharma investors. We were founded in 2008 by our scientific founders, Prof. Ugur Sahin, M.D., Prof. Christoph Huber, M.D. and Özlem Türeci, M.D., with a seed investment of €150 million from the Strüngmann family, through its investment vehicle AT Impf, and MIG Fonds, or MIG. Andreas and Thomas Strüngmann are serial entrepreneurs, having co-founded Hexal AG, a German pharmaceutical firm, which they built and sold to Novartis, along with their majority stake in Eon Labs, Inc., a U.S. public pharmaceutical firm, for a combined €5.6 billion (at the time, $8.3 billion). After selling Hexal, they founded a family office focused on healthcare.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The Strüngmann family office and MIG have invested in, helped build and sold, either on their own or together, a number of biotechnology and healthcare companies, such as SuppreMol, Ganymed AG, or Ganymed, CorImmun, Sivantos (former Siemens hearing aid business), Press Ganey (surgery survey company) and Apceth (cell therapy manufacturing company). Helmut Jeggle and Michael Motschmann, on behalf of the Strüngmann family and MIG, respectively, along with Dr. Huber, were founding members of our Supervisory Board.</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BioNTech has been supported since its inception by Prof. Rolf Zinkernagel, M.D., Ph.D and Prof. Hans Hengartner, Ph.D., who serve on our Scientific Advisory Board. Dr. Zinkernagel is a Professor Emeritus at the University of Zurich, University Hospital, and former head of the Institute of Experimental Immunology in Zurich. Prof. Zinkernagel was awarded the Nobel Prize in 1996 for the discovery of how the immune system recognizes virus-infected cells. Prof. Hengartner is a world-renowned immunologist and Professor Emeritus at the Federal Institute of Technology ETH Zurich and the University of Zurich.</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At the time of BioNTech’s founding, Dr. Sahin and Dr. Türeci were the Chief Scientific Officer and the Chief Medical Officer, respectively, of Ganymed, a private biotechnology company that was founded in 2001 and was focused on developing a monoclonal antibody targeting CLDN18.2 (zolbetuximab). The Strüngmann family and MIG were majority investors in Ganymed. When Dr. Sahin became Chief Executive Officer of BioNTech, he stepped down from the management board of Ganymed and became the chair of its Scientific Advisory Board. Dr. Türeci continued to lead Ganymed as its Chief Executive Officer until it was sold to Astellas Pharma Inc. in 2016 for up to $1.4 billion.</w:t>
      </w:r>
    </w:p>
    <w:p>
      <w:pPr>
        <w:spacing w:after="0" w:line="17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Our initial group of scientific founders have been joined by experienced pharmaceutical executives, immunologists and biotechnology specialty investors. Sean Marett, our Chief Business Officer and Chief Commercial Officer, led the business development teams at Evotec, and previously was an executive at GlaxoSmithKline in the United States. Dr. Sierk Poetting, our Chief Financial Officer and Chief Operating Officer, joined us from Sandoz, where he served as the Chief Financial Officer in North America. We have also attracted talented scientists such as Katalin Karikó, our Senior Vice President &amp; Head of RNA Protein Replacement, who has more than 30 years of experience working with RNA, has published more than 70 peer-reviewed papers and is co-inventor on mRNA-related patents, including a foundational patent relating to modified mRNA. In addition to the Strüngmann family and MIG, our investors include Fidelity Management &amp; Research Company, Redmile Group, Janus Henderson Investors, the Invus Group, LLC, Salvia GmbH, Eli Lilly, Sanofi and Pfizer. Since our founding, we have raised $1.1 billion of capital in private placements of our shares and through collaborations.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hanging="432"/>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Our Pipeline of Product Candidates</w:t>
      </w:r>
    </w:p>
    <w:p>
      <w:pPr>
        <w:spacing w:after="0" w:line="229"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We are advancing a deep and broad portfolio of product candidates derived from our four drug classes focused on the treatment of cancer, infectious and rare diseases: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Oncology</w:t>
      </w: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620" w:type="dxa"/>
            <w:vAlign w:val="bottom"/>
            <w:tcBorders>
              <w:top w:val="single" w:sz="8" w:color="auto"/>
            </w:tcBorders>
            <w:gridSpan w:val="3"/>
          </w:tcPr>
          <w:p>
            <w:pPr>
              <w:spacing w:after="0" w:line="139" w:lineRule="exact"/>
              <w:rPr>
                <w:sz w:val="20"/>
                <w:szCs w:val="20"/>
                <w:color w:val="auto"/>
              </w:rPr>
            </w:pPr>
            <w:r>
              <w:rPr>
                <w:rFonts w:ascii="Arial" w:cs="Arial" w:eastAsia="Arial" w:hAnsi="Arial"/>
                <w:sz w:val="14"/>
                <w:szCs w:val="14"/>
                <w:b w:val="1"/>
                <w:bCs w:val="1"/>
                <w:color w:val="auto"/>
              </w:rPr>
              <w:t>Drug</w:t>
            </w: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vMerge w:val="restart"/>
          </w:tcPr>
          <w:p>
            <w:pPr>
              <w:ind w:left="440"/>
              <w:spacing w:after="0"/>
              <w:rPr>
                <w:sz w:val="20"/>
                <w:szCs w:val="20"/>
                <w:color w:val="auto"/>
              </w:rPr>
            </w:pPr>
            <w:r>
              <w:rPr>
                <w:rFonts w:ascii="Arial" w:cs="Arial" w:eastAsia="Arial" w:hAnsi="Arial"/>
                <w:sz w:val="14"/>
                <w:szCs w:val="14"/>
                <w:b w:val="1"/>
                <w:bCs w:val="1"/>
                <w:color w:val="auto"/>
              </w:rPr>
              <w:t>Platform</w:t>
            </w:r>
          </w:p>
        </w:tc>
        <w:tc>
          <w:tcPr>
            <w:tcW w:w="100" w:type="dxa"/>
            <w:vAlign w:val="bottom"/>
            <w:tcBorders>
              <w:top w:val="single" w:sz="8" w:color="auto"/>
            </w:tcBorders>
            <w:vMerge w:val="restart"/>
          </w:tcPr>
          <w:p>
            <w:pPr>
              <w:spacing w:after="0"/>
              <w:rPr>
                <w:sz w:val="12"/>
                <w:szCs w:val="12"/>
                <w:color w:val="auto"/>
              </w:rPr>
            </w:pPr>
          </w:p>
        </w:tc>
        <w:tc>
          <w:tcPr>
            <w:tcW w:w="166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Product Candidate</w:t>
            </w:r>
          </w:p>
        </w:tc>
        <w:tc>
          <w:tcPr>
            <w:tcW w:w="100" w:type="dxa"/>
            <w:vAlign w:val="bottom"/>
            <w:tcBorders>
              <w:top w:val="single" w:sz="8" w:color="auto"/>
            </w:tcBorders>
            <w:vMerge w:val="restart"/>
          </w:tcPr>
          <w:p>
            <w:pPr>
              <w:spacing w:after="0"/>
              <w:rPr>
                <w:sz w:val="12"/>
                <w:szCs w:val="12"/>
                <w:color w:val="auto"/>
              </w:rPr>
            </w:pPr>
          </w:p>
        </w:tc>
        <w:tc>
          <w:tcPr>
            <w:tcW w:w="2640" w:type="dxa"/>
            <w:vAlign w:val="bottom"/>
            <w:tcBorders>
              <w:top w:val="single" w:sz="8" w:color="auto"/>
            </w:tcBorders>
            <w:vMerge w:val="restart"/>
          </w:tcPr>
          <w:p>
            <w:pPr>
              <w:ind w:left="720"/>
              <w:spacing w:after="0"/>
              <w:rPr>
                <w:sz w:val="20"/>
                <w:szCs w:val="20"/>
                <w:color w:val="auto"/>
              </w:rPr>
            </w:pPr>
            <w:r>
              <w:rPr>
                <w:rFonts w:ascii="Arial" w:cs="Arial" w:eastAsia="Arial" w:hAnsi="Arial"/>
                <w:sz w:val="14"/>
                <w:szCs w:val="14"/>
                <w:b w:val="1"/>
                <w:bCs w:val="1"/>
                <w:color w:val="auto"/>
              </w:rPr>
              <w:t xml:space="preserve">Indication </w:t>
            </w:r>
            <w:r>
              <w:rPr>
                <w:rFonts w:ascii="Arial" w:cs="Arial" w:eastAsia="Arial" w:hAnsi="Arial"/>
                <w:sz w:val="14"/>
                <w:szCs w:val="14"/>
                <w:i w:val="1"/>
                <w:iCs w:val="1"/>
                <w:color w:val="auto"/>
              </w:rPr>
              <w:t>(Targets)</w:t>
            </w:r>
          </w:p>
        </w:tc>
        <w:tc>
          <w:tcPr>
            <w:tcW w:w="100" w:type="dxa"/>
            <w:vAlign w:val="bottom"/>
            <w:tcBorders>
              <w:top w:val="single" w:sz="8" w:color="auto"/>
            </w:tcBorders>
            <w:vMerge w:val="restart"/>
          </w:tcPr>
          <w:p>
            <w:pPr>
              <w:spacing w:after="0"/>
              <w:rPr>
                <w:sz w:val="12"/>
                <w:szCs w:val="12"/>
                <w:color w:val="auto"/>
              </w:rPr>
            </w:pPr>
          </w:p>
        </w:tc>
        <w:tc>
          <w:tcPr>
            <w:tcW w:w="8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Preclinical</w:t>
            </w:r>
          </w:p>
        </w:tc>
        <w:tc>
          <w:tcPr>
            <w:tcW w:w="6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Phase 1</w:t>
            </w:r>
          </w:p>
        </w:tc>
        <w:tc>
          <w:tcPr>
            <w:tcW w:w="6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Phase 2</w:t>
            </w:r>
          </w:p>
        </w:tc>
        <w:tc>
          <w:tcPr>
            <w:tcW w:w="5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4"/>
              </w:rPr>
              <w:t>Phase 3</w:t>
            </w:r>
          </w:p>
        </w:tc>
        <w:tc>
          <w:tcPr>
            <w:tcW w:w="100" w:type="dxa"/>
            <w:vAlign w:val="bottom"/>
            <w:tcBorders>
              <w:top w:val="single" w:sz="8" w:color="auto"/>
            </w:tcBorders>
            <w:vMerge w:val="restart"/>
          </w:tcPr>
          <w:p>
            <w:pPr>
              <w:spacing w:after="0"/>
              <w:rPr>
                <w:sz w:val="12"/>
                <w:szCs w:val="12"/>
                <w:color w:val="auto"/>
              </w:rPr>
            </w:pPr>
          </w:p>
        </w:tc>
        <w:tc>
          <w:tcPr>
            <w:tcW w:w="14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Rights/</w:t>
            </w:r>
          </w:p>
        </w:tc>
        <w:tc>
          <w:tcPr>
            <w:tcW w:w="0" w:type="dxa"/>
            <w:vAlign w:val="bottom"/>
          </w:tcPr>
          <w:p>
            <w:pPr>
              <w:spacing w:after="0"/>
              <w:rPr>
                <w:sz w:val="1"/>
                <w:szCs w:val="1"/>
                <w:color w:val="auto"/>
              </w:rPr>
            </w:pPr>
          </w:p>
        </w:tc>
      </w:tr>
      <w:tr>
        <w:trPr>
          <w:trHeight w:val="185"/>
        </w:trPr>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Collaborator</w:t>
            </w:r>
          </w:p>
        </w:tc>
        <w:tc>
          <w:tcPr>
            <w:tcW w:w="0" w:type="dxa"/>
            <w:vAlign w:val="bottom"/>
          </w:tcPr>
          <w:p>
            <w:pPr>
              <w:spacing w:after="0"/>
              <w:rPr>
                <w:sz w:val="1"/>
                <w:szCs w:val="1"/>
                <w:color w:val="auto"/>
              </w:rPr>
            </w:pPr>
          </w:p>
        </w:tc>
      </w:tr>
      <w:tr>
        <w:trPr>
          <w:trHeight w:val="123"/>
        </w:trPr>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BNT111</w:t>
            </w:r>
          </w:p>
        </w:tc>
        <w:tc>
          <w:tcPr>
            <w:tcW w:w="2640" w:type="dxa"/>
            <w:vAlign w:val="bottom"/>
          </w:tcPr>
          <w:p>
            <w:pPr>
              <w:spacing w:after="0" w:line="123" w:lineRule="exact"/>
              <w:rPr>
                <w:sz w:val="20"/>
                <w:szCs w:val="20"/>
                <w:color w:val="auto"/>
              </w:rPr>
            </w:pPr>
            <w:r>
              <w:rPr>
                <w:rFonts w:ascii="Arial" w:cs="Arial" w:eastAsia="Arial" w:hAnsi="Arial"/>
                <w:sz w:val="14"/>
                <w:szCs w:val="14"/>
                <w:color w:val="auto"/>
              </w:rPr>
              <w:t>Advanced Melanoma</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FixVac </w:t>
            </w:r>
            <w:r>
              <w:rPr>
                <w:rFonts w:ascii="Arial" w:cs="Arial" w:eastAsia="Arial" w:hAnsi="Arial"/>
                <w:sz w:val="14"/>
                <w:szCs w:val="14"/>
                <w:color w:val="auto"/>
              </w:rPr>
              <w:t>(fixed</w:t>
            </w:r>
          </w:p>
        </w:tc>
        <w:tc>
          <w:tcPr>
            <w:tcW w:w="1760" w:type="dxa"/>
            <w:vAlign w:val="bottom"/>
            <w:gridSpan w:val="2"/>
            <w:vMerge w:val="continue"/>
          </w:tcPr>
          <w:p>
            <w:pPr>
              <w:spacing w:after="0"/>
              <w:rPr>
                <w:sz w:val="8"/>
                <w:szCs w:val="8"/>
                <w:color w:val="auto"/>
              </w:rPr>
            </w:pPr>
          </w:p>
        </w:tc>
        <w:tc>
          <w:tcPr>
            <w:tcW w:w="27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(Adjuvant &amp; Metastatic)</w:t>
            </w: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7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BNT112</w:t>
            </w:r>
          </w:p>
        </w:tc>
        <w:tc>
          <w:tcPr>
            <w:tcW w:w="274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Prostate Cancer</w:t>
            </w: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combination of shared</w:t>
            </w:r>
          </w:p>
        </w:tc>
        <w:tc>
          <w:tcPr>
            <w:tcW w:w="1760" w:type="dxa"/>
            <w:vAlign w:val="bottom"/>
            <w:gridSpan w:val="2"/>
            <w:vMerge w:val="continue"/>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7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BNT113</w:t>
            </w:r>
          </w:p>
        </w:tc>
        <w:tc>
          <w:tcPr>
            <w:tcW w:w="27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HPV+ Head and Neck Cancer</w:t>
            </w:r>
            <w:r>
              <w:rPr>
                <w:rFonts w:ascii="Arial" w:cs="Arial" w:eastAsia="Arial" w:hAnsi="Arial"/>
                <w:sz w:val="12"/>
                <w:szCs w:val="12"/>
                <w:color w:val="auto"/>
              </w:rPr>
              <w:t>1</w:t>
            </w: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color w:val="auto"/>
              </w:rPr>
              <w:t>cancer antigens)</w:t>
            </w:r>
          </w:p>
        </w:tc>
        <w:tc>
          <w:tcPr>
            <w:tcW w:w="1760" w:type="dxa"/>
            <w:vAlign w:val="bottom"/>
            <w:gridSpan w:val="2"/>
            <w:vMerge w:val="continue"/>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7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BNT114</w:t>
            </w:r>
          </w:p>
        </w:tc>
        <w:tc>
          <w:tcPr>
            <w:tcW w:w="27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Triple Negative Breast Cancer</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43"/>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274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7F7F7F"/>
            </w:tcBorders>
          </w:tcPr>
          <w:p>
            <w:pPr>
              <w:spacing w:after="0"/>
              <w:rPr>
                <w:sz w:val="14"/>
                <w:szCs w:val="14"/>
                <w:color w:val="auto"/>
              </w:rPr>
            </w:pPr>
          </w:p>
        </w:tc>
        <w:tc>
          <w:tcPr>
            <w:tcW w:w="1440" w:type="dxa"/>
            <w:vAlign w:val="bottom"/>
            <w:tcBorders>
              <w:bottom w:val="single" w:sz="8" w:color="7F7F7F"/>
            </w:tcBorders>
          </w:tcPr>
          <w:p>
            <w:pPr>
              <w:spacing w:after="0"/>
              <w:rPr>
                <w:sz w:val="14"/>
                <w:szCs w:val="14"/>
                <w:color w:val="auto"/>
              </w:rPr>
            </w:pPr>
          </w:p>
        </w:tc>
        <w:tc>
          <w:tcPr>
            <w:tcW w:w="100" w:type="dxa"/>
            <w:vAlign w:val="bottom"/>
            <w:tcBorders>
              <w:bottom w:val="single" w:sz="8" w:color="7F7F7F"/>
            </w:tcBorders>
          </w:tcPr>
          <w:p>
            <w:pPr>
              <w:spacing w:after="0"/>
              <w:rPr>
                <w:sz w:val="14"/>
                <w:szCs w:val="14"/>
                <w:color w:val="auto"/>
              </w:rPr>
            </w:pPr>
          </w:p>
        </w:tc>
        <w:tc>
          <w:tcPr>
            <w:tcW w:w="1760" w:type="dxa"/>
            <w:vAlign w:val="bottom"/>
            <w:tcBorders>
              <w:bottom w:val="single" w:sz="8" w:color="7F7F7F"/>
            </w:tcBorders>
            <w:gridSpan w:val="2"/>
          </w:tcPr>
          <w:p>
            <w:pPr>
              <w:spacing w:after="0"/>
              <w:rPr>
                <w:sz w:val="20"/>
                <w:szCs w:val="20"/>
                <w:color w:val="auto"/>
              </w:rPr>
            </w:pPr>
            <w:r>
              <w:rPr>
                <w:rFonts w:ascii="Arial" w:cs="Arial" w:eastAsia="Arial" w:hAnsi="Arial"/>
                <w:sz w:val="14"/>
                <w:szCs w:val="14"/>
                <w:color w:val="auto"/>
              </w:rPr>
              <w:t>BNT115, BNT116</w:t>
            </w:r>
          </w:p>
        </w:tc>
        <w:tc>
          <w:tcPr>
            <w:tcW w:w="2740" w:type="dxa"/>
            <w:vAlign w:val="bottom"/>
            <w:tcBorders>
              <w:bottom w:val="single" w:sz="8" w:color="7F7F7F"/>
            </w:tcBorders>
            <w:gridSpan w:val="2"/>
          </w:tcPr>
          <w:p>
            <w:pPr>
              <w:spacing w:after="0"/>
              <w:rPr>
                <w:sz w:val="20"/>
                <w:szCs w:val="20"/>
                <w:color w:val="auto"/>
              </w:rPr>
            </w:pPr>
            <w:r>
              <w:rPr>
                <w:rFonts w:ascii="Arial" w:cs="Arial" w:eastAsia="Arial" w:hAnsi="Arial"/>
                <w:sz w:val="14"/>
                <w:szCs w:val="14"/>
                <w:color w:val="auto"/>
              </w:rPr>
              <w:t>Other Cancers, including Ovarian Cancer</w:t>
            </w:r>
          </w:p>
        </w:tc>
        <w:tc>
          <w:tcPr>
            <w:tcW w:w="760" w:type="dxa"/>
            <w:vAlign w:val="bottom"/>
            <w:tcBorders>
              <w:bottom w:val="single" w:sz="8" w:color="7F7F7F"/>
            </w:tcBorders>
          </w:tcPr>
          <w:p>
            <w:pPr>
              <w:spacing w:after="0"/>
              <w:rPr>
                <w:sz w:val="14"/>
                <w:szCs w:val="14"/>
                <w:color w:val="auto"/>
              </w:rPr>
            </w:pPr>
          </w:p>
        </w:tc>
        <w:tc>
          <w:tcPr>
            <w:tcW w:w="120" w:type="dxa"/>
            <w:vAlign w:val="bottom"/>
            <w:tcBorders>
              <w:bottom w:val="single" w:sz="8" w:color="7F7F7F"/>
            </w:tcBorders>
          </w:tcPr>
          <w:p>
            <w:pPr>
              <w:spacing w:after="0"/>
              <w:rPr>
                <w:sz w:val="14"/>
                <w:szCs w:val="14"/>
                <w:color w:val="auto"/>
              </w:rPr>
            </w:pPr>
          </w:p>
        </w:tc>
        <w:tc>
          <w:tcPr>
            <w:tcW w:w="540" w:type="dxa"/>
            <w:vAlign w:val="bottom"/>
            <w:tcBorders>
              <w:bottom w:val="single" w:sz="8" w:color="7F7F7F"/>
            </w:tcBorders>
          </w:tcPr>
          <w:p>
            <w:pPr>
              <w:spacing w:after="0"/>
              <w:rPr>
                <w:sz w:val="14"/>
                <w:szCs w:val="14"/>
                <w:color w:val="auto"/>
              </w:rPr>
            </w:pPr>
          </w:p>
        </w:tc>
        <w:tc>
          <w:tcPr>
            <w:tcW w:w="100" w:type="dxa"/>
            <w:vAlign w:val="bottom"/>
            <w:tcBorders>
              <w:bottom w:val="single" w:sz="8" w:color="7F7F7F"/>
            </w:tcBorders>
          </w:tcPr>
          <w:p>
            <w:pPr>
              <w:spacing w:after="0"/>
              <w:rPr>
                <w:sz w:val="14"/>
                <w:szCs w:val="14"/>
                <w:color w:val="auto"/>
              </w:rPr>
            </w:pPr>
          </w:p>
        </w:tc>
        <w:tc>
          <w:tcPr>
            <w:tcW w:w="540" w:type="dxa"/>
            <w:vAlign w:val="bottom"/>
            <w:tcBorders>
              <w:bottom w:val="single" w:sz="8" w:color="7F7F7F"/>
            </w:tcBorders>
          </w:tcPr>
          <w:p>
            <w:pPr>
              <w:spacing w:after="0"/>
              <w:rPr>
                <w:sz w:val="14"/>
                <w:szCs w:val="14"/>
                <w:color w:val="auto"/>
              </w:rPr>
            </w:pPr>
          </w:p>
        </w:tc>
        <w:tc>
          <w:tcPr>
            <w:tcW w:w="120" w:type="dxa"/>
            <w:vAlign w:val="bottom"/>
            <w:tcBorders>
              <w:bottom w:val="single" w:sz="8" w:color="7F7F7F"/>
            </w:tcBorders>
          </w:tcPr>
          <w:p>
            <w:pPr>
              <w:spacing w:after="0"/>
              <w:rPr>
                <w:sz w:val="14"/>
                <w:szCs w:val="14"/>
                <w:color w:val="auto"/>
              </w:rPr>
            </w:pPr>
          </w:p>
        </w:tc>
        <w:tc>
          <w:tcPr>
            <w:tcW w:w="540" w:type="dxa"/>
            <w:vAlign w:val="bottom"/>
            <w:tcBorders>
              <w:bottom w:val="single" w:sz="8" w:color="7F7F7F"/>
            </w:tcBorders>
          </w:tcPr>
          <w:p>
            <w:pPr>
              <w:spacing w:after="0"/>
              <w:rPr>
                <w:sz w:val="14"/>
                <w:szCs w:val="14"/>
                <w:color w:val="auto"/>
              </w:rPr>
            </w:pPr>
          </w:p>
        </w:tc>
        <w:tc>
          <w:tcPr>
            <w:tcW w:w="100" w:type="dxa"/>
            <w:vAlign w:val="bottom"/>
            <w:tcBorders>
              <w:bottom w:val="single" w:sz="8" w:color="7F7F7F"/>
            </w:tcBorders>
          </w:tcPr>
          <w:p>
            <w:pPr>
              <w:spacing w:after="0"/>
              <w:rPr>
                <w:sz w:val="14"/>
                <w:szCs w:val="14"/>
                <w:color w:val="auto"/>
              </w:rPr>
            </w:pPr>
          </w:p>
        </w:tc>
        <w:tc>
          <w:tcPr>
            <w:tcW w:w="1440" w:type="dxa"/>
            <w:vAlign w:val="bottom"/>
            <w:tcBorders>
              <w:bottom w:val="single" w:sz="8" w:color="7F7F7F"/>
            </w:tcBorders>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iNeST </w:t>
            </w:r>
            <w:r>
              <w:rPr>
                <w:rFonts w:ascii="Arial" w:cs="Arial" w:eastAsia="Arial" w:hAnsi="Arial"/>
                <w:sz w:val="14"/>
                <w:szCs w:val="14"/>
                <w:color w:val="auto"/>
              </w:rPr>
              <w:t>(patient- specific</w:t>
            </w: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gridSpan w:val="2"/>
          </w:tcPr>
          <w:p>
            <w:pPr>
              <w:spacing w:after="0" w:line="119" w:lineRule="exact"/>
              <w:rPr>
                <w:sz w:val="20"/>
                <w:szCs w:val="20"/>
                <w:color w:val="auto"/>
              </w:rPr>
            </w:pPr>
            <w:r>
              <w:rPr>
                <w:rFonts w:ascii="Arial" w:cs="Arial" w:eastAsia="Arial" w:hAnsi="Arial"/>
                <w:sz w:val="13"/>
                <w:szCs w:val="13"/>
                <w:color w:val="auto"/>
              </w:rPr>
              <w:t>1L Melanoma with CPI</w:t>
            </w:r>
            <w:r>
              <w:rPr>
                <w:rFonts w:ascii="Arial" w:cs="Arial" w:eastAsia="Arial" w:hAnsi="Arial"/>
                <w:sz w:val="11"/>
                <w:szCs w:val="11"/>
                <w:color w:val="auto"/>
              </w:rPr>
              <w:t>2</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Genentech</w:t>
            </w: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RO7198457 (BNT122)</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Multiple Solid Tumors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(Global 50:50</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color w:val="auto"/>
              </w:rPr>
              <w:t>cancer antigen therapy)</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profit/loss share)</w:t>
            </w:r>
          </w:p>
        </w:tc>
        <w:tc>
          <w:tcPr>
            <w:tcW w:w="0" w:type="dxa"/>
            <w:vAlign w:val="bottom"/>
          </w:tcPr>
          <w:p>
            <w:pPr>
              <w:spacing w:after="0"/>
              <w:rPr>
                <w:sz w:val="1"/>
                <w:szCs w:val="1"/>
                <w:color w:val="auto"/>
              </w:rPr>
            </w:pPr>
          </w:p>
        </w:tc>
      </w:tr>
      <w:tr>
        <w:trPr>
          <w:trHeight w:val="43"/>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6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Intratumoral</w:t>
            </w: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w w:val="98"/>
              </w:rPr>
              <w:t xml:space="preserve">Solid Tumors </w:t>
            </w:r>
            <w:r>
              <w:rPr>
                <w:rFonts w:ascii="Arial" w:cs="Arial" w:eastAsia="Arial" w:hAnsi="Arial"/>
                <w:sz w:val="14"/>
                <w:szCs w:val="14"/>
                <w:i w:val="1"/>
                <w:iCs w:val="1"/>
                <w:color w:val="auto"/>
                <w:w w:val="98"/>
              </w:rPr>
              <w:t>(IL-12sc, IL-15sushi, GM-CSF,</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Sanofi</w:t>
            </w: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SAR441000 (BNT131)</w:t>
            </w:r>
          </w:p>
        </w:tc>
        <w:tc>
          <w:tcPr>
            <w:tcW w:w="27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(Global</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Immunotherapy</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Arial" w:cs="Arial" w:eastAsia="Arial" w:hAnsi="Arial"/>
                <w:sz w:val="14"/>
                <w:szCs w:val="14"/>
                <w:i w:val="1"/>
                <w:iCs w:val="1"/>
                <w:color w:val="auto"/>
              </w:rPr>
              <w:t>IFN</w:t>
            </w:r>
            <w:r>
              <w:rPr>
                <w:rFonts w:ascii="Arial" w:cs="Arial" w:eastAsia="Arial" w:hAnsi="Arial"/>
                <w:sz w:val="14"/>
                <w:szCs w:val="14"/>
                <w:color w:val="auto"/>
              </w:rPr>
              <w:t>α</w:t>
            </w:r>
            <w:r>
              <w:rPr>
                <w:rFonts w:ascii="Arial" w:cs="Arial" w:eastAsia="Arial" w:hAnsi="Arial"/>
                <w:sz w:val="14"/>
                <w:szCs w:val="14"/>
                <w:i w:val="1"/>
                <w:iCs w:val="1"/>
                <w:color w:val="auto"/>
              </w:rPr>
              <w: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profit/loss share)</w:t>
            </w:r>
          </w:p>
        </w:tc>
        <w:tc>
          <w:tcPr>
            <w:tcW w:w="0" w:type="dxa"/>
            <w:vAlign w:val="bottom"/>
          </w:tcPr>
          <w:p>
            <w:pPr>
              <w:spacing w:after="0"/>
              <w:rPr>
                <w:sz w:val="1"/>
                <w:szCs w:val="1"/>
                <w:color w:val="auto"/>
              </w:rPr>
            </w:pPr>
          </w:p>
        </w:tc>
      </w:tr>
      <w:tr>
        <w:trPr>
          <w:trHeight w:val="43"/>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gridSpan w:val="2"/>
          </w:tcPr>
          <w:p>
            <w:pPr>
              <w:spacing w:after="0"/>
              <w:rPr>
                <w:sz w:val="3"/>
                <w:szCs w:val="3"/>
                <w:color w:val="auto"/>
              </w:rPr>
            </w:pPr>
          </w:p>
        </w:tc>
        <w:tc>
          <w:tcPr>
            <w:tcW w:w="1760" w:type="dxa"/>
            <w:vAlign w:val="bottom"/>
            <w:tcBorders>
              <w:bottom w:val="single" w:sz="8" w:color="7F7F7F"/>
            </w:tcBorders>
            <w:gridSpan w:val="2"/>
          </w:tcPr>
          <w:p>
            <w:pPr>
              <w:spacing w:after="0"/>
              <w:rPr>
                <w:sz w:val="3"/>
                <w:szCs w:val="3"/>
                <w:color w:val="auto"/>
              </w:rPr>
            </w:pPr>
          </w:p>
        </w:tc>
        <w:tc>
          <w:tcPr>
            <w:tcW w:w="2740" w:type="dxa"/>
            <w:vAlign w:val="bottom"/>
            <w:tcBorders>
              <w:bottom w:val="single" w:sz="8" w:color="7F7F7F"/>
            </w:tcBorders>
            <w:gridSpan w:val="2"/>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 xml:space="preserve">RiboMabs </w:t>
            </w:r>
            <w:r>
              <w:rPr>
                <w:rFonts w:ascii="Arial" w:cs="Arial" w:eastAsia="Arial" w:hAnsi="Arial"/>
                <w:sz w:val="14"/>
                <w:szCs w:val="14"/>
                <w:color w:val="auto"/>
              </w:rPr>
              <w:t>(mRNA-</w:t>
            </w:r>
          </w:p>
        </w:tc>
        <w:tc>
          <w:tcPr>
            <w:tcW w:w="1760" w:type="dxa"/>
            <w:vAlign w:val="bottom"/>
            <w:gridSpan w:val="2"/>
          </w:tcPr>
          <w:p>
            <w:pPr>
              <w:spacing w:after="0" w:line="129" w:lineRule="exact"/>
              <w:rPr>
                <w:sz w:val="20"/>
                <w:szCs w:val="20"/>
                <w:color w:val="auto"/>
              </w:rPr>
            </w:pPr>
            <w:r>
              <w:rPr>
                <w:rFonts w:ascii="Arial" w:cs="Arial" w:eastAsia="Arial" w:hAnsi="Arial"/>
                <w:sz w:val="14"/>
                <w:szCs w:val="14"/>
                <w:color w:val="auto"/>
              </w:rPr>
              <w:t>BNT141</w:t>
            </w:r>
          </w:p>
        </w:tc>
        <w:tc>
          <w:tcPr>
            <w:tcW w:w="2740" w:type="dxa"/>
            <w:vAlign w:val="bottom"/>
            <w:gridSpan w:val="2"/>
          </w:tcPr>
          <w:p>
            <w:pPr>
              <w:spacing w:after="0" w:line="129" w:lineRule="exact"/>
              <w:rPr>
                <w:sz w:val="20"/>
                <w:szCs w:val="20"/>
                <w:color w:val="auto"/>
              </w:rPr>
            </w:pPr>
            <w:r>
              <w:rPr>
                <w:rFonts w:ascii="Arial" w:cs="Arial" w:eastAsia="Arial" w:hAnsi="Arial"/>
                <w:sz w:val="14"/>
                <w:szCs w:val="14"/>
                <w:color w:val="auto"/>
              </w:rPr>
              <w:t>Multiple Solid Tumors</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4"/>
                <w:szCs w:val="14"/>
                <w:color w:val="auto"/>
              </w:rPr>
              <w:t>encoded antibodies)</w:t>
            </w:r>
          </w:p>
        </w:tc>
        <w:tc>
          <w:tcPr>
            <w:tcW w:w="1760" w:type="dxa"/>
            <w:vAlign w:val="bottom"/>
            <w:gridSpan w:val="2"/>
          </w:tcPr>
          <w:p>
            <w:pPr>
              <w:spacing w:after="0"/>
              <w:rPr>
                <w:sz w:val="20"/>
                <w:szCs w:val="20"/>
                <w:color w:val="auto"/>
              </w:rPr>
            </w:pPr>
            <w:r>
              <w:rPr>
                <w:rFonts w:ascii="Arial" w:cs="Arial" w:eastAsia="Arial" w:hAnsi="Arial"/>
                <w:sz w:val="14"/>
                <w:szCs w:val="14"/>
                <w:color w:val="auto"/>
              </w:rPr>
              <w:t>BNT142</w:t>
            </w:r>
          </w:p>
        </w:tc>
        <w:tc>
          <w:tcPr>
            <w:tcW w:w="2740" w:type="dxa"/>
            <w:vAlign w:val="bottom"/>
            <w:gridSpan w:val="2"/>
          </w:tcPr>
          <w:p>
            <w:pPr>
              <w:spacing w:after="0"/>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(CD3+CLDN6)</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1440" w:type="dxa"/>
            <w:vAlign w:val="bottom"/>
            <w:tcBorders>
              <w:bottom w:val="single" w:sz="8" w:color="7F7F7F"/>
            </w:tcBorders>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1760" w:type="dxa"/>
            <w:vAlign w:val="bottom"/>
            <w:tcBorders>
              <w:bottom w:val="single" w:sz="8" w:color="7F7F7F"/>
            </w:tcBorders>
            <w:gridSpan w:val="2"/>
          </w:tcPr>
          <w:p>
            <w:pPr>
              <w:spacing w:after="0"/>
              <w:rPr>
                <w:sz w:val="2"/>
                <w:szCs w:val="2"/>
                <w:color w:val="auto"/>
              </w:rPr>
            </w:pPr>
          </w:p>
        </w:tc>
        <w:tc>
          <w:tcPr>
            <w:tcW w:w="2740" w:type="dxa"/>
            <w:vAlign w:val="bottom"/>
            <w:tcBorders>
              <w:bottom w:val="single" w:sz="8" w:color="7F7F7F"/>
            </w:tcBorders>
            <w:gridSpan w:val="2"/>
          </w:tcPr>
          <w:p>
            <w:pPr>
              <w:spacing w:after="0"/>
              <w:rPr>
                <w:sz w:val="2"/>
                <w:szCs w:val="2"/>
                <w:color w:val="auto"/>
              </w:rPr>
            </w:pPr>
          </w:p>
        </w:tc>
        <w:tc>
          <w:tcPr>
            <w:tcW w:w="76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540" w:type="dxa"/>
            <w:vAlign w:val="bottom"/>
            <w:tcBorders>
              <w:bottom w:val="single" w:sz="8" w:color="7F7F7F"/>
            </w:tcBorders>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54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540" w:type="dxa"/>
            <w:vAlign w:val="bottom"/>
            <w:tcBorders>
              <w:bottom w:val="single" w:sz="8" w:color="7F7F7F"/>
            </w:tcBorders>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144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RiboCytokines</w:t>
            </w:r>
          </w:p>
        </w:tc>
        <w:tc>
          <w:tcPr>
            <w:tcW w:w="1760" w:type="dxa"/>
            <w:vAlign w:val="bottom"/>
            <w:gridSpan w:val="2"/>
          </w:tcPr>
          <w:p>
            <w:pPr>
              <w:spacing w:after="0" w:line="133" w:lineRule="exact"/>
              <w:rPr>
                <w:sz w:val="20"/>
                <w:szCs w:val="20"/>
                <w:color w:val="auto"/>
              </w:rPr>
            </w:pPr>
            <w:r>
              <w:rPr>
                <w:rFonts w:ascii="Arial" w:cs="Arial" w:eastAsia="Arial" w:hAnsi="Arial"/>
                <w:sz w:val="14"/>
                <w:szCs w:val="14"/>
                <w:color w:val="auto"/>
              </w:rPr>
              <w:t>BNT151</w:t>
            </w:r>
          </w:p>
        </w:tc>
        <w:tc>
          <w:tcPr>
            <w:tcW w:w="2740" w:type="dxa"/>
            <w:vAlign w:val="bottom"/>
            <w:gridSpan w:val="2"/>
          </w:tcPr>
          <w:p>
            <w:pPr>
              <w:spacing w:after="0" w:line="133" w:lineRule="exact"/>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(Optimized IL-2)</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72"/>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760" w:type="dxa"/>
            <w:vAlign w:val="bottom"/>
            <w:gridSpan w:val="2"/>
            <w:vMerge w:val="restart"/>
          </w:tcPr>
          <w:p>
            <w:pPr>
              <w:spacing w:after="0" w:line="153" w:lineRule="exact"/>
              <w:rPr>
                <w:sz w:val="20"/>
                <w:szCs w:val="20"/>
                <w:color w:val="auto"/>
              </w:rPr>
            </w:pPr>
            <w:r>
              <w:rPr>
                <w:rFonts w:ascii="Arial" w:cs="Arial" w:eastAsia="Arial" w:hAnsi="Arial"/>
                <w:sz w:val="14"/>
                <w:szCs w:val="14"/>
                <w:color w:val="auto"/>
              </w:rPr>
              <w:t>BNT152</w:t>
            </w:r>
          </w:p>
        </w:tc>
        <w:tc>
          <w:tcPr>
            <w:tcW w:w="2740" w:type="dxa"/>
            <w:vAlign w:val="bottom"/>
            <w:gridSpan w:val="2"/>
            <w:vMerge w:val="restart"/>
          </w:tcPr>
          <w:p>
            <w:pPr>
              <w:spacing w:after="0" w:line="153" w:lineRule="exact"/>
              <w:rPr>
                <w:sz w:val="20"/>
                <w:szCs w:val="20"/>
                <w:color w:val="auto"/>
              </w:rPr>
            </w:pPr>
            <w:r>
              <w:rPr>
                <w:rFonts w:ascii="Arial" w:cs="Arial" w:eastAsia="Arial" w:hAnsi="Arial"/>
                <w:sz w:val="14"/>
                <w:szCs w:val="14"/>
                <w:color w:val="auto"/>
              </w:rPr>
              <w:t>Multiple Solid Tumors</w:t>
            </w: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(mRNA-encoded</w:t>
            </w:r>
          </w:p>
        </w:tc>
        <w:tc>
          <w:tcPr>
            <w:tcW w:w="1760" w:type="dxa"/>
            <w:vAlign w:val="bottom"/>
            <w:gridSpan w:val="2"/>
            <w:vMerge w:val="continue"/>
          </w:tcPr>
          <w:p>
            <w:pPr>
              <w:spacing w:after="0"/>
              <w:rPr>
                <w:sz w:val="7"/>
                <w:szCs w:val="7"/>
                <w:color w:val="auto"/>
              </w:rPr>
            </w:pPr>
          </w:p>
        </w:tc>
        <w:tc>
          <w:tcPr>
            <w:tcW w:w="27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(IL-7)</w:t>
            </w: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color w:val="auto"/>
              </w:rPr>
              <w:t>cytokines)</w:t>
            </w: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88"/>
        </w:trPr>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BNT153</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(IL-2)</w:t>
            </w: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2"/>
            <w:vMerge w:val="continue"/>
          </w:tcPr>
          <w:p>
            <w:pPr>
              <w:spacing w:after="0"/>
              <w:rPr>
                <w:sz w:val="8"/>
                <w:szCs w:val="8"/>
                <w:color w:val="auto"/>
              </w:rPr>
            </w:pPr>
          </w:p>
        </w:tc>
        <w:tc>
          <w:tcPr>
            <w:tcW w:w="2740" w:type="dxa"/>
            <w:vAlign w:val="bottom"/>
            <w:tcBorders>
              <w:bottom w:val="single" w:sz="8" w:color="auto"/>
            </w:tcBorders>
            <w:gridSpan w:val="2"/>
            <w:vMerge w:val="continue"/>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CAR-T Cells</w:t>
            </w:r>
          </w:p>
        </w:tc>
        <w:tc>
          <w:tcPr>
            <w:tcW w:w="1760" w:type="dxa"/>
            <w:vAlign w:val="bottom"/>
            <w:gridSpan w:val="2"/>
          </w:tcPr>
          <w:p>
            <w:pPr>
              <w:spacing w:after="0"/>
              <w:rPr>
                <w:sz w:val="20"/>
                <w:szCs w:val="20"/>
                <w:color w:val="auto"/>
              </w:rPr>
            </w:pPr>
            <w:r>
              <w:rPr>
                <w:rFonts w:ascii="Arial" w:cs="Arial" w:eastAsia="Arial" w:hAnsi="Arial"/>
                <w:sz w:val="14"/>
                <w:szCs w:val="14"/>
                <w:color w:val="auto"/>
              </w:rPr>
              <w:t>BNT211</w:t>
            </w:r>
          </w:p>
        </w:tc>
        <w:tc>
          <w:tcPr>
            <w:tcW w:w="2740" w:type="dxa"/>
            <w:vAlign w:val="bottom"/>
            <w:gridSpan w:val="2"/>
          </w:tcPr>
          <w:p>
            <w:pPr>
              <w:spacing w:after="0"/>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(CLDN6)</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BNT212</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Pancreatic, Other Cancers </w:t>
            </w:r>
            <w:r>
              <w:rPr>
                <w:rFonts w:ascii="Arial" w:cs="Arial" w:eastAsia="Arial" w:hAnsi="Arial"/>
                <w:sz w:val="14"/>
                <w:szCs w:val="14"/>
                <w:i w:val="1"/>
                <w:iCs w:val="1"/>
                <w:color w:val="auto"/>
              </w:rPr>
              <w:t>(CLDN18.2)</w:t>
            </w: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14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1760" w:type="dxa"/>
            <w:vAlign w:val="bottom"/>
            <w:tcBorders>
              <w:bottom w:val="single" w:sz="8" w:color="7F7F7F"/>
            </w:tcBorders>
            <w:gridSpan w:val="2"/>
            <w:vMerge w:val="continue"/>
          </w:tcPr>
          <w:p>
            <w:pPr>
              <w:spacing w:after="0"/>
              <w:rPr>
                <w:sz w:val="8"/>
                <w:szCs w:val="8"/>
                <w:color w:val="auto"/>
              </w:rPr>
            </w:pPr>
          </w:p>
        </w:tc>
        <w:tc>
          <w:tcPr>
            <w:tcW w:w="2740" w:type="dxa"/>
            <w:vAlign w:val="bottom"/>
            <w:tcBorders>
              <w:bottom w:val="single" w:sz="8" w:color="7F7F7F"/>
            </w:tcBorders>
            <w:gridSpan w:val="2"/>
            <w:vMerge w:val="continue"/>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120" w:type="dxa"/>
            <w:vAlign w:val="bottom"/>
            <w:tcBorders>
              <w:bottom w:val="single" w:sz="8" w:color="7F7F7F"/>
            </w:tcBorders>
          </w:tcPr>
          <w:p>
            <w:pPr>
              <w:spacing w:after="0"/>
              <w:rPr>
                <w:sz w:val="8"/>
                <w:szCs w:val="8"/>
                <w:color w:val="auto"/>
              </w:rPr>
            </w:pPr>
          </w:p>
        </w:tc>
        <w:tc>
          <w:tcPr>
            <w:tcW w:w="5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540" w:type="dxa"/>
            <w:vAlign w:val="bottom"/>
            <w:tcBorders>
              <w:bottom w:val="single" w:sz="8" w:color="7F7F7F"/>
            </w:tcBorders>
          </w:tcPr>
          <w:p>
            <w:pPr>
              <w:spacing w:after="0"/>
              <w:rPr>
                <w:sz w:val="8"/>
                <w:szCs w:val="8"/>
                <w:color w:val="auto"/>
              </w:rPr>
            </w:pPr>
          </w:p>
        </w:tc>
        <w:tc>
          <w:tcPr>
            <w:tcW w:w="120" w:type="dxa"/>
            <w:vAlign w:val="bottom"/>
            <w:tcBorders>
              <w:bottom w:val="single" w:sz="8" w:color="7F7F7F"/>
            </w:tcBorders>
          </w:tcPr>
          <w:p>
            <w:pPr>
              <w:spacing w:after="0"/>
              <w:rPr>
                <w:sz w:val="8"/>
                <w:szCs w:val="8"/>
                <w:color w:val="auto"/>
              </w:rPr>
            </w:pPr>
          </w:p>
        </w:tc>
        <w:tc>
          <w:tcPr>
            <w:tcW w:w="5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1440" w:type="dxa"/>
            <w:vAlign w:val="bottom"/>
            <w:tcBorders>
              <w:bottom w:val="single" w:sz="8" w:color="7F7F7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To be selected</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Solid Tumors</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Eli Lilly (Exclusive</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TCRs</w:t>
            </w:r>
          </w:p>
        </w:tc>
        <w:tc>
          <w:tcPr>
            <w:tcW w:w="176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license option)</w:t>
            </w: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All Tumors</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To be selected</w:t>
            </w:r>
          </w:p>
        </w:tc>
        <w:tc>
          <w:tcPr>
            <w:tcW w:w="27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2"/>
          </w:tcPr>
          <w:p>
            <w:pPr>
              <w:spacing w:after="0"/>
              <w:rPr>
                <w:sz w:val="4"/>
                <w:szCs w:val="4"/>
                <w:color w:val="auto"/>
              </w:rPr>
            </w:pPr>
          </w:p>
        </w:tc>
        <w:tc>
          <w:tcPr>
            <w:tcW w:w="274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spacing w:after="0" w:line="160" w:lineRule="exact"/>
              <w:rPr>
                <w:sz w:val="20"/>
                <w:szCs w:val="20"/>
                <w:color w:val="auto"/>
              </w:rPr>
            </w:pPr>
            <w:r>
              <w:rPr>
                <w:rFonts w:ascii="Arial" w:cs="Arial" w:eastAsia="Arial" w:hAnsi="Arial"/>
                <w:sz w:val="14"/>
                <w:szCs w:val="14"/>
                <w:color w:val="auto"/>
              </w:rPr>
              <w:t>GEN1042 (BNT311)</w:t>
            </w:r>
          </w:p>
        </w:tc>
        <w:tc>
          <w:tcPr>
            <w:tcW w:w="2740" w:type="dxa"/>
            <w:vAlign w:val="bottom"/>
            <w:gridSpan w:val="2"/>
          </w:tcPr>
          <w:p>
            <w:pPr>
              <w:spacing w:after="0" w:line="160" w:lineRule="exact"/>
              <w:rPr>
                <w:sz w:val="20"/>
                <w:szCs w:val="20"/>
                <w:color w:val="auto"/>
              </w:rPr>
            </w:pPr>
            <w:r>
              <w:rPr>
                <w:rFonts w:ascii="Arial" w:cs="Arial" w:eastAsia="Arial" w:hAnsi="Arial"/>
                <w:sz w:val="14"/>
                <w:szCs w:val="14"/>
                <w:color w:val="auto"/>
              </w:rPr>
              <w:t>Multiple Solid Tumors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Genmab</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Next-Gen CP</w:t>
            </w:r>
            <w:r>
              <w:rPr>
                <w:rFonts w:ascii="Arial" w:cs="Arial" w:eastAsia="Arial" w:hAnsi="Arial"/>
                <w:sz w:val="12"/>
                <w:szCs w:val="12"/>
                <w:b w:val="1"/>
                <w:bCs w:val="1"/>
                <w:color w:val="auto"/>
              </w:rPr>
              <w:t>3</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(PD-L1×4-1BB)</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(Global 50:50</w:t>
            </w: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profit/loss share)</w:t>
            </w:r>
          </w:p>
        </w:tc>
        <w:tc>
          <w:tcPr>
            <w:tcW w:w="0" w:type="dxa"/>
            <w:vAlign w:val="bottom"/>
          </w:tcPr>
          <w:p>
            <w:pPr>
              <w:spacing w:after="0"/>
              <w:rPr>
                <w:sz w:val="1"/>
                <w:szCs w:val="1"/>
                <w:color w:val="auto"/>
              </w:rPr>
            </w:pPr>
          </w:p>
        </w:tc>
      </w:tr>
      <w:tr>
        <w:trPr>
          <w:trHeight w:val="92"/>
        </w:trPr>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restart"/>
          </w:tcPr>
          <w:p>
            <w:pPr>
              <w:spacing w:after="0" w:line="153" w:lineRule="exact"/>
              <w:rPr>
                <w:sz w:val="20"/>
                <w:szCs w:val="20"/>
                <w:color w:val="auto"/>
              </w:rPr>
            </w:pPr>
            <w:r>
              <w:rPr>
                <w:rFonts w:ascii="Arial" w:cs="Arial" w:eastAsia="Arial" w:hAnsi="Arial"/>
                <w:sz w:val="14"/>
                <w:szCs w:val="14"/>
                <w:b w:val="1"/>
                <w:bCs w:val="1"/>
                <w:color w:val="auto"/>
              </w:rPr>
              <w:t>Immuno-modulators</w:t>
            </w:r>
          </w:p>
        </w:tc>
        <w:tc>
          <w:tcPr>
            <w:tcW w:w="1760" w:type="dxa"/>
            <w:vAlign w:val="bottom"/>
            <w:gridSpan w:val="2"/>
            <w:vMerge w:val="restart"/>
          </w:tcPr>
          <w:p>
            <w:pPr>
              <w:spacing w:after="0" w:line="153" w:lineRule="exact"/>
              <w:rPr>
                <w:sz w:val="20"/>
                <w:szCs w:val="20"/>
                <w:color w:val="auto"/>
              </w:rPr>
            </w:pPr>
            <w:r>
              <w:rPr>
                <w:rFonts w:ascii="Arial" w:cs="Arial" w:eastAsia="Arial" w:hAnsi="Arial"/>
                <w:sz w:val="14"/>
                <w:szCs w:val="14"/>
                <w:color w:val="auto"/>
              </w:rPr>
              <w:t>BNT312</w:t>
            </w:r>
          </w:p>
        </w:tc>
        <w:tc>
          <w:tcPr>
            <w:tcW w:w="2740" w:type="dxa"/>
            <w:vAlign w:val="bottom"/>
            <w:gridSpan w:val="2"/>
            <w:vMerge w:val="restart"/>
          </w:tcPr>
          <w:p>
            <w:pPr>
              <w:spacing w:after="0" w:line="153" w:lineRule="exact"/>
              <w:rPr>
                <w:sz w:val="20"/>
                <w:szCs w:val="20"/>
                <w:color w:val="auto"/>
              </w:rPr>
            </w:pPr>
            <w:r>
              <w:rPr>
                <w:rFonts w:ascii="Arial" w:cs="Arial" w:eastAsia="Arial" w:hAnsi="Arial"/>
                <w:sz w:val="14"/>
                <w:szCs w:val="14"/>
                <w:color w:val="auto"/>
              </w:rPr>
              <w:t>Multiple Solid Tumors</w:t>
            </w: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274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Arial" w:cs="Arial" w:eastAsia="Arial" w:hAnsi="Arial"/>
                <w:sz w:val="14"/>
                <w:szCs w:val="14"/>
                <w:i w:val="1"/>
                <w:iCs w:val="1"/>
                <w:color w:val="auto"/>
              </w:rPr>
              <w:t>(CD40×4-1BB)</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1540" w:type="dxa"/>
            <w:vAlign w:val="bottom"/>
            <w:tcBorders>
              <w:bottom w:val="single" w:sz="8" w:color="7F7F7F"/>
            </w:tcBorders>
            <w:gridSpan w:val="2"/>
          </w:tcPr>
          <w:p>
            <w:pPr>
              <w:spacing w:after="0"/>
              <w:rPr>
                <w:sz w:val="6"/>
                <w:szCs w:val="6"/>
                <w:color w:val="auto"/>
              </w:rPr>
            </w:pPr>
          </w:p>
        </w:tc>
        <w:tc>
          <w:tcPr>
            <w:tcW w:w="166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64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120" w:type="dxa"/>
            <w:vAlign w:val="bottom"/>
            <w:tcBorders>
              <w:bottom w:val="single" w:sz="8" w:color="7F7F7F"/>
            </w:tcBorders>
          </w:tcPr>
          <w:p>
            <w:pPr>
              <w:spacing w:after="0"/>
              <w:rPr>
                <w:sz w:val="6"/>
                <w:szCs w:val="6"/>
                <w:color w:val="auto"/>
              </w:rPr>
            </w:pPr>
          </w:p>
        </w:tc>
        <w:tc>
          <w:tcPr>
            <w:tcW w:w="54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540" w:type="dxa"/>
            <w:vAlign w:val="bottom"/>
            <w:tcBorders>
              <w:bottom w:val="single" w:sz="8" w:color="7F7F7F"/>
            </w:tcBorders>
          </w:tcPr>
          <w:p>
            <w:pPr>
              <w:spacing w:after="0"/>
              <w:rPr>
                <w:sz w:val="6"/>
                <w:szCs w:val="6"/>
                <w:color w:val="auto"/>
              </w:rPr>
            </w:pPr>
          </w:p>
        </w:tc>
        <w:tc>
          <w:tcPr>
            <w:tcW w:w="120" w:type="dxa"/>
            <w:vAlign w:val="bottom"/>
            <w:tcBorders>
              <w:bottom w:val="single" w:sz="8" w:color="7F7F7F"/>
            </w:tcBorders>
          </w:tcPr>
          <w:p>
            <w:pPr>
              <w:spacing w:after="0"/>
              <w:rPr>
                <w:sz w:val="6"/>
                <w:szCs w:val="6"/>
                <w:color w:val="auto"/>
              </w:rPr>
            </w:pPr>
          </w:p>
        </w:tc>
        <w:tc>
          <w:tcPr>
            <w:tcW w:w="54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144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Targeted Cancer</w:t>
            </w: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MVT-5873 (BNT321)</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Pancreatic Cancer </w:t>
            </w:r>
            <w:r>
              <w:rPr>
                <w:rFonts w:ascii="Arial" w:cs="Arial" w:eastAsia="Arial" w:hAnsi="Arial"/>
                <w:sz w:val="14"/>
                <w:szCs w:val="14"/>
                <w:i w:val="1"/>
                <w:iCs w:val="1"/>
                <w:color w:val="auto"/>
              </w:rPr>
              <w:t>(sLe</w:t>
            </w:r>
            <w:r>
              <w:rPr>
                <w:rFonts w:ascii="Arial" w:cs="Arial" w:eastAsia="Arial" w:hAnsi="Arial"/>
                <w:sz w:val="12"/>
                <w:szCs w:val="12"/>
                <w:i w:val="1"/>
                <w:iCs w:val="1"/>
                <w:color w:val="auto"/>
              </w:rPr>
              <w:t>a</w:t>
            </w:r>
            <w:r>
              <w:rPr>
                <w:rFonts w:ascii="Arial" w:cs="Arial" w:eastAsia="Arial" w:hAnsi="Arial"/>
                <w:sz w:val="14"/>
                <w:szCs w:val="14"/>
                <w:i w:val="1"/>
                <w:iCs w:val="1"/>
                <w:color w:val="auto"/>
              </w:rPr>
              <w:t>)</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Antibodies</w:t>
            </w:r>
          </w:p>
        </w:tc>
        <w:tc>
          <w:tcPr>
            <w:tcW w:w="1760" w:type="dxa"/>
            <w:vAlign w:val="bottom"/>
            <w:gridSpan w:val="2"/>
            <w:vMerge w:val="continue"/>
          </w:tcPr>
          <w:p>
            <w:pPr>
              <w:spacing w:after="0"/>
              <w:rPr>
                <w:sz w:val="10"/>
                <w:szCs w:val="10"/>
                <w:color w:val="auto"/>
              </w:rPr>
            </w:pPr>
          </w:p>
        </w:tc>
        <w:tc>
          <w:tcPr>
            <w:tcW w:w="274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24"/>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Toll-Like Receptor</w:t>
            </w: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BNT411</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Solid Tumors </w:t>
            </w:r>
            <w:r>
              <w:rPr>
                <w:rFonts w:ascii="Arial" w:cs="Arial" w:eastAsia="Arial" w:hAnsi="Arial"/>
                <w:sz w:val="14"/>
                <w:szCs w:val="14"/>
                <w:i w:val="1"/>
                <w:iCs w:val="1"/>
                <w:color w:val="auto"/>
              </w:rPr>
              <w:t>(TLR7)</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Binding</w:t>
            </w:r>
          </w:p>
        </w:tc>
        <w:tc>
          <w:tcPr>
            <w:tcW w:w="1760" w:type="dxa"/>
            <w:vAlign w:val="bottom"/>
            <w:gridSpan w:val="2"/>
            <w:vMerge w:val="continue"/>
          </w:tcPr>
          <w:p>
            <w:pPr>
              <w:spacing w:after="0"/>
              <w:rPr>
                <w:sz w:val="10"/>
                <w:szCs w:val="10"/>
                <w:color w:val="auto"/>
              </w:rPr>
            </w:pPr>
          </w:p>
        </w:tc>
        <w:tc>
          <w:tcPr>
            <w:tcW w:w="274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6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Drug</w:t>
            </w:r>
          </w:p>
        </w:tc>
        <w:tc>
          <w:tcPr>
            <w:tcW w:w="100" w:type="dxa"/>
            <w:vAlign w:val="bottom"/>
          </w:tcPr>
          <w:p>
            <w:pPr>
              <w:spacing w:after="0"/>
              <w:rPr>
                <w:sz w:val="10"/>
                <w:szCs w:val="10"/>
                <w:color w:val="auto"/>
              </w:rPr>
            </w:pPr>
          </w:p>
        </w:tc>
        <w:tc>
          <w:tcPr>
            <w:tcW w:w="14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Platform</w:t>
            </w:r>
          </w:p>
        </w:tc>
        <w:tc>
          <w:tcPr>
            <w:tcW w:w="100" w:type="dxa"/>
            <w:vAlign w:val="bottom"/>
            <w:vMerge w:val="restart"/>
          </w:tcPr>
          <w:p>
            <w:pPr>
              <w:spacing w:after="0"/>
              <w:rPr>
                <w:sz w:val="10"/>
                <w:szCs w:val="10"/>
                <w:color w:val="auto"/>
              </w:rPr>
            </w:pPr>
          </w:p>
        </w:tc>
        <w:tc>
          <w:tcPr>
            <w:tcW w:w="16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Product Candidate</w:t>
            </w:r>
          </w:p>
        </w:tc>
        <w:tc>
          <w:tcPr>
            <w:tcW w:w="100" w:type="dxa"/>
            <w:vAlign w:val="bottom"/>
            <w:vMerge w:val="restart"/>
          </w:tcPr>
          <w:p>
            <w:pPr>
              <w:spacing w:after="0"/>
              <w:rPr>
                <w:sz w:val="10"/>
                <w:szCs w:val="10"/>
                <w:color w:val="auto"/>
              </w:rPr>
            </w:pPr>
          </w:p>
        </w:tc>
        <w:tc>
          <w:tcPr>
            <w:tcW w:w="26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 xml:space="preserve">Indication </w:t>
            </w:r>
            <w:r>
              <w:rPr>
                <w:rFonts w:ascii="Arial" w:cs="Arial" w:eastAsia="Arial" w:hAnsi="Arial"/>
                <w:sz w:val="14"/>
                <w:szCs w:val="14"/>
                <w:i w:val="1"/>
                <w:iCs w:val="1"/>
                <w:color w:val="auto"/>
              </w:rPr>
              <w:t>(Targets)</w:t>
            </w:r>
          </w:p>
        </w:tc>
        <w:tc>
          <w:tcPr>
            <w:tcW w:w="100" w:type="dxa"/>
            <w:vAlign w:val="bottom"/>
            <w:vMerge w:val="restart"/>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Preclinical</w:t>
            </w:r>
          </w:p>
        </w:tc>
        <w:tc>
          <w:tcPr>
            <w:tcW w:w="120" w:type="dxa"/>
            <w:vAlign w:val="bottom"/>
            <w:vMerge w:val="restart"/>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0"/>
              </w:rPr>
              <w:t>Phase 1</w:t>
            </w:r>
          </w:p>
        </w:tc>
        <w:tc>
          <w:tcPr>
            <w:tcW w:w="100" w:type="dxa"/>
            <w:vAlign w:val="bottom"/>
            <w:vMerge w:val="restart"/>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0"/>
              </w:rPr>
              <w:t>Phase 2</w:t>
            </w:r>
          </w:p>
        </w:tc>
        <w:tc>
          <w:tcPr>
            <w:tcW w:w="120" w:type="dxa"/>
            <w:vAlign w:val="bottom"/>
            <w:vMerge w:val="restart"/>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Phase 3</w:t>
            </w:r>
          </w:p>
        </w:tc>
        <w:tc>
          <w:tcPr>
            <w:tcW w:w="100" w:type="dxa"/>
            <w:vAlign w:val="bottom"/>
            <w:vMerge w:val="restart"/>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Rights/</w:t>
            </w:r>
          </w:p>
        </w:tc>
        <w:tc>
          <w:tcPr>
            <w:tcW w:w="0" w:type="dxa"/>
            <w:vAlign w:val="bottom"/>
          </w:tcPr>
          <w:p>
            <w:pPr>
              <w:spacing w:after="0"/>
              <w:rPr>
                <w:sz w:val="1"/>
                <w:szCs w:val="1"/>
                <w:color w:val="auto"/>
              </w:rPr>
            </w:pPr>
          </w:p>
        </w:tc>
      </w:tr>
      <w:tr>
        <w:trPr>
          <w:trHeight w:val="185"/>
        </w:trPr>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Collaborator</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Infectious Disease</w:t>
            </w:r>
          </w:p>
        </w:tc>
        <w:tc>
          <w:tcPr>
            <w:tcW w:w="1760" w:type="dxa"/>
            <w:vAlign w:val="bottom"/>
            <w:gridSpan w:val="2"/>
          </w:tcPr>
          <w:p>
            <w:pPr>
              <w:spacing w:after="0"/>
              <w:rPr>
                <w:sz w:val="20"/>
                <w:szCs w:val="20"/>
                <w:color w:val="auto"/>
              </w:rPr>
            </w:pPr>
            <w:r>
              <w:rPr>
                <w:rFonts w:ascii="Arial" w:cs="Arial" w:eastAsia="Arial" w:hAnsi="Arial"/>
                <w:sz w:val="14"/>
                <w:szCs w:val="14"/>
                <w:color w:val="auto"/>
              </w:rPr>
              <w:t>BNT161</w:t>
            </w:r>
          </w:p>
        </w:tc>
        <w:tc>
          <w:tcPr>
            <w:tcW w:w="2740" w:type="dxa"/>
            <w:vAlign w:val="bottom"/>
            <w:gridSpan w:val="2"/>
          </w:tcPr>
          <w:p>
            <w:pPr>
              <w:spacing w:after="0"/>
              <w:rPr>
                <w:sz w:val="20"/>
                <w:szCs w:val="20"/>
                <w:color w:val="auto"/>
              </w:rPr>
            </w:pPr>
            <w:r>
              <w:rPr>
                <w:rFonts w:ascii="Arial" w:cs="Arial" w:eastAsia="Arial" w:hAnsi="Arial"/>
                <w:sz w:val="14"/>
                <w:szCs w:val="14"/>
                <w:color w:val="auto"/>
              </w:rPr>
              <w:t>Influenza</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Pfizer</w:t>
            </w: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Immunotherapies</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Up to 10 Indications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Penn</w:t>
            </w:r>
            <w:r>
              <w:rPr>
                <w:rFonts w:ascii="Arial" w:cs="Arial" w:eastAsia="Arial" w:hAnsi="Arial"/>
                <w:sz w:val="12"/>
                <w:szCs w:val="12"/>
                <w:b w:val="1"/>
                <w:bCs w:val="1"/>
                <w:color w:val="auto"/>
                <w:w w:val="87"/>
              </w:rPr>
              <w:t>4</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6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To be selected</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5 Rare Disease Indications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Genevant</w:t>
            </w:r>
          </w:p>
        </w:tc>
        <w:tc>
          <w:tcPr>
            <w:tcW w:w="0" w:type="dxa"/>
            <w:vAlign w:val="bottom"/>
          </w:tcPr>
          <w:p>
            <w:pPr>
              <w:spacing w:after="0"/>
              <w:rPr>
                <w:sz w:val="1"/>
                <w:szCs w:val="1"/>
                <w:color w:val="auto"/>
              </w:rPr>
            </w:pPr>
          </w:p>
        </w:tc>
      </w:tr>
      <w:tr>
        <w:trPr>
          <w:trHeight w:val="92"/>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Rare Disease PRT</w:t>
            </w:r>
            <w:r>
              <w:rPr>
                <w:rFonts w:ascii="Arial" w:cs="Arial" w:eastAsia="Arial" w:hAnsi="Arial"/>
                <w:sz w:val="12"/>
                <w:szCs w:val="12"/>
                <w:b w:val="1"/>
                <w:bCs w:val="1"/>
                <w:color w:val="auto"/>
              </w:rPr>
              <w:t>5</w:t>
            </w: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(Global 50:50</w:t>
            </w:r>
          </w:p>
        </w:tc>
        <w:tc>
          <w:tcPr>
            <w:tcW w:w="0" w:type="dxa"/>
            <w:vAlign w:val="bottom"/>
          </w:tcPr>
          <w:p>
            <w:pPr>
              <w:spacing w:after="0"/>
              <w:rPr>
                <w:sz w:val="1"/>
                <w:szCs w:val="1"/>
                <w:color w:val="auto"/>
              </w:rPr>
            </w:pPr>
          </w:p>
        </w:tc>
      </w:tr>
      <w:tr>
        <w:trPr>
          <w:trHeight w:val="59"/>
        </w:trPr>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-5164455</wp:posOffset>
            </wp:positionV>
            <wp:extent cx="556895" cy="939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6895" cy="9398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-5018405</wp:posOffset>
            </wp:positionV>
            <wp:extent cx="556895" cy="3860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6895" cy="38608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-4624070</wp:posOffset>
            </wp:positionV>
            <wp:extent cx="93980" cy="274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27432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-4555490</wp:posOffset>
            </wp:positionV>
            <wp:extent cx="925830" cy="946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25830" cy="946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-4384040</wp:posOffset>
            </wp:positionV>
            <wp:extent cx="556895" cy="946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6895" cy="946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-4170045</wp:posOffset>
            </wp:positionV>
            <wp:extent cx="556895" cy="946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6895" cy="946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-3921125</wp:posOffset>
            </wp:positionV>
            <wp:extent cx="274320" cy="3346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4320" cy="3346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-3492500</wp:posOffset>
            </wp:positionV>
            <wp:extent cx="274320"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4320" cy="20574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-3252470</wp:posOffset>
            </wp:positionV>
            <wp:extent cx="205740" cy="5740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5740" cy="57404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-3244215</wp:posOffset>
            </wp:positionV>
            <wp:extent cx="274320"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4320" cy="21463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-2909570</wp:posOffset>
            </wp:positionV>
            <wp:extent cx="274320" cy="102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-2686685</wp:posOffset>
            </wp:positionV>
            <wp:extent cx="274320"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-2215515</wp:posOffset>
            </wp:positionV>
            <wp:extent cx="93980" cy="419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41973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-2386965</wp:posOffset>
            </wp:positionV>
            <wp:extent cx="556895" cy="939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6895" cy="9398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-2146935</wp:posOffset>
            </wp:positionV>
            <wp:extent cx="274320" cy="102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-1880870</wp:posOffset>
            </wp:positionV>
            <wp:extent cx="556895" cy="946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6895" cy="9461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-1615440</wp:posOffset>
            </wp:positionV>
            <wp:extent cx="205740" cy="522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5740" cy="5226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-1657985</wp:posOffset>
            </wp:positionV>
            <wp:extent cx="274320" cy="1028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-381000</wp:posOffset>
            </wp:positionV>
            <wp:extent cx="93980" cy="274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27432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-603885</wp:posOffset>
            </wp:positionV>
            <wp:extent cx="274320" cy="102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-398145</wp:posOffset>
            </wp:positionV>
            <wp:extent cx="274320" cy="102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-200660</wp:posOffset>
            </wp:positionV>
            <wp:extent cx="274320" cy="1028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4320" cy="102870"/>
                    </a:xfrm>
                    <a:prstGeom prst="rect">
                      <a:avLst/>
                    </a:prstGeom>
                    <a:noFill/>
                  </pic:spPr>
                </pic:pic>
              </a:graphicData>
            </a:graphic>
          </wp:anchor>
        </w:drawing>
      </w:r>
    </w:p>
    <w:p>
      <w:pPr>
        <w:ind w:left="9900"/>
        <w:spacing w:after="0"/>
        <w:rPr>
          <w:sz w:val="20"/>
          <w:szCs w:val="20"/>
          <w:color w:val="auto"/>
        </w:rPr>
      </w:pPr>
      <w:r>
        <w:rPr>
          <w:rFonts w:ascii="Arial" w:cs="Arial" w:eastAsia="Arial" w:hAnsi="Arial"/>
          <w:sz w:val="14"/>
          <w:szCs w:val="14"/>
          <w:b w:val="1"/>
          <w:bCs w:val="1"/>
          <w:color w:val="auto"/>
        </w:rPr>
        <w:t>profit/loss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7029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8" w:lineRule="exact"/>
        <w:rPr>
          <w:sz w:val="20"/>
          <w:szCs w:val="20"/>
          <w:color w:val="auto"/>
        </w:rPr>
      </w:pPr>
    </w:p>
    <w:p>
      <w:pPr>
        <w:ind w:left="220" w:hanging="104"/>
        <w:spacing w:after="0"/>
        <w:tabs>
          <w:tab w:leader="none" w:pos="220" w:val="left"/>
        </w:tabs>
        <w:numPr>
          <w:ilvl w:val="0"/>
          <w:numId w:val="83"/>
        </w:numPr>
        <w:rPr>
          <w:rFonts w:ascii="Arial" w:cs="Arial" w:eastAsia="Arial" w:hAnsi="Arial"/>
          <w:sz w:val="12"/>
          <w:szCs w:val="12"/>
          <w:color w:val="auto"/>
        </w:rPr>
      </w:pPr>
      <w:r>
        <w:rPr>
          <w:rFonts w:ascii="Arial" w:cs="Arial" w:eastAsia="Arial" w:hAnsi="Arial"/>
          <w:sz w:val="14"/>
          <w:szCs w:val="14"/>
          <w:color w:val="auto"/>
        </w:rPr>
        <w:t>BNT113 is currently being studied in an investigator-initiated Phase 1 trial</w:t>
      </w:r>
    </w:p>
    <w:p>
      <w:pPr>
        <w:ind w:left="12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Checkpoint Inhibitor</w:t>
      </w:r>
    </w:p>
    <w:p>
      <w:pPr>
        <w:ind w:left="12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3 </w:t>
      </w:r>
      <w:r>
        <w:rPr>
          <w:rFonts w:ascii="Arial" w:cs="Arial" w:eastAsia="Arial" w:hAnsi="Arial"/>
          <w:sz w:val="14"/>
          <w:szCs w:val="14"/>
          <w:color w:val="auto"/>
        </w:rPr>
        <w:t>Checkpoint</w:t>
      </w:r>
    </w:p>
    <w:p>
      <w:pPr>
        <w:ind w:left="12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4 </w:t>
      </w:r>
      <w:r>
        <w:rPr>
          <w:rFonts w:ascii="Arial" w:cs="Arial" w:eastAsia="Arial" w:hAnsi="Arial"/>
          <w:sz w:val="14"/>
          <w:szCs w:val="14"/>
          <w:color w:val="auto"/>
        </w:rPr>
        <w:t>We are eligible to receive worldwide licenses</w:t>
      </w:r>
    </w:p>
    <w:p>
      <w:pPr>
        <w:ind w:left="120"/>
        <w:spacing w:after="0"/>
        <w:rPr>
          <w:rFonts w:ascii="Arial" w:cs="Arial" w:eastAsia="Arial" w:hAnsi="Arial"/>
          <w:sz w:val="12"/>
          <w:szCs w:val="12"/>
          <w:color w:val="auto"/>
        </w:rPr>
      </w:pPr>
      <w:r>
        <w:rPr>
          <w:rFonts w:ascii="Arial" w:cs="Arial" w:eastAsia="Arial" w:hAnsi="Arial"/>
          <w:sz w:val="12"/>
          <w:szCs w:val="12"/>
          <w:color w:val="auto"/>
        </w:rPr>
        <w:t xml:space="preserve">5 </w:t>
      </w:r>
      <w:r>
        <w:rPr>
          <w:rFonts w:ascii="Arial" w:cs="Arial" w:eastAsia="Arial" w:hAnsi="Arial"/>
          <w:sz w:val="14"/>
          <w:szCs w:val="14"/>
          <w:color w:val="auto"/>
        </w:rPr>
        <w:t>Protein Replacement Therapy</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547"/>
        <w:spacing w:after="0"/>
        <w:tabs>
          <w:tab w:leader="none" w:pos="154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Oncology</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 xml:space="preserve">FixVac. </w:t>
      </w:r>
      <w:r>
        <w:rPr>
          <w:rFonts w:ascii="Arial" w:cs="Arial" w:eastAsia="Arial" w:hAnsi="Arial"/>
          <w:sz w:val="17"/>
          <w:szCs w:val="17"/>
          <w:color w:val="auto"/>
        </w:rPr>
        <w:t>Our FixVac product candidates contain selected combinations of unmodified, pharmacologically optimized mRNA encoding known</w:t>
      </w:r>
      <w:r>
        <w:rPr>
          <w:rFonts w:ascii="Arial" w:cs="Arial" w:eastAsia="Arial" w:hAnsi="Arial"/>
          <w:sz w:val="17"/>
          <w:szCs w:val="17"/>
          <w:i w:val="1"/>
          <w:iCs w:val="1"/>
          <w:color w:val="auto"/>
        </w:rPr>
        <w:t xml:space="preserve"> </w:t>
      </w:r>
      <w:r>
        <w:rPr>
          <w:rFonts w:ascii="Arial" w:cs="Arial" w:eastAsia="Arial" w:hAnsi="Arial"/>
          <w:sz w:val="17"/>
          <w:szCs w:val="17"/>
          <w:color w:val="auto"/>
        </w:rPr>
        <w:t>cancer-specific shared antigens. They feature our proprietary immunogenic mRNA backbone and proprietary RNA-lipoplex, or RNA-LPX, delivery formulation, designed to enhance stability and translation, target dendritic cells and trigger both innate and adaptive immune responses. We are currently evaluating three FixVac product candidates in clinical trials, including BNT111 in a Phase 1 trial in metastatic melanoma, BNT113 in a Phase 1 trial in HPV+ head and neck cancers and BNT114 in a Phase 1 trial in triple negative breast cancer.</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of the July 2018 interim cut-off, we had interim data from 54 evaluable patients with metastatic melanoma in our Phase 1 clinical trial of BNT111. Of these patients, 32 had no macroscopic tumor lesion at the time they were enrolled. All of the lesion-free patients demonstrated relapse-free disease control at follow-up. The remaining 22 patients had metastatic lesions at enrollment. Four patients demonstrated a partial response and eight had stable disease following treatment. We observed a duration of response of at least six months in all but one patient.</w:t>
      </w:r>
    </w:p>
    <w:p>
      <w:pPr>
        <w:spacing w:after="0" w:line="17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expect to initiate Phase 2 trials for BNT111 in metastatic melanoma in the first half of 2020 and a Phase 1 trial for BNT112, our FixVac product candidate targeting prostate cancer, in the second half of 2019. In addition, we are planning to initiate a Phase 2 study for BNT113 in HPV+ cancers by the first half of 2020.</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Individualized neoantigen specific immunotherapy (iNeST). </w:t>
      </w:r>
      <w:r>
        <w:rPr>
          <w:rFonts w:ascii="Arial" w:cs="Arial" w:eastAsia="Arial" w:hAnsi="Arial"/>
          <w:sz w:val="17"/>
          <w:szCs w:val="17"/>
          <w:color w:val="auto"/>
        </w:rPr>
        <w:t>Our iNeST immunotherapies contain unmodified, pharmacologically optimized</w:t>
      </w:r>
      <w:r>
        <w:rPr>
          <w:rFonts w:ascii="Arial" w:cs="Arial" w:eastAsia="Arial" w:hAnsi="Arial"/>
          <w:sz w:val="17"/>
          <w:szCs w:val="17"/>
          <w:i w:val="1"/>
          <w:iCs w:val="1"/>
          <w:color w:val="auto"/>
        </w:rPr>
        <w:t xml:space="preserve"> </w:t>
      </w:r>
      <w:r>
        <w:rPr>
          <w:rFonts w:ascii="Arial" w:cs="Arial" w:eastAsia="Arial" w:hAnsi="Arial"/>
          <w:sz w:val="17"/>
          <w:szCs w:val="17"/>
          <w:color w:val="auto"/>
        </w:rPr>
        <w:t>mRNA encoding up to 20 patient-specific neoantigens, and also feature our proprietary RNA-LPX formulation. We are conducting, in collaboration with Genentech, two clinical trials of our iNeST product candidate, RO7198457 (BNT122), including a randomized Phase 2 trial in first-line metastatic melanoma in combination with pembrolizumab, a checkpoint inhibitor, and a Phase 1a (monotherapy)/1b (in combination with atezolizumab) trial in multiple solid tumors. In a previous Phase 1 trial of BNT121, an earlier version of our iNeST product candidate that was administered intranodally, in 13 patients with metastatic melanoma, we observed stable progression-free survival in nine patients for up to 41 months following surgery and treatment with BNT121. In addition, we observed an objective response in three out of five patients, two with iNeST alone and one patient who also received checkpoint immunotherapy. We also observed a significant decrease in the cumulative recurrence rate post-treatment as compared to pre-treatment. We and Genentech expect to report a data update from our RO7198457 (BNT122) Phase 1 trial in multiple solid tumors, and interim data from our RO7198457 (BNT122) Phase 1 trial in first-line metastatic melanoma, in the second half of 2020.</w:t>
      </w:r>
    </w:p>
    <w:p>
      <w:pPr>
        <w:spacing w:after="0" w:line="185"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i w:val="1"/>
          <w:iCs w:val="1"/>
          <w:color w:val="auto"/>
        </w:rPr>
        <w:t xml:space="preserve">mRNA intratumoral immunotherapy. </w:t>
      </w:r>
      <w:r>
        <w:rPr>
          <w:rFonts w:ascii="Arial" w:cs="Arial" w:eastAsia="Arial" w:hAnsi="Arial"/>
          <w:sz w:val="18"/>
          <w:szCs w:val="18"/>
          <w:color w:val="auto"/>
        </w:rPr>
        <w:t>In collaboration with Sanofi, we are conducting a Phase 1 trial of BNT131, our first mRNA-based</w:t>
      </w:r>
      <w:r>
        <w:rPr>
          <w:rFonts w:ascii="Arial" w:cs="Arial" w:eastAsia="Arial" w:hAnsi="Arial"/>
          <w:sz w:val="18"/>
          <w:szCs w:val="18"/>
          <w:i w:val="1"/>
          <w:iCs w:val="1"/>
          <w:color w:val="auto"/>
        </w:rPr>
        <w:t xml:space="preserve"> </w:t>
      </w:r>
      <w:r>
        <w:rPr>
          <w:rFonts w:ascii="Arial" w:cs="Arial" w:eastAsia="Arial" w:hAnsi="Arial"/>
          <w:sz w:val="18"/>
          <w:szCs w:val="18"/>
          <w:color w:val="auto"/>
        </w:rPr>
        <w:t>intratumoral immunotherapy, encoding the IL-12sc, IL-15sushi, GM-CSF and INFα cytokines, in solid tumors.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CLDN6 CAR-T cell immunotherapy. </w:t>
      </w:r>
      <w:r>
        <w:rPr>
          <w:rFonts w:ascii="Arial" w:cs="Arial" w:eastAsia="Arial" w:hAnsi="Arial"/>
          <w:sz w:val="18"/>
          <w:szCs w:val="18"/>
          <w:color w:val="auto"/>
        </w:rPr>
        <w:t>We are developing a proprietary chimeric antigen receptor T cell, or CAR T, product candidate, BNT211,</w:t>
      </w:r>
      <w:r>
        <w:rPr>
          <w:rFonts w:ascii="Arial" w:cs="Arial" w:eastAsia="Arial" w:hAnsi="Arial"/>
          <w:sz w:val="18"/>
          <w:szCs w:val="18"/>
          <w:i w:val="1"/>
          <w:iCs w:val="1"/>
          <w:color w:val="auto"/>
        </w:rPr>
        <w:t xml:space="preserve"> </w:t>
      </w:r>
      <w:r>
        <w:rPr>
          <w:rFonts w:ascii="Arial" w:cs="Arial" w:eastAsia="Arial" w:hAnsi="Arial"/>
          <w:sz w:val="18"/>
          <w:szCs w:val="18"/>
          <w:color w:val="auto"/>
        </w:rPr>
        <w:t>targeting Claudin-6, or CLDN6, a novel solid tumor-specific antigen. We developed BNT211 utilizing our target discovery engine, and we plan to administer it along with a FixVac “primer” to boost the immune response and promote CAR-T cell persistence. We expect to initiate a Phase 1/2 clinical trial for BNT211 in the first half of 2020.</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 xml:space="preserve">Next-generation checkpoint immunomodulators. </w:t>
      </w:r>
      <w:r>
        <w:rPr>
          <w:rFonts w:ascii="Arial" w:cs="Arial" w:eastAsia="Arial" w:hAnsi="Arial"/>
          <w:sz w:val="18"/>
          <w:szCs w:val="18"/>
          <w:color w:val="auto"/>
        </w:rPr>
        <w:t>We are developing, in collaboration with Genmab, novel next-generation bispecific antibodies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designed for conditional activation of immunostimulatory checkpoint molecules. Our first bispecific candidates are GEN1046 (BNT311), which targets PD-L1 in conjunction with 4-1BB, and BNT312, which targets CD40 in conjunction with 4-1BB. While 4-1BB is a known immune checkpoint target that is expressed on T cells and natural killer, or NK, cells, prior attempts to target 4-1BB with monoclonal antibodies have been severely limited by liver toxicities. Our 4-1BB targeting product candidates are designed to avoid toxicities by conditionally activating a 4-1BB receptor only together with the binding of either PD-L1 or CD40. We have initiated a Phase 1 trial of GEN1046 (BNT311) in solid tumors, and expect to initiate a Phase 1 trial for BNT312 in the second half of 2019.</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 xml:space="preserve">Targeted Cancer Antibodies. </w:t>
      </w:r>
      <w:r>
        <w:rPr>
          <w:rFonts w:ascii="Arial" w:cs="Arial" w:eastAsia="Arial" w:hAnsi="Arial"/>
          <w:sz w:val="18"/>
          <w:szCs w:val="18"/>
          <w:color w:val="auto"/>
        </w:rPr>
        <w:t>We recently acquired an antibody with a novel mode of action, MVT-5873 (BNT321). BNT321 is a fully human</w:t>
      </w:r>
      <w:r>
        <w:rPr>
          <w:rFonts w:ascii="Arial" w:cs="Arial" w:eastAsia="Arial" w:hAnsi="Arial"/>
          <w:sz w:val="18"/>
          <w:szCs w:val="18"/>
          <w:i w:val="1"/>
          <w:iCs w:val="1"/>
          <w:color w:val="auto"/>
        </w:rPr>
        <w:t xml:space="preserve"> </w:t>
      </w:r>
      <w:r>
        <w:rPr>
          <w:rFonts w:ascii="Arial" w:cs="Arial" w:eastAsia="Arial" w:hAnsi="Arial"/>
          <w:sz w:val="18"/>
          <w:szCs w:val="18"/>
          <w:color w:val="auto"/>
        </w:rPr>
        <w:t>IgG1 monoclonal antibody targeting sialyl Lewis A (sLe</w:t>
      </w:r>
      <w:r>
        <w:rPr>
          <w:rFonts w:ascii="Arial" w:cs="Arial" w:eastAsia="Arial" w:hAnsi="Arial"/>
          <w:sz w:val="15"/>
          <w:szCs w:val="15"/>
          <w:color w:val="auto"/>
        </w:rPr>
        <w:t>a</w:t>
      </w:r>
      <w:r>
        <w:rPr>
          <w:rFonts w:ascii="Arial" w:cs="Arial" w:eastAsia="Arial" w:hAnsi="Arial"/>
          <w:sz w:val="18"/>
          <w:szCs w:val="18"/>
          <w:color w:val="auto"/>
        </w:rPr>
        <w:t>), a novel epitope expressed specifically in pancreatic and other solid tumors. MVT-5873 (BNT321) is currently in Phase 1 clinical development in pancreatic cancer, which we intend to resume in the second half of 2019. Positive interim data were announced in February 2018.</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have several other cancer immunotherapy programs in development, including:</w:t>
      </w:r>
    </w:p>
    <w:p>
      <w:pPr>
        <w:spacing w:after="0" w:line="131" w:lineRule="exact"/>
        <w:rPr>
          <w:sz w:val="20"/>
          <w:szCs w:val="20"/>
          <w:color w:val="auto"/>
        </w:rPr>
      </w:pPr>
    </w:p>
    <w:p>
      <w:pPr>
        <w:ind w:left="540" w:right="20" w:hanging="316"/>
        <w:spacing w:after="0" w:line="263"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RiboMabs</w:t>
      </w:r>
      <w:r>
        <w:rPr>
          <w:rFonts w:ascii="Arial" w:cs="Arial" w:eastAsia="Arial" w:hAnsi="Arial"/>
          <w:sz w:val="18"/>
          <w:szCs w:val="18"/>
          <w:color w:val="auto"/>
        </w:rPr>
        <w:t>: novel classes of mRNA-based therapeutics that are designed to encode antibodies directly in the patient’s body. We expect to initiate a</w:t>
      </w:r>
      <w:r>
        <w:rPr>
          <w:rFonts w:ascii="Arial" w:cs="Arial" w:eastAsia="Arial" w:hAnsi="Arial"/>
          <w:sz w:val="18"/>
          <w:szCs w:val="18"/>
          <w:i w:val="1"/>
          <w:iCs w:val="1"/>
          <w:color w:val="auto"/>
        </w:rPr>
        <w:t xml:space="preserve"> </w:t>
      </w:r>
      <w:r>
        <w:rPr>
          <w:rFonts w:ascii="Arial" w:cs="Arial" w:eastAsia="Arial" w:hAnsi="Arial"/>
          <w:sz w:val="18"/>
          <w:szCs w:val="18"/>
          <w:color w:val="auto"/>
        </w:rPr>
        <w:t>Phase 1 clinical trial for our first RiboMab product candidate, BNT141, in the first half of 2020, and for our second product candidate, BNT142, in the second half of 2020.</w:t>
      </w:r>
    </w:p>
    <w:p>
      <w:pPr>
        <w:spacing w:after="0" w:line="89" w:lineRule="exact"/>
        <w:rPr>
          <w:rFonts w:ascii="Arial" w:cs="Arial" w:eastAsia="Arial" w:hAnsi="Arial"/>
          <w:sz w:val="18"/>
          <w:szCs w:val="18"/>
          <w:color w:val="auto"/>
        </w:rPr>
      </w:pPr>
    </w:p>
    <w:p>
      <w:pPr>
        <w:ind w:left="540" w:right="500" w:hanging="316"/>
        <w:spacing w:after="0" w:line="342"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RiboCytokines</w:t>
      </w:r>
      <w:r>
        <w:rPr>
          <w:rFonts w:ascii="Arial" w:cs="Arial" w:eastAsia="Arial" w:hAnsi="Arial"/>
          <w:sz w:val="16"/>
          <w:szCs w:val="16"/>
          <w:color w:val="auto"/>
        </w:rPr>
        <w:t>: novel classes of mRNA-based therapeutics that are designed to encode cytokines directly in the patient’s body. We expect to</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 a Phase 1 clinical trial for our first two RiboCytokine product candidates, BNT151 and BNT152, in the first half of 2020.</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TCR therapy</w:t>
      </w:r>
      <w:r>
        <w:rPr>
          <w:rFonts w:ascii="Arial" w:cs="Arial" w:eastAsia="Arial" w:hAnsi="Arial"/>
          <w:sz w:val="18"/>
          <w:szCs w:val="18"/>
          <w:color w:val="auto"/>
        </w:rPr>
        <w:t>: T cells with engineered TCRs that are designed to specifically target cancer cells.</w:t>
      </w:r>
    </w:p>
    <w:p>
      <w:pPr>
        <w:spacing w:after="0" w:line="130" w:lineRule="exact"/>
        <w:rPr>
          <w:rFonts w:ascii="Arial" w:cs="Arial" w:eastAsia="Arial" w:hAnsi="Arial"/>
          <w:sz w:val="18"/>
          <w:szCs w:val="18"/>
          <w:color w:val="auto"/>
        </w:rPr>
      </w:pPr>
    </w:p>
    <w:p>
      <w:pPr>
        <w:ind w:left="540" w:right="320" w:hanging="316"/>
        <w:spacing w:after="0" w:line="263"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Small molecule immunomodulators</w:t>
      </w:r>
      <w:r>
        <w:rPr>
          <w:rFonts w:ascii="Arial" w:cs="Arial" w:eastAsia="Arial" w:hAnsi="Arial"/>
          <w:sz w:val="18"/>
          <w:szCs w:val="18"/>
          <w:color w:val="auto"/>
        </w:rPr>
        <w:t>: novel intratumoral agents that trigger inflammation and improvement of antigen presentation by antigen-presenting cells. We expect to initiate a Phase 1 clinical trial for our first small molecule immunomodulator product candidate, BNT411, in the first half of 2020.</w:t>
      </w:r>
    </w:p>
    <w:p>
      <w:pPr>
        <w:spacing w:after="0" w:line="332" w:lineRule="exact"/>
        <w:rPr>
          <w:sz w:val="20"/>
          <w:szCs w:val="20"/>
          <w:color w:val="auto"/>
        </w:rPr>
      </w:pPr>
    </w:p>
    <w:p>
      <w:pPr>
        <w:ind w:left="1540" w:hanging="547"/>
        <w:spacing w:after="0"/>
        <w:tabs>
          <w:tab w:leader="none" w:pos="154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Infectious Diseases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collaborated with third parties to exploit the immunotherapeutic properties of our mRNA drug class for the treatment and prevention of infectious diseases. We expect to advance our first programs into the clinic by the end of 2020.</w:t>
      </w:r>
    </w:p>
    <w:p>
      <w:pPr>
        <w:spacing w:after="0" w:line="76" w:lineRule="exact"/>
        <w:rPr>
          <w:sz w:val="20"/>
          <w:szCs w:val="20"/>
          <w:color w:val="auto"/>
        </w:rPr>
      </w:pPr>
    </w:p>
    <w:p>
      <w:pPr>
        <w:ind w:left="540" w:right="460" w:hanging="316"/>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Flu vaccine</w:t>
      </w:r>
      <w:r>
        <w:rPr>
          <w:rFonts w:ascii="Arial" w:cs="Arial" w:eastAsia="Arial" w:hAnsi="Arial"/>
          <w:sz w:val="18"/>
          <w:szCs w:val="18"/>
          <w:color w:val="auto"/>
        </w:rPr>
        <w:t>: In August 2018, we entered into a collaboration with Pfizer to the develop mRNA-based immunotherapies for the prevention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influenza.</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Infectious diseases</w:t>
      </w:r>
      <w:r>
        <w:rPr>
          <w:rFonts w:ascii="Arial" w:cs="Arial" w:eastAsia="Arial" w:hAnsi="Arial"/>
          <w:sz w:val="18"/>
          <w:szCs w:val="18"/>
          <w:color w:val="auto"/>
        </w:rPr>
        <w:t>: In October 2018, we entered into a research collaboration with Penn, under which we have the exclusive option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mRNA immunotherapies for the treatment of up to 10 infectious disease indications.</w:t>
      </w:r>
    </w:p>
    <w:p>
      <w:pPr>
        <w:spacing w:after="0" w:line="319" w:lineRule="exact"/>
        <w:rPr>
          <w:sz w:val="20"/>
          <w:szCs w:val="20"/>
          <w:color w:val="auto"/>
        </w:rPr>
      </w:pPr>
    </w:p>
    <w:p>
      <w:pPr>
        <w:ind w:left="1540" w:hanging="547"/>
        <w:spacing w:after="0"/>
        <w:tabs>
          <w:tab w:leader="none" w:pos="154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Rare Diseases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2018, we collaborated with Genevant in order to capitalize on opportunities for our mRNA technology in rare disease indications potentially featuring expedited paths to market. We will combine our mRNA technology with Genevant’s lipid nanoparticle, or LNP, delivery technology to create up to five mRNA protein replacement therapies for the treatment of rare diseases with high unmet medical needs. We expect our first compound to enter the clinic by the end of 2020.</w:t>
      </w:r>
    </w:p>
    <w:p>
      <w:pPr>
        <w:spacing w:after="0" w:line="331"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are developing a broad portfolio of technologies and product candidates that we believe position us at the forefront of the next generation of targeted, specific immunotherapies. Our key strengths include:</w:t>
      </w:r>
    </w:p>
    <w:p>
      <w:pPr>
        <w:spacing w:after="0" w:line="278"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We are a next-generation immunotherapy powerhouse pioneering individualized immunotherapies to address the shortcomings of existing treatments for cancer and other indications with significant unmet need.</w:t>
      </w:r>
    </w:p>
    <w:p>
      <w:pPr>
        <w:spacing w:after="0" w:line="76" w:lineRule="exact"/>
        <w:rPr>
          <w:sz w:val="20"/>
          <w:szCs w:val="20"/>
          <w:color w:val="auto"/>
        </w:rPr>
      </w:pPr>
    </w:p>
    <w:p>
      <w:pPr>
        <w:ind w:left="540" w:right="160" w:hanging="316"/>
        <w:spacing w:after="0" w:line="263"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have established leadership and expertise in immunology and oncology. Through 11 years of rigorous scientific investigation and clinical translation, we have developed a portfolio of disruptive immunotherapy technologies designed to address the challenges of disease heterogeneity and patient variability.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line="286" w:lineRule="auto"/>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Our team have consistently been first-movers and have published over 150 scientific papers in leading peer reviewed journals. We were the first to develop an intravenously delivered mRNA-based human therapeutic, the first to advance an individualized mRNA-based cancer immunotherapy into clinical trials, and the first to establish scaled in-house manufacturing for such a product candidate.</w:t>
      </w:r>
    </w:p>
    <w:p>
      <w:pPr>
        <w:spacing w:after="0" w:line="70" w:lineRule="exact"/>
        <w:rPr>
          <w:rFonts w:ascii="Arial" w:cs="Arial" w:eastAsia="Arial" w:hAnsi="Arial"/>
          <w:sz w:val="17"/>
          <w:szCs w:val="17"/>
          <w:color w:val="auto"/>
        </w:rPr>
      </w:pPr>
    </w:p>
    <w:p>
      <w:pPr>
        <w:ind w:left="540" w:right="80" w:hanging="316"/>
        <w:spacing w:after="0" w:line="259"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Since our founding in 2008, we have advanced four of our therapeutic platforms into human clinical trials, generated promising early evidence of clinical efficacy in several cancer types, raised over $1.1 billion of capital from renowned global biopharmaceutical investors, formed collaborations with seven leading pharmaceutical companies, and acquired complementary assets ranging from research and manufacturing units to clinical programs.</w:t>
      </w:r>
    </w:p>
    <w:p>
      <w:pPr>
        <w:spacing w:after="0" w:line="92" w:lineRule="exact"/>
        <w:rPr>
          <w:rFonts w:ascii="Arial" w:cs="Arial" w:eastAsia="Arial" w:hAnsi="Arial"/>
          <w:sz w:val="18"/>
          <w:szCs w:val="18"/>
          <w:color w:val="auto"/>
        </w:rPr>
      </w:pPr>
    </w:p>
    <w:p>
      <w:pPr>
        <w:ind w:left="540" w:right="620" w:hanging="316"/>
        <w:spacing w:after="0" w:line="27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efforts are driven by a group of over 1,000 employees including over 400 scientists, overseen by our founders who are internationally recognized thought leaders in their disciplines.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are developing product candidates addressing highly specific immuno-oncology targets, employing a technology-agnostic approach.</w:t>
      </w:r>
    </w:p>
    <w:p>
      <w:pPr>
        <w:spacing w:after="0" w:line="154" w:lineRule="exact"/>
        <w:rPr>
          <w:sz w:val="20"/>
          <w:szCs w:val="20"/>
          <w:color w:val="auto"/>
        </w:rPr>
      </w:pPr>
    </w:p>
    <w:p>
      <w:pPr>
        <w:ind w:left="540" w:right="1320" w:hanging="316"/>
        <w:spacing w:after="0" w:line="308"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Our portfolio includes four drug classes, spanning mRNA therapeutics, engineered cell therapies, antibodies and small molecule immunomodulators, which can potentially be used alone or in combination to enhance therapeutic effect.</w:t>
      </w:r>
    </w:p>
    <w:p>
      <w:pPr>
        <w:spacing w:after="0" w:line="51" w:lineRule="exact"/>
        <w:rPr>
          <w:rFonts w:ascii="Arial" w:cs="Arial" w:eastAsia="Arial" w:hAnsi="Arial"/>
          <w:sz w:val="17"/>
          <w:szCs w:val="17"/>
          <w:color w:val="auto"/>
        </w:rPr>
      </w:pPr>
    </w:p>
    <w:p>
      <w:pPr>
        <w:ind w:left="540" w:hanging="316"/>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oncology pipeline includes seven product candidates in eight ongoing clinical trials, and more than 10 preclinical programs.</w:t>
      </w:r>
    </w:p>
    <w:p>
      <w:pPr>
        <w:spacing w:after="0" w:line="130" w:lineRule="exact"/>
        <w:rPr>
          <w:rFonts w:ascii="Arial" w:cs="Arial" w:eastAsia="Arial" w:hAnsi="Arial"/>
          <w:sz w:val="18"/>
          <w:szCs w:val="18"/>
          <w:color w:val="auto"/>
        </w:rPr>
      </w:pPr>
    </w:p>
    <w:p>
      <w:pPr>
        <w:ind w:left="540" w:right="80" w:hanging="316"/>
        <w:spacing w:after="0" w:line="263"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have developed significant expertise in the selection of optimal combinations of targets for the specific and individualized treatment of particular cancers. We have assembled libraries of more than 200 proprietary or known shared antigens and have developed predictive algorithms capable of efficiently identifying multiple neoantigens on an individualized basis for any patient.</w:t>
      </w:r>
    </w:p>
    <w:p>
      <w:pPr>
        <w:spacing w:after="0" w:line="89" w:lineRule="exact"/>
        <w:rPr>
          <w:rFonts w:ascii="Arial" w:cs="Arial" w:eastAsia="Arial" w:hAnsi="Arial"/>
          <w:sz w:val="18"/>
          <w:szCs w:val="18"/>
          <w:color w:val="auto"/>
        </w:rPr>
      </w:pPr>
    </w:p>
    <w:p>
      <w:pPr>
        <w:ind w:left="540" w:right="480" w:hanging="316"/>
        <w:spacing w:after="0" w:line="277"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approach enables real-time monitoring of therapeutic effect on the immune system in a feedback loop of biological surveillance that we believe has the potential to further enhance the success of individualized immunotherapy approaches.</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have tested our lead mRNA candidates in over 250 patients and have already demonstrated signs of single-agent clinical efficacy in our two lead programs.</w:t>
      </w:r>
    </w:p>
    <w:p>
      <w:pPr>
        <w:spacing w:after="0" w:line="76" w:lineRule="exact"/>
        <w:rPr>
          <w:sz w:val="20"/>
          <w:szCs w:val="20"/>
          <w:color w:val="auto"/>
        </w:rPr>
      </w:pPr>
    </w:p>
    <w:p>
      <w:pPr>
        <w:ind w:left="540" w:hanging="316"/>
        <w:spacing w:after="0"/>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most advanced programs are focused on oncology where we have to-date dosed over 250 patients across 17 solid tumor types.</w:t>
      </w:r>
    </w:p>
    <w:p>
      <w:pPr>
        <w:spacing w:after="0" w:line="130" w:lineRule="exact"/>
        <w:rPr>
          <w:rFonts w:ascii="Arial" w:cs="Arial" w:eastAsia="Arial" w:hAnsi="Arial"/>
          <w:sz w:val="18"/>
          <w:szCs w:val="18"/>
          <w:color w:val="auto"/>
        </w:rPr>
      </w:pPr>
    </w:p>
    <w:p>
      <w:pPr>
        <w:ind w:left="540" w:right="60" w:hanging="316"/>
        <w:spacing w:after="0" w:line="25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our completed Phase 1 trials, we observed single-agent antigen specific immune responses in over 90% of advanced melanoma patients treated with BNT111, our lead off-the-shelf immunotherapy product candidate leveraging our wholly owned FixVac platform. In addition, we observed single-agent antigen specific immune responses in patients treated with BNT121, the precursor to our lead individualized neoantigen specific immunotherapy product candidate derived from our iNeST platform. For both candidates, we have observed durable objective responses in both the monotherapy and checkpoint combination settings.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developed a very broad and advanced mRNA therapeutic portfolio for the treatment of cancer.</w:t>
      </w:r>
    </w:p>
    <w:p>
      <w:pPr>
        <w:spacing w:after="0" w:line="131" w:lineRule="exact"/>
        <w:rPr>
          <w:sz w:val="20"/>
          <w:szCs w:val="20"/>
          <w:color w:val="auto"/>
        </w:rPr>
      </w:pPr>
    </w:p>
    <w:p>
      <w:pPr>
        <w:ind w:left="540" w:right="120" w:hanging="316"/>
        <w:spacing w:after="0" w:line="277"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have over a decade of experience pioneering the use of mRNA as a drug class, yielding five distinct mRNA platforms in oncology, each with the potential to generate multiple first-in-class product candidates.</w:t>
      </w:r>
    </w:p>
    <w:p>
      <w:pPr>
        <w:spacing w:after="0" w:line="75" w:lineRule="exact"/>
        <w:rPr>
          <w:rFonts w:ascii="Arial" w:cs="Arial" w:eastAsia="Arial" w:hAnsi="Arial"/>
          <w:sz w:val="18"/>
          <w:szCs w:val="18"/>
          <w:color w:val="auto"/>
        </w:rPr>
      </w:pPr>
    </w:p>
    <w:p>
      <w:pPr>
        <w:ind w:left="540" w:right="600" w:hanging="316"/>
        <w:spacing w:after="0" w:line="263"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have developed four distinct mRNA formats, each tailored to specific therapeutic applications. We have also developed and optimized multiple delivery formulations for our mRNA product candidates, including our proprietary non-viral RNA-LPX, to deliver our mRNA systemically and target it to relevant organs in the body.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40" w:hanging="316"/>
        <w:spacing w:after="0" w:line="277"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combination of these platforms, formats and delivery formulations is designed to address a wide range of disease targets, and tailor drug product for systemic or intratumoral delivery, as well as directly encode mAbs or cytokines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0" w:right="460" w:hanging="316"/>
        <w:spacing w:after="0" w:line="277"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broad mRNA expertise is a core strategic asset of our company. It is protected by a global patent portfolio and our proprietary technical knowledge and trade secrets.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deep, diversified pipeline and expect data updates for up to five oncology programs by the end of 2020.</w:t>
      </w:r>
    </w:p>
    <w:p>
      <w:pPr>
        <w:spacing w:after="0" w:line="131" w:lineRule="exact"/>
        <w:rPr>
          <w:sz w:val="20"/>
          <w:szCs w:val="20"/>
          <w:color w:val="auto"/>
        </w:rPr>
      </w:pPr>
    </w:p>
    <w:p>
      <w:pPr>
        <w:ind w:left="540" w:right="180" w:hanging="316"/>
        <w:spacing w:after="0" w:line="277"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have already advanced our portfolio to a critical stage of maturity with multiple programs progressing in parallel. We expect numerous near-term product candidate development updates, including:</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data updates in up to five clinical programs by the end of 2020;</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advancement of up to five product candidates into the clinic per year in 2019 and 2020;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up to 10 different product candidates in clinical trials by the end of 2019.</w:t>
      </w:r>
    </w:p>
    <w:p>
      <w:pPr>
        <w:spacing w:after="0" w:line="130" w:lineRule="exact"/>
        <w:rPr>
          <w:rFonts w:ascii="Arial" w:cs="Arial" w:eastAsia="Arial" w:hAnsi="Arial"/>
          <w:sz w:val="18"/>
          <w:szCs w:val="18"/>
          <w:color w:val="auto"/>
        </w:rPr>
      </w:pPr>
    </w:p>
    <w:p>
      <w:pPr>
        <w:ind w:left="540" w:right="340" w:hanging="316"/>
        <w:spacing w:after="0" w:line="277"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preclinical oncology pipeline is progressing rapidly. By the end of 2019, we expect to have initiated clinical trials for our lead CAR T and checkpoint immunomodulator antibody product candidates.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expect to report our target indications and first product candidates for our infectious and rare disease platforms in 2020.</w:t>
      </w:r>
    </w:p>
    <w:p>
      <w:pPr>
        <w:spacing w:after="0" w:line="333"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have formed multiple collaborations with leading pharmaceutical companies and have retained significant development, commercial and financial rights across our portfolio.</w:t>
      </w:r>
    </w:p>
    <w:p>
      <w:pPr>
        <w:spacing w:after="0" w:line="76" w:lineRule="exact"/>
        <w:rPr>
          <w:sz w:val="20"/>
          <w:szCs w:val="20"/>
          <w:color w:val="auto"/>
        </w:rPr>
      </w:pPr>
    </w:p>
    <w:p>
      <w:pPr>
        <w:ind w:left="540" w:hanging="316"/>
        <w:spacing w:after="0" w:line="277"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have chosen to form collaborations in oncology to rapidly advance our science and enhance our development capabilities, bring our potentially disruptive therapies to patients more quickly and provide non-dilutive capital.</w:t>
      </w:r>
    </w:p>
    <w:p>
      <w:pPr>
        <w:spacing w:after="0" w:line="75"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are currently collaborating with four pharmaceutical companies with expertise in oncology, including Genentech, Sanofi, Genmab and Eli Lilly, and have retained significant rights in each of our collaborations.</w:t>
      </w:r>
    </w:p>
    <w:p>
      <w:pPr>
        <w:spacing w:after="0" w:line="75" w:lineRule="exact"/>
        <w:rPr>
          <w:rFonts w:ascii="Arial" w:cs="Arial" w:eastAsia="Arial" w:hAnsi="Arial"/>
          <w:sz w:val="18"/>
          <w:szCs w:val="18"/>
          <w:color w:val="auto"/>
        </w:rPr>
      </w:pPr>
    </w:p>
    <w:p>
      <w:pPr>
        <w:jc w:val="both"/>
        <w:ind w:left="540" w:right="160" w:hanging="316"/>
        <w:spacing w:after="0" w:line="259"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addition, we have formed collaborations with leading pharmaceutical companies to broaden our footprint beyond oncology. Our collaboration with Pfizer focuses on influenza, and includes our product candidate BNT161 for influenza. We are collaborating with Penn to develop mRNA-based immunotherapies for up to 10 additional infectious disease indications. We have also formed a collaboration with Genevant for up to five rare disease indications.</w:t>
      </w:r>
    </w:p>
    <w:p>
      <w:pPr>
        <w:spacing w:after="0" w:line="92" w:lineRule="exact"/>
        <w:rPr>
          <w:rFonts w:ascii="Arial" w:cs="Arial" w:eastAsia="Arial" w:hAnsi="Arial"/>
          <w:sz w:val="18"/>
          <w:szCs w:val="18"/>
          <w:color w:val="auto"/>
        </w:rPr>
      </w:pPr>
    </w:p>
    <w:p>
      <w:pPr>
        <w:ind w:left="540" w:hanging="316"/>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have retained worldwide rights to all product candidates under our FixVac, RiboMabs, RiboCytokines and CAR T platforms.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created a vertically integrated business with comprehensive in-house manufacturing capabilities.</w:t>
      </w:r>
    </w:p>
    <w:p>
      <w:pPr>
        <w:spacing w:after="0" w:line="131" w:lineRule="exact"/>
        <w:rPr>
          <w:sz w:val="20"/>
          <w:szCs w:val="20"/>
          <w:color w:val="auto"/>
        </w:rPr>
      </w:pPr>
    </w:p>
    <w:p>
      <w:pPr>
        <w:ind w:left="540" w:right="160" w:hanging="316"/>
        <w:spacing w:after="0" w:line="277"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believe that to successfully bring individualized immunotherapies to patients, it is critical to control the manufacturing and supply processes. We therefore have chosen to invest early in scaling our in-house capabilities.</w:t>
      </w:r>
    </w:p>
    <w:p>
      <w:pPr>
        <w:spacing w:after="0" w:line="75"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currently operate four manufacturing facilities in Germany spanning mRNA and peptide production, viral vectors and engineered T cells, and we continue to invest significant human and financial capital into these activities.</w:t>
      </w:r>
    </w:p>
    <w:p>
      <w:pPr>
        <w:spacing w:after="0" w:line="75"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collaboration with Siemens, we are optimizing our iNeST production process, reducing turnaround time from over three months to less than six weeks currently, with the goal of delivering on-demand commercial supply.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Company’s scientific DNA, which is the foundation of the BioNTech approach, has attracted a talented team from nearly 50 countries around the world.</w:t>
      </w:r>
    </w:p>
    <w:p>
      <w:pPr>
        <w:spacing w:after="0" w:line="76" w:lineRule="exact"/>
        <w:rPr>
          <w:sz w:val="20"/>
          <w:szCs w:val="20"/>
          <w:color w:val="auto"/>
        </w:rPr>
      </w:pPr>
    </w:p>
    <w:p>
      <w:pPr>
        <w:ind w:left="540" w:right="540" w:hanging="316"/>
        <w:spacing w:after="0" w:line="275" w:lineRule="auto"/>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Prof. Ugur Sahin, M.D., our co-founder and Chief Executive Officer, and Özlem Türeci, M.D., our Chief Medical Officer, are physicians, scientists and innovators. They have made groundbreaking scientific and technological contributions in the field of personalized cancer immunotherapy and are co-inventors on more than 100 patents. Their daily work is motivated by their experience as researchers and cancer physicians aiming to exploit scientific insights and drive technological progress to develop commercially viable products that could help individual patients, an attitude and culture that has become the DNA of BioNTech.</w:t>
      </w:r>
    </w:p>
    <w:p>
      <w:pPr>
        <w:spacing w:after="0" w:line="81" w:lineRule="exact"/>
        <w:rPr>
          <w:rFonts w:ascii="Arial" w:cs="Arial" w:eastAsia="Arial" w:hAnsi="Arial"/>
          <w:sz w:val="17"/>
          <w:szCs w:val="17"/>
          <w:color w:val="auto"/>
        </w:rPr>
      </w:pPr>
    </w:p>
    <w:p>
      <w:pPr>
        <w:ind w:left="540" w:right="60" w:hanging="316"/>
        <w:spacing w:after="0" w:line="277"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DNA, with a deep culture of intellectual curiosity and innovation, has made us a destination of choice for scientific pioneers. This culture has attracted an exceptionally talented team from nearly 50 countries around the world.</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Our Strategy</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vision is to harness the power of the human immune system to develop truly individualized and patient-centric therapies for cancer and other serious diseases. We aim to rapidly develop, manufacture and, if approved, commercialize a portfolio of novel immunotherapies, including both off-the-shelf drugs and individualized treatments. The key elements of our strategy to achieve this vision are as follows:</w:t>
      </w:r>
    </w:p>
    <w:p>
      <w:pPr>
        <w:spacing w:after="0" w:line="27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Rapidly advance our first-in-class product candidates derived from our FixVac and iNeST platforms toward market approvals in oncology, either on our own or with our collaborators.</w:t>
      </w:r>
    </w:p>
    <w:p>
      <w:pPr>
        <w:spacing w:after="0" w:line="76" w:lineRule="exact"/>
        <w:rPr>
          <w:sz w:val="20"/>
          <w:szCs w:val="20"/>
          <w:color w:val="auto"/>
        </w:rPr>
      </w:pPr>
    </w:p>
    <w:p>
      <w:pPr>
        <w:ind w:left="540" w:right="300" w:hanging="316"/>
        <w:spacing w:after="0" w:line="286"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are conducting three Phase 1 clinical trials with our wholly owned off-the-shelf FixVac mRNA immunotherapy and plan to initiate an additional Phase 1/2 clinical trial in the second half of 2019. Our most advanced current FixVac product candidate, BNT111, is currently being evaluated in 115 patients with advanced melanoma, and we expect to initiate Phase 2 trials in the first half of 2020.</w:t>
      </w:r>
    </w:p>
    <w:p>
      <w:pPr>
        <w:spacing w:after="0" w:line="70" w:lineRule="exact"/>
        <w:rPr>
          <w:rFonts w:ascii="Arial" w:cs="Arial" w:eastAsia="Arial" w:hAnsi="Arial"/>
          <w:sz w:val="17"/>
          <w:szCs w:val="17"/>
          <w:color w:val="auto"/>
        </w:rPr>
      </w:pPr>
    </w:p>
    <w:p>
      <w:pPr>
        <w:ind w:left="540" w:right="380" w:hanging="316"/>
        <w:spacing w:after="0" w:line="311"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We are also advancing, in collaboration with Genentech, our iNeST individualized neoantigen specific mRNA immunotherapy in two clinical trials, targeting more than eight tumor types. Our most advanced iNeST program is a Phase 2 trial of our product candidate, RO7198457 (BNT122), in 132 patients with metastatic melanoma, evaluating iNeST in combination with pembrolizumab as a first-line therapy.</w:t>
      </w:r>
    </w:p>
    <w:p>
      <w:pPr>
        <w:spacing w:after="0" w:line="54" w:lineRule="exact"/>
        <w:rPr>
          <w:rFonts w:ascii="Arial" w:cs="Arial" w:eastAsia="Arial" w:hAnsi="Arial"/>
          <w:sz w:val="16"/>
          <w:szCs w:val="16"/>
          <w:color w:val="auto"/>
        </w:rPr>
      </w:pPr>
    </w:p>
    <w:p>
      <w:pPr>
        <w:ind w:left="540" w:right="960" w:hanging="316"/>
        <w:spacing w:after="0" w:line="308"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believe both FixVac and iNeST have therapeutic potential in a wide variety of solid tumors. We have identified significant market opportunities in additional indications and plan to pursue potentially expedited routes to market approval.</w:t>
      </w:r>
    </w:p>
    <w:p>
      <w:pPr>
        <w:spacing w:after="0" w:line="25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Progress additional product candidates through clinical development, leveraging our multiple drug classes and the synergies between them in order to expand our oncology pipeline.</w:t>
      </w:r>
    </w:p>
    <w:p>
      <w:pPr>
        <w:spacing w:after="0" w:line="76" w:lineRule="exact"/>
        <w:rPr>
          <w:sz w:val="20"/>
          <w:szCs w:val="20"/>
          <w:color w:val="auto"/>
        </w:rPr>
      </w:pPr>
    </w:p>
    <w:p>
      <w:pPr>
        <w:ind w:left="540" w:hanging="316"/>
        <w:spacing w:after="0" w:line="263"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addition to FixVac and iNeST, we are also conducting a Phase 1 clinical trial of our intratumoral immunotherapy product candidate SAR441000 (BNT131) in collaboration with Sanofi, as a monotherapy in patients with advanced melanoma and as a combination therapy with an anti-PD-1/PD-L1 checkpoint inhibitor in patients with certain solid tumors.</w:t>
      </w:r>
    </w:p>
    <w:p>
      <w:pPr>
        <w:spacing w:after="0" w:line="89"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Beyond mRNA, we plan to rapidly advance other product candidates from our immunotherapy drug classes into clinical proof of concept studies in solid tumor indications.</w:t>
      </w:r>
    </w:p>
    <w:p>
      <w:pPr>
        <w:spacing w:after="0" w:line="75" w:lineRule="exact"/>
        <w:rPr>
          <w:rFonts w:ascii="Arial" w:cs="Arial" w:eastAsia="Arial" w:hAnsi="Arial"/>
          <w:sz w:val="18"/>
          <w:szCs w:val="18"/>
          <w:color w:val="auto"/>
        </w:rPr>
      </w:pPr>
    </w:p>
    <w:p>
      <w:pPr>
        <w:ind w:left="540" w:right="160" w:hanging="316"/>
        <w:spacing w:after="0" w:line="311"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 collaboration with Genmab, we have initiated a Phase 1/2 clinical trial for our product candidate GEN1046 (BNT311) in solid tumors and intend to initiate an additional Phase 1/2 clinical trial in the second half of 2020 for BNT312 in solid tumors. These product candidates are based on our novel checkpoint immunomodulator bispecific monoclonal antibodies, which we believe have potential in a broad range of cancers.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40" w:hanging="316"/>
        <w:spacing w:after="0" w:line="277"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also plan to initiate a Phase 1/2 clinical trial in the first half of 2020 for our wholly owned CAR T product candidate, BNT211, in multiple solid tumors, targeting a novel solid-tumor specific antigen, CLDN6.</w:t>
      </w:r>
    </w:p>
    <w:p>
      <w:pPr>
        <w:spacing w:after="0" w:line="27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Maximize the potential and leverage the broad applicability of our mRNA drug class in additional therapeutic areas beyond cancer, including through selective collaborations.</w:t>
      </w:r>
    </w:p>
    <w:p>
      <w:pPr>
        <w:spacing w:after="0" w:line="76" w:lineRule="exact"/>
        <w:rPr>
          <w:sz w:val="20"/>
          <w:szCs w:val="20"/>
          <w:color w:val="auto"/>
        </w:rPr>
      </w:pPr>
    </w:p>
    <w:p>
      <w:pPr>
        <w:ind w:left="540" w:right="280" w:hanging="316"/>
        <w:spacing w:after="0" w:line="277"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Beyond oncology, we intend to leverage our mRNA technology to direct the immune system to fight a range of infectious diseases and address missing or defective proteins in certain rare diseases.</w:t>
      </w:r>
    </w:p>
    <w:p>
      <w:pPr>
        <w:spacing w:after="0" w:line="75" w:lineRule="exact"/>
        <w:rPr>
          <w:rFonts w:ascii="Arial" w:cs="Arial" w:eastAsia="Arial" w:hAnsi="Arial"/>
          <w:sz w:val="18"/>
          <w:szCs w:val="18"/>
          <w:color w:val="auto"/>
        </w:rPr>
      </w:pPr>
    </w:p>
    <w:p>
      <w:pPr>
        <w:ind w:left="540" w:hanging="316"/>
        <w:spacing w:after="0" w:line="263"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collaborations with Pfizer in influenza and with Genevant in rare diseases underscore the potential of our approach. We intend to continue to seek value added collaborations with leading industry players who contribute their competencies and know-how to complement our powerful suite of technologies to address challenging diseases outside of our core therapeutic focus on oncology.</w:t>
      </w:r>
    </w:p>
    <w:p>
      <w:pPr>
        <w:spacing w:after="0" w:line="2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Strengthen our position as a leader in the highly automated, on-demand manufacture of individualized therapies with the goal of delivering our therapies globally.</w:t>
      </w:r>
    </w:p>
    <w:p>
      <w:pPr>
        <w:spacing w:after="0" w:line="76" w:lineRule="exact"/>
        <w:rPr>
          <w:sz w:val="20"/>
          <w:szCs w:val="20"/>
          <w:color w:val="auto"/>
        </w:rPr>
      </w:pPr>
    </w:p>
    <w:p>
      <w:pPr>
        <w:ind w:left="540" w:hanging="316"/>
        <w:spacing w:after="0" w:line="308" w:lineRule="auto"/>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We will continue to invest to reduce cycle times and increase the automation of our processes, and to expand our manufacturing capacity across all platforms to support the efficient progression of our product candidates into late-stage clinical trials and commercialization.</w:t>
      </w:r>
    </w:p>
    <w:p>
      <w:pPr>
        <w:spacing w:after="0" w:line="51" w:lineRule="exact"/>
        <w:rPr>
          <w:rFonts w:ascii="Arial" w:cs="Arial" w:eastAsia="Arial" w:hAnsi="Arial"/>
          <w:sz w:val="17"/>
          <w:szCs w:val="17"/>
          <w:color w:val="auto"/>
        </w:rPr>
      </w:pPr>
    </w:p>
    <w:p>
      <w:pPr>
        <w:ind w:left="540" w:right="260" w:hanging="316"/>
        <w:spacing w:after="0" w:line="277"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will continue to invest in and scale up our advanced, in-house GMP manufacturing capabilities and capacity across mRNA and cell therapy production.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Establish a commercial organization to bring our portfolio of cancer immunotherapies to patients.</w:t>
      </w:r>
    </w:p>
    <w:p>
      <w:pPr>
        <w:spacing w:after="0" w:line="131" w:lineRule="exact"/>
        <w:rPr>
          <w:sz w:val="20"/>
          <w:szCs w:val="20"/>
          <w:color w:val="auto"/>
        </w:rPr>
      </w:pPr>
    </w:p>
    <w:p>
      <w:pPr>
        <w:ind w:left="540" w:right="720" w:hanging="316"/>
        <w:spacing w:after="0" w:line="308" w:lineRule="auto"/>
        <w:tabs>
          <w:tab w:leader="none" w:pos="5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We believe that developing our own commercial infrastructure will be key to maximizing the value of our programs. We intend to jointly participate in the commercialization of our collaborative programs where we retain significant commercial rights.</w:t>
      </w:r>
    </w:p>
    <w:p>
      <w:pPr>
        <w:spacing w:after="0" w:line="51" w:lineRule="exact"/>
        <w:rPr>
          <w:rFonts w:ascii="Arial" w:cs="Arial" w:eastAsia="Arial" w:hAnsi="Arial"/>
          <w:sz w:val="17"/>
          <w:szCs w:val="17"/>
          <w:color w:val="auto"/>
        </w:rPr>
      </w:pPr>
    </w:p>
    <w:p>
      <w:pPr>
        <w:ind w:left="540" w:right="80" w:hanging="316"/>
        <w:spacing w:after="0" w:line="277"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plan to expand our footprint to support our global clinical development activities and intend to establish operations in the United States by the end of 2020.</w:t>
      </w:r>
    </w:p>
    <w:p>
      <w:pPr>
        <w:spacing w:after="0" w:line="2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Expand our current technology suite by continuing to develop existing and new drug classes and platforms, and selectively in-licensing technologies that are complementary to our existing pipeline.</w:t>
      </w:r>
    </w:p>
    <w:p>
      <w:pPr>
        <w:spacing w:after="0" w:line="76" w:lineRule="exact"/>
        <w:rPr>
          <w:sz w:val="20"/>
          <w:szCs w:val="20"/>
          <w:color w:val="auto"/>
        </w:rPr>
      </w:pPr>
    </w:p>
    <w:p>
      <w:pPr>
        <w:ind w:left="540" w:right="240" w:hanging="316"/>
        <w:spacing w:after="0" w:line="277"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our understanding of immunology and oncology evolves, we plan to continue developing existing as well as new drug classes and platforms that are consistent with our strategy, with particular focus on those that can benefit from our in-house expertise.</w:t>
      </w:r>
    </w:p>
    <w:p>
      <w:pPr>
        <w:spacing w:after="0" w:line="75" w:lineRule="exact"/>
        <w:rPr>
          <w:rFonts w:ascii="Arial" w:cs="Arial" w:eastAsia="Arial" w:hAnsi="Arial"/>
          <w:sz w:val="18"/>
          <w:szCs w:val="18"/>
          <w:color w:val="auto"/>
        </w:rPr>
      </w:pPr>
    </w:p>
    <w:p>
      <w:pPr>
        <w:ind w:left="540" w:right="120" w:hanging="316"/>
        <w:spacing w:after="0" w:line="263"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evidenced by our recent acquisition of MabVax Therapeutics, we also continuously assess the external environment for novel drug classes, platforms and product candidates that can further expand and improve our pipeline of innovative immunotherapeutics, and help us to execute our strategy.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Maintain our culture of scientific excellence to continue to drive future innovation.</w:t>
      </w:r>
    </w:p>
    <w:p>
      <w:pPr>
        <w:spacing w:after="0" w:line="131" w:lineRule="exact"/>
        <w:rPr>
          <w:sz w:val="20"/>
          <w:szCs w:val="20"/>
          <w:color w:val="auto"/>
        </w:rPr>
      </w:pPr>
    </w:p>
    <w:p>
      <w:pPr>
        <w:ind w:left="540" w:right="980" w:hanging="316"/>
        <w:spacing w:after="0" w:line="277"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are committed to maintaining close ties to the scientific and academic community by fostering our many long-standing university relationships.</w:t>
      </w:r>
    </w:p>
    <w:p>
      <w:pPr>
        <w:spacing w:after="0" w:line="75" w:lineRule="exact"/>
        <w:rPr>
          <w:rFonts w:ascii="Arial" w:cs="Arial" w:eastAsia="Arial" w:hAnsi="Arial"/>
          <w:sz w:val="18"/>
          <w:szCs w:val="18"/>
          <w:color w:val="auto"/>
        </w:rPr>
      </w:pPr>
    </w:p>
    <w:p>
      <w:pPr>
        <w:ind w:left="540" w:right="340" w:hanging="316"/>
        <w:spacing w:after="0" w:line="277"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also intend to continue our leadership in the Association for Cancer Immunotherapy, or CIMT, which provides us potential new sources of innovation and academic collaboration opportunities.</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IV.</w:t>
        <w:tab/>
        <w:t>Immunotherapy in Cancer</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immune system has evolved over hundreds of millions of years to identify and eradicate what is foreign to the body with a high level of efficiency. The immune system’s efficacy is attributable to approximately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one trillion highly diversified immune cells that constantly travel throughout the body and interact in a coordinated manner. They are able to detect and eliminate diseased cells and pathogens with high precision by relying on a broad range of immune recognition receptors. Their powerful mechanisms both synergize and regulate each other.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goal of immunotherapy in the field of oncology is to harness the power of the immune system to recognize malignant cells as “foreign,” overcome immune evasion mechanisms employed by cancers, eradicate cancer cells and thereby eliminate tumors.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Immunotherapy approaches in cancer have a long history. Recent years have seen an acceleration of scientific advancements and clinical breakthroughs in this field. The introduction over the last decade of checkpoint inhibitors such as Yervoy, Opdivo and Keytruda, and CAR T therapies such as Yescarta and Kymriah has demonstrated that even leveraging one single mechanism to harness the immune system may result in unprecedented, significantly improved clinical outcomes for a subset of patients.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While these first-generation immunotherapies have ignited the paradigm shift toward immuno-oncology, they also have limitations. For example, less than 40% of patients respond to checkpoint inhibitors, while CAR T therapies have been primarily limited to blood cancers in subsets of patients, and have been hampered by toxicities.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Realizing the full potential of immunotherapy is the objective of the next generation of immuno-oncology drugs to be developed.</w:t>
      </w:r>
    </w:p>
    <w:p>
      <w:pPr>
        <w:spacing w:after="0" w:line="370"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Challenges and Opportunities of Cancer Therapies</w:t>
      </w:r>
    </w:p>
    <w:p>
      <w:pPr>
        <w:spacing w:after="0" w:line="12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Cancer results from an accumulation of abnormalities, known as somatic mutations, in the genome of cells over time leading to malignant transformation, combined with a failure by the immune system to detect and eradicate such transformed cells. Due to their random nature, the vast majority of these aberrations are unique to the individual patient.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consequence, heterogeneity is an intrinsic hallmark of cancer, posing a key challenge for cancer therapy:</w:t>
      </w:r>
    </w:p>
    <w:p>
      <w:pPr>
        <w:spacing w:after="0" w:line="127" w:lineRule="exact"/>
        <w:rPr>
          <w:sz w:val="20"/>
          <w:szCs w:val="20"/>
          <w:color w:val="auto"/>
        </w:rPr>
      </w:pPr>
    </w:p>
    <w:p>
      <w:pPr>
        <w:ind w:left="980" w:right="40" w:hanging="324"/>
        <w:spacing w:after="0" w:line="266"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Interindividual tumor heterogeneity. </w:t>
      </w:r>
      <w:r>
        <w:rPr>
          <w:rFonts w:ascii="Arial" w:cs="Arial" w:eastAsia="Arial" w:hAnsi="Arial"/>
          <w:sz w:val="18"/>
          <w:szCs w:val="18"/>
          <w:color w:val="auto"/>
        </w:rPr>
        <w:t>Tumors, even within the same cancer type, differ at the molecular level. For example, two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same type of cancer usually share less than five percent of their mutations. As a result, patients often respond very differently to the same drug.</w:t>
      </w:r>
    </w:p>
    <w:p>
      <w:pPr>
        <w:spacing w:after="0" w:line="81" w:lineRule="exact"/>
        <w:rPr>
          <w:rFonts w:ascii="Arial" w:cs="Arial" w:eastAsia="Arial" w:hAnsi="Arial"/>
          <w:sz w:val="18"/>
          <w:szCs w:val="18"/>
          <w:color w:val="auto"/>
        </w:rPr>
      </w:pPr>
    </w:p>
    <w:p>
      <w:pPr>
        <w:jc w:val="both"/>
        <w:ind w:left="980" w:right="120" w:hanging="324"/>
        <w:spacing w:after="0" w:line="289" w:lineRule="auto"/>
        <w:tabs>
          <w:tab w:leader="none" w:pos="98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Intratumor heterogeneity. </w:t>
      </w:r>
      <w:r>
        <w:rPr>
          <w:rFonts w:ascii="Arial" w:cs="Arial" w:eastAsia="Arial" w:hAnsi="Arial"/>
          <w:sz w:val="17"/>
          <w:szCs w:val="17"/>
          <w:color w:val="auto"/>
        </w:rPr>
        <w:t>Within the same patient, cancer also evolves over time so that different tumor cell clones co-exist, in a manner</w:t>
      </w:r>
      <w:r>
        <w:rPr>
          <w:rFonts w:ascii="Arial" w:cs="Arial" w:eastAsia="Arial" w:hAnsi="Arial"/>
          <w:sz w:val="17"/>
          <w:szCs w:val="17"/>
          <w:b w:val="1"/>
          <w:bCs w:val="1"/>
          <w:color w:val="auto"/>
        </w:rPr>
        <w:t xml:space="preserve"> </w:t>
      </w:r>
      <w:r>
        <w:rPr>
          <w:rFonts w:ascii="Arial" w:cs="Arial" w:eastAsia="Arial" w:hAnsi="Arial"/>
          <w:sz w:val="17"/>
          <w:szCs w:val="17"/>
          <w:color w:val="auto"/>
        </w:rPr>
        <w:t>known as clonal evolution. As a result, a patient’s cancer may be intra-tumorally as well as inter-tumorally heterogeneous. Therapies might target only a subfraction of tumor cell clones. This can lead to immune escape and therapy failure.</w:t>
      </w:r>
    </w:p>
    <w:p>
      <w:pPr>
        <w:spacing w:after="0" w:line="63" w:lineRule="exact"/>
        <w:rPr>
          <w:rFonts w:ascii="Arial" w:cs="Arial" w:eastAsia="Arial" w:hAnsi="Arial"/>
          <w:sz w:val="17"/>
          <w:szCs w:val="17"/>
          <w:color w:val="auto"/>
        </w:rPr>
      </w:pPr>
    </w:p>
    <w:p>
      <w:pPr>
        <w:ind w:left="980" w:right="40" w:hanging="324"/>
        <w:spacing w:after="0" w:line="266"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Cancer evolution and immune escape. </w:t>
      </w:r>
      <w:r>
        <w:rPr>
          <w:rFonts w:ascii="Arial" w:cs="Arial" w:eastAsia="Arial" w:hAnsi="Arial"/>
          <w:sz w:val="18"/>
          <w:szCs w:val="18"/>
          <w:color w:val="auto"/>
        </w:rPr>
        <w:t>Cancer cells can adapt to therapeutic pressure, which results in treatment resistance.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immunotherapy, tumor cell clones may evolve that no longer express T cell recognized antigens or have defects in their antigen presentation machinery.</w:t>
      </w:r>
    </w:p>
    <w:p>
      <w:pPr>
        <w:spacing w:after="0" w:line="81" w:lineRule="exact"/>
        <w:rPr>
          <w:rFonts w:ascii="Arial" w:cs="Arial" w:eastAsia="Arial" w:hAnsi="Arial"/>
          <w:sz w:val="18"/>
          <w:szCs w:val="18"/>
          <w:color w:val="auto"/>
        </w:rPr>
      </w:pPr>
    </w:p>
    <w:p>
      <w:pPr>
        <w:ind w:left="980" w:right="120" w:hanging="324"/>
        <w:spacing w:after="0" w:line="282"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Tumor microenvironment. </w:t>
      </w:r>
      <w:r>
        <w:rPr>
          <w:rFonts w:ascii="Arial" w:cs="Arial" w:eastAsia="Arial" w:hAnsi="Arial"/>
          <w:sz w:val="18"/>
          <w:szCs w:val="18"/>
          <w:color w:val="auto"/>
        </w:rPr>
        <w:t>Tumors induce various forms of immunosuppressive microenvironment that prevent T cells from proliferating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executing their anti-tumor effector function.</w:t>
      </w:r>
    </w:p>
    <w:p>
      <w:pPr>
        <w:spacing w:after="0" w:line="67"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Host, environment and immune system. </w:t>
      </w:r>
      <w:r>
        <w:rPr>
          <w:rFonts w:ascii="Arial" w:cs="Arial" w:eastAsia="Arial" w:hAnsi="Arial"/>
          <w:sz w:val="18"/>
          <w:szCs w:val="18"/>
          <w:color w:val="auto"/>
        </w:rPr>
        <w:t>The functional state of each patient’s immune system is dependent on the patient’s age, genetic</w:t>
      </w:r>
      <w:r>
        <w:rPr>
          <w:rFonts w:ascii="Arial" w:cs="Arial" w:eastAsia="Arial" w:hAnsi="Arial"/>
          <w:sz w:val="18"/>
          <w:szCs w:val="18"/>
          <w:b w:val="1"/>
          <w:bCs w:val="1"/>
          <w:color w:val="auto"/>
        </w:rPr>
        <w:t xml:space="preserve"> </w:t>
      </w:r>
      <w:r>
        <w:rPr>
          <w:rFonts w:ascii="Arial" w:cs="Arial" w:eastAsia="Arial" w:hAnsi="Arial"/>
          <w:sz w:val="18"/>
          <w:szCs w:val="18"/>
          <w:color w:val="auto"/>
        </w:rPr>
        <w:t>makeup and environmental exposures. For example, the HLA haplotype, or the genetic makeup that encodes the major histocompatibility complex, is highly individual and decisive for which epitopes of an antigen are presented to T cells. Whereas a given tumor antigen might be a good target in one patient, a second patient might not be able to respond to it at all.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graphic below depicts the interaction between these types of heterogeneity, the immune system and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151765</wp:posOffset>
            </wp:positionV>
            <wp:extent cx="4663440" cy="28460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6344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320"/>
        <w:spacing w:after="0" w:line="258" w:lineRule="auto"/>
        <w:rPr>
          <w:sz w:val="20"/>
          <w:szCs w:val="20"/>
          <w:color w:val="auto"/>
        </w:rPr>
      </w:pPr>
      <w:r>
        <w:rPr>
          <w:rFonts w:ascii="Arial" w:cs="Arial" w:eastAsia="Arial" w:hAnsi="Arial"/>
          <w:sz w:val="14"/>
          <w:szCs w:val="14"/>
          <w:b w:val="1"/>
          <w:bCs w:val="1"/>
          <w:color w:val="auto"/>
        </w:rPr>
        <w:t xml:space="preserve">The interconnected dimensions of cancer heterogeneity. </w:t>
      </w:r>
      <w:r>
        <w:rPr>
          <w:rFonts w:ascii="Arial" w:cs="Arial" w:eastAsia="Arial" w:hAnsi="Arial"/>
          <w:sz w:val="14"/>
          <w:szCs w:val="14"/>
          <w:color w:val="auto"/>
        </w:rPr>
        <w:t>The interaction between cancer and immune system is shaped by various host, tumor and environmental factors. The complex</w:t>
      </w:r>
      <w:r>
        <w:rPr>
          <w:rFonts w:ascii="Arial" w:cs="Arial" w:eastAsia="Arial" w:hAnsi="Arial"/>
          <w:sz w:val="14"/>
          <w:szCs w:val="14"/>
          <w:b w:val="1"/>
          <w:bCs w:val="1"/>
          <w:color w:val="auto"/>
        </w:rPr>
        <w:t xml:space="preserve"> </w:t>
      </w:r>
      <w:r>
        <w:rPr>
          <w:rFonts w:ascii="Arial" w:cs="Arial" w:eastAsia="Arial" w:hAnsi="Arial"/>
          <w:sz w:val="14"/>
          <w:szCs w:val="14"/>
          <w:color w:val="auto"/>
        </w:rPr>
        <w:t>interplay of these sources of interpatient heterogeneity affects both the course of disease and the efficacy of immunotherapy.</w:t>
      </w:r>
    </w:p>
    <w:p>
      <w:pPr>
        <w:spacing w:after="0" w:line="17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Together, these factors make cancer an extremely complex and heterogeneous disease. As a consequence, in the majority of cancer types, less than 40% of treated individuals benefit from highly potent approved therapies, and responses are often not durable. While these hallmarks of cancer are a challenge for cancer therapy, they also present opportunities for immunotherapy. These interconnected layers of complexity and variability require a deep understanding of an individual cancer and call for a patient-centric approach in order to find an optimal treatment.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Transformation of Cancer Therapies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the recent convergence of breakthrough technologies in life sciences has enabled innovative concepts to address the immunobiology of cancer at its core. One of these breakthroughs has been the establishment of cancer immunotherapy in the armamentarium of cancer treatments. Another has been the emerging progress towards individualized medicine. Technologies such as next-generation sequencing, or NGS, have confirmed beyond doubt the problematic diversity of tumors on the inter-patient level. At the same time, NGS enables fast, cost-efficient and precise high-resolution mapping of each patient’s individual disease. We believe the application of these breakthrough technologies has the potential to change drug development and profoundly alter the oncology treatment landscape.</w:t>
      </w:r>
    </w:p>
    <w:p>
      <w:pPr>
        <w:spacing w:after="0" w:line="178" w:lineRule="exact"/>
        <w:rPr>
          <w:sz w:val="20"/>
          <w:szCs w:val="20"/>
          <w:color w:val="auto"/>
        </w:rPr>
      </w:pPr>
    </w:p>
    <w:p>
      <w:pPr>
        <w:ind w:left="120" w:right="700" w:firstLine="440"/>
        <w:spacing w:after="0" w:line="286" w:lineRule="auto"/>
        <w:rPr>
          <w:sz w:val="20"/>
          <w:szCs w:val="20"/>
          <w:color w:val="auto"/>
        </w:rPr>
      </w:pPr>
      <w:r>
        <w:rPr>
          <w:rFonts w:ascii="Arial" w:cs="Arial" w:eastAsia="Arial" w:hAnsi="Arial"/>
          <w:sz w:val="17"/>
          <w:szCs w:val="17"/>
          <w:color w:val="auto"/>
        </w:rPr>
        <w:t>The ability to translate a comprehensive molecular map of an individual tumor into treatment decisions, and make individually tailored therapeutics available, have become the focus of the next generation of cancer therapy. The technology necessary for leapfrog advancements in oncology now exists, but to realize its potential, a radical paradigm shift is required in drug development.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b w:val="1"/>
          <w:bCs w:val="1"/>
          <w:color w:val="auto"/>
        </w:rPr>
        <w:t>The BioNTech Approach</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are focused on bringing cancer immunotherapy into the next generation. We believe that we can accomplish this by applying the following principles:</w:t>
      </w:r>
    </w:p>
    <w:p>
      <w:pPr>
        <w:spacing w:after="0" w:line="72" w:lineRule="exact"/>
        <w:rPr>
          <w:sz w:val="20"/>
          <w:szCs w:val="20"/>
          <w:color w:val="auto"/>
        </w:rPr>
      </w:pPr>
    </w:p>
    <w:p>
      <w:pPr>
        <w:jc w:val="both"/>
        <w:ind w:left="540" w:hanging="316"/>
        <w:spacing w:after="0" w:line="266"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Exploiting the full potential of the immune system. </w:t>
      </w:r>
      <w:r>
        <w:rPr>
          <w:rFonts w:ascii="Arial" w:cs="Arial" w:eastAsia="Arial" w:hAnsi="Arial"/>
          <w:sz w:val="18"/>
          <w:szCs w:val="18"/>
          <w:color w:val="auto"/>
        </w:rPr>
        <w:t>Our broad pipeline includes mRNA-based immune activators, antigen-targeting T cells and</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and defined immunomodulators of various immune cell mechanisms. This portfolio is designed to mirror the evolution of the immune system to rely on multiple complementary pathways.</w:t>
      </w:r>
    </w:p>
    <w:p>
      <w:pPr>
        <w:spacing w:after="0" w:line="81" w:lineRule="exact"/>
        <w:rPr>
          <w:rFonts w:ascii="Arial" w:cs="Arial" w:eastAsia="Arial" w:hAnsi="Arial"/>
          <w:sz w:val="18"/>
          <w:szCs w:val="18"/>
          <w:color w:val="auto"/>
        </w:rPr>
      </w:pPr>
    </w:p>
    <w:p>
      <w:pPr>
        <w:ind w:left="540" w:right="100" w:hanging="316"/>
        <w:spacing w:after="0" w:line="261"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Broadening the universe of patients benefiting from cancer immunotherapy. </w:t>
      </w:r>
      <w:r>
        <w:rPr>
          <w:rFonts w:ascii="Arial" w:cs="Arial" w:eastAsia="Arial" w:hAnsi="Arial"/>
          <w:sz w:val="18"/>
          <w:szCs w:val="18"/>
          <w:color w:val="auto"/>
        </w:rPr>
        <w:t>We discover and exploit novel targets and target combinations.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Our aim is to extend the utility of immunotherapy to patient populations that are not currently amenable or do not benefit from the targets of current immunotherapies. One example are patients with low mutational load tumors, such as pancreatic and prostate cancer, which we address with tumor-associated antigens.</w:t>
      </w:r>
    </w:p>
    <w:p>
      <w:pPr>
        <w:spacing w:after="0" w:line="85" w:lineRule="exact"/>
        <w:rPr>
          <w:rFonts w:ascii="Arial" w:cs="Arial" w:eastAsia="Arial" w:hAnsi="Arial"/>
          <w:sz w:val="18"/>
          <w:szCs w:val="18"/>
          <w:color w:val="auto"/>
        </w:rPr>
      </w:pPr>
    </w:p>
    <w:p>
      <w:pPr>
        <w:ind w:left="540" w:right="120" w:hanging="316"/>
        <w:spacing w:after="0" w:line="266"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Improving the success rate. </w:t>
      </w:r>
      <w:r>
        <w:rPr>
          <w:rFonts w:ascii="Arial" w:cs="Arial" w:eastAsia="Arial" w:hAnsi="Arial"/>
          <w:sz w:val="18"/>
          <w:szCs w:val="18"/>
          <w:color w:val="auto"/>
        </w:rPr>
        <w:t>We engineer and develop highly potent drug candidates designed to avoid compromising precision for the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target. We further augment activity and counteract resistance mechanisms by combining compounds with non-overlapping, synergistic mechanisms of action, such as combining our FixVac immunotherapy with our novel CAR T therapies.</w:t>
      </w:r>
    </w:p>
    <w:p>
      <w:pPr>
        <w:spacing w:after="0" w:line="81" w:lineRule="exact"/>
        <w:rPr>
          <w:rFonts w:ascii="Arial" w:cs="Arial" w:eastAsia="Arial" w:hAnsi="Arial"/>
          <w:sz w:val="18"/>
          <w:szCs w:val="18"/>
          <w:color w:val="auto"/>
        </w:rPr>
      </w:pPr>
    </w:p>
    <w:p>
      <w:pPr>
        <w:ind w:left="540" w:right="80" w:hanging="316"/>
        <w:spacing w:after="0" w:line="266"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Focusing on curative approaches. </w:t>
      </w:r>
      <w:r>
        <w:rPr>
          <w:rFonts w:ascii="Arial" w:cs="Arial" w:eastAsia="Arial" w:hAnsi="Arial"/>
          <w:sz w:val="18"/>
          <w:szCs w:val="18"/>
          <w:color w:val="auto"/>
        </w:rPr>
        <w:t>The root cause of recurrence or for lack of tumor eradication is interindividual variability and cancer</w:t>
      </w:r>
      <w:r>
        <w:rPr>
          <w:rFonts w:ascii="Arial" w:cs="Arial" w:eastAsia="Arial" w:hAnsi="Arial"/>
          <w:sz w:val="18"/>
          <w:szCs w:val="18"/>
          <w:b w:val="1"/>
          <w:bCs w:val="1"/>
          <w:color w:val="auto"/>
        </w:rPr>
        <w:t xml:space="preserve"> </w:t>
      </w:r>
      <w:r>
        <w:rPr>
          <w:rFonts w:ascii="Arial" w:cs="Arial" w:eastAsia="Arial" w:hAnsi="Arial"/>
          <w:sz w:val="18"/>
          <w:szCs w:val="18"/>
          <w:color w:val="auto"/>
        </w:rPr>
        <w:t>heterogeneity. Addressing this biological reality is one of the mandatory design aspects of the product candidates we develop. For example, each of our cancer immunotherapies incorporates multiple targets in order to account for this variability.</w:t>
      </w:r>
    </w:p>
    <w:p>
      <w:pPr>
        <w:spacing w:after="0" w:line="180"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We have applied these four guiding principles to a broad suite of therapeutic platforms optimized for a distinct mode of action, high precision targeting, high potency and efficacy. We expect each platform to yield a pipeline of drug candidates for further development.</w:t>
      </w:r>
    </w:p>
    <w:p>
      <w:pPr>
        <w:spacing w:after="0" w:line="146"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believe this technology-agnostic range of platforms and product candidates positions us to remain at the forefront of the shift toward an individually tailored, patient-centric therapeutic approach in oncology.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Patient-Centric Model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believe the next generation of cancer immunotherapy will start from the perspective of the molecular changes that have occurred in an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xml:space="preserve">individual patient, and then will provide a specific therapy </w:t>
      </w:r>
      <w:r>
        <w:rPr>
          <w:rFonts w:ascii="Arial" w:cs="Arial" w:eastAsia="Arial" w:hAnsi="Arial"/>
          <w:sz w:val="16"/>
          <w:szCs w:val="16"/>
          <w:i w:val="1"/>
          <w:iCs w:val="1"/>
          <w:color w:val="auto"/>
        </w:rPr>
        <w:t>for that patient</w:t>
      </w:r>
      <w:r>
        <w:rPr>
          <w:rFonts w:ascii="Arial" w:cs="Arial" w:eastAsia="Arial" w:hAnsi="Arial"/>
          <w:sz w:val="16"/>
          <w:szCs w:val="16"/>
          <w:color w:val="auto"/>
        </w:rPr>
        <w:t>. We believe that BioNTech is ideally positioned to drive this transformation.</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40"/>
          </w:cols>
          <w:pgMar w:left="320" w:top="459" w:right="5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patient-centric model is based on three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8975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8604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patient-centric model. </w:t>
      </w:r>
      <w:r>
        <w:rPr>
          <w:rFonts w:ascii="Arial" w:cs="Arial" w:eastAsia="Arial" w:hAnsi="Arial"/>
          <w:sz w:val="14"/>
          <w:szCs w:val="14"/>
          <w:color w:val="auto"/>
        </w:rPr>
        <w:t>Utilizing patient profiling, diagnostics and bioinformatics, we select from our suite of drug classes to provide optimal individualized treatment.</w:t>
      </w:r>
    </w:p>
    <w:p>
      <w:pPr>
        <w:spacing w:after="0" w:line="117" w:lineRule="exact"/>
        <w:rPr>
          <w:sz w:val="20"/>
          <w:szCs w:val="20"/>
          <w:color w:val="auto"/>
        </w:rPr>
      </w:pPr>
    </w:p>
    <w:p>
      <w:pPr>
        <w:ind w:left="540" w:right="280" w:hanging="424"/>
        <w:spacing w:after="0" w:line="286" w:lineRule="auto"/>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We develop and leverage our competencies in target discovery, biomarker science and computational medicine to thoroughly profile a patient’s tumor sample and immune cells for the selection of suitable targets and treatments. Combined with our deep domain expertise in immuno-oncology and product vision, we are able to use this data to develop next-generation product candidates.</w:t>
      </w:r>
    </w:p>
    <w:p>
      <w:pPr>
        <w:spacing w:after="0" w:line="70" w:lineRule="exact"/>
        <w:rPr>
          <w:rFonts w:ascii="Arial" w:cs="Arial" w:eastAsia="Arial" w:hAnsi="Arial"/>
          <w:sz w:val="17"/>
          <w:szCs w:val="17"/>
          <w:color w:val="auto"/>
        </w:rPr>
      </w:pPr>
    </w:p>
    <w:p>
      <w:pPr>
        <w:ind w:left="540" w:hanging="424"/>
        <w:spacing w:after="0" w:line="286" w:lineRule="auto"/>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We have developed and are iteratively optimizing next-generation therapeutic platforms leveraging four drug classes. Each therapeutic platform bundles innovations to deliver a distinct mode of action with high-precision targeting, high potency and efficacy. Each platform is being developed to provide a pipeline of drug candidates with complementary and potentially synergistic modes of action.</w:t>
      </w:r>
    </w:p>
    <w:p>
      <w:pPr>
        <w:spacing w:after="0" w:line="70" w:lineRule="exact"/>
        <w:rPr>
          <w:rFonts w:ascii="Arial" w:cs="Arial" w:eastAsia="Arial" w:hAnsi="Arial"/>
          <w:sz w:val="17"/>
          <w:szCs w:val="17"/>
          <w:color w:val="auto"/>
        </w:rPr>
      </w:pPr>
    </w:p>
    <w:p>
      <w:pPr>
        <w:ind w:left="540" w:right="100" w:hanging="424"/>
        <w:spacing w:after="0" w:line="263"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drug platforms are highly versatile and support the fast development of scalable manufacturing processes. We develop and establish highly digitalized and automated manufacturing technologies and quality controlled processes enabling fast delivery of customized therapies comprising off the shelf drugs, on-demand immunotherapies, and combinations thereof.</w:t>
      </w:r>
    </w:p>
    <w:p>
      <w:pPr>
        <w:spacing w:after="0" w:line="184"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We invest in innovation whenever we encounter technology barriers which may constrain clinical success. We are technology-agnostic and we seek to utilize the technology that is most suited for the respective purpose. By focusing on the three pillars discussed above over the last decade, we have integrated all of the building blocks of immunotherapy under one roof, enabling an approach with the potential to optimize patient outcomes.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Broad and Potentially Synergistic Suite of Platforms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believe the depth and breadth of our understanding of immune system and cancer biology allows us to create an extensive pipeline of specific and potentially efficacious product candidates. We are exploiting a comprehensive repertoire of known and proprietary therapeutically relevant immuno-oncology targets and are developing a diverse spectrum of immunotherapeutic approaches,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131445</wp:posOffset>
            </wp:positionV>
            <wp:extent cx="4714875" cy="17316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1487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believe that harnessing complementary, potentially synergistic modes of action increases the likelihood of therapeutic success, reduces the risk of emergence of secondary resistance mechanisms, and also unlocks a larger potential market. Critically, this approach allows us to pursue a technology agnostic approach, providing the most appropriate therapeutic platform or a combination thereof for the intended patient and purpose.</w:t>
      </w:r>
    </w:p>
    <w:p>
      <w:pPr>
        <w:spacing w:after="0" w:line="14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For example, we believe our neoantigen immunotherapies are particularly well-suited to treat high mutation load cancers in the adjuvant setting to prevent the tumor from spreading or recurring following initial treatment such as surgery. In this setting, tumor volumes tend to be low and there remains the potential for strong T cell responses since the patient’s immune system has not been weakened by prior lines of treatment, and checkpoint inhibition alone often offers a poor risk-benefit profile or low response rate. Similarly, we believe our FixVac, CAR T and next-generation checkpoint immunomodulator platforms may have especially strong potential in lower mutation burden tumors such as ovarian or prostate cancers, which comprise a significant proportion of tumors and often also have a poor response to checkpoint inhibition. Likewise, we believe that monoclonal targeted cancer antibodies and CAR-T cell therapies are particularly well-suited for tumors that have defects in their antigen-presentation machinery.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We believe our technology breadth is greater than the sum of its parts in that it positions us to combine modes of action in a coordinated way to treat cancer in a more efficacious manner than current existing therapies. We further believe that our patient-centric approach and our broad, potentially synergistic portfolio of drug platforms place us at the forefront of the paradigm shift toward individualized immunotherapies.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131445</wp:posOffset>
            </wp:positionV>
            <wp:extent cx="4568825" cy="2297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6882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Diversity of cancer patient populations, challenges and our therapeutic strategies. </w:t>
      </w:r>
      <w:r>
        <w:rPr>
          <w:rFonts w:ascii="Arial" w:cs="Arial" w:eastAsia="Arial" w:hAnsi="Arial"/>
          <w:sz w:val="13"/>
          <w:szCs w:val="13"/>
          <w:color w:val="auto"/>
        </w:rPr>
        <w:t>We believe our diversified portfolio allows us to potentially address a large share of cancer patients.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Abbreviations: TME, tumor microenvironment; B2M, beta-2 microglobulin, a component of MHC.</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VII. Selection of Therapeutic Targets and Therapies</w:t>
      </w:r>
    </w:p>
    <w:p>
      <w:pPr>
        <w:spacing w:after="0" w:line="22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Immunotherapy targets can be categorized as </w:t>
      </w:r>
      <w:r>
        <w:rPr>
          <w:rFonts w:ascii="Arial" w:cs="Arial" w:eastAsia="Arial" w:hAnsi="Arial"/>
          <w:sz w:val="18"/>
          <w:szCs w:val="18"/>
          <w:i w:val="1"/>
          <w:iCs w:val="1"/>
          <w:color w:val="auto"/>
        </w:rPr>
        <w:t>antigens</w:t>
      </w:r>
      <w:r>
        <w:rPr>
          <w:rFonts w:ascii="Arial" w:cs="Arial" w:eastAsia="Arial" w:hAnsi="Arial"/>
          <w:sz w:val="18"/>
          <w:szCs w:val="18"/>
          <w:color w:val="auto"/>
        </w:rPr>
        <w:t xml:space="preserve"> for targeted immunotherapy with antibody- or T cell-based effector mechanisms and </w:t>
      </w:r>
      <w:r>
        <w:rPr>
          <w:rFonts w:ascii="Arial" w:cs="Arial" w:eastAsia="Arial" w:hAnsi="Arial"/>
          <w:sz w:val="18"/>
          <w:szCs w:val="18"/>
          <w:i w:val="1"/>
          <w:iCs w:val="1"/>
          <w:color w:val="auto"/>
        </w:rPr>
        <w:t xml:space="preserve">immunomodulatory targets </w:t>
      </w:r>
      <w:r>
        <w:rPr>
          <w:rFonts w:ascii="Arial" w:cs="Arial" w:eastAsia="Arial" w:hAnsi="Arial"/>
          <w:sz w:val="18"/>
          <w:szCs w:val="18"/>
          <w:color w:val="auto"/>
        </w:rPr>
        <w:t>to be exploited to improve the anti-tumoral function of immune cells.</w:t>
      </w:r>
    </w:p>
    <w:p>
      <w:pPr>
        <w:spacing w:after="0" w:line="315" w:lineRule="exact"/>
        <w:rPr>
          <w:sz w:val="20"/>
          <w:szCs w:val="20"/>
          <w:color w:val="auto"/>
        </w:rPr>
      </w:pPr>
    </w:p>
    <w:p>
      <w:pPr>
        <w:ind w:left="980" w:hanging="432"/>
        <w:spacing w:after="0"/>
        <w:tabs>
          <w:tab w:leader="none" w:pos="9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Targeting Cancer Antigens</w:t>
      </w:r>
    </w:p>
    <w:p>
      <w:pPr>
        <w:spacing w:after="0" w:line="22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In order to address the broadest possible number of patients, our therapeutically targeted cancer antigen library comprises tumor associated antigens, viral neoantigens and mutant neoantigens:</w:t>
      </w:r>
    </w:p>
    <w:p>
      <w:pPr>
        <w:spacing w:after="0" w:line="319" w:lineRule="exact"/>
        <w:rPr>
          <w:sz w:val="20"/>
          <w:szCs w:val="20"/>
          <w:color w:val="auto"/>
        </w:rPr>
      </w:pPr>
    </w:p>
    <w:p>
      <w:pPr>
        <w:ind w:left="1540" w:hanging="547"/>
        <w:spacing w:after="0"/>
        <w:tabs>
          <w:tab w:leader="none" w:pos="1540" w:val="left"/>
        </w:tabs>
        <w:numPr>
          <w:ilvl w:val="0"/>
          <w:numId w:val="1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Tumor Associated Antigens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Tumor associated antigens, or TAAs, are cancer selective targets that typically have a highly restricted expression pattern in normal tissues but are frequently expressed in a wide range of human cancers. Over the last 15 years, we have built up a database of approximately 200 cancer-selective antigens, including proprietary disease targets that could be used as targets for immunotherapy-based approaches.</w:t>
      </w:r>
    </w:p>
    <w:p>
      <w:pPr>
        <w:spacing w:after="0" w:line="71" w:lineRule="exact"/>
        <w:rPr>
          <w:sz w:val="20"/>
          <w:szCs w:val="20"/>
          <w:color w:val="auto"/>
        </w:rPr>
      </w:pPr>
    </w:p>
    <w:p>
      <w:pPr>
        <w:ind w:left="540" w:right="20" w:hanging="316"/>
        <w:spacing w:after="0" w:line="286" w:lineRule="auto"/>
        <w:tabs>
          <w:tab w:leader="none" w:pos="5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Cancer-Germline and Cancer-Embryo-Fetal Antigens, which are normally expressed during embryonal development and silenced after birth or restricted to germline cells. These antigens are aberrantly expressed in a variety of human malignancies and are generally not expressed in healthy tissue, making them particularly suitable for our FixVac-, antibody- and CAR-T cell-based therapeutic approaches.</w:t>
      </w:r>
    </w:p>
    <w:p>
      <w:pPr>
        <w:spacing w:after="0" w:line="70" w:lineRule="exact"/>
        <w:rPr>
          <w:rFonts w:ascii="Arial" w:cs="Arial" w:eastAsia="Arial" w:hAnsi="Arial"/>
          <w:sz w:val="17"/>
          <w:szCs w:val="17"/>
          <w:color w:val="auto"/>
        </w:rPr>
      </w:pPr>
    </w:p>
    <w:p>
      <w:pPr>
        <w:ind w:left="540" w:right="220" w:hanging="316"/>
        <w:spacing w:after="0" w:line="263"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Differentiation antigens, which are normally expressed in a highly tissue-specific manner in normal tissues (</w:t>
      </w:r>
      <w:r>
        <w:rPr>
          <w:rFonts w:ascii="Arial" w:cs="Arial" w:eastAsia="Arial" w:hAnsi="Arial"/>
          <w:sz w:val="18"/>
          <w:szCs w:val="18"/>
          <w:i w:val="1"/>
          <w:iCs w:val="1"/>
          <w:color w:val="auto"/>
        </w:rPr>
        <w:t>e.g.</w:t>
      </w:r>
      <w:r>
        <w:rPr>
          <w:rFonts w:ascii="Arial" w:cs="Arial" w:eastAsia="Arial" w:hAnsi="Arial"/>
          <w:sz w:val="18"/>
          <w:szCs w:val="18"/>
          <w:color w:val="auto"/>
        </w:rPr>
        <w:t>, on melanocytes or on prostate cells) but are also present in a high proportion of tumors derived from these tissues, are well-suited for therapeutic targeting with FixVac and antibody approaches.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920" w:hanging="316"/>
        <w:spacing w:after="0" w:line="277"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Tumor-associated carbohydrate antigens are carbohydrate-based cell surface tumor antigens generated by cancer cell-specific aberrant glycosylation that enable the development of antibody and CAR-T cell therapies.</w:t>
      </w:r>
    </w:p>
    <w:p>
      <w:pPr>
        <w:spacing w:after="0" w:line="319" w:lineRule="exact"/>
        <w:rPr>
          <w:sz w:val="20"/>
          <w:szCs w:val="20"/>
          <w:color w:val="auto"/>
        </w:rPr>
      </w:pPr>
    </w:p>
    <w:p>
      <w:pPr>
        <w:ind w:left="1540" w:hanging="547"/>
        <w:spacing w:after="0"/>
        <w:tabs>
          <w:tab w:leader="none" w:pos="1540"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Viral Neoantigens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Viral oncoproteins, or viral neoantigens, are virus derived proteins that drive the oncogenic transformation of infected cells by viruses that can cause cancer. Examples are the E6 and E7 oncoproteins from human papilloma virus, or HPV. Viral oncoproteins are commonly acknowledged as safe and promising targets for immunotherapy as they are (i) absent from any non-infected tissue, (ii) highly immunogenic since they are not prone to central tolerance mechanisms and (iii) not subject to immune escape by gene silencing as they are crucial to maintaining the transformed state of the tumor cells. We leverage viral neoantigens as targets for our BNT113 FixVac program in HPV16+ head and neck cancer.</w:t>
      </w:r>
    </w:p>
    <w:p>
      <w:pPr>
        <w:spacing w:after="0" w:line="310" w:lineRule="exact"/>
        <w:rPr>
          <w:sz w:val="20"/>
          <w:szCs w:val="20"/>
          <w:color w:val="auto"/>
        </w:rPr>
      </w:pPr>
    </w:p>
    <w:p>
      <w:pPr>
        <w:ind w:left="1540" w:hanging="547"/>
        <w:spacing w:after="0"/>
        <w:tabs>
          <w:tab w:leader="none" w:pos="1540" w:val="left"/>
        </w:tabs>
        <w:numPr>
          <w:ilvl w:val="0"/>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Mutant Neoantigens</w:t>
      </w:r>
    </w:p>
    <w:p>
      <w:pPr>
        <w:spacing w:after="0" w:line="11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Somatic mutations, or mutations of non-germline cells, are a hallmark of cancer. Driver mutations promote the oncogenic process, whereas passenger mutations are considered as functionally irrelevant. Both types of mutations, however, can alter the sequence of proteins and create new epitopes which are processed and presented on specialized MHC molecules. Mutated epitopes that are recognized by T cells are called neoepitopes and the sequence-altered proteins they are derived from are neoantigens. They are promising targets for cancer immunotherapy as (i) activation of the immune system against such antigens is highly specific (they are only expressed on cancer cells) and (ii) mutant neoantigens are exempt from central tolerance and thus T-cell affinity for neoantigens may be significantly superior. We utilize individualized mutant neoantigens as targets for our iNeST product candidates.</w:t>
      </w:r>
    </w:p>
    <w:p>
      <w:pPr>
        <w:spacing w:after="0" w:line="339" w:lineRule="exact"/>
        <w:rPr>
          <w:sz w:val="20"/>
          <w:szCs w:val="20"/>
          <w:color w:val="auto"/>
        </w:rPr>
      </w:pPr>
    </w:p>
    <w:p>
      <w:pPr>
        <w:ind w:left="980" w:hanging="432"/>
        <w:spacing w:after="0"/>
        <w:tabs>
          <w:tab w:leader="none" w:pos="9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Immunomodulatory Targets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activity of immune cells can be controlled or manipulated by the targeting of receptors that control key biological processes in these cells, known as immunomodulation. Immunomodulatory targeting strategies include:</w:t>
      </w:r>
    </w:p>
    <w:p>
      <w:pPr>
        <w:spacing w:after="0" w:line="319" w:lineRule="exact"/>
        <w:rPr>
          <w:sz w:val="20"/>
          <w:szCs w:val="20"/>
          <w:color w:val="auto"/>
        </w:rPr>
      </w:pPr>
    </w:p>
    <w:p>
      <w:pPr>
        <w:ind w:left="1540" w:hanging="547"/>
        <w:spacing w:after="0"/>
        <w:tabs>
          <w:tab w:leader="none" w:pos="154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Checkpoint Inhibition</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Checkpoint inhibition is a therapeutic approach by which T cell function is stimulated with mAbs that block their inhibitory receptors, which can be exploited by cancer cells to shut down T cell activity. Examples of checkpoint targets are PD-1, PD-L1, CTLA-4, TIGIT, LAG3 and many others. The concept is known as “releasing the brakes” and has been shown to be therapeutically effective in tumors with strong pre-existing immune cell infiltration. Our GEN1046 (BNT311) product candidate is a next-generation bispecific checkpoint immunomodulator, with one arm targeting PD-L1.</w:t>
      </w:r>
    </w:p>
    <w:p>
      <w:pPr>
        <w:spacing w:after="0" w:line="306" w:lineRule="exact"/>
        <w:rPr>
          <w:sz w:val="20"/>
          <w:szCs w:val="20"/>
          <w:color w:val="auto"/>
        </w:rPr>
      </w:pPr>
    </w:p>
    <w:p>
      <w:pPr>
        <w:ind w:left="1540" w:hanging="547"/>
        <w:spacing w:after="0"/>
        <w:tabs>
          <w:tab w:leader="none" w:pos="154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Immunostimulation</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Immunostimulatory approaches are directed against receptors known to directly activate immune cells. Examples of these targets include co-stimulatory molecules such as CD40, and 4-1BB or cytokine receptors such as IL-2R, IL-7R and IL-12R. Immunostimulatory approaches provide a powerful opportunity to enhance immune activation, even in types of cancer that are not responsive to checkpoint inhibition due to lack of immune cell infiltration. However, this approach is often limited by a narrow therapeutic window associated with dose-limiting toxicity.</w:t>
      </w:r>
    </w:p>
    <w:p>
      <w:pPr>
        <w:spacing w:after="0" w:line="17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believe that both concepts can be combined in a potentially synergistic and safe fashion by developing precisely engineered molecules, such as our BNT151 RiboCytokine program or BNT312, our next-generation bispecific checkpoint immunomodulator targeting both CD40 and 4-1BB.</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hanging="432"/>
        <w:spacing w:after="0"/>
        <w:tabs>
          <w:tab w:leader="none" w:pos="9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Our computational approach to individualized immunotherapy</w:t>
      </w:r>
    </w:p>
    <w:p>
      <w:pPr>
        <w:spacing w:after="0" w:line="121"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Bioinformatics are critical in the production of individualized therapies. We have accumulated a high level of experience in bioinformatics of mutation detection, cancer genomics and immunotherapy through our ongoing research and preclinical studies and clinical trials.</w:t>
      </w:r>
    </w:p>
    <w:p>
      <w:pPr>
        <w:spacing w:after="0" w:line="12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Our validated patient-centric bioinformatic process, as illustrated below, allows the application of complex algorithms to the patient’s data in the context of drug manufacture. Our bioinformatics processes are robust and scalable, incorporating our experience handling genomic data in a high throughput environment, as we target making on-demand production of individualized immunotherapies commercially viable.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131445</wp:posOffset>
            </wp:positionV>
            <wp:extent cx="5143500" cy="1157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From Patient to Analysis. </w:t>
      </w:r>
      <w:r>
        <w:rPr>
          <w:rFonts w:ascii="Arial" w:cs="Arial" w:eastAsia="Arial" w:hAnsi="Arial"/>
          <w:sz w:val="14"/>
          <w:szCs w:val="14"/>
          <w:color w:val="auto"/>
        </w:rPr>
        <w:t>Our bioinformatic process for the selection of neoepitopes.</w:t>
      </w:r>
    </w:p>
    <w:p>
      <w:pPr>
        <w:spacing w:after="0" w:line="360" w:lineRule="exact"/>
        <w:rPr>
          <w:sz w:val="20"/>
          <w:szCs w:val="20"/>
          <w:color w:val="auto"/>
        </w:rPr>
      </w:pPr>
    </w:p>
    <w:p>
      <w:pPr>
        <w:ind w:left="1540" w:hanging="547"/>
        <w:spacing w:after="0"/>
        <w:tabs>
          <w:tab w:leader="none" w:pos="154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Sequencing</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sequence the patient’s tumor and healthy tissue samples using NGS technology. Comparison of the patient’s sequenced tumor and healthy samples provides us with the data from which we can identify targets for the design of an individualized cancer immunotherapies. This is a multi-step process in which mutation detection and neoantigen prediction are particularly important.</w:t>
      </w:r>
    </w:p>
    <w:p>
      <w:pPr>
        <w:spacing w:after="0" w:line="332" w:lineRule="exact"/>
        <w:rPr>
          <w:sz w:val="20"/>
          <w:szCs w:val="20"/>
          <w:color w:val="auto"/>
        </w:rPr>
      </w:pPr>
    </w:p>
    <w:p>
      <w:pPr>
        <w:ind w:left="1540" w:hanging="547"/>
        <w:spacing w:after="0"/>
        <w:tabs>
          <w:tab w:leader="none" w:pos="154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Mutation detection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Mutation detection, which defines which tumor-specific mutations are present in any cancer, is the starting point for defining targets for individualized immunotherapy. Determining mutations from NGS data with high precision and sensitivity is challenging because numerous factors can lead to false positives, which can mask mutations. Despite advances in the field, commonly used mutation detection algorithms still exhibit high false positive mutation detections. In order to address these challenges, we have exclusively licensed a technology from TRON that combines tumor modeling with mutation detection, called MyMUT. MyMUT is a next-generation mutation detection system, which we believe has the following key characteristics:</w:t>
      </w:r>
    </w:p>
    <w:p>
      <w:pPr>
        <w:spacing w:after="0" w:line="94" w:lineRule="exact"/>
        <w:rPr>
          <w:sz w:val="20"/>
          <w:szCs w:val="20"/>
          <w:color w:val="auto"/>
        </w:rPr>
      </w:pPr>
    </w:p>
    <w:p>
      <w:pPr>
        <w:ind w:left="540" w:right="20" w:hanging="316"/>
        <w:spacing w:after="0" w:line="277" w:lineRule="auto"/>
        <w:tabs>
          <w:tab w:leader="none" w:pos="540"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 xml:space="preserve">High specificity and robustness. </w:t>
      </w:r>
      <w:r>
        <w:rPr>
          <w:rFonts w:ascii="Arial" w:cs="Arial" w:eastAsia="Arial" w:hAnsi="Arial"/>
          <w:sz w:val="17"/>
          <w:szCs w:val="17"/>
          <w:color w:val="auto"/>
        </w:rPr>
        <w:t>By combining tumor modeling, sophisticated statistical and genomic filters, and replicate sampling, MyMUT</w:t>
      </w:r>
      <w:r>
        <w:rPr>
          <w:rFonts w:ascii="Arial" w:cs="Arial" w:eastAsia="Arial" w:hAnsi="Arial"/>
          <w:sz w:val="17"/>
          <w:szCs w:val="17"/>
          <w:b w:val="1"/>
          <w:bCs w:val="1"/>
          <w:color w:val="auto"/>
        </w:rPr>
        <w:t xml:space="preserve"> </w:t>
      </w:r>
      <w:r>
        <w:rPr>
          <w:rFonts w:ascii="Arial" w:cs="Arial" w:eastAsia="Arial" w:hAnsi="Arial"/>
          <w:sz w:val="17"/>
          <w:szCs w:val="17"/>
          <w:color w:val="auto"/>
        </w:rPr>
        <w:t>achieves clinical precision in detecting mutations with comparable sensitivity to state-of-the-art mutation detection systems. Higher specificity translates to potentially more effective immunotherapies, with faster and cheaper production. MyMUT is designed to deliver uniform performance for all patients regardless of tumor complexity, mutation burden or sample purity. MyMUT’s performance with low mutation tumors also allows us to offer individualized immunotherapies to patients with low tumor mutation burdens.</w:t>
      </w:r>
    </w:p>
    <w:p>
      <w:pPr>
        <w:spacing w:after="0" w:line="73" w:lineRule="exact"/>
        <w:rPr>
          <w:rFonts w:ascii="Arial" w:cs="Arial" w:eastAsia="Arial" w:hAnsi="Arial"/>
          <w:sz w:val="17"/>
          <w:szCs w:val="17"/>
          <w:color w:val="auto"/>
        </w:rPr>
      </w:pPr>
    </w:p>
    <w:p>
      <w:pPr>
        <w:ind w:left="540" w:hanging="316"/>
        <w:spacing w:after="0" w:line="266"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Intratumor heterogeneity. </w:t>
      </w:r>
      <w:r>
        <w:rPr>
          <w:rFonts w:ascii="Arial" w:cs="Arial" w:eastAsia="Arial" w:hAnsi="Arial"/>
          <w:sz w:val="18"/>
          <w:szCs w:val="18"/>
          <w:color w:val="auto"/>
        </w:rPr>
        <w:t>By performing tumor modeling, MyMUT can also identify clonal and subclonal mutations with high precision,</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prioritize the former in neoantigen-directed immunotherapies and address intratumoral heterogeneity by targeting mutations that are common in a higher proportion of cancer cells within a tumor.</w:t>
      </w:r>
    </w:p>
    <w:p>
      <w:pPr>
        <w:spacing w:after="0" w:line="81" w:lineRule="exact"/>
        <w:rPr>
          <w:rFonts w:ascii="Arial" w:cs="Arial" w:eastAsia="Arial" w:hAnsi="Arial"/>
          <w:sz w:val="18"/>
          <w:szCs w:val="18"/>
          <w:color w:val="auto"/>
        </w:rPr>
      </w:pPr>
    </w:p>
    <w:p>
      <w:pPr>
        <w:ind w:left="540" w:right="120" w:hanging="316"/>
        <w:spacing w:after="0" w:line="282"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Quality control (QC). </w:t>
      </w:r>
      <w:r>
        <w:rPr>
          <w:rFonts w:ascii="Arial" w:cs="Arial" w:eastAsia="Arial" w:hAnsi="Arial"/>
          <w:sz w:val="18"/>
          <w:szCs w:val="18"/>
          <w:color w:val="auto"/>
        </w:rPr>
        <w:t>By analyzing the genomic properties of sequenced samples, MyMUT can detect errors that pass standard sequencing QC,</w:t>
      </w:r>
      <w:r>
        <w:rPr>
          <w:rFonts w:ascii="Arial" w:cs="Arial" w:eastAsia="Arial" w:hAnsi="Arial"/>
          <w:sz w:val="18"/>
          <w:szCs w:val="18"/>
          <w:b w:val="1"/>
          <w:bCs w:val="1"/>
          <w:color w:val="auto"/>
        </w:rPr>
        <w:t xml:space="preserve"> </w:t>
      </w:r>
      <w:r>
        <w:rPr>
          <w:rFonts w:ascii="Arial" w:cs="Arial" w:eastAsia="Arial" w:hAnsi="Arial"/>
          <w:sz w:val="18"/>
          <w:szCs w:val="18"/>
          <w:color w:val="auto"/>
        </w:rPr>
        <w:t>ensuring the quality and safety of individualized immunotherapies.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547"/>
        <w:spacing w:after="0"/>
        <w:tabs>
          <w:tab w:leader="none" w:pos="154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Neoepitope selection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Only a portion of mutated peptides (neoepitopes) are suitable for raising an immune response </w:t>
      </w:r>
      <w:r>
        <w:rPr>
          <w:rFonts w:ascii="Arial" w:cs="Arial" w:eastAsia="Arial" w:hAnsi="Arial"/>
          <w:sz w:val="17"/>
          <w:szCs w:val="17"/>
          <w:i w:val="1"/>
          <w:iCs w:val="1"/>
          <w:color w:val="auto"/>
        </w:rPr>
        <w:t>in vivo</w:t>
      </w:r>
      <w:r>
        <w:rPr>
          <w:rFonts w:ascii="Arial" w:cs="Arial" w:eastAsia="Arial" w:hAnsi="Arial"/>
          <w:sz w:val="17"/>
          <w:szCs w:val="17"/>
          <w:color w:val="auto"/>
        </w:rPr>
        <w:t>. Our approach focuses on evoking responses involving both CD8</w:t>
      </w:r>
      <w:r>
        <w:rPr>
          <w:rFonts w:ascii="Arial" w:cs="Arial" w:eastAsia="Arial" w:hAnsi="Arial"/>
          <w:sz w:val="14"/>
          <w:szCs w:val="14"/>
          <w:color w:val="auto"/>
        </w:rPr>
        <w:t>+</w:t>
      </w:r>
      <w:r>
        <w:rPr>
          <w:rFonts w:ascii="Arial" w:cs="Arial" w:eastAsia="Arial" w:hAnsi="Arial"/>
          <w:sz w:val="17"/>
          <w:szCs w:val="17"/>
          <w:color w:val="auto"/>
        </w:rPr>
        <w:t xml:space="preserve"> T cells and CD4</w:t>
      </w:r>
      <w:r>
        <w:rPr>
          <w:rFonts w:ascii="Arial" w:cs="Arial" w:eastAsia="Arial" w:hAnsi="Arial"/>
          <w:sz w:val="14"/>
          <w:szCs w:val="14"/>
          <w:color w:val="auto"/>
        </w:rPr>
        <w:t>+</w:t>
      </w:r>
      <w:r>
        <w:rPr>
          <w:rFonts w:ascii="Arial" w:cs="Arial" w:eastAsia="Arial" w:hAnsi="Arial"/>
          <w:sz w:val="17"/>
          <w:szCs w:val="17"/>
          <w:color w:val="auto"/>
        </w:rPr>
        <w:t xml:space="preserve"> T cells. We do this by discerning the likelihood of presentation of the neoepitope to the T cell receptor as an MHC peptide complex using data from mRNA expression levels and MHC binding affinity predictions, among other factors. For example, in our first individualized neoepitope immunotherapy clinical study, all 13 stage III and IV melanoma patients selected for treatment developed a CD4</w:t>
      </w:r>
      <w:r>
        <w:rPr>
          <w:rFonts w:ascii="Arial" w:cs="Arial" w:eastAsia="Arial" w:hAnsi="Arial"/>
          <w:sz w:val="14"/>
          <w:szCs w:val="14"/>
          <w:color w:val="auto"/>
        </w:rPr>
        <w:t>+</w:t>
      </w:r>
      <w:r>
        <w:rPr>
          <w:rFonts w:ascii="Arial" w:cs="Arial" w:eastAsia="Arial" w:hAnsi="Arial"/>
          <w:sz w:val="17"/>
          <w:szCs w:val="17"/>
          <w:color w:val="auto"/>
        </w:rPr>
        <w:t xml:space="preserve"> and/or CD8</w:t>
      </w:r>
      <w:r>
        <w:rPr>
          <w:rFonts w:ascii="Arial" w:cs="Arial" w:eastAsia="Arial" w:hAnsi="Arial"/>
          <w:sz w:val="14"/>
          <w:szCs w:val="14"/>
          <w:color w:val="auto"/>
        </w:rPr>
        <w:t>+</w:t>
      </w:r>
      <w:r>
        <w:rPr>
          <w:rFonts w:ascii="Arial" w:cs="Arial" w:eastAsia="Arial" w:hAnsi="Arial"/>
          <w:sz w:val="17"/>
          <w:szCs w:val="17"/>
          <w:color w:val="auto"/>
        </w:rPr>
        <w:t xml:space="preserve"> T cell response, achieving an overall 60% immune response rate to predicted neoepitopes.</w:t>
      </w:r>
    </w:p>
    <w:p>
      <w:pPr>
        <w:spacing w:after="0" w:line="1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Presentation of a neoepitope on an MHC molecule does not, however, guarantee recognition by T cells, and an integrated view combining several properties impacting immunogenicity is necessary. Our algorithms are continuously being improved and extended with data collections from various sources such as our past and current clinical studies as well as HLA data. By using machine learning approaches applied to these large datasets we aim to further improve prediction of overall presentation of neoepitopes tailored to patients’ specific HLA types.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VIII. Our mRNA Drug Class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At a glance: mRNA as a Therapeutic Drug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31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431290"/>
                    </a:xfrm>
                    <a:prstGeom prst="rect">
                      <a:avLst/>
                    </a:prstGeom>
                    <a:noFill/>
                  </pic:spPr>
                </pic:pic>
              </a:graphicData>
            </a:graphic>
          </wp:anchor>
        </w:drawing>
      </w:r>
    </w:p>
    <w:p>
      <w:pPr>
        <w:spacing w:after="0" w:line="111" w:lineRule="exact"/>
        <w:rPr>
          <w:sz w:val="20"/>
          <w:szCs w:val="20"/>
          <w:color w:val="auto"/>
        </w:rPr>
      </w:pPr>
    </w:p>
    <w:p>
      <w:pPr>
        <w:ind w:left="460" w:hanging="254"/>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Natural molecule found universally within cells, with well-characterized properties.</w:t>
      </w:r>
    </w:p>
    <w:p>
      <w:pPr>
        <w:spacing w:after="0" w:line="130" w:lineRule="exact"/>
        <w:rPr>
          <w:rFonts w:ascii="Arial" w:cs="Arial" w:eastAsia="Arial" w:hAnsi="Arial"/>
          <w:sz w:val="18"/>
          <w:szCs w:val="18"/>
          <w:color w:val="auto"/>
        </w:rPr>
      </w:pPr>
    </w:p>
    <w:p>
      <w:pPr>
        <w:ind w:left="460" w:hanging="254"/>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Suitable to encode for antibodies, antigens, cytokines and any other type of protein.</w:t>
      </w:r>
    </w:p>
    <w:p>
      <w:pPr>
        <w:spacing w:after="0" w:line="130" w:lineRule="exact"/>
        <w:rPr>
          <w:rFonts w:ascii="Arial" w:cs="Arial" w:eastAsia="Arial" w:hAnsi="Arial"/>
          <w:sz w:val="18"/>
          <w:szCs w:val="18"/>
          <w:color w:val="auto"/>
        </w:rPr>
      </w:pPr>
    </w:p>
    <w:p>
      <w:pPr>
        <w:ind w:left="480" w:right="300" w:hanging="274"/>
        <w:spacing w:after="0" w:line="277" w:lineRule="auto"/>
        <w:tabs>
          <w:tab w:leader="none" w:pos="46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Transient, with adaptable activity and half-life. Avoids genomic integration problems sometimes seen in gene therapy, potentially resulting in a better safety profile.</w:t>
      </w:r>
    </w:p>
    <w:p>
      <w:pPr>
        <w:spacing w:after="0" w:line="75" w:lineRule="exact"/>
        <w:rPr>
          <w:rFonts w:ascii="Arial" w:cs="Arial" w:eastAsia="Arial" w:hAnsi="Arial"/>
          <w:sz w:val="18"/>
          <w:szCs w:val="18"/>
          <w:color w:val="auto"/>
        </w:rPr>
      </w:pPr>
    </w:p>
    <w:p>
      <w:pPr>
        <w:ind w:left="460" w:hanging="254"/>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Can be designed and optimized pharmacologically and immunologically, making it suitable for a broad range of applications.</w:t>
      </w:r>
    </w:p>
    <w:p>
      <w:pPr>
        <w:spacing w:after="0" w:line="130" w:lineRule="exact"/>
        <w:rPr>
          <w:rFonts w:ascii="Arial" w:cs="Arial" w:eastAsia="Arial" w:hAnsi="Arial"/>
          <w:sz w:val="18"/>
          <w:szCs w:val="18"/>
          <w:color w:val="auto"/>
        </w:rPr>
      </w:pPr>
    </w:p>
    <w:p>
      <w:pPr>
        <w:ind w:left="460" w:hanging="254"/>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Fast manufacturability, making it an inexpensive and flexible therapeutic to produce.</w:t>
      </w:r>
    </w:p>
    <w:p>
      <w:pPr>
        <w:spacing w:after="0" w:line="36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the last decade mRNA has progressed into a promising new class of medicine, with the potential to treat a wide variety of diseases with high unmet medical needs. mRNA is a long, polymeric molecule, composed of four different building blocks called nucleotides. In mRNA, hundreds or thousands of these nucleotides are linked in a unique order to convey genetic information to cells, where it is used to express proteins with biological effects.</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Considering that all mRNA is generated with four different building blocks, but with unique sequence order, all therapeutic mRNAs have highly similar compositions, while having the capacity to encode a variety of different proteins. These characteristics allow for rapid development of mRNA therapeutics that are broadly applicable for treatment of many diseases, including cancer, infectious diseases and rare diseases. Our mRNA pipeline addresses all of these therapeutic areas.</w:t>
      </w:r>
    </w:p>
    <w:p>
      <w:pPr>
        <w:spacing w:after="0" w:line="331" w:lineRule="exact"/>
        <w:rPr>
          <w:sz w:val="20"/>
          <w:szCs w:val="20"/>
          <w:color w:val="auto"/>
        </w:rPr>
      </w:pPr>
    </w:p>
    <w:p>
      <w:pPr>
        <w:ind w:left="980" w:hanging="432"/>
        <w:spacing w:after="0"/>
        <w:tabs>
          <w:tab w:leader="none" w:pos="9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principles of mRNA Pharmacology</w:t>
      </w:r>
    </w:p>
    <w:p>
      <w:pPr>
        <w:spacing w:after="0" w:line="121"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As a drug, manufactured mRNA provides instruction to a target cell to produce a desired therapeutic protein. The mRNA drug will temporarily change the status of the target cell where these instructions are translated into proteins. Based on the information encoded by the mRNA, the proteins will be either secreted or remain intracellular. The mRNA drug will eventually be degraded and eliminated from the body.</w:t>
      </w:r>
    </w:p>
    <w:p>
      <w:pPr>
        <w:spacing w:after="0" w:line="16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mRNA drugs are synthesized from a DNA template. With the exception of the 5’ cap, the template determines all structural elements of the mRNA. The mRNA molecule comprises:</w:t>
      </w:r>
    </w:p>
    <w:p>
      <w:pPr>
        <w:spacing w:after="0" w:line="76" w:lineRule="exact"/>
        <w:rPr>
          <w:sz w:val="20"/>
          <w:szCs w:val="20"/>
          <w:color w:val="auto"/>
        </w:rPr>
      </w:pPr>
    </w:p>
    <w:p>
      <w:pPr>
        <w:ind w:left="5480" w:right="5240" w:hanging="5256"/>
        <w:spacing w:after="0" w:line="535" w:lineRule="auto"/>
        <w:tabs>
          <w:tab w:leader="none" w:pos="53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 open reading frame, or ORF, which encodes for the protein of interest; 138</w:t>
      </w:r>
    </w:p>
    <w:p>
      <w:pPr>
        <w:sectPr>
          <w:pgSz w:w="11900" w:h="16838" w:orient="portrait"/>
          <w:cols w:equalWidth="0" w:num="1">
            <w:col w:w="11060"/>
          </w:cols>
          <w:pgMar w:left="320" w:top="459"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untranslated regions, or UTRs, which flank the ORF; and</w:t>
      </w:r>
    </w:p>
    <w:p>
      <w:pPr>
        <w:spacing w:after="0" w:line="130" w:lineRule="exact"/>
        <w:rPr>
          <w:rFonts w:ascii="Arial" w:cs="Arial" w:eastAsia="Arial" w:hAnsi="Arial"/>
          <w:sz w:val="18"/>
          <w:szCs w:val="18"/>
          <w:color w:val="auto"/>
        </w:rPr>
      </w:pPr>
    </w:p>
    <w:p>
      <w:pPr>
        <w:ind w:left="540" w:right="120" w:hanging="316"/>
        <w:spacing w:after="0" w:line="277"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cap and the polyA tail, which are the two terminal structures of the linear mRNA, and are responsible for increased stability and translational efficiency of mRNA.</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mRNA drug needs to be appropriately formulated in order to protect it from breakdown by extracellular RNAses. The formulation is selected based on the intended application and route of delivery. After uptake into the target cell, the mRNA molecules are loaded into ribosomes, where translation into protein takes place. Subsequently, the mRNA is degraded by cellular mechanisms. In case of an immunotherapy application, the protein is degraded into immunogenic epitopes. These are loaded onto specialized molecules, namely MHC I or MHC II. These molecules present the epitopes to immune cells to provoke the desired immune response. In the case of other mRNA applications, the mRNA encodes proteins that are secreted from the cells, such as antibodies, and function extracellularly.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148590</wp:posOffset>
            </wp:positionV>
            <wp:extent cx="4903470" cy="31629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0347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General principles of mRNA pharmacology. </w:t>
      </w:r>
      <w:r>
        <w:rPr>
          <w:rFonts w:ascii="Arial" w:cs="Arial" w:eastAsia="Arial" w:hAnsi="Arial"/>
          <w:sz w:val="13"/>
          <w:szCs w:val="13"/>
          <w:color w:val="auto"/>
        </w:rPr>
        <w:t>Step 1: Exogenous mRNA escapes degradation by RNases and is taken up by cells. Step 2: Release mechanisms of mRNA into the cytoplasm</w:t>
      </w:r>
    </w:p>
    <w:p>
      <w:pPr>
        <w:spacing w:after="0" w:line="15" w:lineRule="exact"/>
        <w:rPr>
          <w:sz w:val="20"/>
          <w:szCs w:val="20"/>
          <w:color w:val="auto"/>
        </w:rPr>
      </w:pPr>
    </w:p>
    <w:p>
      <w:pPr>
        <w:ind w:left="120"/>
        <w:spacing w:after="0" w:line="226" w:lineRule="auto"/>
        <w:rPr>
          <w:sz w:val="20"/>
          <w:szCs w:val="20"/>
          <w:color w:val="auto"/>
        </w:rPr>
      </w:pPr>
      <w:r>
        <w:rPr>
          <w:rFonts w:ascii="Arial" w:cs="Arial" w:eastAsia="Arial" w:hAnsi="Arial"/>
          <w:sz w:val="14"/>
          <w:szCs w:val="14"/>
          <w:color w:val="auto"/>
        </w:rPr>
        <w:t>are not fully understood. Step 3: Translation of mRNA uses the protein synthesis machinery of host cells. Step 4: Termination of translation by degradation of mRNAs. Step 5: The translated protein product acts in the cell in which it has been generated. Step 6: Alternatively, the protein product is secreted and may act via autocrine, paracrine or endocrine mechanisms. Step 7: For immunotherapeutic use of mRNA, the protein product is degraded into epitopes, which are loaded onto MHC molecules, which ensure surface presentation of these antigens to immune effector cells. Cytoplasmic proteins are loaded on MHC class I molecules to be presented to CD8</w:t>
      </w:r>
      <w:r>
        <w:rPr>
          <w:rFonts w:ascii="Arial" w:cs="Arial" w:eastAsia="Arial" w:hAnsi="Arial"/>
          <w:sz w:val="12"/>
          <w:szCs w:val="12"/>
          <w:color w:val="auto"/>
        </w:rPr>
        <w:t>+</w:t>
      </w:r>
      <w:r>
        <w:rPr>
          <w:rFonts w:ascii="Arial" w:cs="Arial" w:eastAsia="Arial" w:hAnsi="Arial"/>
          <w:sz w:val="14"/>
          <w:szCs w:val="14"/>
          <w:color w:val="auto"/>
        </w:rPr>
        <w:t xml:space="preserve"> T cells. Step 8: In antigen-presenting cells, to obtain cognate T cell help for a more potent and sustainable immune response, the protein product can be routed to MHC class II molecules through signal-encoding sequences in the mRNA. Step 9: Protein-derived epitopes can then be presented on the cell surface by both MHC class I and MHC class II molecules.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structural elements of the mRNA have an impact on its performance. This includes potential immunogenicity, efficacy of translation and stability of the molecule. We leverage our extensive experience to design, synthesize, manufacture and formulate our therapeutic mRNA, and adapt its composition to suit the desired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142875</wp:posOffset>
            </wp:positionV>
            <wp:extent cx="4337685" cy="26917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3768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impact of increasing the translation and half-life of mRNA</w:t>
      </w:r>
      <w:r>
        <w:rPr>
          <w:rFonts w:ascii="Arial" w:cs="Arial" w:eastAsia="Arial" w:hAnsi="Arial"/>
          <w:sz w:val="14"/>
          <w:szCs w:val="14"/>
          <w:color w:val="auto"/>
        </w:rPr>
        <w:t>. We have optimized our mRNA in order to maximize its therapeutic effect.</w:t>
      </w:r>
    </w:p>
    <w:p>
      <w:pPr>
        <w:spacing w:after="0" w:line="356" w:lineRule="exact"/>
        <w:rPr>
          <w:sz w:val="20"/>
          <w:szCs w:val="20"/>
          <w:color w:val="auto"/>
        </w:rPr>
      </w:pPr>
    </w:p>
    <w:p>
      <w:pPr>
        <w:ind w:left="980" w:hanging="432"/>
        <w:spacing w:after="0"/>
        <w:tabs>
          <w:tab w:leader="none" w:pos="9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Our mRNA backbone concepts and technologies</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Our mRNAs all contain basic structural elements, including the 5’ cap, the untranslated regions and the polyA tail, in addition to a coding sequence, that are all encoded by our DNA template.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134620</wp:posOffset>
            </wp:positionV>
            <wp:extent cx="2665730" cy="642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6573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line="263" w:lineRule="auto"/>
        <w:tabs>
          <w:tab w:leader="none" w:pos="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cap is added to the 5’ end of the mRNA during its synthesis. Our studies have demonstrated that incorporation of a unique cap analogue into the mRNA helps to achieve superior translational performance by stabilizing the mRNA molecule and directing the immune response. This unique cap analogue is extremely useful for our immunotherapy approaches.</w:t>
      </w:r>
    </w:p>
    <w:p>
      <w:pPr>
        <w:spacing w:after="0" w:line="89"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composition and structure of the 3’ untranslated regions of the mRNA molecule are important determinants of the intracellular stability of mRNA. As a result of rigorous screening of different mRNA sequences, we identified specific 3’ UTRs that promote protein translation for long duration.</w:t>
      </w:r>
    </w:p>
    <w:p>
      <w:pPr>
        <w:spacing w:after="0" w:line="89"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have performed extensive research on the structure of the polyA tail and the translational performance of mRNA and customized our template design accordingly.</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translational performance of mRNA can be increased by removing contaminating double-stranded RNA from the mRNA. We have extensive expertise in different mRNA purification procedures. We have also invented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 novel mRNA purification method that greatly impacts translatability of our mRNA. Depending on the protein characteristics needed for treatment of a disease, we optimize the DNA template through a proprietary codon optimization process, changing the nucleotide sequence of the template without altering the amino acid composition of the encoded protein. We make further adjustments during mRNA production. We believe these fine tunings of the respective molecules are essential for the purpose-adapted performance of our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6149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8604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mRNA formats. </w:t>
      </w:r>
      <w:r>
        <w:rPr>
          <w:rFonts w:ascii="Arial" w:cs="Arial" w:eastAsia="Arial" w:hAnsi="Arial"/>
          <w:sz w:val="14"/>
          <w:szCs w:val="14"/>
          <w:color w:val="auto"/>
        </w:rPr>
        <w:t>As shown above, we have developed four mRNA formats, each optimized for different therapeutic applications.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mRNA formats include:</w:t>
      </w:r>
    </w:p>
    <w:p>
      <w:pPr>
        <w:spacing w:after="0" w:line="131" w:lineRule="exact"/>
        <w:rPr>
          <w:sz w:val="20"/>
          <w:szCs w:val="20"/>
          <w:color w:val="auto"/>
        </w:rPr>
      </w:pPr>
    </w:p>
    <w:p>
      <w:pPr>
        <w:ind w:left="1540" w:hanging="547"/>
        <w:spacing w:after="0"/>
        <w:tabs>
          <w:tab w:leader="none" w:pos="1540" w:val="left"/>
        </w:tabs>
        <w:numPr>
          <w:ilvl w:val="0"/>
          <w:numId w:val="1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Optimized unmodified mRNA (uRNA)</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nucleotide sequence of mRNA determines the amino acid sequence of the protein. In addition, the nature of nucleosides used for production of mRNA drugs can also influence recognition of the molecule by the immune system. Presence of naturally occurring uridine (U) in our optimized mRNA makes it immunogenic by activating immune sensors. We have further optimized our unmodified mRNA for immunogenicity (augmented antigen presentation on MHC I and MHC II) and pharmacological activity (enhanced stability and translational efficiency). Immunogenicity of the mRNA is an added benefit when mRNA is used for immunotherapy applications, by acting as an immunotherapy adjuvant. This makes our therapeutics for iNeST and FixVac even more potent.</w:t>
      </w:r>
    </w:p>
    <w:p>
      <w:pPr>
        <w:spacing w:after="0" w:line="341" w:lineRule="exact"/>
        <w:rPr>
          <w:sz w:val="20"/>
          <w:szCs w:val="20"/>
          <w:color w:val="auto"/>
        </w:rPr>
      </w:pPr>
    </w:p>
    <w:p>
      <w:pPr>
        <w:ind w:left="1540" w:hanging="547"/>
        <w:spacing w:after="0"/>
        <w:tabs>
          <w:tab w:leader="none" w:pos="1540" w:val="left"/>
        </w:tabs>
        <w:numPr>
          <w:ilvl w:val="0"/>
          <w:numId w:val="1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Nucleoside-modified mRNA (modRNA)</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Immunogenic reaction against mRNA drugs needs to be avoided in applications where therapeutic proteins are produced, such as in our RiboMab and RiboCytokine platforms. We have profound expertise in incorporating naturally-occurring modified nucleosides into our therapeutic mRNAs. We have demonstrated that the presence of a variety of modified nucleosides in the manufactured mRNA suppresses its intrinsic immune activation, while leading to superior protein production for long duration. Deimmunizing mRNA by incorporating modified nucleosides helps to avoid production of anti-drug antibodies and broaden the therapeutic application of these types of mRNA drugs. We believe this customization has resulted in therapeutic mRNA that is both potent and well tolerated.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547"/>
        <w:spacing w:after="0"/>
        <w:tabs>
          <w:tab w:leader="none" w:pos="1540" w:val="left"/>
        </w:tabs>
        <w:numPr>
          <w:ilvl w:val="0"/>
          <w:numId w:val="1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Self-amplifying mRNA (saRNA)</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self-amplifying mRNA, or saRNA, drugs use the concept of viral replication, while not being an infectious, disease-causing agent itself. saRNA resembles conventional mRNA encoding the protein of interest, but also encoding a polymerase, called replicase, that multiplies part of the mRNA within the target cell. During self-amplification inside the cell, a double-stranded RNA intermediate is generated, which is recognized by intracellular immune sensors. This makes saRNA a very potent activator of the immune system and therefore an excellent category of immunotherapy. As we have demonstrated, our saRNA ensures high levels of sustained antigen production with a small amount of initial mRNA input. Our scientific team has designed this mRNA technology to act as a potent tool for prophylactic vaccination, with the potential application in infectious diseases with high medical needs.</w:t>
      </w:r>
    </w:p>
    <w:p>
      <w:pPr>
        <w:spacing w:after="0" w:line="343" w:lineRule="exact"/>
        <w:rPr>
          <w:sz w:val="20"/>
          <w:szCs w:val="20"/>
          <w:color w:val="auto"/>
        </w:rPr>
      </w:pPr>
    </w:p>
    <w:p>
      <w:pPr>
        <w:ind w:left="1540" w:hanging="547"/>
        <w:spacing w:after="0"/>
        <w:tabs>
          <w:tab w:leader="none" w:pos="1540" w:val="left"/>
        </w:tabs>
        <w:numPr>
          <w:ilvl w:val="0"/>
          <w:numId w:val="1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Trans-amplifying mRNA (taRNA)</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also expanded on our self-amplifying mRNA capabilities, developing a novel mRNA amplification technology by separating the target mRNA to be amplified and the replicase encoding mRNA. This advancement broadens the spectrum of applications by making the development of therapeutic mRNAs even more flexible, as the replicase can amplify mRNA encoding of not only one protein, but several different ones. In the case of vaccines, this allows us to produce the replicase in advance for use with different vaccines. Our trans-amplifying mRNA is a proprietary mRNA format that is particularly well-suited for prophylactic vaccines to prevent infectious diseases.</w:t>
      </w:r>
    </w:p>
    <w:p>
      <w:pPr>
        <w:spacing w:after="0" w:line="321" w:lineRule="exact"/>
        <w:rPr>
          <w:sz w:val="20"/>
          <w:szCs w:val="20"/>
          <w:color w:val="auto"/>
        </w:rPr>
      </w:pPr>
    </w:p>
    <w:p>
      <w:pPr>
        <w:ind w:left="980" w:hanging="432"/>
        <w:spacing w:after="0"/>
        <w:tabs>
          <w:tab w:leader="none" w:pos="9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Our mRNA delivery formulation technologies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deep and broad expertise in the targeted delivery of mRNA therapeutics. We are convinced that our development of suitable delivery formulations in conjunction with our own therapeutic mRNAs is a key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134620</wp:posOffset>
            </wp:positionV>
            <wp:extent cx="5074920" cy="16630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7492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Our mRNA delivery formulation technologies</w:t>
      </w:r>
      <w:r>
        <w:rPr>
          <w:rFonts w:ascii="Arial" w:cs="Arial" w:eastAsia="Arial" w:hAnsi="Arial"/>
          <w:sz w:val="14"/>
          <w:szCs w:val="14"/>
          <w:color w:val="auto"/>
        </w:rPr>
        <w:t>. We utilize a range of mRNA delivery formulations for different therapeutic needs.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employ multiple mRNA delivery formulations, each designed for different functions and optimized for therapeutic product needs:</w:t>
      </w:r>
    </w:p>
    <w:p>
      <w:pPr>
        <w:spacing w:after="0" w:line="138" w:lineRule="exact"/>
        <w:rPr>
          <w:sz w:val="20"/>
          <w:szCs w:val="20"/>
          <w:color w:val="auto"/>
        </w:rPr>
      </w:pPr>
    </w:p>
    <w:p>
      <w:pPr>
        <w:ind w:left="540" w:right="60" w:hanging="316"/>
        <w:spacing w:after="0" w:line="266"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Lipoplex: </w:t>
      </w:r>
      <w:r>
        <w:rPr>
          <w:rFonts w:ascii="Arial" w:cs="Arial" w:eastAsia="Arial" w:hAnsi="Arial"/>
          <w:sz w:val="18"/>
          <w:szCs w:val="18"/>
          <w:color w:val="auto"/>
        </w:rPr>
        <w:t>Our lipoplex formulation, or LPX, embeds the mRNA between a lipid bilayer, which is used for our FixVac and iNeST platforms. We</w:t>
      </w:r>
      <w:r>
        <w:rPr>
          <w:rFonts w:ascii="Arial" w:cs="Arial" w:eastAsia="Arial" w:hAnsi="Arial"/>
          <w:sz w:val="18"/>
          <w:szCs w:val="18"/>
          <w:b w:val="1"/>
          <w:bCs w:val="1"/>
          <w:color w:val="auto"/>
        </w:rPr>
        <w:t xml:space="preserve"> </w:t>
      </w:r>
      <w:r>
        <w:rPr>
          <w:rFonts w:ascii="Arial" w:cs="Arial" w:eastAsia="Arial" w:hAnsi="Arial"/>
          <w:sz w:val="18"/>
          <w:szCs w:val="18"/>
          <w:color w:val="auto"/>
        </w:rPr>
        <w:t>use a proprietary size- and charge-based non-viral mRNA lipoplex that was developed to deliver mRNA to dendritic cells in lymphoid compartments such as the spleen for optimal antigen presentation and immune response activation.</w:t>
      </w:r>
    </w:p>
    <w:p>
      <w:pPr>
        <w:spacing w:after="0" w:line="81" w:lineRule="exact"/>
        <w:rPr>
          <w:rFonts w:ascii="Arial" w:cs="Arial" w:eastAsia="Arial" w:hAnsi="Arial"/>
          <w:sz w:val="18"/>
          <w:szCs w:val="18"/>
          <w:color w:val="auto"/>
        </w:rPr>
      </w:pPr>
    </w:p>
    <w:p>
      <w:pPr>
        <w:jc w:val="both"/>
        <w:ind w:left="540" w:right="400" w:hanging="316"/>
        <w:spacing w:after="0" w:line="289" w:lineRule="auto"/>
        <w:tabs>
          <w:tab w:leader="none" w:pos="540"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 xml:space="preserve">LNPs: </w:t>
      </w:r>
      <w:r>
        <w:rPr>
          <w:rFonts w:ascii="Arial" w:cs="Arial" w:eastAsia="Arial" w:hAnsi="Arial"/>
          <w:sz w:val="17"/>
          <w:szCs w:val="17"/>
          <w:color w:val="auto"/>
        </w:rPr>
        <w:t>For other applications, we encapsulate our mRNA in lipid nanoparticles, or LNPs. These formulations are suitable for our RiboMab,</w:t>
      </w:r>
      <w:r>
        <w:rPr>
          <w:rFonts w:ascii="Arial" w:cs="Arial" w:eastAsia="Arial" w:hAnsi="Arial"/>
          <w:sz w:val="17"/>
          <w:szCs w:val="17"/>
          <w:b w:val="1"/>
          <w:bCs w:val="1"/>
          <w:color w:val="auto"/>
        </w:rPr>
        <w:t xml:space="preserve"> </w:t>
      </w:r>
      <w:r>
        <w:rPr>
          <w:rFonts w:ascii="Arial" w:cs="Arial" w:eastAsia="Arial" w:hAnsi="Arial"/>
          <w:sz w:val="17"/>
          <w:szCs w:val="17"/>
          <w:color w:val="auto"/>
        </w:rPr>
        <w:t>RiboCytokine and rare disease protein replacement platforms. Our LNP formulations can be adjusted according to our needs for delivery to particular target tissues, such as the liver in the case of our rare disease protein replacement platform.</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20"/>
          </w:cols>
          <w:pgMar w:left="320" w:top="459" w:right="5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40" w:hanging="316"/>
        <w:spacing w:after="0" w:line="282"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 xml:space="preserve">Polyplexes: </w:t>
      </w:r>
      <w:r>
        <w:rPr>
          <w:rFonts w:ascii="Arial" w:cs="Arial" w:eastAsia="Arial" w:hAnsi="Arial"/>
          <w:sz w:val="18"/>
          <w:szCs w:val="18"/>
          <w:color w:val="auto"/>
        </w:rPr>
        <w:t>Our portfolio also comprises polyplexes, which are being utilized in certain of our discovery programs, in which the mRNA is bound</w:t>
      </w:r>
      <w:r>
        <w:rPr>
          <w:rFonts w:ascii="Arial" w:cs="Arial" w:eastAsia="Arial" w:hAnsi="Arial"/>
          <w:sz w:val="18"/>
          <w:szCs w:val="18"/>
          <w:b w:val="1"/>
          <w:bCs w:val="1"/>
          <w:color w:val="auto"/>
        </w:rPr>
        <w:t xml:space="preserve"> </w:t>
      </w:r>
      <w:r>
        <w:rPr>
          <w:rFonts w:ascii="Arial" w:cs="Arial" w:eastAsia="Arial" w:hAnsi="Arial"/>
          <w:sz w:val="18"/>
          <w:szCs w:val="18"/>
          <w:color w:val="auto"/>
        </w:rPr>
        <w:t>to a polymer and then forms nanoparticles.</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shown in the graphic below, our mRNA platforms utilize our wide range of mRNA formats, mRNA delivery formulations and mRNA delivery routes to optimize and tailor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5151755" cy="25634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51755"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280"/>
        <w:spacing w:after="0" w:line="258" w:lineRule="auto"/>
        <w:rPr>
          <w:sz w:val="20"/>
          <w:szCs w:val="20"/>
          <w:color w:val="auto"/>
        </w:rPr>
      </w:pPr>
      <w:r>
        <w:rPr>
          <w:rFonts w:ascii="Arial" w:cs="Arial" w:eastAsia="Arial" w:hAnsi="Arial"/>
          <w:sz w:val="14"/>
          <w:szCs w:val="14"/>
          <w:b w:val="1"/>
          <w:bCs w:val="1"/>
          <w:color w:val="auto"/>
        </w:rPr>
        <w:t xml:space="preserve">Our therapeutic mRNA technology toolbox. </w:t>
      </w:r>
      <w:r>
        <w:rPr>
          <w:rFonts w:ascii="Arial" w:cs="Arial" w:eastAsia="Arial" w:hAnsi="Arial"/>
          <w:sz w:val="14"/>
          <w:szCs w:val="14"/>
          <w:color w:val="auto"/>
        </w:rPr>
        <w:t>Our product candidates utilize multiple mRNA formats, a broad spectrum of delivery formulations and applications using various delivery</w:t>
      </w:r>
      <w:r>
        <w:rPr>
          <w:rFonts w:ascii="Arial" w:cs="Arial" w:eastAsia="Arial" w:hAnsi="Arial"/>
          <w:sz w:val="14"/>
          <w:szCs w:val="14"/>
          <w:b w:val="1"/>
          <w:bCs w:val="1"/>
          <w:color w:val="auto"/>
        </w:rPr>
        <w:t xml:space="preserve"> </w:t>
      </w:r>
      <w:r>
        <w:rPr>
          <w:rFonts w:ascii="Arial" w:cs="Arial" w:eastAsia="Arial" w:hAnsi="Arial"/>
          <w:sz w:val="14"/>
          <w:szCs w:val="14"/>
          <w:color w:val="auto"/>
        </w:rPr>
        <w:t>routes.</w:t>
      </w:r>
    </w:p>
    <w:p>
      <w:pPr>
        <w:spacing w:after="0" w:line="198" w:lineRule="exact"/>
        <w:rPr>
          <w:sz w:val="20"/>
          <w:szCs w:val="20"/>
          <w:color w:val="auto"/>
        </w:rPr>
      </w:pPr>
    </w:p>
    <w:p>
      <w:pPr>
        <w:ind w:left="980" w:hanging="432"/>
        <w:spacing w:after="0"/>
        <w:tabs>
          <w:tab w:leader="none" w:pos="9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Our mRNA Platforms</w:t>
      </w:r>
    </w:p>
    <w:p>
      <w:pPr>
        <w:spacing w:after="0" w:line="22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We are developing multiple mRNA-based therapeutic platforms. These include FixVac, iNeST, mRNA-based intratumoral immunotherapy, RiboMabs and RiboCytokines in the oncology space. In addition, we have implemented mRNA platforms for the development of infectious disease vaccines and protein replacement therapies for rare diseases.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Importantly, each of these platforms enables the development of multiple pharmaceutical product candidates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168910</wp:posOffset>
            </wp:positionV>
            <wp:extent cx="4894580" cy="26314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9458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right="380"/>
        <w:spacing w:after="0" w:line="258" w:lineRule="auto"/>
        <w:rPr>
          <w:sz w:val="20"/>
          <w:szCs w:val="20"/>
          <w:color w:val="auto"/>
        </w:rPr>
      </w:pPr>
      <w:r>
        <w:rPr>
          <w:rFonts w:ascii="Arial" w:cs="Arial" w:eastAsia="Arial" w:hAnsi="Arial"/>
          <w:sz w:val="14"/>
          <w:szCs w:val="14"/>
          <w:b w:val="1"/>
          <w:bCs w:val="1"/>
          <w:color w:val="auto"/>
        </w:rPr>
        <w:t xml:space="preserve">Our mRNA Platforms. </w:t>
      </w:r>
      <w:r>
        <w:rPr>
          <w:rFonts w:ascii="Arial" w:cs="Arial" w:eastAsia="Arial" w:hAnsi="Arial"/>
          <w:sz w:val="14"/>
          <w:szCs w:val="14"/>
          <w:color w:val="auto"/>
        </w:rPr>
        <w:t>We have multiple mRNA-based platforms utilizing different mRNA formats and delivery formulations, directed at a range of biological targets in oncology and</w:t>
      </w:r>
      <w:r>
        <w:rPr>
          <w:rFonts w:ascii="Arial" w:cs="Arial" w:eastAsia="Arial" w:hAnsi="Arial"/>
          <w:sz w:val="14"/>
          <w:szCs w:val="14"/>
          <w:b w:val="1"/>
          <w:bCs w:val="1"/>
          <w:color w:val="auto"/>
        </w:rPr>
        <w:t xml:space="preserve"> </w:t>
      </w:r>
      <w:r>
        <w:rPr>
          <w:rFonts w:ascii="Arial" w:cs="Arial" w:eastAsia="Arial" w:hAnsi="Arial"/>
          <w:sz w:val="14"/>
          <w:szCs w:val="14"/>
          <w:color w:val="auto"/>
        </w:rPr>
        <w:t>infectious and rare diseases.</w:t>
      </w:r>
    </w:p>
    <w:p>
      <w:pPr>
        <w:spacing w:after="0" w:line="202" w:lineRule="exact"/>
        <w:rPr>
          <w:sz w:val="20"/>
          <w:szCs w:val="20"/>
          <w:color w:val="auto"/>
        </w:rPr>
      </w:pPr>
    </w:p>
    <w:p>
      <w:pPr>
        <w:ind w:left="1540" w:hanging="547"/>
        <w:spacing w:after="0"/>
        <w:tabs>
          <w:tab w:leader="none" w:pos="1540" w:val="left"/>
        </w:tabs>
        <w:numPr>
          <w:ilvl w:val="0"/>
          <w:numId w:val="1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Cancer Immunotherapies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goal is to develop safe, potent, efficacious and cost-effective cancer immunotherapies which stimulate and potently expand tumor cell specific CD4</w:t>
      </w:r>
      <w:r>
        <w:rPr>
          <w:rFonts w:ascii="Arial" w:cs="Arial" w:eastAsia="Arial" w:hAnsi="Arial"/>
          <w:sz w:val="15"/>
          <w:szCs w:val="15"/>
          <w:color w:val="auto"/>
        </w:rPr>
        <w:t>+</w:t>
      </w:r>
      <w:r>
        <w:rPr>
          <w:rFonts w:ascii="Arial" w:cs="Arial" w:eastAsia="Arial" w:hAnsi="Arial"/>
          <w:sz w:val="18"/>
          <w:szCs w:val="18"/>
          <w:color w:val="auto"/>
        </w:rPr>
        <w:t xml:space="preserve"> and CD8</w:t>
      </w:r>
      <w:r>
        <w:rPr>
          <w:rFonts w:ascii="Arial" w:cs="Arial" w:eastAsia="Arial" w:hAnsi="Arial"/>
          <w:sz w:val="15"/>
          <w:szCs w:val="15"/>
          <w:color w:val="auto"/>
        </w:rPr>
        <w:t>+</w:t>
      </w:r>
      <w:r>
        <w:rPr>
          <w:rFonts w:ascii="Arial" w:cs="Arial" w:eastAsia="Arial" w:hAnsi="Arial"/>
          <w:sz w:val="18"/>
          <w:szCs w:val="18"/>
          <w:color w:val="auto"/>
        </w:rPr>
        <w:t xml:space="preserve"> T cells in cancer patients. Our cancer immunotherapies development integrates our competencies in mRNA backbone optimization, formulation development and immunological research.</w:t>
      </w:r>
    </w:p>
    <w:p>
      <w:pPr>
        <w:spacing w:after="0" w:line="18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have developed novel immunotherapy approaches to replicate the highly potent and effective natural activation of the immune system in response to a viral infection. Our first generation mRNA cancer immunotherapies were delivered as naked mRNA by ultrasound guided injection into a patient’s lymph node and induced T cell responses and antitumoral activity when targeting mutant neoantigens in advanced melanoma patients. To further improve this potency and antigen specificity we have developed a nano-particulate mRNA lipoplex immunotherapy for intravenous delivery.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RNA-LPX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2048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204851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RNA-LPX Cancer Immunotherapy Technology</w:t>
      </w:r>
    </w:p>
    <w:p>
      <w:pPr>
        <w:spacing w:after="0" w:line="131"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First-in-class clinical intravenous nano-particulate mRNA immunotherapy, allowing systemic delivery.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Strong potency by systemic targeting to dendritic cells in lymphoid tissues.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Universally applicable for all cancer antigens.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Opportunity to deliver multiple antigens in parallel, enabling the induction of poly-specific T cell responses.</w:t>
      </w:r>
    </w:p>
    <w:p>
      <w:pPr>
        <w:spacing w:after="0" w:line="13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Synchronized adjuvant effect mediated by toll-like receptor 7 (TLR7)-triggering and type-I interferon-driven innate and adaptive immune stimulation.</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Preclinical anti-tumoral activity demonstrated against multiple tumors.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Unprecedented clinical immune responses against shared TAAs.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Beneficial clinical activity demonstrated in advanced melanoma patients.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To advance from local to systemic dendritic cell, or DC, targeting, we developed an innovative liposome-based RNA-lipoplex formulation, RNA-LPX, that allows for intravenous administration of our mRNA cancer immunotherapies. We have demonstrated in the clinic that systemic DC targeting by mRNA cancer immunotherapies can result in potent activity at very low doses. Consequently, less material is required for treating high patient numbers, making manufacturing more cost-effective.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144780</wp:posOffset>
            </wp:positionV>
            <wp:extent cx="3789045" cy="25292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78904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b w:val="1"/>
          <w:bCs w:val="1"/>
          <w:color w:val="auto"/>
        </w:rPr>
        <w:t xml:space="preserve">Our RNA-LPX technology. </w:t>
      </w:r>
      <w:r>
        <w:rPr>
          <w:rFonts w:ascii="Arial" w:cs="Arial" w:eastAsia="Arial" w:hAnsi="Arial"/>
          <w:sz w:val="14"/>
          <w:szCs w:val="14"/>
          <w:color w:val="auto"/>
        </w:rPr>
        <w:t>Our proprietary RNA-LPX formulation is designed to target dendritic cells in the spleen and other lymphoid compartments. Abbreviations: BM, bone marrow;</w:t>
      </w:r>
      <w:r>
        <w:rPr>
          <w:rFonts w:ascii="Arial" w:cs="Arial" w:eastAsia="Arial" w:hAnsi="Arial"/>
          <w:sz w:val="14"/>
          <w:szCs w:val="14"/>
          <w:b w:val="1"/>
          <w:bCs w:val="1"/>
          <w:color w:val="auto"/>
        </w:rPr>
        <w:t xml:space="preserve"> </w:t>
      </w:r>
      <w:r>
        <w:rPr>
          <w:rFonts w:ascii="Arial" w:cs="Arial" w:eastAsia="Arial" w:hAnsi="Arial"/>
          <w:sz w:val="14"/>
          <w:szCs w:val="14"/>
          <w:color w:val="auto"/>
        </w:rPr>
        <w:t>LN, lymph node; DC, dendritic cell; pDC, plasmacytoid dendritic cell; MF, macrophage; IFNα, interferon alpha.</w:t>
      </w:r>
    </w:p>
    <w:p>
      <w:pPr>
        <w:spacing w:after="0" w:line="17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RNA-LPX protects mRNA from degradation outside of the cell and mediates its efficient uptake and expression of encoded antigens in various dendritic cell populations.</w:t>
      </w:r>
    </w:p>
    <w:p>
      <w:pPr>
        <w:spacing w:after="0" w:line="170"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versatility of the RNA-LPX technology allows us to target a wide variety of antigens and address cancer patients with all possible HLA haplotypes. Utilizing RNA-LPX, we can target fixed groups of known shared antigens with our FixVac platform and a whole new class of patient-specific neoantigen targets with our iNeST platform.</w:t>
      </w:r>
    </w:p>
    <w:p>
      <w:pPr>
        <w:spacing w:after="0" w:line="332" w:lineRule="exact"/>
        <w:rPr>
          <w:sz w:val="20"/>
          <w:szCs w:val="20"/>
          <w:color w:val="auto"/>
        </w:rPr>
      </w:pPr>
    </w:p>
    <w:p>
      <w:pPr>
        <w:ind w:left="1980" w:hanging="433"/>
        <w:spacing w:after="0"/>
        <w:tabs>
          <w:tab w:leader="none" w:pos="1980" w:val="left"/>
        </w:tabs>
        <w:numPr>
          <w:ilvl w:val="0"/>
          <w:numId w:val="1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FixVac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576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5768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FixVac Platform</w:t>
      </w:r>
    </w:p>
    <w:p>
      <w:pPr>
        <w:spacing w:after="0" w:line="127" w:lineRule="exact"/>
        <w:rPr>
          <w:sz w:val="20"/>
          <w:szCs w:val="20"/>
          <w:color w:val="auto"/>
        </w:rPr>
      </w:pPr>
    </w:p>
    <w:p>
      <w:pPr>
        <w:ind w:left="660" w:right="100" w:hanging="328"/>
        <w:spacing w:after="0" w:line="282"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Cancer immunotherapies targeting shared antigens that we have identified to be frequently expressed across patients with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cancer type.</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Optimized mRNA providing superior immunogenicity.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Proprietary size- and charge-based RNA-LPX targeting DCs.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BNT111 for metastatic melanoma.</w:t>
      </w:r>
    </w:p>
    <w:p>
      <w:pPr>
        <w:spacing w:after="0" w:line="130" w:lineRule="exact"/>
        <w:rPr>
          <w:rFonts w:ascii="Arial" w:cs="Arial" w:eastAsia="Arial" w:hAnsi="Arial"/>
          <w:sz w:val="18"/>
          <w:szCs w:val="18"/>
          <w:color w:val="auto"/>
        </w:rPr>
      </w:pPr>
    </w:p>
    <w:p>
      <w:pPr>
        <w:ind w:left="660" w:right="440" w:hanging="328"/>
        <w:spacing w:after="0" w:line="282"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Data Highlights: </w:t>
      </w:r>
      <w:r>
        <w:rPr>
          <w:rFonts w:ascii="Arial" w:cs="Arial" w:eastAsia="Arial" w:hAnsi="Arial"/>
          <w:sz w:val="18"/>
          <w:szCs w:val="18"/>
          <w:color w:val="auto"/>
        </w:rPr>
        <w:t>Four partial responses and eight stable diseases in 22 patients with metastatic lesions at enrollment, following BNT111</w:t>
      </w:r>
      <w:r>
        <w:rPr>
          <w:rFonts w:ascii="Arial" w:cs="Arial" w:eastAsia="Arial" w:hAnsi="Arial"/>
          <w:sz w:val="18"/>
          <w:szCs w:val="18"/>
          <w:b w:val="1"/>
          <w:bCs w:val="1"/>
          <w:color w:val="auto"/>
        </w:rPr>
        <w:t xml:space="preserve"> </w:t>
      </w:r>
      <w:r>
        <w:rPr>
          <w:rFonts w:ascii="Arial" w:cs="Arial" w:eastAsia="Arial" w:hAnsi="Arial"/>
          <w:sz w:val="18"/>
          <w:szCs w:val="18"/>
          <w:color w:val="auto"/>
        </w:rPr>
        <w:t>monotherapy.</w:t>
      </w:r>
    </w:p>
    <w:p>
      <w:pPr>
        <w:spacing w:after="0" w:line="15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60"/>
          </w:cols>
          <w:pgMar w:left="320" w:top="459" w:right="6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Our FixVac approach involves off-the-shelf mRNA immunotherapies targeting cancer cell-specific shared tumor associated antigens for selected patient populations. Our FixVac product candidates target TAAs which are commonly expressed by a significant portion of patients in a given cancer type. We have developed a sophisticated target selection process which enables us to produce poly-specific FixVac immunotherapies that cover up to 95% of patients with a given cancer type. The use of off-the-shelf FixVac immunotherapies allows for large-batch manufacturing and prompt supply to patients with ready-to-use medication, ensuring a straight-forward cost- and time-efficient manufacturing process with favorable logistics.</w:t>
      </w:r>
    </w:p>
    <w:p>
      <w:pPr>
        <w:spacing w:after="0" w:line="16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Besides targeting commonly expressed TAAs, our target selection strategy facilitates the identification of suitable viral oncoproteins for the treatment of virus-induced cancers like HPV+ head and neck cancer. Patient stratification, if needed, can easily be performed at the clinical site or a central lab using standard biotechnological methods, thereby reducing treatment costs. As the viral genome is comparatively small, encoding only for a few proteins, we believe our FixVac approach is ideally suited for the treatment of virus-induced cancers.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FixVac Development Plan</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currently have seven FixVac programs in development, with three in human trials: our ongoing Phase 1 trial in advanced melanoma, a Phase 1 trial in HPV+ head and neck cancer and a Phase 1 trial in triple negative breast cancer. In the first half of 2020, we expect to progress our advanced melanoma program into Phase 2 clinical trials, and we expect to initiate a Phase 1 trial in prostate cancer in the second half of 2019. In addition, we are planning to initiate a Phase 2 study for FixVac in HPV+ cancers in the first half of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2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266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Antigens</w:t>
            </w:r>
          </w:p>
        </w:tc>
        <w:tc>
          <w:tcPr>
            <w:tcW w:w="220" w:type="dxa"/>
            <w:vAlign w:val="bottom"/>
          </w:tcPr>
          <w:p>
            <w:pPr>
              <w:spacing w:after="0"/>
              <w:rPr>
                <w:sz w:val="16"/>
                <w:szCs w:val="16"/>
                <w:color w:val="auto"/>
              </w:rPr>
            </w:pPr>
          </w:p>
        </w:tc>
        <w:tc>
          <w:tcPr>
            <w:tcW w:w="26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Development Phase</w:t>
            </w:r>
          </w:p>
        </w:tc>
        <w:tc>
          <w:tcPr>
            <w:tcW w:w="100" w:type="dxa"/>
            <w:vAlign w:val="bottom"/>
          </w:tcPr>
          <w:p>
            <w:pPr>
              <w:spacing w:after="0"/>
              <w:rPr>
                <w:sz w:val="16"/>
                <w:szCs w:val="16"/>
                <w:color w:val="auto"/>
              </w:rPr>
            </w:pPr>
          </w:p>
        </w:tc>
        <w:tc>
          <w:tcPr>
            <w:tcW w:w="2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Next Potential Milestone</w:t>
            </w:r>
          </w:p>
        </w:tc>
      </w:tr>
      <w:tr>
        <w:trPr>
          <w:trHeight w:val="195"/>
        </w:trPr>
        <w:tc>
          <w:tcPr>
            <w:tcW w:w="3120" w:type="dxa"/>
            <w:vAlign w:val="bottom"/>
          </w:tcPr>
          <w:p>
            <w:pPr>
              <w:spacing w:after="0" w:line="195" w:lineRule="exact"/>
              <w:rPr>
                <w:sz w:val="20"/>
                <w:szCs w:val="20"/>
                <w:color w:val="auto"/>
              </w:rPr>
            </w:pPr>
            <w:r>
              <w:rPr>
                <w:rFonts w:ascii="Arial" w:cs="Arial" w:eastAsia="Arial" w:hAnsi="Arial"/>
                <w:sz w:val="18"/>
                <w:szCs w:val="18"/>
                <w:color w:val="auto"/>
              </w:rPr>
              <w:t>BNT111</w:t>
            </w:r>
          </w:p>
        </w:tc>
        <w:tc>
          <w:tcPr>
            <w:tcW w:w="220" w:type="dxa"/>
            <w:vAlign w:val="bottom"/>
          </w:tcPr>
          <w:p>
            <w:pPr>
              <w:spacing w:after="0"/>
              <w:rPr>
                <w:sz w:val="16"/>
                <w:szCs w:val="16"/>
                <w:color w:val="auto"/>
              </w:rPr>
            </w:pPr>
          </w:p>
        </w:tc>
        <w:tc>
          <w:tcPr>
            <w:tcW w:w="2660" w:type="dxa"/>
            <w:vAlign w:val="bottom"/>
          </w:tcPr>
          <w:p>
            <w:pPr>
              <w:spacing w:after="0" w:line="195" w:lineRule="exact"/>
              <w:rPr>
                <w:sz w:val="20"/>
                <w:szCs w:val="20"/>
                <w:color w:val="auto"/>
              </w:rPr>
            </w:pPr>
            <w:r>
              <w:rPr>
                <w:rFonts w:ascii="Arial" w:cs="Arial" w:eastAsia="Arial" w:hAnsi="Arial"/>
                <w:sz w:val="18"/>
                <w:szCs w:val="18"/>
                <w:color w:val="auto"/>
              </w:rPr>
              <w:t>Melanoma-specific antigens:</w:t>
            </w:r>
          </w:p>
        </w:tc>
        <w:tc>
          <w:tcPr>
            <w:tcW w:w="22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Phase 1: Metastatic melanoma</w:t>
            </w:r>
          </w:p>
        </w:tc>
        <w:tc>
          <w:tcPr>
            <w:tcW w:w="100" w:type="dxa"/>
            <w:vAlign w:val="bottom"/>
          </w:tcPr>
          <w:p>
            <w:pPr>
              <w:spacing w:after="0"/>
              <w:rPr>
                <w:sz w:val="16"/>
                <w:szCs w:val="16"/>
                <w:color w:val="auto"/>
              </w:rPr>
            </w:pPr>
          </w:p>
        </w:tc>
        <w:tc>
          <w:tcPr>
            <w:tcW w:w="2020" w:type="dxa"/>
            <w:vAlign w:val="bottom"/>
          </w:tcPr>
          <w:p>
            <w:pPr>
              <w:spacing w:after="0" w:line="195" w:lineRule="exact"/>
              <w:rPr>
                <w:sz w:val="20"/>
                <w:szCs w:val="20"/>
                <w:color w:val="auto"/>
              </w:rPr>
            </w:pPr>
            <w:r>
              <w:rPr>
                <w:rFonts w:ascii="Arial" w:cs="Arial" w:eastAsia="Arial" w:hAnsi="Arial"/>
                <w:sz w:val="18"/>
                <w:szCs w:val="18"/>
                <w:color w:val="auto"/>
                <w:w w:val="98"/>
              </w:rPr>
              <w:t>Report final Phase 1 data</w:t>
            </w:r>
          </w:p>
        </w:tc>
      </w:tr>
      <w:tr>
        <w:trPr>
          <w:trHeight w:val="216"/>
        </w:trPr>
        <w:tc>
          <w:tcPr>
            <w:tcW w:w="3120" w:type="dxa"/>
            <w:vAlign w:val="bottom"/>
          </w:tcPr>
          <w:p>
            <w:pPr>
              <w:spacing w:after="0"/>
              <w:rPr>
                <w:sz w:val="18"/>
                <w:szCs w:val="18"/>
                <w:color w:val="auto"/>
              </w:rPr>
            </w:pP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w w:val="98"/>
              </w:rPr>
              <w:t>NY-ESO-1, tyrosinase, MAGE-A3</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w w:val="90"/>
              </w:rPr>
              <w:t>and initiate Phase 2 trials in</w:t>
            </w:r>
          </w:p>
        </w:tc>
      </w:tr>
      <w:tr>
        <w:trPr>
          <w:trHeight w:val="230"/>
        </w:trPr>
        <w:tc>
          <w:tcPr>
            <w:tcW w:w="3120" w:type="dxa"/>
            <w:vAlign w:val="bottom"/>
          </w:tcPr>
          <w:p>
            <w:pPr>
              <w:spacing w:after="0"/>
              <w:rPr>
                <w:sz w:val="20"/>
                <w:szCs w:val="20"/>
                <w:color w:val="auto"/>
              </w:rPr>
            </w:pP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and TPTE</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2020</w:t>
            </w:r>
          </w:p>
        </w:tc>
      </w:tr>
      <w:tr>
        <w:trPr>
          <w:trHeight w:val="310"/>
        </w:trPr>
        <w:tc>
          <w:tcPr>
            <w:tcW w:w="3120" w:type="dxa"/>
            <w:vAlign w:val="bottom"/>
          </w:tcPr>
          <w:p>
            <w:pPr>
              <w:spacing w:after="0"/>
              <w:rPr>
                <w:sz w:val="20"/>
                <w:szCs w:val="20"/>
                <w:color w:val="auto"/>
              </w:rPr>
            </w:pPr>
            <w:r>
              <w:rPr>
                <w:rFonts w:ascii="Arial" w:cs="Arial" w:eastAsia="Arial" w:hAnsi="Arial"/>
                <w:sz w:val="18"/>
                <w:szCs w:val="18"/>
                <w:color w:val="auto"/>
              </w:rPr>
              <w:t>BNT112</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Five prostate cancer-specific</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Preclinical</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Initiate Phase 1/2 trial in</w:t>
            </w:r>
          </w:p>
        </w:tc>
      </w:tr>
      <w:tr>
        <w:trPr>
          <w:trHeight w:val="216"/>
        </w:trPr>
        <w:tc>
          <w:tcPr>
            <w:tcW w:w="3120" w:type="dxa"/>
            <w:vAlign w:val="bottom"/>
          </w:tcPr>
          <w:p>
            <w:pPr>
              <w:spacing w:after="0"/>
              <w:rPr>
                <w:sz w:val="18"/>
                <w:szCs w:val="18"/>
                <w:color w:val="auto"/>
              </w:rPr>
            </w:pP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w w:val="97"/>
              </w:rPr>
              <w:t>antigens, including PAP and three</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2H 2019</w:t>
            </w:r>
          </w:p>
        </w:tc>
      </w:tr>
      <w:tr>
        <w:trPr>
          <w:trHeight w:val="230"/>
        </w:trPr>
        <w:tc>
          <w:tcPr>
            <w:tcW w:w="3120" w:type="dxa"/>
            <w:vAlign w:val="bottom"/>
          </w:tcPr>
          <w:p>
            <w:pPr>
              <w:spacing w:after="0"/>
              <w:rPr>
                <w:sz w:val="20"/>
                <w:szCs w:val="20"/>
                <w:color w:val="auto"/>
              </w:rPr>
            </w:pP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internally identified antigens</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0"/>
        </w:trPr>
        <w:tc>
          <w:tcPr>
            <w:tcW w:w="3120" w:type="dxa"/>
            <w:vAlign w:val="bottom"/>
          </w:tcPr>
          <w:p>
            <w:pPr>
              <w:spacing w:after="0"/>
              <w:rPr>
                <w:sz w:val="20"/>
                <w:szCs w:val="20"/>
                <w:color w:val="auto"/>
              </w:rPr>
            </w:pPr>
            <w:r>
              <w:rPr>
                <w:rFonts w:ascii="Arial" w:cs="Arial" w:eastAsia="Arial" w:hAnsi="Arial"/>
                <w:sz w:val="18"/>
                <w:szCs w:val="18"/>
                <w:color w:val="auto"/>
              </w:rPr>
              <w:t>BNT113</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HPV E6 and E7 oncoproteins</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Phase 1: HPV+ head and neck</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w w:val="97"/>
              </w:rPr>
              <w:t>Initiate Phase 2 trial in 1H</w:t>
            </w:r>
          </w:p>
        </w:tc>
      </w:tr>
      <w:tr>
        <w:trPr>
          <w:trHeight w:val="230"/>
        </w:trPr>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cancer (IST)</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2020</w:t>
            </w:r>
          </w:p>
        </w:tc>
      </w:tr>
      <w:tr>
        <w:trPr>
          <w:trHeight w:val="310"/>
        </w:trPr>
        <w:tc>
          <w:tcPr>
            <w:tcW w:w="3120" w:type="dxa"/>
            <w:vAlign w:val="bottom"/>
          </w:tcPr>
          <w:p>
            <w:pPr>
              <w:spacing w:after="0"/>
              <w:rPr>
                <w:sz w:val="20"/>
                <w:szCs w:val="20"/>
                <w:color w:val="auto"/>
              </w:rPr>
            </w:pPr>
            <w:r>
              <w:rPr>
                <w:rFonts w:ascii="Arial" w:cs="Arial" w:eastAsia="Arial" w:hAnsi="Arial"/>
                <w:sz w:val="18"/>
                <w:szCs w:val="18"/>
                <w:color w:val="auto"/>
              </w:rPr>
              <w:t>BNT114</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Selected breast cancer-specific</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Phase 1: TNBC</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w w:val="99"/>
              </w:rPr>
              <w:t>Report data update in 1H</w:t>
            </w:r>
          </w:p>
        </w:tc>
      </w:tr>
      <w:tr>
        <w:trPr>
          <w:trHeight w:val="216"/>
        </w:trPr>
        <w:tc>
          <w:tcPr>
            <w:tcW w:w="3120" w:type="dxa"/>
            <w:vAlign w:val="bottom"/>
          </w:tcPr>
          <w:p>
            <w:pPr>
              <w:spacing w:after="0"/>
              <w:rPr>
                <w:sz w:val="18"/>
                <w:szCs w:val="18"/>
                <w:color w:val="auto"/>
              </w:rPr>
            </w:pP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antigens</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w w:val="99"/>
              </w:rPr>
              <w:t>2020 and assess antigen</w:t>
            </w:r>
          </w:p>
        </w:tc>
      </w:tr>
      <w:tr>
        <w:trPr>
          <w:trHeight w:val="230"/>
        </w:trPr>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immunogenicity</w:t>
            </w:r>
          </w:p>
        </w:tc>
      </w:tr>
      <w:tr>
        <w:trPr>
          <w:trHeight w:val="323"/>
        </w:trPr>
        <w:tc>
          <w:tcPr>
            <w:tcW w:w="3120" w:type="dxa"/>
            <w:vAlign w:val="bottom"/>
          </w:tcPr>
          <w:p>
            <w:pPr>
              <w:spacing w:after="0"/>
              <w:rPr>
                <w:sz w:val="20"/>
                <w:szCs w:val="20"/>
                <w:color w:val="auto"/>
              </w:rPr>
            </w:pPr>
            <w:r>
              <w:rPr>
                <w:rFonts w:ascii="Arial" w:cs="Arial" w:eastAsia="Arial" w:hAnsi="Arial"/>
                <w:sz w:val="18"/>
                <w:szCs w:val="18"/>
                <w:color w:val="auto"/>
              </w:rPr>
              <w:t>Multiple trials or ISTs; ovarian cancer,</w:t>
            </w: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Multiple</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Preclinical</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small cell lung cancer</w:t>
            </w: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65"/>
        </w:trPr>
        <w:tc>
          <w:tcPr>
            <w:tcW w:w="3120" w:type="dxa"/>
            <w:vAlign w:val="bottom"/>
          </w:tcPr>
          <w:p>
            <w:pPr>
              <w:spacing w:after="0"/>
              <w:rPr>
                <w:sz w:val="24"/>
                <w:szCs w:val="24"/>
                <w:color w:val="auto"/>
              </w:rPr>
            </w:pPr>
          </w:p>
        </w:tc>
        <w:tc>
          <w:tcPr>
            <w:tcW w:w="2880" w:type="dxa"/>
            <w:vAlign w:val="bottom"/>
            <w:gridSpan w:val="2"/>
          </w:tcPr>
          <w:p>
            <w:pPr>
              <w:ind w:left="224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80" w:hanging="433"/>
        <w:spacing w:after="0"/>
        <w:tabs>
          <w:tab w:leader="none" w:pos="1980" w:val="left"/>
        </w:tabs>
        <w:numPr>
          <w:ilvl w:val="0"/>
          <w:numId w:val="1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Individualized Neoantigen Specific Immunotherapy (iNeST)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8942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8942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40" w:hanging="316"/>
        <w:spacing w:after="0"/>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b w:val="1"/>
          <w:bCs w:val="1"/>
          <w:color w:val="auto"/>
        </w:rPr>
        <w:t xml:space="preserve">Concept: </w:t>
      </w:r>
      <w:r>
        <w:rPr>
          <w:rFonts w:ascii="Arial" w:cs="Arial" w:eastAsia="Arial" w:hAnsi="Arial"/>
          <w:sz w:val="16"/>
          <w:szCs w:val="16"/>
          <w:color w:val="auto"/>
        </w:rPr>
        <w:t>Individualized cancer immunotherapy targeting neoantigens identified on a patient by patient basis and selected for immunogenicity.</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Optimized mRNA providing superior immunogenicity.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Proprietary size- and charge-based RNA-LPX targeting DCs.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share with Genentech.</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Lead Indication: </w:t>
      </w:r>
      <w:r>
        <w:rPr>
          <w:rFonts w:ascii="Arial" w:cs="Arial" w:eastAsia="Arial" w:hAnsi="Arial"/>
          <w:sz w:val="18"/>
          <w:szCs w:val="18"/>
          <w:color w:val="auto"/>
        </w:rPr>
        <w:t>RO7198457 (BNT122) as a first-line melanoma therapy in combination with pembrolizumab.</w:t>
      </w:r>
    </w:p>
    <w:p>
      <w:pPr>
        <w:spacing w:after="0" w:line="130"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Data Highlights: </w:t>
      </w:r>
      <w:r>
        <w:rPr>
          <w:rFonts w:ascii="Arial" w:cs="Arial" w:eastAsia="Arial" w:hAnsi="Arial"/>
          <w:sz w:val="18"/>
          <w:szCs w:val="18"/>
          <w:color w:val="auto"/>
        </w:rPr>
        <w:t>In a previous Phase 1 trial of BNT121, we observed first-in-human data in 13 patients with metastatic melanoma demonstrating</w:t>
      </w:r>
      <w:r>
        <w:rPr>
          <w:rFonts w:ascii="Arial" w:cs="Arial" w:eastAsia="Arial" w:hAnsi="Arial"/>
          <w:sz w:val="18"/>
          <w:szCs w:val="18"/>
          <w:b w:val="1"/>
          <w:bCs w:val="1"/>
          <w:color w:val="auto"/>
        </w:rPr>
        <w:t xml:space="preserve"> </w:t>
      </w:r>
      <w:r>
        <w:rPr>
          <w:rFonts w:ascii="Arial" w:cs="Arial" w:eastAsia="Arial" w:hAnsi="Arial"/>
          <w:sz w:val="18"/>
          <w:szCs w:val="18"/>
          <w:color w:val="auto"/>
        </w:rPr>
        <w:t>stable progression-free survival in nine patients for up to 41 months, and additional objective responses in three of five patients with metastatic disease at time of treatment with iNeST, including one patient receiving combination therapy. We also observed a significant decrease in the cumulative recurrence rate post-treatment as compared to pre-treatment.</w:t>
      </w:r>
    </w:p>
    <w:p>
      <w:pPr>
        <w:spacing w:after="0" w:line="23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are a pioneer and global leader in developing fully individualized cancer immunotherapies. We have developed a first of its kind, on-demand manufacturing process to treat each individual patient based on the mutation profile of the patient’s tumor. We have validated this treatment approach in the clinic in collaboration with Genentech.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-10795</wp:posOffset>
            </wp:positionV>
            <wp:extent cx="4766310" cy="127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66310"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iNeST process. </w:t>
      </w:r>
      <w:r>
        <w:rPr>
          <w:rFonts w:ascii="Arial" w:cs="Arial" w:eastAsia="Arial" w:hAnsi="Arial"/>
          <w:sz w:val="14"/>
          <w:szCs w:val="14"/>
          <w:color w:val="auto"/>
        </w:rPr>
        <w:t>The figure above depicts our iNeST process for the on-demand production of individualized mRNA cancer immunotherapies.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iNeST process is summarized below:</w:t>
      </w:r>
    </w:p>
    <w:p>
      <w:pPr>
        <w:spacing w:after="0" w:line="131" w:lineRule="exact"/>
        <w:rPr>
          <w:sz w:val="20"/>
          <w:szCs w:val="20"/>
          <w:color w:val="auto"/>
        </w:rPr>
      </w:pPr>
    </w:p>
    <w:p>
      <w:pPr>
        <w:ind w:left="980" w:right="200" w:hanging="324"/>
        <w:spacing w:after="0" w:line="263"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blood sample and tumor biopsy is taken from the patient to obtain healthy cells and tumor tissue. We extract healthy cells from the patient’s blood sample and tumor cells from the tumor sample. We use NGS to analyze genetic material (DNA and RNA) of these cells to identify which mutations are present in the cancer cells compared to healthy cells.</w:t>
      </w:r>
    </w:p>
    <w:p>
      <w:pPr>
        <w:spacing w:after="0" w:line="89" w:lineRule="exact"/>
        <w:rPr>
          <w:rFonts w:ascii="Arial" w:cs="Arial" w:eastAsia="Arial" w:hAnsi="Arial"/>
          <w:sz w:val="18"/>
          <w:szCs w:val="18"/>
          <w:color w:val="auto"/>
        </w:rPr>
      </w:pPr>
    </w:p>
    <w:p>
      <w:pPr>
        <w:ind w:left="980" w:right="160" w:hanging="324"/>
        <w:spacing w:after="0" w:line="263"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We apply proprietary bioinformatic algorithms to identify tumor specific mutations. The mutations within a cancer cell differ widely from patient to patient and form a unique signature for each tumor. This genomic information can be further utilized to analyze tumor heterogeneity and microenvironment as well as individual aspects of the immune system like the HLA type.</w:t>
      </w:r>
    </w:p>
    <w:p>
      <w:pPr>
        <w:spacing w:after="0" w:line="89"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these bioinformatic algorithms, we then select mutations that are the most promising therapeutic targets. The specific traits of the patient’s immune system, including HLA type, are key to the selection of the most appropriate targets. Picking multiple mutations increases the chance to induce potent T cell responses and reduces the risk that the tumor evades T cell attack over time. We account for heterogeneity of each tumor by preferentially selecting mutations that are expressed on all tumor cells. Importantly, the selected mutations are intended to ensure both CD4</w:t>
      </w:r>
      <w:r>
        <w:rPr>
          <w:rFonts w:ascii="Arial" w:cs="Arial" w:eastAsia="Arial" w:hAnsi="Arial"/>
          <w:sz w:val="15"/>
          <w:szCs w:val="15"/>
          <w:color w:val="auto"/>
        </w:rPr>
        <w:t>+</w:t>
      </w:r>
      <w:r>
        <w:rPr>
          <w:rFonts w:ascii="Arial" w:cs="Arial" w:eastAsia="Arial" w:hAnsi="Arial"/>
          <w:sz w:val="18"/>
          <w:szCs w:val="18"/>
          <w:color w:val="auto"/>
        </w:rPr>
        <w:t xml:space="preserve"> and CD8</w:t>
      </w:r>
      <w:r>
        <w:rPr>
          <w:rFonts w:ascii="Arial" w:cs="Arial" w:eastAsia="Arial" w:hAnsi="Arial"/>
          <w:sz w:val="15"/>
          <w:szCs w:val="15"/>
          <w:color w:val="auto"/>
        </w:rPr>
        <w:t>+</w:t>
      </w:r>
      <w:r>
        <w:rPr>
          <w:rFonts w:ascii="Arial" w:cs="Arial" w:eastAsia="Arial" w:hAnsi="Arial"/>
          <w:sz w:val="18"/>
          <w:szCs w:val="18"/>
          <w:color w:val="auto"/>
        </w:rPr>
        <w:t xml:space="preserve"> T cell induction.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line="263"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Following mutation selection, we design the structure for the iNeST product. The chosen mutations have to be arranged in a certain order and the DNA sequence of the mutations has to be optimized. This is important to ensure a robust production of the starting material, or DNA matrix, for the GMP manufacturing of the iNeST product.</w:t>
      </w:r>
    </w:p>
    <w:p>
      <w:pPr>
        <w:spacing w:after="0" w:line="89"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Next we produce the patient specific iNeST product under GMP conditions and the iNeST product undergoes numerous different quality control tests.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iNeST product is transferred to the hospital and injected into the same patient by the physician.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This process has been designed for the on-demand delivery of our iNeST products, and currently takes approximately six weeks.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iNeST Development Plan</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currently developing iNeST therapeutics for the treatment of metastatic melanoma and multiple solid tumors. We are conducting two clinical trials of iNeST in collaboration with Genentech, including one randomized Phase 2 trial in first-line melanoma in combination with pembrolizumab and a Phase 1a/1b trial monotherapy in patients with locally advanced or metastatic tumors (including in melanoma, non-small cell lung cancer, bladder cancer and other solid tumors) as a monotherapy and in combination with atezolizumab. We expect to announce a data update from the Phase 1a/1b trial in solid tumors in the second half of 2020.</w:t>
      </w:r>
    </w:p>
    <w:p>
      <w:pPr>
        <w:sectPr>
          <w:pgSz w:w="11900" w:h="16838" w:orient="portrait"/>
          <w:cols w:equalWidth="0" w:num="1">
            <w:col w:w="11120"/>
          </w:cols>
          <w:pgMar w:left="320" w:top="459" w:right="459" w:bottom="1440" w:gutter="0" w:footer="0" w:header="0"/>
        </w:sect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2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266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Antigens</w:t>
            </w:r>
          </w:p>
        </w:tc>
      </w:tr>
      <w:tr>
        <w:trPr>
          <w:trHeight w:val="195"/>
        </w:trPr>
        <w:tc>
          <w:tcPr>
            <w:tcW w:w="3120" w:type="dxa"/>
            <w:vAlign w:val="bottom"/>
          </w:tcPr>
          <w:p>
            <w:pPr>
              <w:spacing w:after="0" w:line="195" w:lineRule="exact"/>
              <w:rPr>
                <w:sz w:val="20"/>
                <w:szCs w:val="20"/>
                <w:color w:val="auto"/>
              </w:rPr>
            </w:pPr>
            <w:r>
              <w:rPr>
                <w:rFonts w:ascii="Arial" w:cs="Arial" w:eastAsia="Arial" w:hAnsi="Arial"/>
                <w:sz w:val="18"/>
                <w:szCs w:val="18"/>
                <w:color w:val="auto"/>
              </w:rPr>
              <w:t>RO7198457 (BNT122)</w:t>
            </w:r>
          </w:p>
        </w:tc>
        <w:tc>
          <w:tcPr>
            <w:tcW w:w="220" w:type="dxa"/>
            <w:vAlign w:val="bottom"/>
          </w:tcPr>
          <w:p>
            <w:pPr>
              <w:spacing w:after="0"/>
              <w:rPr>
                <w:sz w:val="16"/>
                <w:szCs w:val="16"/>
                <w:color w:val="auto"/>
              </w:rPr>
            </w:pPr>
          </w:p>
        </w:tc>
        <w:tc>
          <w:tcPr>
            <w:tcW w:w="2660" w:type="dxa"/>
            <w:vAlign w:val="bottom"/>
          </w:tcPr>
          <w:p>
            <w:pPr>
              <w:spacing w:after="0" w:line="195" w:lineRule="exact"/>
              <w:rPr>
                <w:sz w:val="20"/>
                <w:szCs w:val="20"/>
                <w:color w:val="auto"/>
              </w:rPr>
            </w:pPr>
            <w:r>
              <w:rPr>
                <w:rFonts w:ascii="Arial" w:cs="Arial" w:eastAsia="Arial" w:hAnsi="Arial"/>
                <w:sz w:val="18"/>
                <w:szCs w:val="18"/>
                <w:color w:val="auto"/>
                <w:w w:val="93"/>
              </w:rPr>
              <w:t>Up to 20 neoantigens selected on a</w:t>
            </w:r>
          </w:p>
        </w:tc>
      </w:tr>
      <w:tr>
        <w:trPr>
          <w:trHeight w:val="230"/>
        </w:trPr>
        <w:tc>
          <w:tcPr>
            <w:tcW w:w="3120" w:type="dxa"/>
            <w:vAlign w:val="bottom"/>
          </w:tcPr>
          <w:p>
            <w:pPr>
              <w:spacing w:after="0"/>
              <w:rPr>
                <w:sz w:val="20"/>
                <w:szCs w:val="20"/>
                <w:color w:val="auto"/>
              </w:rPr>
            </w:pP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patient by patient basis</w:t>
            </w: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Development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16973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5"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Phase 2: first-line melanoma in combination with pembrolizumab Phase 1a/1b: multiple solid tumors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Next Potential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2769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Report interim data in 2H 2020</w:t>
      </w:r>
    </w:p>
    <w:p>
      <w:pPr>
        <w:spacing w:after="0" w:line="1"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Report data update in 2H 2020</w:t>
      </w:r>
    </w:p>
    <w:p>
      <w:pPr>
        <w:spacing w:after="0" w:line="200" w:lineRule="exact"/>
        <w:rPr>
          <w:sz w:val="20"/>
          <w:szCs w:val="20"/>
          <w:color w:val="auto"/>
        </w:rPr>
      </w:pPr>
    </w:p>
    <w:p>
      <w:pPr>
        <w:sectPr>
          <w:pgSz w:w="11900" w:h="16838" w:orient="portrait"/>
          <w:cols w:equalWidth="0" w:num="3">
            <w:col w:w="6120" w:space="220"/>
            <w:col w:w="2500" w:space="280"/>
            <w:col w:w="2000"/>
          </w:cols>
          <w:pgMar w:left="320" w:top="459" w:right="459" w:bottom="1440" w:gutter="0" w:footer="0" w:header="0"/>
          <w:type w:val="continuous"/>
        </w:sectPr>
      </w:pPr>
    </w:p>
    <w:p>
      <w:pPr>
        <w:spacing w:after="0" w:line="116" w:lineRule="exact"/>
        <w:rPr>
          <w:sz w:val="20"/>
          <w:szCs w:val="20"/>
          <w:color w:val="auto"/>
        </w:rPr>
      </w:pPr>
    </w:p>
    <w:p>
      <w:pPr>
        <w:ind w:left="1980" w:hanging="433"/>
        <w:spacing w:after="0"/>
        <w:tabs>
          <w:tab w:leader="none" w:pos="19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Intratumoral mRNA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405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405890"/>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Intratumoral mRNA Platform</w:t>
      </w:r>
    </w:p>
    <w:p>
      <w:pPr>
        <w:spacing w:after="0" w:line="127"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Immunomodulator-encoding mRNA injected directly into the tumor in order to avoid off-target toxicities.</w:t>
      </w:r>
    </w:p>
    <w:p>
      <w:pPr>
        <w:spacing w:after="0" w:line="130"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cytokines to occur within the cells.</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formulations, delivered by intratumoral injection.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Co-development and co-commercialization, at our option, in collaboration with Sanofi.</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SAR441000 (BNT131) for advanced solid tumors as a monotherapy and in combination with cemiplimab.</w:t>
      </w:r>
    </w:p>
    <w:p>
      <w:pPr>
        <w:spacing w:after="0" w:line="283"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leveraging our mRNA technology to develop intratumoral immunotherapies for the treatment of solid tumors. Intratumoral immunotherapy is designed to promote innate and adaptive immune responses against tumors, without toxicities related to systemic administration. Our intratumoral immunotherapy involves injection of cytokine-encoding mRNA directly into a tumor in order to alter the tumor microenvironment and promote greater T cell activity. This approach has been found in preclinical studies to boost cancer-specific immune responses locally, while also producing tumor responses in remote parts of the body due to the circulation of properly activated antitumor immune cells, known as an abscopal effect. We believe intratumoral immunotherapy may provide an alternative to surgical cancer treatments. We are developing our mRNA-based intratumoral platform in collaboration with Sanofi.</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Our lead intratumoral immunotherapy product candidate, SAR441000 (BNT131), consists of a modified mRNA that encodes for the IL-15sushi, IL-12sc, GM-CSF and IFN-α cytokines. Our intratumoral immunotherapy product candidate is injected directly into the tumor, where it promotes high levels of local cytokine expression within the tumor microenvironment in order activate innate and adaptive immune responses against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120650</wp:posOffset>
            </wp:positionV>
            <wp:extent cx="4269105" cy="19888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691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Therapeutic mode of action of intratumoral mRNA immunotherapy</w:t>
      </w:r>
      <w:r>
        <w:rPr>
          <w:rFonts w:ascii="Arial" w:cs="Arial" w:eastAsia="Arial" w:hAnsi="Arial"/>
          <w:sz w:val="13"/>
          <w:szCs w:val="13"/>
          <w:color w:val="auto"/>
        </w:rPr>
        <w:t>. The figure above demonstrates how SAR441000 (BNT131) promotes cytokine expression within the tumor itself.</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Intratumoral Development Plan</w:t>
      </w:r>
    </w:p>
    <w:p>
      <w:pPr>
        <w:spacing w:after="0" w:line="117" w:lineRule="exact"/>
        <w:rPr>
          <w:sz w:val="20"/>
          <w:szCs w:val="20"/>
          <w:color w:val="auto"/>
        </w:rPr>
      </w:pPr>
    </w:p>
    <w:p>
      <w:pPr>
        <w:jc w:val="both"/>
        <w:ind w:left="120" w:right="100" w:firstLine="440"/>
        <w:spacing w:after="0" w:line="342" w:lineRule="auto"/>
        <w:rPr>
          <w:sz w:val="20"/>
          <w:szCs w:val="20"/>
          <w:color w:val="auto"/>
        </w:rPr>
      </w:pPr>
      <w:r>
        <w:rPr>
          <w:rFonts w:ascii="Arial" w:cs="Arial" w:eastAsia="Arial" w:hAnsi="Arial"/>
          <w:sz w:val="16"/>
          <w:szCs w:val="16"/>
          <w:color w:val="auto"/>
        </w:rPr>
        <w:t>Our first intratumoral mRNA product candidate is being investigated in a Phase 1 clinical trial with 264 patients with advanced solid tumors, as a monotherapy and in combination with cemiplimab, in four sites in Europe. We expect to report a data update from this study in the second half of 2020.</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Pr>
          <w:p>
            <w:pPr>
              <w:ind w:left="160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3640" w:type="dxa"/>
            <w:vAlign w:val="bottom"/>
            <w:gridSpan w:val="2"/>
          </w:tcPr>
          <w:p>
            <w:pPr>
              <w:ind w:left="1120"/>
              <w:spacing w:after="0"/>
              <w:rPr>
                <w:sz w:val="20"/>
                <w:szCs w:val="20"/>
                <w:color w:val="auto"/>
              </w:rPr>
            </w:pPr>
            <w:r>
              <w:rPr>
                <w:rFonts w:ascii="Arial" w:cs="Arial" w:eastAsia="Arial" w:hAnsi="Arial"/>
                <w:sz w:val="14"/>
                <w:szCs w:val="14"/>
                <w:b w:val="1"/>
                <w:bCs w:val="1"/>
                <w:color w:val="auto"/>
              </w:rPr>
              <w:t>Encoded Cytokines</w:t>
            </w:r>
          </w:p>
        </w:tc>
        <w:tc>
          <w:tcPr>
            <w:tcW w:w="3300" w:type="dxa"/>
            <w:vAlign w:val="bottom"/>
          </w:tcPr>
          <w:p>
            <w:pPr>
              <w:ind w:left="1040"/>
              <w:spacing w:after="0"/>
              <w:rPr>
                <w:sz w:val="20"/>
                <w:szCs w:val="20"/>
                <w:color w:val="auto"/>
              </w:rPr>
            </w:pPr>
            <w:r>
              <w:rPr>
                <w:rFonts w:ascii="Arial" w:cs="Arial" w:eastAsia="Arial" w:hAnsi="Arial"/>
                <w:sz w:val="14"/>
                <w:szCs w:val="14"/>
                <w:b w:val="1"/>
                <w:bCs w:val="1"/>
                <w:color w:val="auto"/>
              </w:rPr>
              <w:t>Development Phase</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SAR441000 (BNT131)</w:t>
            </w:r>
          </w:p>
        </w:tc>
        <w:tc>
          <w:tcPr>
            <w:tcW w:w="22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IL-15sushi, IL-12sc, GM-CSF and IFN-α</w:t>
            </w:r>
          </w:p>
        </w:tc>
        <w:tc>
          <w:tcPr>
            <w:tcW w:w="220" w:type="dxa"/>
            <w:vAlign w:val="bottom"/>
          </w:tcPr>
          <w:p>
            <w:pPr>
              <w:spacing w:after="0"/>
              <w:rPr>
                <w:sz w:val="16"/>
                <w:szCs w:val="16"/>
                <w:color w:val="auto"/>
              </w:rPr>
            </w:pPr>
          </w:p>
        </w:tc>
        <w:tc>
          <w:tcPr>
            <w:tcW w:w="3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Phase 1: Advanced solid tumors as a</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monotherapy and in combination with</w:t>
            </w:r>
          </w:p>
        </w:tc>
      </w:tr>
      <w:tr>
        <w:trPr>
          <w:trHeight w:val="230"/>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cemiplimab</w:t>
            </w:r>
          </w:p>
        </w:tc>
      </w:tr>
    </w:tbl>
    <w:p>
      <w:pPr>
        <w:spacing w:after="0" w:line="350" w:lineRule="exact"/>
        <w:rPr>
          <w:sz w:val="20"/>
          <w:szCs w:val="20"/>
          <w:color w:val="auto"/>
        </w:rPr>
      </w:pPr>
    </w:p>
    <w:p>
      <w:pPr>
        <w:ind w:left="1540" w:hanging="547"/>
        <w:spacing w:after="0"/>
        <w:tabs>
          <w:tab w:leader="none" w:pos="1540" w:val="left"/>
        </w:tabs>
        <w:numPr>
          <w:ilvl w:val="0"/>
          <w:numId w:val="1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Infectious Disease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2687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268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mRNA-based vaccines targeting infectious disease pathogens.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Self-amplifying mRNA providing high immunogenicity with smaller amounts of mRNA.</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LNPs.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Collaboration with Pfizer and exclusive option arrangement with Penn.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Influenza vaccine.</w:t>
      </w:r>
    </w:p>
    <w:p>
      <w:pPr>
        <w:spacing w:after="0" w:line="283"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Expanding beyond our research in oncology, we are leveraging our mRNA technologies to direct the immune system more effectively against infectious diseases. Our infectious disease vaccine candidates contain self-replicating or transreplicating, modified mRNA-encoding antigens specific to a target pathogen, delivered in various LNP formulations in order to activate and direct T cells and B cells to fight the pathogen.</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Influenza Vaccine</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collaborating with Pfizer to develop an influenza vaccine using our mRNA-based immunotherapy technology. Current influenza vaccines consist of antigens from inactivated influenza viruses, recombinant influenza haemagglutinin, or HA, proteins or live attenuated influenza viruses and are available as trivalent (containing two influenza A strains and one influenza B strain) or quadrivalent (containing two influenza A strains and two influenza B strains) vaccines. Currently available influenza vaccines are produced in chicken eggs or cell culture and take about five to six months to produce. This requires the composition of the coming season’s vaccine to be selected by the World Health Organization, or WHO, far in advance for the vaccine to be available on time, which reduces the reliability of that prediction.</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mRNA based vaccine can be manufactured within three months from the time the recommendation is published, including cloning and production and therefore the WHO’s review of the vaccine components can occur closer to the influenza season to obtain a more reliable prediction. The flexibility of the mRNA vaccine platform allows for rapid generation of vaccines against genetically drifted seasonal viruses or pandemic strains. We expect to initiate a Phase 1 clinical trial for our influenza vaccine product candidate, BNT161, in the second half of 2020.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Infectious Diseases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October 2018, we entered into a research collaboration with Penn, under which we have the exclusive option to develop and commercialize prophylactic mRNA immunotherapies for the treatment of up to 10 infectious disease indications. We expect to report our first product candidates under this collaboration, and advance our first product candidate into the clinic, in the first half of 2021.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3. mRNA-based protein replacement platform for rare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1912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19126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Protein Replacement Platform for Rare Diseases</w:t>
      </w:r>
    </w:p>
    <w:p>
      <w:pPr>
        <w:spacing w:after="0" w:line="127"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b w:val="1"/>
          <w:bCs w:val="1"/>
          <w:color w:val="auto"/>
        </w:rPr>
        <w:t xml:space="preserve">Concept: </w:t>
      </w:r>
      <w:r>
        <w:rPr>
          <w:rFonts w:ascii="Arial" w:cs="Arial" w:eastAsia="Arial" w:hAnsi="Arial"/>
          <w:sz w:val="17"/>
          <w:szCs w:val="17"/>
          <w:color w:val="auto"/>
        </w:rPr>
        <w:t>Therapeutic proteins encoded by mRNA and produced in the patient as an alternative to recombinant protein replacement.</w:t>
      </w:r>
    </w:p>
    <w:p>
      <w:pPr>
        <w:spacing w:after="0" w:line="142" w:lineRule="exact"/>
        <w:rPr>
          <w:rFonts w:ascii="Arial" w:cs="Arial" w:eastAsia="Arial" w:hAnsi="Arial"/>
          <w:sz w:val="17"/>
          <w:szCs w:val="17"/>
          <w:color w:val="auto"/>
        </w:rPr>
      </w:pPr>
    </w:p>
    <w:p>
      <w:pPr>
        <w:ind w:left="660" w:right="400" w:hanging="328"/>
        <w:spacing w:after="0" w:line="282"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deimmunized to avoid immune activation in order to allow for translation of the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protein in the cells.</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Liver-targeting LNPs.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and profit share with Genevant.</w:t>
      </w:r>
    </w:p>
    <w:p>
      <w:pPr>
        <w:spacing w:after="0" w:line="283"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 xml:space="preserve">By incorporating modified nucleosides into our mRNA, we are able to reduce the immunogenicity of our product candidates, thereby allowing their use for therapeutic protein production. In addition, we utilize advanced mRNA delivery methods to protect the mRNA cargo </w:t>
      </w:r>
      <w:r>
        <w:rPr>
          <w:rFonts w:ascii="Arial" w:cs="Arial" w:eastAsia="Arial" w:hAnsi="Arial"/>
          <w:sz w:val="16"/>
          <w:szCs w:val="16"/>
          <w:i w:val="1"/>
          <w:iCs w:val="1"/>
          <w:color w:val="auto"/>
        </w:rPr>
        <w:t>en route</w:t>
      </w:r>
      <w:r>
        <w:rPr>
          <w:rFonts w:ascii="Arial" w:cs="Arial" w:eastAsia="Arial" w:hAnsi="Arial"/>
          <w:sz w:val="16"/>
          <w:szCs w:val="16"/>
          <w:color w:val="auto"/>
        </w:rPr>
        <w:t xml:space="preserve"> to its target and promote its uptake into liver cells. Current protein-based replacement therapies were developed to treat rare diseases by administering recombinant proteins. Such therapies are limited to diseases where the missing protein function is extracellular. However, mRNA-based protein replacement therapy also has the potential to treat illnesses with intracellular protein defects, as long as the mRNA can be delivered into the affected cells.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mRNA-based protein replacement therapy features:</w:t>
      </w:r>
    </w:p>
    <w:p>
      <w:pPr>
        <w:spacing w:after="0" w:line="127" w:lineRule="exact"/>
        <w:rPr>
          <w:sz w:val="20"/>
          <w:szCs w:val="20"/>
          <w:color w:val="auto"/>
        </w:rPr>
      </w:pPr>
    </w:p>
    <w:p>
      <w:pPr>
        <w:ind w:left="540" w:right="200" w:hanging="316"/>
        <w:spacing w:after="0" w:line="282"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 xml:space="preserve">Nucleoside-modified mRNA. </w:t>
      </w:r>
      <w:r>
        <w:rPr>
          <w:rFonts w:ascii="Arial" w:cs="Arial" w:eastAsia="Arial" w:hAnsi="Arial"/>
          <w:sz w:val="18"/>
          <w:szCs w:val="18"/>
          <w:color w:val="auto"/>
        </w:rPr>
        <w:t>Replacing uridines in mRNA with modified analogues is important to avoid immune activation that can provoke</w:t>
      </w:r>
      <w:r>
        <w:rPr>
          <w:rFonts w:ascii="Arial" w:cs="Arial" w:eastAsia="Arial" w:hAnsi="Arial"/>
          <w:sz w:val="18"/>
          <w:szCs w:val="18"/>
          <w:b w:val="1"/>
          <w:bCs w:val="1"/>
          <w:color w:val="auto"/>
        </w:rPr>
        <w:t xml:space="preserve"> </w:t>
      </w:r>
      <w:r>
        <w:rPr>
          <w:rFonts w:ascii="Arial" w:cs="Arial" w:eastAsia="Arial" w:hAnsi="Arial"/>
          <w:sz w:val="18"/>
          <w:szCs w:val="18"/>
          <w:color w:val="auto"/>
        </w:rPr>
        <w:t>anti-drug antibody production and would limit efficacy of the treatment.</w:t>
      </w:r>
    </w:p>
    <w:p>
      <w:pPr>
        <w:spacing w:after="0" w:line="67" w:lineRule="exact"/>
        <w:rPr>
          <w:rFonts w:ascii="Arial" w:cs="Arial" w:eastAsia="Arial" w:hAnsi="Arial"/>
          <w:sz w:val="18"/>
          <w:szCs w:val="18"/>
          <w:color w:val="auto"/>
        </w:rPr>
      </w:pPr>
    </w:p>
    <w:p>
      <w:pPr>
        <w:ind w:left="540" w:right="220" w:hanging="316"/>
        <w:spacing w:after="0" w:line="282"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 xml:space="preserve">Liver targeted expression. </w:t>
      </w:r>
      <w:r>
        <w:rPr>
          <w:rFonts w:ascii="Arial" w:cs="Arial" w:eastAsia="Arial" w:hAnsi="Arial"/>
          <w:sz w:val="18"/>
          <w:szCs w:val="18"/>
          <w:color w:val="auto"/>
        </w:rPr>
        <w:t>mRNA encoding therapeutic proteins are formulated into LNPs using in-licensed clinically-validated LNP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owned by Genevant. The mRNA-loaded LNPs are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0"/>
        <w:spacing w:after="0" w:line="277" w:lineRule="auto"/>
        <w:rPr>
          <w:sz w:val="20"/>
          <w:szCs w:val="20"/>
          <w:color w:val="auto"/>
        </w:rPr>
      </w:pPr>
      <w:r>
        <w:rPr>
          <w:rFonts w:ascii="Arial" w:cs="Arial" w:eastAsia="Arial" w:hAnsi="Arial"/>
          <w:sz w:val="18"/>
          <w:szCs w:val="18"/>
          <w:color w:val="auto"/>
        </w:rPr>
        <w:t>less than 100nm in size. When injected intravenously, these particles are selectively taken up by hepatocytes, the major cell component of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133985</wp:posOffset>
            </wp:positionV>
            <wp:extent cx="5083175" cy="23660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08317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mRNA-based protein replacement technology. </w:t>
      </w:r>
      <w:r>
        <w:rPr>
          <w:rFonts w:ascii="Arial" w:cs="Arial" w:eastAsia="Arial" w:hAnsi="Arial"/>
          <w:sz w:val="14"/>
          <w:szCs w:val="14"/>
          <w:color w:val="auto"/>
        </w:rPr>
        <w:t>The illustration above depicts our mRNA-based protein replacement process for the treatment of rare diseases.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protein replacement technology is designed for the treatment of:</w:t>
      </w:r>
    </w:p>
    <w:p>
      <w:pPr>
        <w:spacing w:after="0" w:line="131" w:lineRule="exact"/>
        <w:rPr>
          <w:sz w:val="20"/>
          <w:szCs w:val="20"/>
          <w:color w:val="auto"/>
        </w:rPr>
      </w:pPr>
    </w:p>
    <w:p>
      <w:pPr>
        <w:ind w:left="540" w:hanging="316"/>
        <w:spacing w:after="0"/>
        <w:tabs>
          <w:tab w:leader="none" w:pos="5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Genetic disorders that manifest due to a missing or defective protein, where mRNA would need to be administered regularly for a lifetime.</w:t>
      </w:r>
    </w:p>
    <w:p>
      <w:pPr>
        <w:spacing w:after="0" w:line="142" w:lineRule="exact"/>
        <w:rPr>
          <w:rFonts w:ascii="Arial" w:cs="Arial" w:eastAsia="Arial" w:hAnsi="Arial"/>
          <w:sz w:val="17"/>
          <w:szCs w:val="17"/>
          <w:color w:val="auto"/>
        </w:rPr>
      </w:pPr>
    </w:p>
    <w:p>
      <w:pPr>
        <w:ind w:left="540" w:right="100" w:hanging="316"/>
        <w:spacing w:after="0" w:line="277"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Acute diseases caused by transient depletion of a protein, such as a hormone, where treatment of such diseases with a single or a few doses of the encoding mRNA could be curative.</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Therapeutic proteins encoded by the mRNA can either act intracellularly or be secreted and act extracellularly, in order to produce the desired therapeutic effect.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mRNA-based protein replacement technology has several advantages over recombinant proteins:</w:t>
      </w:r>
    </w:p>
    <w:p>
      <w:pPr>
        <w:spacing w:after="0" w:line="127" w:lineRule="exact"/>
        <w:rPr>
          <w:sz w:val="20"/>
          <w:szCs w:val="20"/>
          <w:color w:val="auto"/>
        </w:rPr>
      </w:pPr>
    </w:p>
    <w:p>
      <w:pPr>
        <w:ind w:left="540" w:right="20" w:hanging="316"/>
        <w:spacing w:after="0" w:line="266"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No need to develop procedure for protein purification. </w:t>
      </w:r>
      <w:r>
        <w:rPr>
          <w:rFonts w:ascii="Arial" w:cs="Arial" w:eastAsia="Arial" w:hAnsi="Arial"/>
          <w:sz w:val="18"/>
          <w:szCs w:val="18"/>
          <w:color w:val="auto"/>
        </w:rPr>
        <w:t>The development of recombinant proteins is a laborious and expensive procedure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 for a unique purification protocol for each protein. During mRNA-based protein replacement the protein is produced by the patient, which we believe avoids the need for purification and also accelerates drug development.</w:t>
      </w:r>
    </w:p>
    <w:p>
      <w:pPr>
        <w:spacing w:after="0" w:line="81" w:lineRule="exact"/>
        <w:rPr>
          <w:rFonts w:ascii="Arial" w:cs="Arial" w:eastAsia="Arial" w:hAnsi="Arial"/>
          <w:sz w:val="18"/>
          <w:szCs w:val="18"/>
          <w:color w:val="auto"/>
        </w:rPr>
      </w:pPr>
    </w:p>
    <w:p>
      <w:pPr>
        <w:ind w:left="540" w:right="200" w:hanging="316"/>
        <w:spacing w:after="0" w:line="266"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The protein has proper post-translational modification. </w:t>
      </w:r>
      <w:r>
        <w:rPr>
          <w:rFonts w:ascii="Arial" w:cs="Arial" w:eastAsia="Arial" w:hAnsi="Arial"/>
          <w:sz w:val="18"/>
          <w:szCs w:val="18"/>
          <w:color w:val="auto"/>
        </w:rPr>
        <w:t>To function properly, most recombinant proteins need to be modified after synthesis.</w:t>
      </w:r>
      <w:r>
        <w:rPr>
          <w:rFonts w:ascii="Arial" w:cs="Arial" w:eastAsia="Arial" w:hAnsi="Arial"/>
          <w:sz w:val="18"/>
          <w:szCs w:val="18"/>
          <w:b w:val="1"/>
          <w:bCs w:val="1"/>
          <w:color w:val="auto"/>
        </w:rPr>
        <w:t xml:space="preserve"> </w:t>
      </w:r>
      <w:r>
        <w:rPr>
          <w:rFonts w:ascii="Arial" w:cs="Arial" w:eastAsia="Arial" w:hAnsi="Arial"/>
          <w:sz w:val="18"/>
          <w:szCs w:val="18"/>
          <w:color w:val="auto"/>
        </w:rPr>
        <w:t>Proteins produced in patients from mRNA are more likely to obtain the correct modifications than recombinant proteins produced in cultured bacterial or mammalian cells.</w:t>
      </w:r>
    </w:p>
    <w:p>
      <w:pPr>
        <w:spacing w:after="0" w:line="81" w:lineRule="exact"/>
        <w:rPr>
          <w:rFonts w:ascii="Arial" w:cs="Arial" w:eastAsia="Arial" w:hAnsi="Arial"/>
          <w:sz w:val="18"/>
          <w:szCs w:val="18"/>
          <w:color w:val="auto"/>
        </w:rPr>
      </w:pPr>
    </w:p>
    <w:p>
      <w:pPr>
        <w:jc w:val="both"/>
        <w:ind w:left="540" w:right="120" w:hanging="316"/>
        <w:spacing w:after="0" w:line="266"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Continuous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supply of encoded protein. </w:t>
      </w:r>
      <w:r>
        <w:rPr>
          <w:rFonts w:ascii="Arial" w:cs="Arial" w:eastAsia="Arial" w:hAnsi="Arial"/>
          <w:sz w:val="18"/>
          <w:szCs w:val="18"/>
          <w:color w:val="auto"/>
        </w:rPr>
        <w:t>Recombinant proteins, especially those with short half-lives, can be cleared from the body very</w:t>
      </w:r>
      <w:r>
        <w:rPr>
          <w:rFonts w:ascii="Arial" w:cs="Arial" w:eastAsia="Arial" w:hAnsi="Arial"/>
          <w:sz w:val="18"/>
          <w:szCs w:val="18"/>
          <w:b w:val="1"/>
          <w:bCs w:val="1"/>
          <w:color w:val="auto"/>
        </w:rPr>
        <w:t xml:space="preserve"> </w:t>
      </w:r>
      <w:r>
        <w:rPr>
          <w:rFonts w:ascii="Arial" w:cs="Arial" w:eastAsia="Arial" w:hAnsi="Arial"/>
          <w:sz w:val="18"/>
          <w:szCs w:val="18"/>
          <w:color w:val="auto"/>
        </w:rPr>
        <w:t>quickly, thereby limiting therapeutic effect. During mRNA-based therapy, the encoded therapeutic protein is produced for a longer duration (</w:t>
      </w:r>
      <w:r>
        <w:rPr>
          <w:rFonts w:ascii="Arial" w:cs="Arial" w:eastAsia="Arial" w:hAnsi="Arial"/>
          <w:sz w:val="18"/>
          <w:szCs w:val="18"/>
          <w:i w:val="1"/>
          <w:iCs w:val="1"/>
          <w:color w:val="auto"/>
        </w:rPr>
        <w:t>e.g</w:t>
      </w:r>
      <w:r>
        <w:rPr>
          <w:rFonts w:ascii="Arial" w:cs="Arial" w:eastAsia="Arial" w:hAnsi="Arial"/>
          <w:sz w:val="18"/>
          <w:szCs w:val="18"/>
          <w:color w:val="auto"/>
        </w:rPr>
        <w:t>., 10-14 days).</w:t>
      </w:r>
    </w:p>
    <w:p>
      <w:pPr>
        <w:spacing w:after="0" w:line="81" w:lineRule="exact"/>
        <w:rPr>
          <w:rFonts w:ascii="Arial" w:cs="Arial" w:eastAsia="Arial" w:hAnsi="Arial"/>
          <w:sz w:val="18"/>
          <w:szCs w:val="18"/>
          <w:color w:val="auto"/>
        </w:rPr>
      </w:pPr>
    </w:p>
    <w:p>
      <w:pPr>
        <w:ind w:left="540" w:hanging="316"/>
        <w:spacing w:after="0" w:line="266"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Production of intracellular proteins. </w:t>
      </w:r>
      <w:r>
        <w:rPr>
          <w:rFonts w:ascii="Arial" w:cs="Arial" w:eastAsia="Arial" w:hAnsi="Arial"/>
          <w:sz w:val="18"/>
          <w:szCs w:val="18"/>
          <w:color w:val="auto"/>
        </w:rPr>
        <w:t>Recombinant proteins have limited intracellular therapeutic effects. In contrast, proteins encoded by mRNA</w:t>
      </w:r>
      <w:r>
        <w:rPr>
          <w:rFonts w:ascii="Arial" w:cs="Arial" w:eastAsia="Arial" w:hAnsi="Arial"/>
          <w:sz w:val="18"/>
          <w:szCs w:val="18"/>
          <w:b w:val="1"/>
          <w:bCs w:val="1"/>
          <w:color w:val="auto"/>
        </w:rPr>
        <w:t xml:space="preserve"> </w:t>
      </w:r>
      <w:r>
        <w:rPr>
          <w:rFonts w:ascii="Arial" w:cs="Arial" w:eastAsia="Arial" w:hAnsi="Arial"/>
          <w:sz w:val="18"/>
          <w:szCs w:val="18"/>
          <w:color w:val="auto"/>
        </w:rPr>
        <w:t>can reach any cellular compartment and potentially help to cure diseases where the therapeutic protein needs to function in different subcellular locations, including the mitochondria, nucleus or cell membrane.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Protein Replacement Development Plan in Rare Diseases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initiate our first rare disease clinical trial in the second half of 2020.</w:t>
      </w:r>
    </w:p>
    <w:p>
      <w:pPr>
        <w:spacing w:after="0" w:line="374" w:lineRule="exact"/>
        <w:rPr>
          <w:sz w:val="20"/>
          <w:szCs w:val="20"/>
          <w:color w:val="auto"/>
        </w:rPr>
      </w:pPr>
    </w:p>
    <w:p>
      <w:pPr>
        <w:ind w:left="1540" w:hanging="547"/>
        <w:spacing w:after="0"/>
        <w:tabs>
          <w:tab w:leader="none" w:pos="1540" w:val="left"/>
        </w:tabs>
        <w:numPr>
          <w:ilvl w:val="0"/>
          <w:numId w:val="1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543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5430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Antibodies encoded by mRNA and produced in the patient as an alternative to recombinant antibodies.</w:t>
      </w:r>
    </w:p>
    <w:p>
      <w:pPr>
        <w:spacing w:after="0" w:line="130"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antibodies to occur within the cells.</w:t>
      </w:r>
    </w:p>
    <w:p>
      <w:pPr>
        <w:spacing w:after="0" w:line="67"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liver-targeting LNP formulations, delivered intravenously, to ensure systemic availability and prolonged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production of the antibody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BNT141 in multiple solid tumors.</w:t>
      </w:r>
    </w:p>
    <w:p>
      <w:pPr>
        <w:spacing w:after="0" w:line="28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our RiboMab technology represents the next generation of antibody-based drugs. Antibody drugs are a leading class of biologics for the treatment of various diseases, but have a number of limitations. The development of antibodies is currently challenged by demanding and costly procedures of production, purification and formulation of a recombinant protein, which we believe hampers the rapid development and clinical testing of new drugs in this class. Recombinant protein antibodies require development of a cell line, establishment and adaptation of processes for production, purification and analytical testing. The whole process typically takes 18 to 30 months to optimize, scale-up and produce first clinical batches. Some of these antibodies are produced in low yields making them unsuitable for therapeutic application.</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By contrast, mRNA not only involves a simpler and less expensive manufacturing process, but also is effective in much lower volumes than are required to produce similar effects using recombinant proteins. RiboMabs simply involve the encoding of a sequence in the mRNA, and the body does the production work itself. This simplicity allows for both shorter development times and a greater diversity of druggable targets. For efficient RiboMab production, the encoding mRNA is encapsulated in LNPs that deliver the mRNA to the liver cells. For cancer treatment, we focus on tumor-associated antigens to keep adverse effects for the patients as low as possible. We believe we can integrate any antibody sequence in our RiboMab-encoding mRNA.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We have demonstrated the feasibility of our RiboMab technology for a variety of antibody formats, such as full immunoglobulins (Ig), primarily IgG, or different bispecific antibody variants, all of which engage the patient’s own immune cells to eradicate antigen-positive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104775</wp:posOffset>
            </wp:positionV>
            <wp:extent cx="5186045" cy="2434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8604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right="20"/>
        <w:spacing w:after="0" w:line="232" w:lineRule="auto"/>
        <w:rPr>
          <w:sz w:val="20"/>
          <w:szCs w:val="20"/>
          <w:color w:val="auto"/>
        </w:rPr>
      </w:pPr>
      <w:r>
        <w:rPr>
          <w:rFonts w:ascii="Arial" w:cs="Arial" w:eastAsia="Arial" w:hAnsi="Arial"/>
          <w:sz w:val="14"/>
          <w:szCs w:val="14"/>
          <w:b w:val="1"/>
          <w:bCs w:val="1"/>
          <w:color w:val="auto"/>
        </w:rPr>
        <w:t xml:space="preserve">Our RiboMab technology. </w:t>
      </w:r>
      <w:r>
        <w:rPr>
          <w:rFonts w:ascii="Arial" w:cs="Arial" w:eastAsia="Arial" w:hAnsi="Arial"/>
          <w:sz w:val="14"/>
          <w:szCs w:val="14"/>
          <w:color w:val="auto"/>
        </w:rPr>
        <w:t>The figure above depicts the structure of</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in vitro</w:t>
      </w:r>
      <w:r>
        <w:rPr>
          <w:rFonts w:ascii="Arial" w:cs="Arial" w:eastAsia="Arial" w:hAnsi="Arial"/>
          <w:sz w:val="14"/>
          <w:szCs w:val="14"/>
          <w:b w:val="1"/>
          <w:bCs w:val="1"/>
          <w:color w:val="auto"/>
        </w:rPr>
        <w:t xml:space="preserve"> </w:t>
      </w:r>
      <w:r>
        <w:rPr>
          <w:rFonts w:ascii="Arial" w:cs="Arial" w:eastAsia="Arial" w:hAnsi="Arial"/>
          <w:sz w:val="14"/>
          <w:szCs w:val="14"/>
          <w:color w:val="auto"/>
        </w:rPr>
        <w:t>transcribed (IVT) IgG and bi-(scFv)2 RiboMab. IVT-mRNA encoding the therapeutic antibody is encapsulated 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LNPs and injected intravenously into patients. The mRNA is delivered to the liver where it is translated into antibodies and secreted into the blood stream. Abbreviations: A100, poly adenosine tail; bi-(scFv)2, bispecific single chain variable fragment; C, C-terminus; CH, constant heavy domain; CL, constant light domain; IgG, immunoglobulin G; IVT,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transcribed; L, linker; LNP, lipid nanoparticles; m1y, 1-methylpseudouridine; N, N-terminus; TAA, tumor-associated antigen; VH, variable heavy domain; VL, variable light domain; UTR, untranslated region.</w:t>
      </w:r>
    </w:p>
    <w:p>
      <w:pPr>
        <w:spacing w:after="0" w:line="18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believe our broad portfolio of antibody formats will enable us to produce mRNAs encoding the appropriate antibody format for the individual patient’s medical need and the desired treatment regimen (</w:t>
      </w:r>
      <w:r>
        <w:rPr>
          <w:rFonts w:ascii="Arial" w:cs="Arial" w:eastAsia="Arial" w:hAnsi="Arial"/>
          <w:sz w:val="18"/>
          <w:szCs w:val="18"/>
          <w:i w:val="1"/>
          <w:iCs w:val="1"/>
          <w:color w:val="auto"/>
        </w:rPr>
        <w:t>e.g.,</w:t>
      </w:r>
      <w:r>
        <w:rPr>
          <w:rFonts w:ascii="Arial" w:cs="Arial" w:eastAsia="Arial" w:hAnsi="Arial"/>
          <w:sz w:val="18"/>
          <w:szCs w:val="18"/>
          <w:color w:val="auto"/>
        </w:rPr>
        <w:t xml:space="preserve"> monotherapy or combination therapy).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RiboMab Development Plan</w:t>
      </w:r>
    </w:p>
    <w:p>
      <w:pPr>
        <w:spacing w:after="0" w:line="11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Our first development candidate, BNT141, is an IgG antibody, which we expect to enter the clinic in the first half of 2020 in a basket trial targeting multiple solid tumor types. We are also currently evaluating multiple additional RiboMab development candidates in the preclinical setting, including RiboMabs encoding bispecific antibodies, one of which, BNT142, we expect to enter the clinic in the second half of 2020.</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80" w:type="dxa"/>
            <w:vAlign w:val="bottom"/>
          </w:tcPr>
          <w:p>
            <w:pPr>
              <w:ind w:left="960"/>
              <w:spacing w:after="0"/>
              <w:rPr>
                <w:sz w:val="20"/>
                <w:szCs w:val="20"/>
                <w:color w:val="auto"/>
              </w:rPr>
            </w:pPr>
            <w:r>
              <w:rPr>
                <w:rFonts w:ascii="Arial" w:cs="Arial" w:eastAsia="Arial" w:hAnsi="Arial"/>
                <w:sz w:val="14"/>
                <w:szCs w:val="14"/>
                <w:b w:val="1"/>
                <w:bCs w:val="1"/>
                <w:color w:val="auto"/>
              </w:rPr>
              <w:t>Candidate</w:t>
            </w:r>
          </w:p>
        </w:tc>
        <w:tc>
          <w:tcPr>
            <w:tcW w:w="320" w:type="dxa"/>
            <w:vAlign w:val="bottom"/>
          </w:tcPr>
          <w:p>
            <w:pPr>
              <w:spacing w:after="0"/>
              <w:rPr>
                <w:sz w:val="16"/>
                <w:szCs w:val="16"/>
                <w:color w:val="auto"/>
              </w:rPr>
            </w:pPr>
          </w:p>
        </w:tc>
        <w:tc>
          <w:tcPr>
            <w:tcW w:w="2580" w:type="dxa"/>
            <w:vAlign w:val="bottom"/>
            <w:gridSpan w:val="2"/>
          </w:tcPr>
          <w:p>
            <w:pPr>
              <w:ind w:left="920"/>
              <w:spacing w:after="0"/>
              <w:rPr>
                <w:sz w:val="20"/>
                <w:szCs w:val="20"/>
                <w:color w:val="auto"/>
              </w:rPr>
            </w:pPr>
            <w:r>
              <w:rPr>
                <w:rFonts w:ascii="Arial" w:cs="Arial" w:eastAsia="Arial" w:hAnsi="Arial"/>
                <w:sz w:val="14"/>
                <w:szCs w:val="14"/>
                <w:b w:val="1"/>
                <w:bCs w:val="1"/>
                <w:color w:val="auto"/>
              </w:rPr>
              <w:t>Target</w:t>
            </w:r>
          </w:p>
        </w:tc>
        <w:tc>
          <w:tcPr>
            <w:tcW w:w="2260" w:type="dxa"/>
            <w:vAlign w:val="bottom"/>
          </w:tcPr>
          <w:p>
            <w:pPr>
              <w:ind w:left="520"/>
              <w:spacing w:after="0"/>
              <w:rPr>
                <w:sz w:val="20"/>
                <w:szCs w:val="20"/>
                <w:color w:val="auto"/>
              </w:rPr>
            </w:pPr>
            <w:r>
              <w:rPr>
                <w:rFonts w:ascii="Arial" w:cs="Arial" w:eastAsia="Arial" w:hAnsi="Arial"/>
                <w:sz w:val="14"/>
                <w:szCs w:val="14"/>
                <w:b w:val="1"/>
                <w:bCs w:val="1"/>
                <w:color w:val="auto"/>
              </w:rPr>
              <w:t>Development Phase</w:t>
            </w:r>
          </w:p>
        </w:tc>
        <w:tc>
          <w:tcPr>
            <w:tcW w:w="100" w:type="dxa"/>
            <w:vAlign w:val="bottom"/>
          </w:tcPr>
          <w:p>
            <w:pPr>
              <w:spacing w:after="0"/>
              <w:rPr>
                <w:sz w:val="16"/>
                <w:szCs w:val="16"/>
                <w:color w:val="auto"/>
              </w:rPr>
            </w:pPr>
          </w:p>
        </w:tc>
        <w:tc>
          <w:tcPr>
            <w:tcW w:w="3180" w:type="dxa"/>
            <w:vAlign w:val="bottom"/>
          </w:tcPr>
          <w:p>
            <w:pPr>
              <w:ind w:left="840"/>
              <w:spacing w:after="0"/>
              <w:rPr>
                <w:sz w:val="20"/>
                <w:szCs w:val="20"/>
                <w:color w:val="auto"/>
              </w:rPr>
            </w:pPr>
            <w:r>
              <w:rPr>
                <w:rFonts w:ascii="Arial" w:cs="Arial" w:eastAsia="Arial" w:hAnsi="Arial"/>
                <w:sz w:val="14"/>
                <w:szCs w:val="14"/>
                <w:b w:val="1"/>
                <w:bCs w:val="1"/>
                <w:color w:val="auto"/>
              </w:rPr>
              <w:t>Next Potential Milestone</w:t>
            </w:r>
          </w:p>
        </w:tc>
      </w:tr>
      <w:tr>
        <w:trPr>
          <w:trHeight w:val="195"/>
        </w:trPr>
        <w:tc>
          <w:tcPr>
            <w:tcW w:w="2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BNT141 (monospecific)</w:t>
            </w:r>
          </w:p>
        </w:tc>
        <w:tc>
          <w:tcPr>
            <w:tcW w:w="320" w:type="dxa"/>
            <w:vAlign w:val="bottom"/>
          </w:tcPr>
          <w:p>
            <w:pPr>
              <w:spacing w:after="0"/>
              <w:rPr>
                <w:sz w:val="16"/>
                <w:szCs w:val="16"/>
                <w:color w:val="auto"/>
              </w:rPr>
            </w:pPr>
          </w:p>
        </w:tc>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Undisclosed</w:t>
            </w:r>
          </w:p>
        </w:tc>
        <w:tc>
          <w:tcPr>
            <w:tcW w:w="320" w:type="dxa"/>
            <w:vAlign w:val="bottom"/>
          </w:tcPr>
          <w:p>
            <w:pPr>
              <w:spacing w:after="0"/>
              <w:rPr>
                <w:sz w:val="16"/>
                <w:szCs w:val="16"/>
                <w:color w:val="auto"/>
              </w:rPr>
            </w:pPr>
          </w:p>
        </w:tc>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Preclinical</w:t>
            </w:r>
          </w:p>
        </w:tc>
        <w:tc>
          <w:tcPr>
            <w:tcW w:w="10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Initiate Phase 1 trial in 1H 2020</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BNT142 (bispecific)</w:t>
            </w:r>
          </w:p>
        </w:tc>
        <w:tc>
          <w:tcPr>
            <w:tcW w:w="2900" w:type="dxa"/>
            <w:vAlign w:val="bottom"/>
            <w:gridSpan w:val="3"/>
          </w:tcPr>
          <w:p>
            <w:pPr>
              <w:ind w:left="320"/>
              <w:spacing w:after="0"/>
              <w:rPr>
                <w:sz w:val="20"/>
                <w:szCs w:val="20"/>
                <w:color w:val="auto"/>
              </w:rPr>
            </w:pPr>
            <w:r>
              <w:rPr>
                <w:rFonts w:ascii="Arial" w:cs="Arial" w:eastAsia="Arial" w:hAnsi="Arial"/>
                <w:sz w:val="18"/>
                <w:szCs w:val="18"/>
                <w:color w:val="auto"/>
              </w:rPr>
              <w:t>CD3xCLDN6</w:t>
            </w:r>
          </w:p>
        </w:tc>
        <w:tc>
          <w:tcPr>
            <w:tcW w:w="2260" w:type="dxa"/>
            <w:vAlign w:val="bottom"/>
          </w:tcPr>
          <w:p>
            <w:pPr>
              <w:spacing w:after="0"/>
              <w:rPr>
                <w:sz w:val="20"/>
                <w:szCs w:val="20"/>
                <w:color w:val="auto"/>
              </w:rPr>
            </w:pPr>
            <w:r>
              <w:rPr>
                <w:rFonts w:ascii="Arial" w:cs="Arial" w:eastAsia="Arial" w:hAnsi="Arial"/>
                <w:sz w:val="18"/>
                <w:szCs w:val="18"/>
                <w:color w:val="auto"/>
              </w:rPr>
              <w:t>Preclinical</w:t>
            </w: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Initiate Phase 1 trial in 2H 2020</w:t>
            </w:r>
          </w:p>
        </w:tc>
      </w:tr>
    </w:tbl>
    <w:p>
      <w:pPr>
        <w:spacing w:after="0" w:line="350" w:lineRule="exact"/>
        <w:rPr>
          <w:sz w:val="20"/>
          <w:szCs w:val="20"/>
          <w:color w:val="auto"/>
        </w:rPr>
      </w:pPr>
    </w:p>
    <w:p>
      <w:pPr>
        <w:ind w:left="1540" w:hanging="547"/>
        <w:spacing w:after="0"/>
        <w:tabs>
          <w:tab w:leader="none" w:pos="1540" w:val="left"/>
        </w:tabs>
        <w:numPr>
          <w:ilvl w:val="0"/>
          <w:numId w:val="1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543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54305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RiboCytokine Platform</w:t>
      </w:r>
    </w:p>
    <w:p>
      <w:pPr>
        <w:spacing w:after="0" w:line="127"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Cytokines encoded by mRNA and produced in the patient as an alternative to recombinant cytokines.</w:t>
      </w:r>
    </w:p>
    <w:p>
      <w:pPr>
        <w:spacing w:after="0" w:line="130" w:lineRule="exact"/>
        <w:rPr>
          <w:rFonts w:ascii="Arial" w:cs="Arial" w:eastAsia="Arial" w:hAnsi="Arial"/>
          <w:sz w:val="18"/>
          <w:szCs w:val="18"/>
          <w:color w:val="auto"/>
        </w:rPr>
      </w:pPr>
    </w:p>
    <w:p>
      <w:pPr>
        <w:ind w:left="660" w:right="40" w:hanging="328"/>
        <w:spacing w:after="0" w:line="282"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cytokines to occur within the cells.</w:t>
      </w:r>
    </w:p>
    <w:p>
      <w:pPr>
        <w:spacing w:after="0" w:line="67" w:lineRule="exact"/>
        <w:rPr>
          <w:rFonts w:ascii="Arial" w:cs="Arial" w:eastAsia="Arial" w:hAnsi="Arial"/>
          <w:sz w:val="18"/>
          <w:szCs w:val="18"/>
          <w:color w:val="auto"/>
        </w:rPr>
      </w:pPr>
    </w:p>
    <w:p>
      <w:pPr>
        <w:ind w:left="660" w:right="40" w:hanging="328"/>
        <w:spacing w:after="0" w:line="282"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liver-targeting LNP formulations, delivered intravenously, to ensure systemic availability and prolonged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production of the cytokine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BNT151 in multiple advanced malignancies.</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Cytokines represent a large group of relatively small proteins (&lt;30 kDa) that regulate a variety of biological functions as they elicit signaling for immune and non-immune cells. In particular, cytokines play a pivotal role in orchestrating the initiation, execution and extinction of innate and adaptive immunity against pathogens as well as malignant cells. Due to their natural role as immunomodulators, recombinant cytokines are currently used for the treatment of a number of infectious, inflammatory, autoimmune and malignant diseases. One of the major challenges associated with the therapeutic use of cytokines relates to their short serum half-life and low bioavailability. This impedes therapeutic efficacy as it necessitates high and frequent dosing, which often results in dose-limiting toxicities.</w:t>
      </w:r>
    </w:p>
    <w:p>
      <w:pPr>
        <w:spacing w:after="0" w:line="19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have developed a wholly owned, novel mRNA-based platform technology called RiboCytokines, designed to address the limitations of recombinantly expressed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133985</wp:posOffset>
            </wp:positionV>
            <wp:extent cx="5212080" cy="28371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208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b w:val="1"/>
          <w:bCs w:val="1"/>
          <w:color w:val="auto"/>
        </w:rPr>
        <w:t xml:space="preserve">Concept of our RiboCytokine technology. </w:t>
      </w:r>
      <w:r>
        <w:rPr>
          <w:rFonts w:ascii="Arial" w:cs="Arial" w:eastAsia="Arial" w:hAnsi="Arial"/>
          <w:sz w:val="14"/>
          <w:szCs w:val="14"/>
          <w:color w:val="auto"/>
        </w:rPr>
        <w:t>The graphic above depicts our RiboCytokine technology, including mRNA formulated in LNPs and administered by injection, having a beneficial</w:t>
      </w:r>
      <w:r>
        <w:rPr>
          <w:rFonts w:ascii="Arial" w:cs="Arial" w:eastAsia="Arial" w:hAnsi="Arial"/>
          <w:sz w:val="14"/>
          <w:szCs w:val="14"/>
          <w:b w:val="1"/>
          <w:bCs w:val="1"/>
          <w:color w:val="auto"/>
        </w:rPr>
        <w:t xml:space="preserve"> </w:t>
      </w:r>
      <w:r>
        <w:rPr>
          <w:rFonts w:ascii="Arial" w:cs="Arial" w:eastAsia="Arial" w:hAnsi="Arial"/>
          <w:sz w:val="14"/>
          <w:szCs w:val="14"/>
          <w:color w:val="auto"/>
        </w:rPr>
        <w:t>pharmacokinetic profile.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RiboCytokine platform allows for sustained delivery of the encoded cytokines with prolonged half-life, including through:</w:t>
      </w:r>
    </w:p>
    <w:p>
      <w:pPr>
        <w:spacing w:after="0" w:line="127" w:lineRule="exact"/>
        <w:rPr>
          <w:sz w:val="20"/>
          <w:szCs w:val="20"/>
          <w:color w:val="auto"/>
        </w:rPr>
      </w:pPr>
    </w:p>
    <w:p>
      <w:pPr>
        <w:ind w:left="980" w:right="480" w:hanging="324"/>
        <w:spacing w:after="0" w:line="282" w:lineRule="auto"/>
        <w:tabs>
          <w:tab w:leader="none" w:pos="98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Usage of N1-methylpseudouridine modified mRNA. </w:t>
      </w:r>
      <w:r>
        <w:rPr>
          <w:rFonts w:ascii="Arial" w:cs="Arial" w:eastAsia="Arial" w:hAnsi="Arial"/>
          <w:sz w:val="18"/>
          <w:szCs w:val="18"/>
          <w:color w:val="auto"/>
        </w:rPr>
        <w:t>N1-methylpseudouridine as a nucleoside analogue prevents the recognition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mRNA by TLRs, avoiding immune attack against the mRNA drug.</w:t>
      </w:r>
    </w:p>
    <w:p>
      <w:pPr>
        <w:spacing w:after="0" w:line="67" w:lineRule="exact"/>
        <w:rPr>
          <w:rFonts w:ascii="Arial" w:cs="Arial" w:eastAsia="Arial" w:hAnsi="Arial"/>
          <w:sz w:val="18"/>
          <w:szCs w:val="18"/>
          <w:color w:val="auto"/>
        </w:rPr>
      </w:pPr>
    </w:p>
    <w:p>
      <w:pPr>
        <w:ind w:left="980" w:right="680" w:hanging="324"/>
        <w:spacing w:after="0" w:line="282" w:lineRule="auto"/>
        <w:tabs>
          <w:tab w:leader="none" w:pos="98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Liver targeted expression. </w:t>
      </w:r>
      <w:r>
        <w:rPr>
          <w:rFonts w:ascii="Arial" w:cs="Arial" w:eastAsia="Arial" w:hAnsi="Arial"/>
          <w:sz w:val="18"/>
          <w:szCs w:val="18"/>
          <w:color w:val="auto"/>
        </w:rPr>
        <w:t>mRNA-encoded cytokines are formulated as LNPs using in-licensed clinically validated LNP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owned by Genevant. LNPs selectively target the liver resulting in high-level expression.</w:t>
      </w:r>
    </w:p>
    <w:p>
      <w:pPr>
        <w:spacing w:after="0" w:line="166"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We believe that apart from a beneficial pharmacokinetic profile, our mRNA-based RiboCytokine technology has a number of additional advantages over other types of cytokine therapies:</w:t>
      </w:r>
    </w:p>
    <w:p>
      <w:pPr>
        <w:spacing w:after="0" w:line="72" w:lineRule="exact"/>
        <w:rPr>
          <w:sz w:val="20"/>
          <w:szCs w:val="20"/>
          <w:color w:val="auto"/>
        </w:rPr>
      </w:pPr>
    </w:p>
    <w:p>
      <w:pPr>
        <w:ind w:left="980" w:right="120" w:hanging="324"/>
        <w:spacing w:after="0" w:line="266" w:lineRule="auto"/>
        <w:tabs>
          <w:tab w:leader="none" w:pos="98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 xml:space="preserve">Less immunogenic than recombinant cytokines. </w:t>
      </w:r>
      <w:r>
        <w:rPr>
          <w:rFonts w:ascii="Arial" w:cs="Arial" w:eastAsia="Arial" w:hAnsi="Arial"/>
          <w:sz w:val="18"/>
          <w:szCs w:val="18"/>
          <w:color w:val="auto"/>
        </w:rPr>
        <w:t>Expression of self and foreign antigens in the liver is associated with immune tolerance</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 unique anti-inflammatory microenvironment. We expect RiboCytokines to be less likely to trigger an immune response when compared to their recombinant counterparts.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right="80" w:hanging="324"/>
        <w:spacing w:after="0" w:line="266" w:lineRule="auto"/>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Shorter development times and greater diversity. </w:t>
      </w:r>
      <w:r>
        <w:rPr>
          <w:rFonts w:ascii="Arial" w:cs="Arial" w:eastAsia="Arial" w:hAnsi="Arial"/>
          <w:sz w:val="18"/>
          <w:szCs w:val="18"/>
          <w:color w:val="auto"/>
        </w:rPr>
        <w:t>The development of recombinant cytokines is a challenge due to demanding and costly</w:t>
      </w:r>
      <w:r>
        <w:rPr>
          <w:rFonts w:ascii="Arial" w:cs="Arial" w:eastAsia="Arial" w:hAnsi="Arial"/>
          <w:sz w:val="18"/>
          <w:szCs w:val="18"/>
          <w:b w:val="1"/>
          <w:bCs w:val="1"/>
          <w:color w:val="auto"/>
        </w:rPr>
        <w:t xml:space="preserve"> </w:t>
      </w:r>
      <w:r>
        <w:rPr>
          <w:rFonts w:ascii="Arial" w:cs="Arial" w:eastAsia="Arial" w:hAnsi="Arial"/>
          <w:sz w:val="18"/>
          <w:szCs w:val="18"/>
          <w:color w:val="auto"/>
        </w:rPr>
        <w:t>CMC procedures of production, purification and formulation. The simplicity of our mRNA manufacturing allows for both shorter development times and a greater diversity of druggable targets.</w:t>
      </w:r>
    </w:p>
    <w:p>
      <w:pPr>
        <w:spacing w:after="0" w:line="18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believe that our RiboCytokine technology is particularly well-suited to identify candidates for combination treatment with our proprietary CAR T cell and cancer immunotherapies platforms.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RiboCytokine Development Plan</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expect our first two RiboCytokine product candidates, BNT151 and BNT152, to enter the clinic in the first half of 2020, in basket trials targeting multiple advanced malignancies.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1800" w:type="dxa"/>
            <w:vAlign w:val="bottom"/>
          </w:tcPr>
          <w:p>
            <w:pPr>
              <w:spacing w:after="0"/>
              <w:rPr>
                <w:sz w:val="16"/>
                <w:szCs w:val="16"/>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Cytokines</w:t>
            </w: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Development Phase</w:t>
            </w:r>
          </w:p>
        </w:tc>
        <w:tc>
          <w:tcPr>
            <w:tcW w:w="5520" w:type="dxa"/>
            <w:vAlign w:val="bottom"/>
          </w:tcPr>
          <w:p>
            <w:pPr>
              <w:ind w:left="200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Pr>
          <w:p>
            <w:pPr>
              <w:spacing w:after="0" w:line="189" w:lineRule="exact"/>
              <w:rPr>
                <w:sz w:val="20"/>
                <w:szCs w:val="20"/>
                <w:color w:val="auto"/>
              </w:rPr>
            </w:pPr>
            <w:r>
              <w:rPr>
                <w:rFonts w:ascii="Arial" w:cs="Arial" w:eastAsia="Arial" w:hAnsi="Arial"/>
                <w:sz w:val="18"/>
                <w:szCs w:val="18"/>
                <w:color w:val="auto"/>
                <w:w w:val="93"/>
              </w:rPr>
              <w:t>BNT151</w:t>
            </w:r>
          </w:p>
        </w:tc>
        <w:tc>
          <w:tcPr>
            <w:tcW w:w="1800" w:type="dxa"/>
            <w:vAlign w:val="bottom"/>
          </w:tcPr>
          <w:p>
            <w:pPr>
              <w:spacing w:after="0"/>
              <w:rPr>
                <w:sz w:val="16"/>
                <w:szCs w:val="16"/>
                <w:color w:val="auto"/>
              </w:rPr>
            </w:pPr>
          </w:p>
        </w:tc>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Modified IL-2</w:t>
            </w: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Preclinical</w:t>
            </w:r>
          </w:p>
        </w:tc>
        <w:tc>
          <w:tcPr>
            <w:tcW w:w="100" w:type="dxa"/>
            <w:vAlign w:val="bottom"/>
          </w:tcPr>
          <w:p>
            <w:pPr>
              <w:spacing w:after="0"/>
              <w:rPr>
                <w:sz w:val="16"/>
                <w:szCs w:val="16"/>
                <w:color w:val="auto"/>
              </w:rPr>
            </w:pPr>
          </w:p>
        </w:tc>
        <w:tc>
          <w:tcPr>
            <w:tcW w:w="5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Initiate Phase 1 trial in 1H 2020</w:t>
            </w:r>
          </w:p>
        </w:tc>
      </w:tr>
      <w:tr>
        <w:trPr>
          <w:trHeight w:val="229"/>
        </w:trPr>
        <w:tc>
          <w:tcPr>
            <w:tcW w:w="640" w:type="dxa"/>
            <w:vAlign w:val="bottom"/>
          </w:tcPr>
          <w:p>
            <w:pPr>
              <w:spacing w:after="0"/>
              <w:rPr>
                <w:sz w:val="20"/>
                <w:szCs w:val="20"/>
                <w:color w:val="auto"/>
              </w:rPr>
            </w:pPr>
            <w:r>
              <w:rPr>
                <w:rFonts w:ascii="Arial" w:cs="Arial" w:eastAsia="Arial" w:hAnsi="Arial"/>
                <w:sz w:val="18"/>
                <w:szCs w:val="18"/>
                <w:color w:val="auto"/>
                <w:w w:val="93"/>
              </w:rPr>
              <w:t>BNT152</w:t>
            </w:r>
          </w:p>
        </w:tc>
        <w:tc>
          <w:tcPr>
            <w:tcW w:w="3220" w:type="dxa"/>
            <w:vAlign w:val="bottom"/>
            <w:gridSpan w:val="3"/>
          </w:tcPr>
          <w:p>
            <w:pPr>
              <w:ind w:left="1800"/>
              <w:spacing w:after="0"/>
              <w:rPr>
                <w:sz w:val="20"/>
                <w:szCs w:val="20"/>
                <w:color w:val="auto"/>
              </w:rPr>
            </w:pPr>
            <w:r>
              <w:rPr>
                <w:rFonts w:ascii="Arial" w:cs="Arial" w:eastAsia="Arial" w:hAnsi="Arial"/>
                <w:sz w:val="18"/>
                <w:szCs w:val="18"/>
                <w:color w:val="auto"/>
              </w:rPr>
              <w:t>IL-7</w:t>
            </w:r>
          </w:p>
        </w:tc>
        <w:tc>
          <w:tcPr>
            <w:tcW w:w="1640" w:type="dxa"/>
            <w:vAlign w:val="bottom"/>
            <w:gridSpan w:val="2"/>
          </w:tcPr>
          <w:p>
            <w:pPr>
              <w:spacing w:after="0"/>
              <w:rPr>
                <w:sz w:val="20"/>
                <w:szCs w:val="20"/>
                <w:color w:val="auto"/>
              </w:rPr>
            </w:pPr>
            <w:r>
              <w:rPr>
                <w:rFonts w:ascii="Arial" w:cs="Arial" w:eastAsia="Arial" w:hAnsi="Arial"/>
                <w:sz w:val="18"/>
                <w:szCs w:val="18"/>
                <w:color w:val="auto"/>
              </w:rPr>
              <w:t>Preclinical</w:t>
            </w:r>
          </w:p>
        </w:tc>
        <w:tc>
          <w:tcPr>
            <w:tcW w:w="5520" w:type="dxa"/>
            <w:vAlign w:val="bottom"/>
          </w:tcPr>
          <w:p>
            <w:pPr>
              <w:spacing w:after="0"/>
              <w:rPr>
                <w:sz w:val="20"/>
                <w:szCs w:val="20"/>
                <w:color w:val="auto"/>
              </w:rPr>
            </w:pPr>
            <w:r>
              <w:rPr>
                <w:rFonts w:ascii="Arial" w:cs="Arial" w:eastAsia="Arial" w:hAnsi="Arial"/>
                <w:sz w:val="18"/>
                <w:szCs w:val="18"/>
                <w:color w:val="auto"/>
              </w:rPr>
              <w:t>Initiate Phase 1 trial in 1H 2020</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w w:val="93"/>
              </w:rPr>
              <w:t>BNT153</w:t>
            </w:r>
          </w:p>
        </w:tc>
        <w:tc>
          <w:tcPr>
            <w:tcW w:w="3220" w:type="dxa"/>
            <w:vAlign w:val="bottom"/>
            <w:gridSpan w:val="3"/>
          </w:tcPr>
          <w:p>
            <w:pPr>
              <w:ind w:left="1800"/>
              <w:spacing w:after="0"/>
              <w:rPr>
                <w:sz w:val="20"/>
                <w:szCs w:val="20"/>
                <w:color w:val="auto"/>
              </w:rPr>
            </w:pPr>
            <w:r>
              <w:rPr>
                <w:rFonts w:ascii="Arial" w:cs="Arial" w:eastAsia="Arial" w:hAnsi="Arial"/>
                <w:sz w:val="18"/>
                <w:szCs w:val="18"/>
                <w:color w:val="auto"/>
              </w:rPr>
              <w:t>IL-2</w:t>
            </w:r>
          </w:p>
        </w:tc>
        <w:tc>
          <w:tcPr>
            <w:tcW w:w="1640" w:type="dxa"/>
            <w:vAlign w:val="bottom"/>
            <w:gridSpan w:val="2"/>
          </w:tcPr>
          <w:p>
            <w:pPr>
              <w:spacing w:after="0"/>
              <w:rPr>
                <w:sz w:val="20"/>
                <w:szCs w:val="20"/>
                <w:color w:val="auto"/>
              </w:rPr>
            </w:pPr>
            <w:r>
              <w:rPr>
                <w:rFonts w:ascii="Arial" w:cs="Arial" w:eastAsia="Arial" w:hAnsi="Arial"/>
                <w:sz w:val="18"/>
                <w:szCs w:val="18"/>
                <w:color w:val="auto"/>
              </w:rPr>
              <w:t>Preclinical</w:t>
            </w:r>
          </w:p>
        </w:tc>
        <w:tc>
          <w:tcPr>
            <w:tcW w:w="5520" w:type="dxa"/>
            <w:vAlign w:val="bottom"/>
          </w:tcPr>
          <w:p>
            <w:pPr>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6"/>
          <w:szCs w:val="16"/>
          <w:b w:val="1"/>
          <w:bCs w:val="1"/>
          <w:color w:val="auto"/>
        </w:rPr>
        <w:t>Our Engineered Cell Therapies Drug Class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tailored reprogramming of autologous T cells from cancer patients to recognize and attack their tumors has become a disruptive medical innovation. Retargeting of T cells can be achieved via introduction of tumor-specific receptors into patient-derived T cells. For that purpose, T cells are mostly engineered by retroviral gene transfer to express either T cell receptors, or TCRs, or chimeric antigen receptors, or CARs. Recently, CAR expressing T cells, or CAR-T cells, became the first engineered T cell therapy to obtain FDA approval for some B cell derived hematological malignancies.</w:t>
      </w:r>
    </w:p>
    <w:p>
      <w:pPr>
        <w:spacing w:after="0" w:line="332" w:lineRule="exact"/>
        <w:rPr>
          <w:sz w:val="20"/>
          <w:szCs w:val="20"/>
          <w:color w:val="auto"/>
        </w:rPr>
      </w:pPr>
    </w:p>
    <w:p>
      <w:pPr>
        <w:ind w:left="980" w:hanging="432"/>
        <w:spacing w:after="0"/>
        <w:tabs>
          <w:tab w:leader="none" w:pos="9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1912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191260"/>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CAR T Platform</w:t>
      </w:r>
    </w:p>
    <w:p>
      <w:pPr>
        <w:spacing w:after="0" w:line="127" w:lineRule="exact"/>
        <w:rPr>
          <w:sz w:val="20"/>
          <w:szCs w:val="20"/>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Second-generation CAR T therapy designed to overcome the shortcomings of CAR T therapy in solid tumors.</w:t>
      </w:r>
    </w:p>
    <w:p>
      <w:pPr>
        <w:spacing w:after="0" w:line="130"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Mechanism: </w:t>
      </w:r>
      <w:r>
        <w:rPr>
          <w:rFonts w:ascii="Arial" w:cs="Arial" w:eastAsia="Arial" w:hAnsi="Arial"/>
          <w:sz w:val="18"/>
          <w:szCs w:val="18"/>
          <w:color w:val="auto"/>
        </w:rPr>
        <w:t>T cells with CARs engineered to target cancer-specific antigens, including novel antigens selected from our proprietary antigen</w:t>
      </w:r>
      <w:r>
        <w:rPr>
          <w:rFonts w:ascii="Arial" w:cs="Arial" w:eastAsia="Arial" w:hAnsi="Arial"/>
          <w:sz w:val="18"/>
          <w:szCs w:val="18"/>
          <w:b w:val="1"/>
          <w:bCs w:val="1"/>
          <w:color w:val="auto"/>
        </w:rPr>
        <w:t xml:space="preserve"> </w:t>
      </w:r>
      <w:r>
        <w:rPr>
          <w:rFonts w:ascii="Arial" w:cs="Arial" w:eastAsia="Arial" w:hAnsi="Arial"/>
          <w:sz w:val="18"/>
          <w:szCs w:val="18"/>
          <w:color w:val="auto"/>
        </w:rPr>
        <w:t>library and administered with a FixVac immune booster to enhance CAR-T cell expansion and persistence.</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BNT211 for multiple solid tumors.</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CARs are artificial receptors that consist of an antigen recognition domain derived from a tumor-specific antibody linked to intracellular T cell signaling domains. CARs redirect T cells to eradicate tumors through specific recognition of native surface proteins expressed on tumor cells in a non-MHC-restricted manner. Therefore, CAR-T cells can be used for the treatment of all individuals whose tumor expresses the respective target, independent of the individual’s HLA genotype. CARs can be used for redirection of both CD4</w:t>
      </w:r>
      <w:r>
        <w:rPr>
          <w:rFonts w:ascii="Arial" w:cs="Arial" w:eastAsia="Arial" w:hAnsi="Arial"/>
          <w:sz w:val="14"/>
          <w:szCs w:val="14"/>
          <w:color w:val="auto"/>
        </w:rPr>
        <w:t>+</w:t>
      </w:r>
      <w:r>
        <w:rPr>
          <w:rFonts w:ascii="Arial" w:cs="Arial" w:eastAsia="Arial" w:hAnsi="Arial"/>
          <w:sz w:val="17"/>
          <w:szCs w:val="17"/>
          <w:color w:val="auto"/>
        </w:rPr>
        <w:t xml:space="preserve"> and CD8</w:t>
      </w:r>
      <w:r>
        <w:rPr>
          <w:rFonts w:ascii="Arial" w:cs="Arial" w:eastAsia="Arial" w:hAnsi="Arial"/>
          <w:sz w:val="14"/>
          <w:szCs w:val="14"/>
          <w:color w:val="auto"/>
        </w:rPr>
        <w:t>+</w:t>
      </w:r>
      <w:r>
        <w:rPr>
          <w:rFonts w:ascii="Arial" w:cs="Arial" w:eastAsia="Arial" w:hAnsi="Arial"/>
          <w:sz w:val="17"/>
          <w:szCs w:val="17"/>
          <w:color w:val="auto"/>
        </w:rPr>
        <w:t xml:space="preserve">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134620</wp:posOffset>
            </wp:positionV>
            <wp:extent cx="2468880" cy="18434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6888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Second-generation CAR. </w:t>
      </w:r>
      <w:r>
        <w:rPr>
          <w:rFonts w:ascii="Arial" w:cs="Arial" w:eastAsia="Arial" w:hAnsi="Arial"/>
          <w:sz w:val="14"/>
          <w:szCs w:val="14"/>
          <w:color w:val="auto"/>
        </w:rPr>
        <w:t>The figure above illustrates the basic structure of a second-generation CAR, such as those included in our BNT211 and BNT212 product candidates.</w:t>
      </w:r>
    </w:p>
    <w:p>
      <w:pPr>
        <w:spacing w:after="0" w:line="21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While CAR T therapy has shown potent anti-tumor responses in patients with B cell malignancies, clinical efficacy in solid tumors so far is limited. The main hurdles for application of CAR T therapies in solid tumors are:</w:t>
      </w:r>
    </w:p>
    <w:p>
      <w:pPr>
        <w:spacing w:after="0" w:line="76" w:lineRule="exact"/>
        <w:rPr>
          <w:sz w:val="20"/>
          <w:szCs w:val="20"/>
          <w:color w:val="auto"/>
        </w:rPr>
      </w:pPr>
    </w:p>
    <w:p>
      <w:pPr>
        <w:ind w:left="980" w:hanging="324"/>
        <w:spacing w:after="0"/>
        <w:tabs>
          <w:tab w:leader="none" w:pos="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Lack of highly tumor selective targets, which are needed for safe and effective tumor targeting;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Low anti-tumoral activity due to insufficient expansion of engineered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168910</wp:posOffset>
            </wp:positionV>
            <wp:extent cx="2254250" cy="14744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5425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right="100"/>
        <w:spacing w:after="0" w:line="258" w:lineRule="auto"/>
        <w:rPr>
          <w:sz w:val="20"/>
          <w:szCs w:val="20"/>
          <w:color w:val="auto"/>
        </w:rPr>
      </w:pPr>
      <w:r>
        <w:rPr>
          <w:rFonts w:ascii="Arial" w:cs="Arial" w:eastAsia="Arial" w:hAnsi="Arial"/>
          <w:sz w:val="14"/>
          <w:szCs w:val="14"/>
          <w:b w:val="1"/>
          <w:bCs w:val="1"/>
          <w:color w:val="auto"/>
        </w:rPr>
        <w:t xml:space="preserve">Our platforms for development of next-generation engineered T cell therapies. </w:t>
      </w:r>
      <w:r>
        <w:rPr>
          <w:rFonts w:ascii="Arial" w:cs="Arial" w:eastAsia="Arial" w:hAnsi="Arial"/>
          <w:sz w:val="14"/>
          <w:szCs w:val="14"/>
          <w:color w:val="auto"/>
        </w:rPr>
        <w:t>Our engineered cell therapies combine our antigen selection capabilities with our FixVac immunotherapy</w:t>
      </w:r>
      <w:r>
        <w:rPr>
          <w:rFonts w:ascii="Arial" w:cs="Arial" w:eastAsia="Arial" w:hAnsi="Arial"/>
          <w:sz w:val="14"/>
          <w:szCs w:val="14"/>
          <w:b w:val="1"/>
          <w:bCs w:val="1"/>
          <w:color w:val="auto"/>
        </w:rPr>
        <w:t xml:space="preserve"> </w:t>
      </w:r>
      <w:r>
        <w:rPr>
          <w:rFonts w:ascii="Arial" w:cs="Arial" w:eastAsia="Arial" w:hAnsi="Arial"/>
          <w:sz w:val="14"/>
          <w:szCs w:val="14"/>
          <w:color w:val="auto"/>
        </w:rPr>
        <w:t>to enhance T cell activation and expansion.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developing the next generation of engineered T cell therapies that:</w:t>
      </w:r>
    </w:p>
    <w:p>
      <w:pPr>
        <w:spacing w:after="0" w:line="131" w:lineRule="exact"/>
        <w:rPr>
          <w:sz w:val="20"/>
          <w:szCs w:val="20"/>
          <w:color w:val="auto"/>
        </w:rPr>
      </w:pPr>
    </w:p>
    <w:p>
      <w:pPr>
        <w:ind w:left="980" w:hanging="324"/>
        <w:spacing w:after="0" w:line="277" w:lineRule="auto"/>
        <w:tabs>
          <w:tab w:leader="none" w:pos="9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target novel and known tumor-specific antigens, including mutant neoantigens, and a broad spectrum of tumor-associated antigens expressed in a wide range of cancers; and</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leverage our proprietary FixVac technology for controlled and safe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stimulation, activation and expansion of engineered T cells.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powerful characteristics of CAR-T cells, including their potential to eradicate targeted tumor cells in combination with their potentially life-long persistence in the host, require careful target selection. We believe the essential features of an ideal antigen for T cell-based immunotherapy are:</w:t>
      </w:r>
    </w:p>
    <w:p>
      <w:pPr>
        <w:spacing w:after="0" w:line="29" w:lineRule="exact"/>
        <w:rPr>
          <w:sz w:val="20"/>
          <w:szCs w:val="20"/>
          <w:color w:val="auto"/>
        </w:rPr>
      </w:pPr>
    </w:p>
    <w:p>
      <w:pPr>
        <w:ind w:left="980" w:hanging="324"/>
        <w:spacing w:after="0"/>
        <w:tabs>
          <w:tab w:leader="none" w:pos="9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Absence of expression from any toxicity-relevant non-malignant tissue, to prevent off-tumor/on-target toxicity;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Expression on the cell surface of tumor cells at sufficient levels to allow for recognition and lysis by CAR-T cells.</w:t>
      </w:r>
    </w:p>
    <w:p>
      <w:pPr>
        <w:spacing w:after="0" w:line="225"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We are developing CAR T programs targeting two different members of the Claudin family, namely CLDN6 and CLDN18.2. Claudins, or CLDNs, are central components of tight junctions that regulate epithelial-cell barrier function and polarity. Most of the CLDNs are broadly expressed, while CLDN6 and CLDN18.2 are exclusively expressed in different high medical need cancers. Disturbance and dysregulation of tight junction molecules is a frequent hallmark of cancer cells and often associated with malignant transformation and metastasis and, hence, disease progression.</w:t>
      </w:r>
    </w:p>
    <w:p>
      <w:pPr>
        <w:spacing w:after="0" w:line="15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CLDN6 is an oncofetal cell surface antigen expressed in embryonic stem cells during fetal development. The gene encoding CLDN6 is strictly silenced and not expressed in healthy adult tissues but re-activated in different cancers with a high medical need including ovarian, endometrial, testicular and lung cancers.</w:t>
      </w:r>
    </w:p>
    <w:p>
      <w:pPr>
        <w:spacing w:after="0" w:line="184"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In contrast to CLDN6, CLDN18.2 is a tissue restricted marker that is exclusively expressed in short-lived differentiated cells of the gastric mucosa. CLDN18.2 is observed in a large fraction of gastric cancers. In addition, CLDN18.2 is aberrantly activated in a variety of tumor entities, including esophageal cancer, pancreatic adenocarcinoma and cholangiocarcinoma.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In vivo </w:t>
      </w:r>
      <w:r>
        <w:rPr>
          <w:rFonts w:ascii="Arial" w:cs="Arial" w:eastAsia="Arial" w:hAnsi="Arial"/>
          <w:sz w:val="18"/>
          <w:szCs w:val="18"/>
          <w:b w:val="1"/>
          <w:bCs w:val="1"/>
          <w:i w:val="1"/>
          <w:iCs w:val="1"/>
          <w:color w:val="auto"/>
        </w:rPr>
        <w:t>expansion of engineered T cells using liposomally formulated mRNA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Besides targeting an ideal tumor-specific antigen, the frequency and the persistence of CAR-T cells in the respective patient is a critical factor determining antitumor efficacy. A positive correlation between clinical outcome and CAR-T cell engraftment and persistence has been shown in several CD19-targeting CAR T trials. Both tend to be much more limited in the solid tumor setting, likely due to the lack of circulating antigen-presenting cells, or APCs, such as dendritic cells expressing the target CAR antigen.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To address this critical factor, we developed an approach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stimulation of CAR-T cells that relies on our proprietary FixVac technology for systemic mRNA delivery in combination with our CAR T product candidates. Intravenous administration of a FixVac encoding for the tumor antigen induces expression of the desired target on antigen-presenting cells in secondary lymphoid tissues. FixVac treatment facilitates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CAR-T cells in a dose-dependent manner. Moreover repetitive administration of FixVac results in an improved CAR-T cell persistence as well as an increased anti-tumor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145415</wp:posOffset>
            </wp:positionV>
            <wp:extent cx="3840480" cy="30086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4048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Our CAR-T cell immunotherapies combined with FixVac-mediated </w:t>
      </w:r>
      <w:r>
        <w:rPr>
          <w:rFonts w:ascii="Arial" w:cs="Arial" w:eastAsia="Arial" w:hAnsi="Arial"/>
          <w:sz w:val="13"/>
          <w:szCs w:val="13"/>
          <w:b w:val="1"/>
          <w:bCs w:val="1"/>
          <w:i w:val="1"/>
          <w:iCs w:val="1"/>
          <w:color w:val="auto"/>
        </w:rPr>
        <w:t>in vivo</w:t>
      </w:r>
      <w:r>
        <w:rPr>
          <w:rFonts w:ascii="Arial" w:cs="Arial" w:eastAsia="Arial" w:hAnsi="Arial"/>
          <w:sz w:val="13"/>
          <w:szCs w:val="13"/>
          <w:b w:val="1"/>
          <w:bCs w:val="1"/>
          <w:color w:val="auto"/>
        </w:rPr>
        <w:t xml:space="preserve"> expansion. </w:t>
      </w:r>
      <w:r>
        <w:rPr>
          <w:rFonts w:ascii="Arial" w:cs="Arial" w:eastAsia="Arial" w:hAnsi="Arial"/>
          <w:sz w:val="13"/>
          <w:szCs w:val="13"/>
          <w:color w:val="auto"/>
        </w:rPr>
        <w:t>(A) Autologous T cells engineered to express a CAR are adoptively transferred into the patient.</w:t>
      </w:r>
    </w:p>
    <w:p>
      <w:pPr>
        <w:spacing w:after="0" w:line="15" w:lineRule="exact"/>
        <w:rPr>
          <w:sz w:val="20"/>
          <w:szCs w:val="20"/>
          <w:color w:val="auto"/>
        </w:rPr>
      </w:pPr>
    </w:p>
    <w:p>
      <w:pPr>
        <w:jc w:val="both"/>
        <w:ind w:left="120" w:right="580" w:hanging="4"/>
        <w:spacing w:after="0" w:line="232" w:lineRule="auto"/>
        <w:tabs>
          <w:tab w:leader="none" w:pos="348" w:val="left"/>
        </w:tabs>
        <w:numPr>
          <w:ilvl w:val="0"/>
          <w:numId w:val="168"/>
        </w:numPr>
        <w:rPr>
          <w:rFonts w:ascii="Arial" w:cs="Arial" w:eastAsia="Arial" w:hAnsi="Arial"/>
          <w:sz w:val="14"/>
          <w:szCs w:val="14"/>
          <w:color w:val="auto"/>
        </w:rPr>
      </w:pPr>
      <w:r>
        <w:rPr>
          <w:rFonts w:ascii="Arial" w:cs="Arial" w:eastAsia="Arial" w:hAnsi="Arial"/>
          <w:sz w:val="14"/>
          <w:szCs w:val="14"/>
          <w:color w:val="auto"/>
        </w:rPr>
        <w:t xml:space="preserve">Full-length CAR target-encoding mRNA is complexed with liposomes to form lipoplexes (FixVac). (C) Intravenously administered FixVac selectively targets APCs in secondary lymphoid organs facilitating uptake, antigen expression and maturation of APCs. Exposure of CAR-T cells to their target results in CAR-T cell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expansion. (D) FixVac can be administered repetitively to achieve controlled expansion and persistence of CAR-T cells within the therapeutic window.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CAR T Development Plan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first CAR T product candidate, BNT211, includes a second-generation CAR directed against CLDN6. Our second product candidate is BNT212, which includes a CLDN18.2-targeting CAR. We expect to initiate a Phase 1/2 basket trial of our novel combination CLDN6 CAR-T cell and CLDN6 FixVac product candidate in multiple solid tumors in the first half of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1020" w:type="dxa"/>
            <w:vAlign w:val="bottom"/>
          </w:tcPr>
          <w:p>
            <w:pPr>
              <w:spacing w:after="0"/>
              <w:rPr>
                <w:sz w:val="16"/>
                <w:szCs w:val="16"/>
                <w:color w:val="auto"/>
              </w:rPr>
            </w:pPr>
          </w:p>
        </w:tc>
        <w:tc>
          <w:tcPr>
            <w:tcW w:w="3380" w:type="dxa"/>
            <w:vAlign w:val="bottom"/>
          </w:tcPr>
          <w:p>
            <w:pPr>
              <w:ind w:left="1220"/>
              <w:spacing w:after="0"/>
              <w:rPr>
                <w:sz w:val="20"/>
                <w:szCs w:val="20"/>
                <w:color w:val="auto"/>
              </w:rPr>
            </w:pPr>
            <w:r>
              <w:rPr>
                <w:rFonts w:ascii="Arial" w:cs="Arial" w:eastAsia="Arial" w:hAnsi="Arial"/>
                <w:sz w:val="14"/>
                <w:szCs w:val="14"/>
                <w:b w:val="1"/>
                <w:bCs w:val="1"/>
                <w:color w:val="auto"/>
              </w:rPr>
              <w:t>Antigen Target</w:t>
            </w:r>
          </w:p>
        </w:tc>
        <w:tc>
          <w:tcPr>
            <w:tcW w:w="320" w:type="dxa"/>
            <w:vAlign w:val="bottom"/>
          </w:tcPr>
          <w:p>
            <w:pPr>
              <w:spacing w:after="0"/>
              <w:rPr>
                <w:sz w:val="16"/>
                <w:szCs w:val="16"/>
                <w:color w:val="auto"/>
              </w:rPr>
            </w:pPr>
          </w:p>
        </w:tc>
        <w:tc>
          <w:tcPr>
            <w:tcW w:w="3500" w:type="dxa"/>
            <w:vAlign w:val="bottom"/>
            <w:gridSpan w:val="2"/>
          </w:tcPr>
          <w:p>
            <w:pPr>
              <w:ind w:left="1080"/>
              <w:spacing w:after="0"/>
              <w:rPr>
                <w:sz w:val="20"/>
                <w:szCs w:val="20"/>
                <w:color w:val="auto"/>
              </w:rPr>
            </w:pPr>
            <w:r>
              <w:rPr>
                <w:rFonts w:ascii="Arial" w:cs="Arial" w:eastAsia="Arial" w:hAnsi="Arial"/>
                <w:sz w:val="14"/>
                <w:szCs w:val="14"/>
                <w:b w:val="1"/>
                <w:bCs w:val="1"/>
                <w:color w:val="auto"/>
              </w:rPr>
              <w:t>Development Phase</w:t>
            </w:r>
          </w:p>
        </w:tc>
        <w:tc>
          <w:tcPr>
            <w:tcW w:w="2160" w:type="dxa"/>
            <w:vAlign w:val="bottom"/>
          </w:tcPr>
          <w:p>
            <w:pPr>
              <w:ind w:left="32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Pr>
          <w:p>
            <w:pPr>
              <w:spacing w:after="0" w:line="189" w:lineRule="exact"/>
              <w:rPr>
                <w:sz w:val="20"/>
                <w:szCs w:val="20"/>
                <w:color w:val="auto"/>
              </w:rPr>
            </w:pPr>
            <w:r>
              <w:rPr>
                <w:rFonts w:ascii="Arial" w:cs="Arial" w:eastAsia="Arial" w:hAnsi="Arial"/>
                <w:sz w:val="18"/>
                <w:szCs w:val="18"/>
                <w:color w:val="auto"/>
                <w:w w:val="93"/>
              </w:rPr>
              <w:t>BNT211</w:t>
            </w:r>
          </w:p>
        </w:tc>
        <w:tc>
          <w:tcPr>
            <w:tcW w:w="1020" w:type="dxa"/>
            <w:vAlign w:val="bottom"/>
          </w:tcPr>
          <w:p>
            <w:pPr>
              <w:spacing w:after="0"/>
              <w:rPr>
                <w:sz w:val="16"/>
                <w:szCs w:val="16"/>
                <w:color w:val="auto"/>
              </w:rPr>
            </w:pPr>
          </w:p>
        </w:tc>
        <w:tc>
          <w:tcPr>
            <w:tcW w:w="3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CLDN6</w:t>
            </w:r>
          </w:p>
        </w:tc>
        <w:tc>
          <w:tcPr>
            <w:tcW w:w="320" w:type="dxa"/>
            <w:vAlign w:val="bottom"/>
          </w:tcPr>
          <w:p>
            <w:pPr>
              <w:spacing w:after="0"/>
              <w:rPr>
                <w:sz w:val="16"/>
                <w:szCs w:val="16"/>
                <w:color w:val="auto"/>
              </w:rPr>
            </w:pPr>
          </w:p>
        </w:tc>
        <w:tc>
          <w:tcPr>
            <w:tcW w:w="3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Preclinical</w:t>
            </w:r>
          </w:p>
        </w:tc>
        <w:tc>
          <w:tcPr>
            <w:tcW w:w="120" w:type="dxa"/>
            <w:vAlign w:val="bottom"/>
          </w:tcPr>
          <w:p>
            <w:pPr>
              <w:spacing w:after="0"/>
              <w:rPr>
                <w:sz w:val="16"/>
                <w:szCs w:val="16"/>
                <w:color w:val="auto"/>
              </w:rPr>
            </w:pPr>
          </w:p>
        </w:tc>
        <w:tc>
          <w:tcPr>
            <w:tcW w:w="2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Initiate Phase 1/2</w:t>
            </w:r>
          </w:p>
        </w:tc>
      </w:tr>
      <w:tr>
        <w:trPr>
          <w:trHeight w:val="216"/>
        </w:trPr>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trial in 1H 2020</w:t>
            </w:r>
          </w:p>
        </w:tc>
      </w:tr>
      <w:tr>
        <w:trPr>
          <w:trHeight w:val="244"/>
        </w:trPr>
        <w:tc>
          <w:tcPr>
            <w:tcW w:w="640" w:type="dxa"/>
            <w:vAlign w:val="bottom"/>
          </w:tcPr>
          <w:p>
            <w:pPr>
              <w:spacing w:after="0"/>
              <w:rPr>
                <w:sz w:val="20"/>
                <w:szCs w:val="20"/>
                <w:color w:val="auto"/>
              </w:rPr>
            </w:pPr>
            <w:r>
              <w:rPr>
                <w:rFonts w:ascii="Arial" w:cs="Arial" w:eastAsia="Arial" w:hAnsi="Arial"/>
                <w:sz w:val="18"/>
                <w:szCs w:val="18"/>
                <w:color w:val="auto"/>
                <w:w w:val="93"/>
              </w:rPr>
              <w:t>BNT212</w:t>
            </w:r>
          </w:p>
        </w:tc>
        <w:tc>
          <w:tcPr>
            <w:tcW w:w="4400" w:type="dxa"/>
            <w:vAlign w:val="bottom"/>
            <w:gridSpan w:val="2"/>
          </w:tcPr>
          <w:p>
            <w:pPr>
              <w:ind w:left="1020"/>
              <w:spacing w:after="0"/>
              <w:rPr>
                <w:sz w:val="20"/>
                <w:szCs w:val="20"/>
                <w:color w:val="auto"/>
              </w:rPr>
            </w:pPr>
            <w:r>
              <w:rPr>
                <w:rFonts w:ascii="Arial" w:cs="Arial" w:eastAsia="Arial" w:hAnsi="Arial"/>
                <w:sz w:val="18"/>
                <w:szCs w:val="18"/>
                <w:color w:val="auto"/>
              </w:rPr>
              <w:t>CLDN18.2</w:t>
            </w:r>
          </w:p>
        </w:tc>
        <w:tc>
          <w:tcPr>
            <w:tcW w:w="3820" w:type="dxa"/>
            <w:vAlign w:val="bottom"/>
            <w:gridSpan w:val="3"/>
          </w:tcPr>
          <w:p>
            <w:pPr>
              <w:ind w:left="320"/>
              <w:spacing w:after="0"/>
              <w:rPr>
                <w:sz w:val="20"/>
                <w:szCs w:val="20"/>
                <w:color w:val="auto"/>
              </w:rPr>
            </w:pPr>
            <w:r>
              <w:rPr>
                <w:rFonts w:ascii="Arial" w:cs="Arial" w:eastAsia="Arial" w:hAnsi="Arial"/>
                <w:sz w:val="18"/>
                <w:szCs w:val="18"/>
                <w:color w:val="auto"/>
              </w:rPr>
              <w:t>Preclinical</w:t>
            </w:r>
          </w:p>
        </w:tc>
        <w:tc>
          <w:tcPr>
            <w:tcW w:w="21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980" w:hanging="432"/>
        <w:spacing w:after="0"/>
        <w:tabs>
          <w:tab w:leader="none" w:pos="9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TCRs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TCR is part of a complex signaling machinery, which includes the TCR α and ß chains that are responsible for antigen recognition, the coreceptor CD4</w:t>
      </w:r>
      <w:r>
        <w:rPr>
          <w:rFonts w:ascii="Arial" w:cs="Arial" w:eastAsia="Arial" w:hAnsi="Arial"/>
          <w:sz w:val="15"/>
          <w:szCs w:val="15"/>
          <w:color w:val="auto"/>
        </w:rPr>
        <w:t>+</w:t>
      </w:r>
      <w:r>
        <w:rPr>
          <w:rFonts w:ascii="Arial" w:cs="Arial" w:eastAsia="Arial" w:hAnsi="Arial"/>
          <w:sz w:val="18"/>
          <w:szCs w:val="18"/>
          <w:color w:val="auto"/>
        </w:rPr>
        <w:t xml:space="preserve"> or CD8</w:t>
      </w:r>
      <w:r>
        <w:rPr>
          <w:rFonts w:ascii="Arial" w:cs="Arial" w:eastAsia="Arial" w:hAnsi="Arial"/>
          <w:sz w:val="15"/>
          <w:szCs w:val="15"/>
          <w:color w:val="auto"/>
        </w:rPr>
        <w:t>+</w:t>
      </w:r>
      <w:r>
        <w:rPr>
          <w:rFonts w:ascii="Arial" w:cs="Arial" w:eastAsia="Arial" w:hAnsi="Arial"/>
          <w:sz w:val="18"/>
          <w:szCs w:val="18"/>
          <w:color w:val="auto"/>
        </w:rPr>
        <w:t xml:space="preserve"> and the CD3 signal transduction complex. TCRs recognize antigens presented on the cell surface as small peptides loaded on the patients’ HLA molecules.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Those peptides are derived from proteins after intracellular degradation. In contrast to CARs that recognize solely native membrane proteins, the repertoire of suitable TCR target antigens include TAAs and mutant neoantigens.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133985</wp:posOffset>
            </wp:positionV>
            <wp:extent cx="2417445" cy="25285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1744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TCR complex. </w:t>
      </w:r>
      <w:r>
        <w:rPr>
          <w:rFonts w:ascii="Arial" w:cs="Arial" w:eastAsia="Arial" w:hAnsi="Arial"/>
          <w:sz w:val="14"/>
          <w:szCs w:val="14"/>
          <w:color w:val="auto"/>
        </w:rPr>
        <w:t>The illustration above shows the basic structure of a TCR complex.</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TCR discovery and validation platform</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developed an integrated technology platform for the systematic identification of functional, fully human TCRs from single antigen-reactive T cells. This technology consists of a proprietary high-throughput approach for the fast retrieval, cloning and rapid validation of novel paired T cell receptor sequences. Our approach facilitates the isolation of tumor cell specific TCRs against multiple antigens and various HLA class I and II alleles.</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believe our TCR discovery technology has the potential to unlock an array of patient and tumor specific TCRs suitable for clinical use. We believe this technology has potential utility for:</w:t>
      </w:r>
    </w:p>
    <w:p>
      <w:pPr>
        <w:spacing w:after="0" w:line="76" w:lineRule="exact"/>
        <w:rPr>
          <w:sz w:val="20"/>
          <w:szCs w:val="20"/>
          <w:color w:val="auto"/>
        </w:rPr>
      </w:pPr>
    </w:p>
    <w:p>
      <w:pPr>
        <w:ind w:left="980" w:hanging="324"/>
        <w:spacing w:after="0"/>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therapeutic TCR products encompassing single TCRs for targeting a specific antigen;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therapeutic TCR warehouse encompassing multiple TCRs for targeting of one or more tumor antigens; or</w:t>
      </w:r>
    </w:p>
    <w:p>
      <w:pPr>
        <w:spacing w:after="0" w:line="130"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individualized T cell therapy involving on-demand identification and timely manufacturing of customized, engineered T cells with autologous TCRs against neoepitopes for adoptive transfer.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TCR 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our collaborator Eli Lilly are studying potential TCR product candidates in preclinical studies.</w:t>
      </w:r>
    </w:p>
    <w:p>
      <w:pPr>
        <w:spacing w:after="0" w:line="370" w:lineRule="exact"/>
        <w:rPr>
          <w:sz w:val="20"/>
          <w:szCs w:val="20"/>
          <w:color w:val="auto"/>
        </w:rPr>
      </w:pPr>
    </w:p>
    <w:p>
      <w:pPr>
        <w:ind w:left="540" w:hanging="424"/>
        <w:spacing w:after="0"/>
        <w:tabs>
          <w:tab w:leader="none" w:pos="5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Antibodies Drug Class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past decades, monoclonal antibodies, or mAbs, have transformed from scientific tools to powerful human therapeutics. As one of the fastest growing classes of drugs, to date, more than 40 mAbs have been approved to treat a variety of diseases including cancer, inflammation, autoimmune diseases and others. In addition, identified antigen binding domains are also fundamental elements for the construction of novel therapeutic formats and formulations, such as CAR-T cells, bispecific therapeutics and targeted nanoparticles.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9"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have developed and integrated multiple complementary antibody and antibody-mimetic protein technologies into our overall portfolio of treatment approaches.</w:t>
      </w:r>
    </w:p>
    <w:p>
      <w:pPr>
        <w:spacing w:after="0" w:line="315" w:lineRule="exact"/>
        <w:rPr>
          <w:sz w:val="20"/>
          <w:szCs w:val="20"/>
          <w:color w:val="auto"/>
        </w:rPr>
      </w:pPr>
    </w:p>
    <w:p>
      <w:pPr>
        <w:ind w:left="980" w:hanging="432"/>
        <w:spacing w:after="0"/>
        <w:tabs>
          <w:tab w:leader="none" w:pos="9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Our next-generation checkpoint immunomodulators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4655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465580"/>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Next-generation Checkpoint Immunomodulators</w:t>
      </w:r>
    </w:p>
    <w:p>
      <w:pPr>
        <w:spacing w:after="0" w:line="127" w:lineRule="exact"/>
        <w:rPr>
          <w:sz w:val="20"/>
          <w:szCs w:val="20"/>
          <w:color w:val="auto"/>
        </w:rPr>
      </w:pPr>
    </w:p>
    <w:p>
      <w:pPr>
        <w:ind w:left="660" w:right="260" w:hanging="328"/>
        <w:spacing w:after="0" w:line="312" w:lineRule="auto"/>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b w:val="1"/>
          <w:bCs w:val="1"/>
          <w:color w:val="auto"/>
        </w:rPr>
        <w:t xml:space="preserve">Concept: </w:t>
      </w:r>
      <w:r>
        <w:rPr>
          <w:rFonts w:ascii="Arial" w:cs="Arial" w:eastAsia="Arial" w:hAnsi="Arial"/>
          <w:sz w:val="17"/>
          <w:szCs w:val="17"/>
          <w:color w:val="auto"/>
        </w:rPr>
        <w:t>Bispecific antibodies for dual immunomodulation, initially targeting 4-1BB, an immune checkpoint that is expressed on T cells and</w:t>
      </w:r>
      <w:r>
        <w:rPr>
          <w:rFonts w:ascii="Arial" w:cs="Arial" w:eastAsia="Arial" w:hAnsi="Arial"/>
          <w:sz w:val="17"/>
          <w:szCs w:val="17"/>
          <w:b w:val="1"/>
          <w:bCs w:val="1"/>
          <w:color w:val="auto"/>
        </w:rPr>
        <w:t xml:space="preserve"> </w:t>
      </w:r>
      <w:r>
        <w:rPr>
          <w:rFonts w:ascii="Arial" w:cs="Arial" w:eastAsia="Arial" w:hAnsi="Arial"/>
          <w:sz w:val="17"/>
          <w:szCs w:val="17"/>
          <w:color w:val="auto"/>
        </w:rPr>
        <w:t>NK cells and can enhance immune cell proliferation and activation, in combination with simultaneous checkpoint inhibition.</w:t>
      </w:r>
    </w:p>
    <w:p>
      <w:pPr>
        <w:spacing w:after="0" w:line="45" w:lineRule="exact"/>
        <w:rPr>
          <w:rFonts w:ascii="Arial" w:cs="Arial" w:eastAsia="Arial" w:hAnsi="Arial"/>
          <w:sz w:val="17"/>
          <w:szCs w:val="17"/>
          <w:color w:val="auto"/>
        </w:rPr>
      </w:pPr>
    </w:p>
    <w:p>
      <w:pPr>
        <w:ind w:left="660" w:right="280" w:hanging="328"/>
        <w:spacing w:after="0" w:line="347" w:lineRule="auto"/>
        <w:tabs>
          <w:tab w:leader="none" w:pos="660"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 xml:space="preserve">Mechanism: </w:t>
      </w:r>
      <w:r>
        <w:rPr>
          <w:rFonts w:ascii="Arial" w:cs="Arial" w:eastAsia="Arial" w:hAnsi="Arial"/>
          <w:sz w:val="16"/>
          <w:szCs w:val="16"/>
          <w:color w:val="auto"/>
        </w:rPr>
        <w:t>Conditional activation of 4-1BB checkpoint only upon simultaneous binding of PD-L1 or CD40 (in the case of our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candidates), potentially avoiding toxicities seen in prior attempts at 4-1BB agonism by localizing 4-1BB activation to the tumor environment.</w:t>
      </w:r>
    </w:p>
    <w:p>
      <w:pPr>
        <w:spacing w:after="0" w:line="21" w:lineRule="exact"/>
        <w:rPr>
          <w:rFonts w:ascii="Arial" w:cs="Arial" w:eastAsia="Arial" w:hAnsi="Arial"/>
          <w:sz w:val="16"/>
          <w:szCs w:val="16"/>
          <w:color w:val="auto"/>
        </w:rPr>
      </w:pPr>
    </w:p>
    <w:p>
      <w:pPr>
        <w:ind w:left="660" w:right="100" w:hanging="328"/>
        <w:spacing w:after="0" w:line="282"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and profit share with Genmab, combining our and Genmab’s immunostimulatory antibodies and extensive</w:t>
      </w:r>
      <w:r>
        <w:rPr>
          <w:rFonts w:ascii="Arial" w:cs="Arial" w:eastAsia="Arial" w:hAnsi="Arial"/>
          <w:sz w:val="18"/>
          <w:szCs w:val="18"/>
          <w:b w:val="1"/>
          <w:bCs w:val="1"/>
          <w:color w:val="auto"/>
        </w:rPr>
        <w:t xml:space="preserve"> </w:t>
      </w:r>
      <w:r>
        <w:rPr>
          <w:rFonts w:ascii="Arial" w:cs="Arial" w:eastAsia="Arial" w:hAnsi="Arial"/>
          <w:sz w:val="18"/>
          <w:szCs w:val="18"/>
          <w:color w:val="auto"/>
        </w:rPr>
        <w:t>immunology expertise with Genmab’s DuoBody bispecific antibody platform.</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GEN1046 (BNT311), our PD-L1x4-1BB product candidate for multiple solid tumors.</w:t>
      </w:r>
    </w:p>
    <w:p>
      <w:pPr>
        <w:spacing w:after="0" w:line="28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Following the success of immune checkpoint blocking antibodies targeting CTLA-4, PD-1 or PD-L1 in cancer treatment, bispecific antibody formats represent the next generation of emerging immunotherapies with the potential to further improve clinical efficacy. In addition to bispecific T cell engager formats, which redirect T-cell cytotoxicity to malignant cells, bispecific antibodies can be formatted as tumor-targeted immunomodulators and dual immunomodulators. Tumor-targeted immunomodulators direct potent immune costimulation to the tumor-infiltrating immune cells, whereas dual immunomodulators simultaneously address two immunomodulating targets, resulting in blockade of inhibitory targets, depletion of suppressive cells or activation of immune effector cells.</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are developing, in collaboration with Genmab, bispecific antibodies that function as dual immunomodulators, applying Genmab’s proprietary DuoBody technology in combination with our target identification expertise. These next-generation checkpoint immunomodulators are thought to induce beneficial co-stimulation, promoting specific T cell activation, survival, proliferation and T cell effector functions. Our collaboration encompasses three potential classes of immunotherapeutic bispecific antibodies:</w:t>
      </w:r>
    </w:p>
    <w:p>
      <w:pPr>
        <w:spacing w:after="0" w:line="92" w:lineRule="exact"/>
        <w:rPr>
          <w:sz w:val="20"/>
          <w:szCs w:val="20"/>
          <w:color w:val="auto"/>
        </w:rPr>
      </w:pPr>
    </w:p>
    <w:p>
      <w:pPr>
        <w:ind w:left="980" w:right="80" w:hanging="324"/>
        <w:spacing w:after="0" w:line="263" w:lineRule="auto"/>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Tumor-targeted DuoBody molecules are bispecific antibodies targeting a tumor-specific antigen expressed by the malignant cell, and an immunomodulatory receptor expressed by tumor-infiltrating immune cells. This is expected to induce powerful activation of tumor-specific effector immune cells with reduced risk of immune-related adverse events.</w:t>
      </w:r>
    </w:p>
    <w:p>
      <w:pPr>
        <w:spacing w:after="0" w:line="89"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Cis-activating DuoBody molecules are bispecific antibodies that bind two distinct immunomodulating targets presented on the same cell. Addressed targets are specifically expressed on activated immune cells with the rationale to boost existing immune responses by additive or synergistic effects of dual immunomodulation.</w:t>
      </w:r>
    </w:p>
    <w:p>
      <w:pPr>
        <w:spacing w:after="0" w:line="89" w:lineRule="exact"/>
        <w:rPr>
          <w:rFonts w:ascii="Arial" w:cs="Arial" w:eastAsia="Arial" w:hAnsi="Arial"/>
          <w:sz w:val="18"/>
          <w:szCs w:val="18"/>
          <w:color w:val="auto"/>
        </w:rPr>
      </w:pPr>
    </w:p>
    <w:p>
      <w:pPr>
        <w:jc w:val="both"/>
        <w:ind w:left="980" w:right="140" w:hanging="324"/>
        <w:spacing w:after="0" w:line="263" w:lineRule="auto"/>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Trans-activating DuoBody molecules are bispecific antibodies that bind two distinct immunomodulating targets expressed on two separate cell subsets. By simultaneously targeting, for example, effector immune cells and antigen-presenting cells, these compounds are thought to amplify the immune cell priming process and augment subsequent effector responses.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205740</wp:posOffset>
            </wp:positionV>
            <wp:extent cx="2297430" cy="20142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29743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right="120"/>
        <w:spacing w:after="0" w:line="258" w:lineRule="auto"/>
        <w:rPr>
          <w:sz w:val="20"/>
          <w:szCs w:val="20"/>
          <w:color w:val="auto"/>
        </w:rPr>
      </w:pPr>
      <w:r>
        <w:rPr>
          <w:rFonts w:ascii="Arial" w:cs="Arial" w:eastAsia="Arial" w:hAnsi="Arial"/>
          <w:sz w:val="14"/>
          <w:szCs w:val="14"/>
          <w:b w:val="1"/>
          <w:bCs w:val="1"/>
          <w:color w:val="auto"/>
        </w:rPr>
        <w:t xml:space="preserve">Next-generation checkpoint immunomodulators. </w:t>
      </w:r>
      <w:r>
        <w:rPr>
          <w:rFonts w:ascii="Arial" w:cs="Arial" w:eastAsia="Arial" w:hAnsi="Arial"/>
          <w:sz w:val="14"/>
          <w:szCs w:val="14"/>
          <w:color w:val="auto"/>
        </w:rPr>
        <w:t>Our collaboration with Genmab potentially includes bispecific antibodies from three different classes: trans-activating, cis-activating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tumor-targeting antibodies.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Next-generation Checkpoint Immunomodulator Development Plan</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are currently developing two next-generation checkpoint immunomodulator product candidates: GEN1046 (BNT311), our anti-PDL1x4-1BB bispecific antibody, and BNT312, our CD40x4-1BB bispecific antibody.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Candidate</w:t>
            </w:r>
          </w:p>
        </w:tc>
        <w:tc>
          <w:tcPr>
            <w:tcW w:w="1440" w:type="dxa"/>
            <w:vAlign w:val="bottom"/>
          </w:tcPr>
          <w:p>
            <w:pPr>
              <w:ind w:left="500"/>
              <w:spacing w:after="0"/>
              <w:rPr>
                <w:sz w:val="20"/>
                <w:szCs w:val="20"/>
                <w:color w:val="auto"/>
              </w:rPr>
            </w:pPr>
            <w:r>
              <w:rPr>
                <w:rFonts w:ascii="Arial" w:cs="Arial" w:eastAsia="Arial" w:hAnsi="Arial"/>
                <w:sz w:val="14"/>
                <w:szCs w:val="14"/>
                <w:b w:val="1"/>
                <w:bCs w:val="1"/>
                <w:color w:val="auto"/>
              </w:rPr>
              <w:t>Targets</w:t>
            </w:r>
          </w:p>
        </w:tc>
        <w:tc>
          <w:tcPr>
            <w:tcW w:w="220" w:type="dxa"/>
            <w:vAlign w:val="bottom"/>
          </w:tcPr>
          <w:p>
            <w:pPr>
              <w:spacing w:after="0"/>
              <w:rPr>
                <w:sz w:val="16"/>
                <w:szCs w:val="16"/>
                <w:color w:val="auto"/>
              </w:rPr>
            </w:pPr>
          </w:p>
        </w:tc>
        <w:tc>
          <w:tcPr>
            <w:tcW w:w="4920" w:type="dxa"/>
            <w:vAlign w:val="bottom"/>
          </w:tcPr>
          <w:p>
            <w:pPr>
              <w:ind w:left="1860"/>
              <w:spacing w:after="0"/>
              <w:rPr>
                <w:sz w:val="20"/>
                <w:szCs w:val="20"/>
                <w:color w:val="auto"/>
              </w:rPr>
            </w:pPr>
            <w:r>
              <w:rPr>
                <w:rFonts w:ascii="Arial" w:cs="Arial" w:eastAsia="Arial" w:hAnsi="Arial"/>
                <w:sz w:val="14"/>
                <w:szCs w:val="14"/>
                <w:b w:val="1"/>
                <w:bCs w:val="1"/>
                <w:color w:val="auto"/>
              </w:rPr>
              <w:t>Development Phase</w:t>
            </w:r>
          </w:p>
        </w:tc>
        <w:tc>
          <w:tcPr>
            <w:tcW w:w="100" w:type="dxa"/>
            <w:vAlign w:val="bottom"/>
          </w:tcPr>
          <w:p>
            <w:pPr>
              <w:spacing w:after="0"/>
              <w:rPr>
                <w:sz w:val="16"/>
                <w:szCs w:val="16"/>
                <w:color w:val="auto"/>
              </w:rPr>
            </w:pPr>
          </w:p>
        </w:tc>
        <w:tc>
          <w:tcPr>
            <w:tcW w:w="2020" w:type="dxa"/>
            <w:vAlign w:val="bottom"/>
          </w:tcPr>
          <w:p>
            <w:pPr>
              <w:ind w:left="260"/>
              <w:spacing w:after="0"/>
              <w:rPr>
                <w:sz w:val="20"/>
                <w:szCs w:val="20"/>
                <w:color w:val="auto"/>
              </w:rPr>
            </w:pPr>
            <w:r>
              <w:rPr>
                <w:rFonts w:ascii="Arial" w:cs="Arial" w:eastAsia="Arial" w:hAnsi="Arial"/>
                <w:sz w:val="14"/>
                <w:szCs w:val="14"/>
                <w:b w:val="1"/>
                <w:bCs w:val="1"/>
                <w:color w:val="auto"/>
              </w:rPr>
              <w:t>Next Potential Milestone</w:t>
            </w:r>
          </w:p>
        </w:tc>
      </w:tr>
      <w:tr>
        <w:trPr>
          <w:trHeight w:val="202"/>
        </w:trPr>
        <w:tc>
          <w:tcPr>
            <w:tcW w:w="6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78"/>
              </w:rPr>
              <w:t>GEN1046</w:t>
            </w:r>
          </w:p>
        </w:tc>
        <w:tc>
          <w:tcPr>
            <w:tcW w:w="1680" w:type="dxa"/>
            <w:vAlign w:val="bottom"/>
          </w:tcPr>
          <w:p>
            <w:pPr>
              <w:ind w:left="140"/>
              <w:spacing w:after="0" w:line="190" w:lineRule="exact"/>
              <w:rPr>
                <w:sz w:val="20"/>
                <w:szCs w:val="20"/>
                <w:color w:val="auto"/>
              </w:rPr>
            </w:pPr>
            <w:r>
              <w:rPr>
                <w:rFonts w:ascii="Arial" w:cs="Arial" w:eastAsia="Arial" w:hAnsi="Arial"/>
                <w:sz w:val="18"/>
                <w:szCs w:val="18"/>
                <w:color w:val="auto"/>
              </w:rPr>
              <w:t>(BNT311)</w:t>
            </w:r>
          </w:p>
        </w:tc>
        <w:tc>
          <w:tcPr>
            <w:tcW w:w="14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PD-L1x4-1BB</w:t>
            </w:r>
          </w:p>
        </w:tc>
        <w:tc>
          <w:tcPr>
            <w:tcW w:w="220" w:type="dxa"/>
            <w:vAlign w:val="bottom"/>
          </w:tcPr>
          <w:p>
            <w:pPr>
              <w:spacing w:after="0"/>
              <w:rPr>
                <w:sz w:val="17"/>
                <w:szCs w:val="17"/>
                <w:color w:val="auto"/>
              </w:rPr>
            </w:pPr>
          </w:p>
        </w:tc>
        <w:tc>
          <w:tcPr>
            <w:tcW w:w="49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Phase 1/2 basket trial in multiple solid tumors</w:t>
            </w:r>
          </w:p>
        </w:tc>
        <w:tc>
          <w:tcPr>
            <w:tcW w:w="100" w:type="dxa"/>
            <w:vAlign w:val="bottom"/>
          </w:tcPr>
          <w:p>
            <w:pPr>
              <w:spacing w:after="0"/>
              <w:rPr>
                <w:sz w:val="17"/>
                <w:szCs w:val="17"/>
                <w:color w:val="auto"/>
              </w:rPr>
            </w:pPr>
          </w:p>
        </w:tc>
        <w:tc>
          <w:tcPr>
            <w:tcW w:w="20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w:t>
            </w: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BNT312</w:t>
            </w:r>
          </w:p>
        </w:tc>
        <w:tc>
          <w:tcPr>
            <w:tcW w:w="1440" w:type="dxa"/>
            <w:vAlign w:val="bottom"/>
          </w:tcPr>
          <w:p>
            <w:pPr>
              <w:spacing w:after="0"/>
              <w:rPr>
                <w:sz w:val="20"/>
                <w:szCs w:val="20"/>
                <w:color w:val="auto"/>
              </w:rPr>
            </w:pPr>
            <w:r>
              <w:rPr>
                <w:rFonts w:ascii="Arial" w:cs="Arial" w:eastAsia="Arial" w:hAnsi="Arial"/>
                <w:sz w:val="18"/>
                <w:szCs w:val="18"/>
                <w:color w:val="auto"/>
              </w:rPr>
              <w:t>CD-40x4-1BB</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IND filed</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w w:val="92"/>
              </w:rPr>
              <w:t>Commence Phase 1 trial in</w:t>
            </w:r>
          </w:p>
        </w:tc>
      </w:tr>
      <w:tr>
        <w:trPr>
          <w:trHeight w:val="230"/>
        </w:trPr>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2H 2019</w:t>
            </w:r>
          </w:p>
        </w:tc>
      </w:tr>
    </w:tbl>
    <w:p>
      <w:pPr>
        <w:spacing w:after="0" w:line="346" w:lineRule="exact"/>
        <w:rPr>
          <w:sz w:val="20"/>
          <w:szCs w:val="20"/>
          <w:color w:val="auto"/>
        </w:rPr>
      </w:pPr>
    </w:p>
    <w:p>
      <w:pPr>
        <w:ind w:left="980" w:hanging="432"/>
        <w:spacing w:after="0"/>
        <w:tabs>
          <w:tab w:leader="none" w:pos="9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antibody discovery engines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believe that our multiple antibody discovery engines significantly expand our targeting repertoire and enable us to directly, rapidly and efficiently produce new mAb candidates. In addition, antigen-binding domain sequences identified through our antibody discovery engines also feed into our proprietary CAR T cell and mRNA-encoded RiboMab platforms as well as our next-generation checkpoint immunomodulator collaboration. For instance, binders to human 4-1BB were identified from a previous antibody generation campaign and are currently under clinical and preclinical development as part of our next-generation checkpoint immunomodulator collaboration with Genmab. HuMab, our human antibody discovery engine acquired from MabVax Therapeutics in 2019, led to the clinical development of our fully human IgG1 monoclonal antibody product candidate targeting Sialyl Lewis</w:t>
      </w:r>
      <w:r>
        <w:rPr>
          <w:rFonts w:ascii="Arial" w:cs="Arial" w:eastAsia="Arial" w:hAnsi="Arial"/>
          <w:sz w:val="13"/>
          <w:szCs w:val="13"/>
          <w:color w:val="auto"/>
        </w:rPr>
        <w:t>a</w:t>
      </w:r>
      <w:r>
        <w:rPr>
          <w:rFonts w:ascii="Arial" w:cs="Arial" w:eastAsia="Arial" w:hAnsi="Arial"/>
          <w:sz w:val="16"/>
          <w:szCs w:val="16"/>
          <w:color w:val="auto"/>
        </w:rPr>
        <w:t xml:space="preserve"> (sLe</w:t>
      </w:r>
      <w:r>
        <w:rPr>
          <w:rFonts w:ascii="Arial" w:cs="Arial" w:eastAsia="Arial" w:hAnsi="Arial"/>
          <w:sz w:val="13"/>
          <w:szCs w:val="13"/>
          <w:color w:val="auto"/>
        </w:rPr>
        <w:t>a</w:t>
      </w:r>
      <w:r>
        <w:rPr>
          <w:rFonts w:ascii="Arial" w:cs="Arial" w:eastAsia="Arial" w:hAnsi="Arial"/>
          <w:sz w:val="16"/>
          <w:szCs w:val="16"/>
          <w:color w:val="auto"/>
        </w:rPr>
        <w:t>), a carbohydrate moiety that is present in over 90% of pancreatic and a large percentage of gastrointestinal cancers.</w:t>
      </w:r>
    </w:p>
    <w:p>
      <w:pPr>
        <w:spacing w:after="0" w:line="315" w:lineRule="exact"/>
        <w:rPr>
          <w:sz w:val="20"/>
          <w:szCs w:val="20"/>
          <w:color w:val="auto"/>
        </w:rPr>
      </w:pPr>
    </w:p>
    <w:p>
      <w:pPr>
        <w:ind w:left="1540" w:hanging="547"/>
        <w:spacing w:after="0"/>
        <w:tabs>
          <w:tab w:leader="none" w:pos="1540" w:val="left"/>
        </w:tabs>
        <w:numPr>
          <w:ilvl w:val="0"/>
          <w:numId w:val="1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rabbit-based antibody discovery engine</w:t>
      </w:r>
    </w:p>
    <w:p>
      <w:pPr>
        <w:spacing w:after="0" w:line="117"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With the acquisition of MAB Discovery GmbH’s antibody generation unit in 2019, we integrated a unique and proprietary rabbit-based antibody discovery platform that can generate and develop high quality, functional mAbs targeting traditional proteins and receptors as well as a wide variety of more challenging targets. Rabbit monoclonal antibodies are highly diverse and do not require affinity maturation, due to consistently high affinities.</w:t>
      </w:r>
    </w:p>
    <w:p>
      <w:pPr>
        <w:spacing w:after="0" w:line="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They often recognize epitopes on human antigens that are not immunogenic in rodents, thus increasing the total number of targetable epitopes. The mechanisms of antibody diversification in rabbits allow an easy and quick translation of preclinical data into the clinic with an improved probability of success. We established a</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streamlined semi-automated process of rabbit immunization for the efficient production of high-affinity rabbit 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168910</wp:posOffset>
            </wp:positionV>
            <wp:extent cx="3617595" cy="2708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1759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rabbit-based antibody discovery engine. </w:t>
      </w:r>
      <w:r>
        <w:rPr>
          <w:rFonts w:ascii="Arial" w:cs="Arial" w:eastAsia="Arial" w:hAnsi="Arial"/>
          <w:sz w:val="14"/>
          <w:szCs w:val="14"/>
          <w:color w:val="auto"/>
        </w:rPr>
        <w:t>The figure above depicts our semi-automated process for the discovery and production of high-affinity rabbit mAbs.</w:t>
      </w:r>
    </w:p>
    <w:p>
      <w:pPr>
        <w:spacing w:after="0" w:line="360" w:lineRule="exact"/>
        <w:rPr>
          <w:sz w:val="20"/>
          <w:szCs w:val="20"/>
          <w:color w:val="auto"/>
        </w:rPr>
      </w:pPr>
    </w:p>
    <w:p>
      <w:pPr>
        <w:ind w:left="1540" w:hanging="547"/>
        <w:spacing w:after="0"/>
        <w:tabs>
          <w:tab w:leader="none" w:pos="1540" w:val="left"/>
        </w:tabs>
        <w:numPr>
          <w:ilvl w:val="0"/>
          <w:numId w:val="1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fully human antibody discovery engine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HuMab discovery technology focuses on abnormal carbohydrate targets upregulated on solid tumors. Aberrant glycosylation is a common phenotypic change of cancer cells that mainly affects the outer part of glycans. These abnormal carbohydrate structures are known as tumor-associated carbohydrate antigens, or TACAs, and are associated with malignancy grade, invasion, metastasis and poor prognosis. TACAs are considered promising novel targets for therapeutic intervention using, in particular, mAbs or CAR-T cells. However, TACAs usually induce only low-affinity humoral immune responses, since carbohydrate moieties do not trigger the necessary T cell responses.</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Using B cell sorting, hit identification, sequencing, antibody production and high-throughput antibody screening, we are able to select optimal TACA-specific antibodies from multiple clinically confirmed immunotherapy responders. All antibodies emanating from this platform are fully human with no need for additional humanization at minimal risk for immunogenicity.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10115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8604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right="100"/>
        <w:spacing w:after="0" w:line="258" w:lineRule="auto"/>
        <w:rPr>
          <w:sz w:val="20"/>
          <w:szCs w:val="20"/>
          <w:color w:val="auto"/>
        </w:rPr>
      </w:pPr>
      <w:r>
        <w:rPr>
          <w:rFonts w:ascii="Arial" w:cs="Arial" w:eastAsia="Arial" w:hAnsi="Arial"/>
          <w:sz w:val="14"/>
          <w:szCs w:val="14"/>
          <w:b w:val="1"/>
          <w:bCs w:val="1"/>
          <w:color w:val="auto"/>
        </w:rPr>
        <w:t xml:space="preserve">Our fully human antibody discovery engine. </w:t>
      </w:r>
      <w:r>
        <w:rPr>
          <w:rFonts w:ascii="Arial" w:cs="Arial" w:eastAsia="Arial" w:hAnsi="Arial"/>
          <w:sz w:val="14"/>
          <w:szCs w:val="14"/>
          <w:color w:val="auto"/>
        </w:rPr>
        <w:t>The figure above shows our proprietary approach to the discovery and development of novel fully human antibody therapeutic and diagnostic</w:t>
      </w:r>
      <w:r>
        <w:rPr>
          <w:rFonts w:ascii="Arial" w:cs="Arial" w:eastAsia="Arial" w:hAnsi="Arial"/>
          <w:sz w:val="14"/>
          <w:szCs w:val="14"/>
          <w:b w:val="1"/>
          <w:bCs w:val="1"/>
          <w:color w:val="auto"/>
        </w:rPr>
        <w:t xml:space="preserve"> </w:t>
      </w:r>
      <w:r>
        <w:rPr>
          <w:rFonts w:ascii="Arial" w:cs="Arial" w:eastAsia="Arial" w:hAnsi="Arial"/>
          <w:sz w:val="14"/>
          <w:szCs w:val="14"/>
          <w:color w:val="auto"/>
        </w:rPr>
        <w:t>agents.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targeted cancer antibody development plan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Targets</w:t>
            </w:r>
          </w:p>
        </w:tc>
        <w:tc>
          <w:tcPr>
            <w:tcW w:w="5300" w:type="dxa"/>
            <w:vAlign w:val="bottom"/>
          </w:tcPr>
          <w:p>
            <w:pPr>
              <w:ind w:left="2060"/>
              <w:spacing w:after="0"/>
              <w:rPr>
                <w:sz w:val="20"/>
                <w:szCs w:val="20"/>
                <w:color w:val="auto"/>
              </w:rPr>
            </w:pPr>
            <w:r>
              <w:rPr>
                <w:rFonts w:ascii="Arial" w:cs="Arial" w:eastAsia="Arial" w:hAnsi="Arial"/>
                <w:sz w:val="14"/>
                <w:szCs w:val="14"/>
                <w:b w:val="1"/>
                <w:bCs w:val="1"/>
                <w:color w:val="auto"/>
              </w:rPr>
              <w:t>Development Phase</w:t>
            </w:r>
          </w:p>
        </w:tc>
        <w:tc>
          <w:tcPr>
            <w:tcW w:w="120" w:type="dxa"/>
            <w:vAlign w:val="bottom"/>
          </w:tcPr>
          <w:p>
            <w:pPr>
              <w:spacing w:after="0"/>
              <w:rPr>
                <w:sz w:val="16"/>
                <w:szCs w:val="16"/>
                <w:color w:val="auto"/>
              </w:rPr>
            </w:pPr>
          </w:p>
        </w:tc>
        <w:tc>
          <w:tcPr>
            <w:tcW w:w="2040" w:type="dxa"/>
            <w:vAlign w:val="bottom"/>
          </w:tcPr>
          <w:p>
            <w:pPr>
              <w:ind w:left="26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2140" w:type="dxa"/>
            <w:vAlign w:val="bottom"/>
            <w:gridSpan w:val="2"/>
          </w:tcPr>
          <w:p>
            <w:pPr>
              <w:spacing w:after="0" w:line="189" w:lineRule="exact"/>
              <w:rPr>
                <w:sz w:val="20"/>
                <w:szCs w:val="20"/>
                <w:color w:val="auto"/>
              </w:rPr>
            </w:pPr>
            <w:r>
              <w:rPr>
                <w:rFonts w:ascii="Arial" w:cs="Arial" w:eastAsia="Arial" w:hAnsi="Arial"/>
                <w:sz w:val="18"/>
                <w:szCs w:val="18"/>
                <w:color w:val="auto"/>
              </w:rPr>
              <w:t>MVT-5873 (BNT321)</w:t>
            </w:r>
          </w:p>
        </w:tc>
        <w:tc>
          <w:tcPr>
            <w:tcW w:w="540" w:type="dxa"/>
            <w:vAlign w:val="bottom"/>
          </w:tcPr>
          <w:p>
            <w:pPr>
              <w:spacing w:after="0"/>
              <w:rPr>
                <w:sz w:val="16"/>
                <w:szCs w:val="16"/>
                <w:color w:val="auto"/>
              </w:rPr>
            </w:pPr>
          </w:p>
        </w:tc>
        <w:tc>
          <w:tcPr>
            <w:tcW w:w="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sLe</w:t>
            </w:r>
            <w:r>
              <w:rPr>
                <w:rFonts w:ascii="Arial" w:cs="Arial" w:eastAsia="Arial" w:hAnsi="Arial"/>
                <w:sz w:val="15"/>
                <w:szCs w:val="15"/>
                <w:color w:val="auto"/>
              </w:rPr>
              <w:t>a</w:t>
            </w:r>
          </w:p>
        </w:tc>
        <w:tc>
          <w:tcPr>
            <w:tcW w:w="320" w:type="dxa"/>
            <w:vAlign w:val="bottom"/>
          </w:tcPr>
          <w:p>
            <w:pPr>
              <w:spacing w:after="0"/>
              <w:rPr>
                <w:sz w:val="16"/>
                <w:szCs w:val="16"/>
                <w:color w:val="auto"/>
              </w:rPr>
            </w:pPr>
          </w:p>
        </w:tc>
        <w:tc>
          <w:tcPr>
            <w:tcW w:w="5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Phase 1 basket trial in multiple solid tumors; currently paused</w:t>
            </w:r>
          </w:p>
        </w:tc>
        <w:tc>
          <w:tcPr>
            <w:tcW w:w="120" w:type="dxa"/>
            <w:vAlign w:val="bottom"/>
          </w:tcPr>
          <w:p>
            <w:pPr>
              <w:spacing w:after="0"/>
              <w:rPr>
                <w:sz w:val="16"/>
                <w:szCs w:val="16"/>
                <w:color w:val="auto"/>
              </w:rPr>
            </w:pPr>
          </w:p>
        </w:tc>
        <w:tc>
          <w:tcPr>
            <w:tcW w:w="2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Resume Phase 1 trial in 2H</w:t>
            </w:r>
          </w:p>
        </w:tc>
      </w:tr>
      <w:tr>
        <w:trPr>
          <w:trHeight w:val="230"/>
        </w:trPr>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2019</w:t>
            </w:r>
          </w:p>
        </w:tc>
      </w:tr>
    </w:tbl>
    <w:p>
      <w:pPr>
        <w:spacing w:after="0" w:line="34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6"/>
          <w:szCs w:val="16"/>
          <w:b w:val="1"/>
          <w:bCs w:val="1"/>
          <w:color w:val="auto"/>
        </w:rPr>
        <w:t>Our Small Molecule Immunomodulator Drug Class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At a glance: Our Small Molecule Immunomodulators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0026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002665"/>
                    </a:xfrm>
                    <a:prstGeom prst="rect">
                      <a:avLst/>
                    </a:prstGeom>
                    <a:noFill/>
                  </pic:spPr>
                </pic:pic>
              </a:graphicData>
            </a:graphic>
          </wp:anchor>
        </w:drawing>
      </w:r>
    </w:p>
    <w:p>
      <w:pPr>
        <w:spacing w:after="0" w:line="107" w:lineRule="exact"/>
        <w:rPr>
          <w:sz w:val="20"/>
          <w:szCs w:val="20"/>
          <w:color w:val="auto"/>
        </w:rPr>
      </w:pPr>
    </w:p>
    <w:p>
      <w:pPr>
        <w:ind w:left="480" w:right="140" w:hanging="274"/>
        <w:spacing w:after="0" w:line="282" w:lineRule="auto"/>
        <w:tabs>
          <w:tab w:leader="none" w:pos="464"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Small molecule therapies, with a specific focus on TLRs, that can be used synergistically with other cancer therapeutics, including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in our portfolio.</w:t>
      </w:r>
    </w:p>
    <w:p>
      <w:pPr>
        <w:spacing w:after="0" w:line="67" w:lineRule="exact"/>
        <w:rPr>
          <w:rFonts w:ascii="Arial" w:cs="Arial" w:eastAsia="Arial" w:hAnsi="Arial"/>
          <w:sz w:val="18"/>
          <w:szCs w:val="18"/>
          <w:color w:val="auto"/>
        </w:rPr>
      </w:pPr>
    </w:p>
    <w:p>
      <w:pPr>
        <w:ind w:left="460" w:hanging="254"/>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460" w:hanging="254"/>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BNT411, our TLR7 agonist product candidate intended for combination therapies.</w:t>
      </w:r>
    </w:p>
    <w:p>
      <w:pPr>
        <w:spacing w:after="0" w:line="36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Small molecule cancer therapeutics can be used to regulate cancer growth, halt blood vessel formation in tumors, deliver toxins to cancer cells and mark cancer cells for destruction by the immune system. Unlike larger antibody-based cancer therapies, small molecule compounds are often developed for targets located within cells since they can enter the cells more easily as a result of their physical properties and low molecular weight. Small molecules also often have other intrinsic benefits including relative ease and cost of production compared to larger compounds, as well as more frequently having the potential for oral administration to patients. They can also often be used synergistically in combination with other therapeutics such as mRNA, checkpoint inhibitors, radiation therapy and chemotherapy.</w:t>
      </w:r>
    </w:p>
    <w:p>
      <w:pPr>
        <w:spacing w:after="0" w:line="178"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We aim to discover and develop the next generation of small molecule immunomodulatory compounds to improve the standard of care. We have a team of approximately 25 scientists and technicians, with extensive small molecule experience, focused on drug discovery.</w:t>
      </w:r>
    </w:p>
    <w:p>
      <w:pPr>
        <w:spacing w:after="0" w:line="146"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Our immunomodulatory small molecule product class focuses on a range of endosomal and intracellular targets that are known to stimulate the activity of a wide range of immune cells. We have a particular emphasis on TLRs. TLRs are a family of pattern recognition receptors that function as primary sensors of the innate immune system to recognize pathogens. We believe TLRs represent a promising target class for cancer immunotherapy, particularly for inflammatory re-programming of the tumor microenvironment. In many cancers, tumors are protected by an anti-inflammatory environment, which reduces the ability of the immune system to attack the cancer cells. TLR7 agonists are able to initiate a direct cellular immune response, for example, by activating immature dendritic cells, cytotoxic T cells and NK cells, as well as stimulating the release of signal molecules such as cytokines and chemokines including IFN-α and IP-10, which can be directed against tumor cells. The activation of the innate and adaptive immune system and the release of cytokines and chemokines, for instance by our small molecule TLR7 agonist, results in the potent stimulation of antigen specific T cells, B cells and innate immune cells such as NK cells and macrophages.</w:t>
      </w:r>
    </w:p>
    <w:p>
      <w:pPr>
        <w:spacing w:after="0" w:line="18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initial focus is on small molecule product candidates that activate the innate and adaptive immune system via TLR7 and are designed to be used in combination with chemotherapeutics as well as checkpoint inhibitors.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Small Molecule Immunomodulator Development Plan</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initial development candidate is a potent TLR7 agonist, which we plan to develop as a combination therapy for small cell lung cancer and other solid tumors.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2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178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Target</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Development Phase</w:t>
            </w:r>
          </w:p>
        </w:tc>
        <w:tc>
          <w:tcPr>
            <w:tcW w:w="100" w:type="dxa"/>
            <w:vAlign w:val="bottom"/>
          </w:tcPr>
          <w:p>
            <w:pPr>
              <w:spacing w:after="0"/>
              <w:rPr>
                <w:sz w:val="16"/>
                <w:szCs w:val="16"/>
                <w:color w:val="auto"/>
              </w:rPr>
            </w:pPr>
          </w:p>
        </w:tc>
        <w:tc>
          <w:tcPr>
            <w:tcW w:w="2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Next Potential Milestone</w:t>
            </w:r>
          </w:p>
        </w:tc>
      </w:tr>
      <w:tr>
        <w:trPr>
          <w:trHeight w:val="195"/>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line="195" w:lineRule="exact"/>
              <w:rPr>
                <w:sz w:val="20"/>
                <w:szCs w:val="20"/>
                <w:color w:val="auto"/>
              </w:rPr>
            </w:pPr>
            <w:r>
              <w:rPr>
                <w:rFonts w:ascii="Arial" w:cs="Arial" w:eastAsia="Arial" w:hAnsi="Arial"/>
                <w:sz w:val="18"/>
                <w:szCs w:val="18"/>
                <w:color w:val="auto"/>
                <w:w w:val="97"/>
              </w:rPr>
              <w:t>Initiate Phase 1 trial in 1H</w:t>
            </w:r>
          </w:p>
        </w:tc>
      </w:tr>
      <w:tr>
        <w:trPr>
          <w:trHeight w:val="230"/>
        </w:trPr>
        <w:tc>
          <w:tcPr>
            <w:tcW w:w="3120" w:type="dxa"/>
            <w:vAlign w:val="bottom"/>
          </w:tcPr>
          <w:p>
            <w:pPr>
              <w:ind w:left="1240"/>
              <w:spacing w:after="0"/>
              <w:rPr>
                <w:sz w:val="20"/>
                <w:szCs w:val="20"/>
                <w:color w:val="auto"/>
              </w:rPr>
            </w:pPr>
            <w:r>
              <w:rPr>
                <w:rFonts w:ascii="Arial" w:cs="Arial" w:eastAsia="Arial" w:hAnsi="Arial"/>
                <w:sz w:val="18"/>
                <w:szCs w:val="18"/>
                <w:color w:val="auto"/>
              </w:rPr>
              <w:t>BNT411</w:t>
            </w:r>
          </w:p>
        </w:tc>
        <w:tc>
          <w:tcPr>
            <w:tcW w:w="2000" w:type="dxa"/>
            <w:vAlign w:val="bottom"/>
            <w:gridSpan w:val="2"/>
          </w:tcPr>
          <w:p>
            <w:pPr>
              <w:ind w:left="220"/>
              <w:spacing w:after="0"/>
              <w:rPr>
                <w:sz w:val="20"/>
                <w:szCs w:val="20"/>
                <w:color w:val="auto"/>
              </w:rPr>
            </w:pPr>
            <w:r>
              <w:rPr>
                <w:rFonts w:ascii="Arial" w:cs="Arial" w:eastAsia="Arial" w:hAnsi="Arial"/>
                <w:sz w:val="18"/>
                <w:szCs w:val="18"/>
                <w:color w:val="auto"/>
              </w:rPr>
              <w:t>TLR7</w:t>
            </w:r>
          </w:p>
        </w:tc>
        <w:tc>
          <w:tcPr>
            <w:tcW w:w="880" w:type="dxa"/>
            <w:vAlign w:val="bottom"/>
          </w:tcPr>
          <w:p>
            <w:pPr>
              <w:spacing w:after="0"/>
              <w:rPr>
                <w:sz w:val="20"/>
                <w:szCs w:val="20"/>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Preclinical</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2020</w:t>
            </w:r>
          </w:p>
        </w:tc>
      </w:tr>
      <w:tr>
        <w:trPr>
          <w:trHeight w:val="365"/>
        </w:trPr>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XII. OUR PRODUCT CANDIDATES</w:t>
      </w:r>
    </w:p>
    <w:p>
      <w:pPr>
        <w:spacing w:after="0" w:line="121"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We are developing a broad and deep pipeline of over 20 product candidates across our four drug classes. Our product candidates are currently being investigated in eight clinical trials, and we expect to have up to 10 product candidates in the clinic by the end of 2019.</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Oncology</w:t>
      </w: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620" w:type="dxa"/>
            <w:vAlign w:val="bottom"/>
            <w:tcBorders>
              <w:top w:val="single" w:sz="8" w:color="auto"/>
            </w:tcBorders>
            <w:gridSpan w:val="3"/>
          </w:tcPr>
          <w:p>
            <w:pPr>
              <w:spacing w:after="0" w:line="139" w:lineRule="exact"/>
              <w:rPr>
                <w:sz w:val="20"/>
                <w:szCs w:val="20"/>
                <w:color w:val="auto"/>
              </w:rPr>
            </w:pPr>
            <w:r>
              <w:rPr>
                <w:rFonts w:ascii="Arial" w:cs="Arial" w:eastAsia="Arial" w:hAnsi="Arial"/>
                <w:sz w:val="14"/>
                <w:szCs w:val="14"/>
                <w:b w:val="1"/>
                <w:bCs w:val="1"/>
                <w:color w:val="auto"/>
              </w:rPr>
              <w:t>Drug</w:t>
            </w: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vMerge w:val="restart"/>
          </w:tcPr>
          <w:p>
            <w:pPr>
              <w:ind w:left="440"/>
              <w:spacing w:after="0"/>
              <w:rPr>
                <w:sz w:val="20"/>
                <w:szCs w:val="20"/>
                <w:color w:val="auto"/>
              </w:rPr>
            </w:pPr>
            <w:r>
              <w:rPr>
                <w:rFonts w:ascii="Arial" w:cs="Arial" w:eastAsia="Arial" w:hAnsi="Arial"/>
                <w:sz w:val="14"/>
                <w:szCs w:val="14"/>
                <w:b w:val="1"/>
                <w:bCs w:val="1"/>
                <w:color w:val="auto"/>
              </w:rPr>
              <w:t>Platform</w:t>
            </w:r>
          </w:p>
        </w:tc>
        <w:tc>
          <w:tcPr>
            <w:tcW w:w="100" w:type="dxa"/>
            <w:vAlign w:val="bottom"/>
            <w:tcBorders>
              <w:top w:val="single" w:sz="8" w:color="auto"/>
            </w:tcBorders>
            <w:vMerge w:val="restart"/>
          </w:tcPr>
          <w:p>
            <w:pPr>
              <w:spacing w:after="0"/>
              <w:rPr>
                <w:sz w:val="12"/>
                <w:szCs w:val="12"/>
                <w:color w:val="auto"/>
              </w:rPr>
            </w:pPr>
          </w:p>
        </w:tc>
        <w:tc>
          <w:tcPr>
            <w:tcW w:w="166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Product Candidate</w:t>
            </w:r>
          </w:p>
        </w:tc>
        <w:tc>
          <w:tcPr>
            <w:tcW w:w="100" w:type="dxa"/>
            <w:vAlign w:val="bottom"/>
            <w:tcBorders>
              <w:top w:val="single" w:sz="8" w:color="auto"/>
            </w:tcBorders>
            <w:vMerge w:val="restart"/>
          </w:tcPr>
          <w:p>
            <w:pPr>
              <w:spacing w:after="0"/>
              <w:rPr>
                <w:sz w:val="12"/>
                <w:szCs w:val="12"/>
                <w:color w:val="auto"/>
              </w:rPr>
            </w:pPr>
          </w:p>
        </w:tc>
        <w:tc>
          <w:tcPr>
            <w:tcW w:w="2640" w:type="dxa"/>
            <w:vAlign w:val="bottom"/>
            <w:tcBorders>
              <w:top w:val="single" w:sz="8" w:color="auto"/>
            </w:tcBorders>
            <w:vMerge w:val="restart"/>
          </w:tcPr>
          <w:p>
            <w:pPr>
              <w:ind w:left="720"/>
              <w:spacing w:after="0"/>
              <w:rPr>
                <w:sz w:val="20"/>
                <w:szCs w:val="20"/>
                <w:color w:val="auto"/>
              </w:rPr>
            </w:pPr>
            <w:r>
              <w:rPr>
                <w:rFonts w:ascii="Arial" w:cs="Arial" w:eastAsia="Arial" w:hAnsi="Arial"/>
                <w:sz w:val="14"/>
                <w:szCs w:val="14"/>
                <w:b w:val="1"/>
                <w:bCs w:val="1"/>
                <w:color w:val="auto"/>
              </w:rPr>
              <w:t xml:space="preserve">Indication </w:t>
            </w:r>
            <w:r>
              <w:rPr>
                <w:rFonts w:ascii="Arial" w:cs="Arial" w:eastAsia="Arial" w:hAnsi="Arial"/>
                <w:sz w:val="14"/>
                <w:szCs w:val="14"/>
                <w:i w:val="1"/>
                <w:iCs w:val="1"/>
                <w:color w:val="auto"/>
              </w:rPr>
              <w:t>(Targets)</w:t>
            </w:r>
          </w:p>
        </w:tc>
        <w:tc>
          <w:tcPr>
            <w:tcW w:w="100" w:type="dxa"/>
            <w:vAlign w:val="bottom"/>
            <w:tcBorders>
              <w:top w:val="single" w:sz="8" w:color="auto"/>
            </w:tcBorders>
            <w:vMerge w:val="restart"/>
          </w:tcPr>
          <w:p>
            <w:pPr>
              <w:spacing w:after="0"/>
              <w:rPr>
                <w:sz w:val="12"/>
                <w:szCs w:val="12"/>
                <w:color w:val="auto"/>
              </w:rPr>
            </w:pPr>
          </w:p>
        </w:tc>
        <w:tc>
          <w:tcPr>
            <w:tcW w:w="8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Preclinical</w:t>
            </w:r>
          </w:p>
        </w:tc>
        <w:tc>
          <w:tcPr>
            <w:tcW w:w="6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Phase 1</w:t>
            </w:r>
          </w:p>
        </w:tc>
        <w:tc>
          <w:tcPr>
            <w:tcW w:w="6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Phase 2</w:t>
            </w:r>
          </w:p>
        </w:tc>
        <w:tc>
          <w:tcPr>
            <w:tcW w:w="5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4"/>
              </w:rPr>
              <w:t>Phase 3</w:t>
            </w:r>
          </w:p>
        </w:tc>
        <w:tc>
          <w:tcPr>
            <w:tcW w:w="100" w:type="dxa"/>
            <w:vAlign w:val="bottom"/>
            <w:tcBorders>
              <w:top w:val="single" w:sz="8" w:color="auto"/>
            </w:tcBorders>
            <w:vMerge w:val="restart"/>
          </w:tcPr>
          <w:p>
            <w:pPr>
              <w:spacing w:after="0"/>
              <w:rPr>
                <w:sz w:val="12"/>
                <w:szCs w:val="12"/>
                <w:color w:val="auto"/>
              </w:rPr>
            </w:pPr>
          </w:p>
        </w:tc>
        <w:tc>
          <w:tcPr>
            <w:tcW w:w="14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Rights/</w:t>
            </w:r>
          </w:p>
        </w:tc>
        <w:tc>
          <w:tcPr>
            <w:tcW w:w="0" w:type="dxa"/>
            <w:vAlign w:val="bottom"/>
          </w:tcPr>
          <w:p>
            <w:pPr>
              <w:spacing w:after="0"/>
              <w:rPr>
                <w:sz w:val="1"/>
                <w:szCs w:val="1"/>
                <w:color w:val="auto"/>
              </w:rPr>
            </w:pPr>
          </w:p>
        </w:tc>
      </w:tr>
      <w:tr>
        <w:trPr>
          <w:trHeight w:val="185"/>
        </w:trPr>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Collaborator</w:t>
            </w: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BNT111</w:t>
            </w:r>
          </w:p>
        </w:tc>
        <w:tc>
          <w:tcPr>
            <w:tcW w:w="2640" w:type="dxa"/>
            <w:vAlign w:val="bottom"/>
          </w:tcPr>
          <w:p>
            <w:pPr>
              <w:spacing w:after="0" w:line="123" w:lineRule="exact"/>
              <w:rPr>
                <w:sz w:val="20"/>
                <w:szCs w:val="20"/>
                <w:color w:val="auto"/>
              </w:rPr>
            </w:pPr>
            <w:r>
              <w:rPr>
                <w:rFonts w:ascii="Arial" w:cs="Arial" w:eastAsia="Arial" w:hAnsi="Arial"/>
                <w:sz w:val="14"/>
                <w:szCs w:val="14"/>
                <w:color w:val="auto"/>
              </w:rPr>
              <w:t>Advanced Melanoma</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01"/>
        </w:trPr>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FixVac </w:t>
            </w:r>
            <w:r>
              <w:rPr>
                <w:rFonts w:ascii="Arial" w:cs="Arial" w:eastAsia="Arial" w:hAnsi="Arial"/>
                <w:sz w:val="14"/>
                <w:szCs w:val="14"/>
                <w:color w:val="auto"/>
              </w:rPr>
              <w:t>(fixed</w:t>
            </w:r>
          </w:p>
        </w:tc>
        <w:tc>
          <w:tcPr>
            <w:tcW w:w="1760" w:type="dxa"/>
            <w:vAlign w:val="bottom"/>
            <w:gridSpan w:val="2"/>
            <w:vMerge w:val="continue"/>
          </w:tcPr>
          <w:p>
            <w:pPr>
              <w:spacing w:after="0"/>
              <w:rPr>
                <w:sz w:val="8"/>
                <w:szCs w:val="8"/>
                <w:color w:val="auto"/>
              </w:rPr>
            </w:pPr>
          </w:p>
        </w:tc>
        <w:tc>
          <w:tcPr>
            <w:tcW w:w="27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(Adjuvant &amp; Metastatic)</w:t>
            </w: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7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BNT112</w:t>
            </w:r>
          </w:p>
        </w:tc>
        <w:tc>
          <w:tcPr>
            <w:tcW w:w="274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Prostate Cancer</w:t>
            </w: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combination of shared</w:t>
            </w:r>
          </w:p>
        </w:tc>
        <w:tc>
          <w:tcPr>
            <w:tcW w:w="1760" w:type="dxa"/>
            <w:vAlign w:val="bottom"/>
            <w:gridSpan w:val="2"/>
            <w:vMerge w:val="continue"/>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7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BNT113</w:t>
            </w:r>
          </w:p>
        </w:tc>
        <w:tc>
          <w:tcPr>
            <w:tcW w:w="27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HPV+ Head and Neck Cancer</w:t>
            </w:r>
            <w:r>
              <w:rPr>
                <w:rFonts w:ascii="Arial" w:cs="Arial" w:eastAsia="Arial" w:hAnsi="Arial"/>
                <w:sz w:val="12"/>
                <w:szCs w:val="12"/>
                <w:color w:val="auto"/>
              </w:rPr>
              <w:t>1</w:t>
            </w: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77"/>
        </w:trPr>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color w:val="auto"/>
              </w:rPr>
              <w:t>cancer antigens)</w:t>
            </w:r>
          </w:p>
        </w:tc>
        <w:tc>
          <w:tcPr>
            <w:tcW w:w="1760" w:type="dxa"/>
            <w:vAlign w:val="bottom"/>
            <w:gridSpan w:val="2"/>
            <w:vMerge w:val="continue"/>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7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BNT114</w:t>
            </w:r>
          </w:p>
        </w:tc>
        <w:tc>
          <w:tcPr>
            <w:tcW w:w="27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Triple Negative Breast Cancer</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43"/>
        </w:trPr>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274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7F7F7F"/>
            </w:tcBorders>
          </w:tcPr>
          <w:p>
            <w:pPr>
              <w:spacing w:after="0"/>
              <w:rPr>
                <w:sz w:val="14"/>
                <w:szCs w:val="14"/>
                <w:color w:val="auto"/>
              </w:rPr>
            </w:pPr>
          </w:p>
        </w:tc>
        <w:tc>
          <w:tcPr>
            <w:tcW w:w="1440" w:type="dxa"/>
            <w:vAlign w:val="bottom"/>
            <w:tcBorders>
              <w:bottom w:val="single" w:sz="8" w:color="7F7F7F"/>
            </w:tcBorders>
          </w:tcPr>
          <w:p>
            <w:pPr>
              <w:spacing w:after="0"/>
              <w:rPr>
                <w:sz w:val="14"/>
                <w:szCs w:val="14"/>
                <w:color w:val="auto"/>
              </w:rPr>
            </w:pPr>
          </w:p>
        </w:tc>
        <w:tc>
          <w:tcPr>
            <w:tcW w:w="100" w:type="dxa"/>
            <w:vAlign w:val="bottom"/>
            <w:tcBorders>
              <w:bottom w:val="single" w:sz="8" w:color="7F7F7F"/>
            </w:tcBorders>
          </w:tcPr>
          <w:p>
            <w:pPr>
              <w:spacing w:after="0"/>
              <w:rPr>
                <w:sz w:val="14"/>
                <w:szCs w:val="14"/>
                <w:color w:val="auto"/>
              </w:rPr>
            </w:pPr>
          </w:p>
        </w:tc>
        <w:tc>
          <w:tcPr>
            <w:tcW w:w="1760" w:type="dxa"/>
            <w:vAlign w:val="bottom"/>
            <w:tcBorders>
              <w:bottom w:val="single" w:sz="8" w:color="7F7F7F"/>
            </w:tcBorders>
            <w:gridSpan w:val="2"/>
          </w:tcPr>
          <w:p>
            <w:pPr>
              <w:spacing w:after="0"/>
              <w:rPr>
                <w:sz w:val="20"/>
                <w:szCs w:val="20"/>
                <w:color w:val="auto"/>
              </w:rPr>
            </w:pPr>
            <w:r>
              <w:rPr>
                <w:rFonts w:ascii="Arial" w:cs="Arial" w:eastAsia="Arial" w:hAnsi="Arial"/>
                <w:sz w:val="14"/>
                <w:szCs w:val="14"/>
                <w:color w:val="auto"/>
              </w:rPr>
              <w:t>BNT115, BNT116</w:t>
            </w:r>
          </w:p>
        </w:tc>
        <w:tc>
          <w:tcPr>
            <w:tcW w:w="2740" w:type="dxa"/>
            <w:vAlign w:val="bottom"/>
            <w:tcBorders>
              <w:bottom w:val="single" w:sz="8" w:color="7F7F7F"/>
            </w:tcBorders>
            <w:gridSpan w:val="2"/>
          </w:tcPr>
          <w:p>
            <w:pPr>
              <w:spacing w:after="0"/>
              <w:rPr>
                <w:sz w:val="20"/>
                <w:szCs w:val="20"/>
                <w:color w:val="auto"/>
              </w:rPr>
            </w:pPr>
            <w:r>
              <w:rPr>
                <w:rFonts w:ascii="Arial" w:cs="Arial" w:eastAsia="Arial" w:hAnsi="Arial"/>
                <w:sz w:val="14"/>
                <w:szCs w:val="14"/>
                <w:color w:val="auto"/>
              </w:rPr>
              <w:t>Other Cancers, including Ovarian Cancer</w:t>
            </w:r>
          </w:p>
        </w:tc>
        <w:tc>
          <w:tcPr>
            <w:tcW w:w="760" w:type="dxa"/>
            <w:vAlign w:val="bottom"/>
            <w:tcBorders>
              <w:bottom w:val="single" w:sz="8" w:color="7F7F7F"/>
            </w:tcBorders>
          </w:tcPr>
          <w:p>
            <w:pPr>
              <w:spacing w:after="0"/>
              <w:rPr>
                <w:sz w:val="14"/>
                <w:szCs w:val="14"/>
                <w:color w:val="auto"/>
              </w:rPr>
            </w:pPr>
          </w:p>
        </w:tc>
        <w:tc>
          <w:tcPr>
            <w:tcW w:w="120" w:type="dxa"/>
            <w:vAlign w:val="bottom"/>
            <w:tcBorders>
              <w:bottom w:val="single" w:sz="8" w:color="7F7F7F"/>
            </w:tcBorders>
          </w:tcPr>
          <w:p>
            <w:pPr>
              <w:spacing w:after="0"/>
              <w:rPr>
                <w:sz w:val="14"/>
                <w:szCs w:val="14"/>
                <w:color w:val="auto"/>
              </w:rPr>
            </w:pPr>
          </w:p>
        </w:tc>
        <w:tc>
          <w:tcPr>
            <w:tcW w:w="540" w:type="dxa"/>
            <w:vAlign w:val="bottom"/>
            <w:tcBorders>
              <w:bottom w:val="single" w:sz="8" w:color="7F7F7F"/>
            </w:tcBorders>
          </w:tcPr>
          <w:p>
            <w:pPr>
              <w:spacing w:after="0"/>
              <w:rPr>
                <w:sz w:val="14"/>
                <w:szCs w:val="14"/>
                <w:color w:val="auto"/>
              </w:rPr>
            </w:pPr>
          </w:p>
        </w:tc>
        <w:tc>
          <w:tcPr>
            <w:tcW w:w="100" w:type="dxa"/>
            <w:vAlign w:val="bottom"/>
            <w:tcBorders>
              <w:bottom w:val="single" w:sz="8" w:color="7F7F7F"/>
            </w:tcBorders>
          </w:tcPr>
          <w:p>
            <w:pPr>
              <w:spacing w:after="0"/>
              <w:rPr>
                <w:sz w:val="14"/>
                <w:szCs w:val="14"/>
                <w:color w:val="auto"/>
              </w:rPr>
            </w:pPr>
          </w:p>
        </w:tc>
        <w:tc>
          <w:tcPr>
            <w:tcW w:w="540" w:type="dxa"/>
            <w:vAlign w:val="bottom"/>
            <w:tcBorders>
              <w:bottom w:val="single" w:sz="8" w:color="7F7F7F"/>
            </w:tcBorders>
          </w:tcPr>
          <w:p>
            <w:pPr>
              <w:spacing w:after="0"/>
              <w:rPr>
                <w:sz w:val="14"/>
                <w:szCs w:val="14"/>
                <w:color w:val="auto"/>
              </w:rPr>
            </w:pPr>
          </w:p>
        </w:tc>
        <w:tc>
          <w:tcPr>
            <w:tcW w:w="120" w:type="dxa"/>
            <w:vAlign w:val="bottom"/>
            <w:tcBorders>
              <w:bottom w:val="single" w:sz="8" w:color="7F7F7F"/>
            </w:tcBorders>
          </w:tcPr>
          <w:p>
            <w:pPr>
              <w:spacing w:after="0"/>
              <w:rPr>
                <w:sz w:val="14"/>
                <w:szCs w:val="14"/>
                <w:color w:val="auto"/>
              </w:rPr>
            </w:pPr>
          </w:p>
        </w:tc>
        <w:tc>
          <w:tcPr>
            <w:tcW w:w="540" w:type="dxa"/>
            <w:vAlign w:val="bottom"/>
            <w:tcBorders>
              <w:bottom w:val="single" w:sz="8" w:color="7F7F7F"/>
            </w:tcBorders>
          </w:tcPr>
          <w:p>
            <w:pPr>
              <w:spacing w:after="0"/>
              <w:rPr>
                <w:sz w:val="14"/>
                <w:szCs w:val="14"/>
                <w:color w:val="auto"/>
              </w:rPr>
            </w:pPr>
          </w:p>
        </w:tc>
        <w:tc>
          <w:tcPr>
            <w:tcW w:w="100" w:type="dxa"/>
            <w:vAlign w:val="bottom"/>
            <w:tcBorders>
              <w:bottom w:val="single" w:sz="8" w:color="7F7F7F"/>
            </w:tcBorders>
          </w:tcPr>
          <w:p>
            <w:pPr>
              <w:spacing w:after="0"/>
              <w:rPr>
                <w:sz w:val="14"/>
                <w:szCs w:val="14"/>
                <w:color w:val="auto"/>
              </w:rPr>
            </w:pPr>
          </w:p>
        </w:tc>
        <w:tc>
          <w:tcPr>
            <w:tcW w:w="1440" w:type="dxa"/>
            <w:vAlign w:val="bottom"/>
            <w:tcBorders>
              <w:bottom w:val="single" w:sz="8" w:color="7F7F7F"/>
            </w:tcBorders>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iNeST </w:t>
            </w:r>
            <w:r>
              <w:rPr>
                <w:rFonts w:ascii="Arial" w:cs="Arial" w:eastAsia="Arial" w:hAnsi="Arial"/>
                <w:sz w:val="14"/>
                <w:szCs w:val="14"/>
                <w:color w:val="auto"/>
              </w:rPr>
              <w:t>(patient- specific</w:t>
            </w: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gridSpan w:val="2"/>
          </w:tcPr>
          <w:p>
            <w:pPr>
              <w:spacing w:after="0" w:line="119" w:lineRule="exact"/>
              <w:rPr>
                <w:sz w:val="20"/>
                <w:szCs w:val="20"/>
                <w:color w:val="auto"/>
              </w:rPr>
            </w:pPr>
            <w:r>
              <w:rPr>
                <w:rFonts w:ascii="Arial" w:cs="Arial" w:eastAsia="Arial" w:hAnsi="Arial"/>
                <w:sz w:val="13"/>
                <w:szCs w:val="13"/>
                <w:color w:val="auto"/>
              </w:rPr>
              <w:t>1L Melanoma with CPI</w:t>
            </w:r>
            <w:r>
              <w:rPr>
                <w:rFonts w:ascii="Arial" w:cs="Arial" w:eastAsia="Arial" w:hAnsi="Arial"/>
                <w:sz w:val="11"/>
                <w:szCs w:val="11"/>
                <w:color w:val="auto"/>
              </w:rPr>
              <w:t>2</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Genentech</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RO7198457 (BNT122)</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Multiple Solid Tumors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(Global 50:50</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color w:val="auto"/>
              </w:rPr>
              <w:t>cancer antigen therapy)</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profit/loss share)</w:t>
            </w:r>
          </w:p>
        </w:tc>
        <w:tc>
          <w:tcPr>
            <w:tcW w:w="0" w:type="dxa"/>
            <w:vAlign w:val="bottom"/>
          </w:tcPr>
          <w:p>
            <w:pPr>
              <w:spacing w:after="0"/>
              <w:rPr>
                <w:sz w:val="1"/>
                <w:szCs w:val="1"/>
                <w:color w:val="auto"/>
              </w:rPr>
            </w:pPr>
          </w:p>
        </w:tc>
      </w:tr>
      <w:tr>
        <w:trPr>
          <w:trHeight w:val="43"/>
        </w:trPr>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6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Intratumoral</w:t>
            </w: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w w:val="98"/>
              </w:rPr>
              <w:t xml:space="preserve">Solid Tumors </w:t>
            </w:r>
            <w:r>
              <w:rPr>
                <w:rFonts w:ascii="Arial" w:cs="Arial" w:eastAsia="Arial" w:hAnsi="Arial"/>
                <w:sz w:val="14"/>
                <w:szCs w:val="14"/>
                <w:i w:val="1"/>
                <w:iCs w:val="1"/>
                <w:color w:val="auto"/>
                <w:w w:val="98"/>
              </w:rPr>
              <w:t>(IL-12sc, IL-15sushi, GM-CSF,</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Sanofi</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SAR441000 (BNT131)</w:t>
            </w:r>
          </w:p>
        </w:tc>
        <w:tc>
          <w:tcPr>
            <w:tcW w:w="27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(Global</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Immunotherapy</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Arial" w:cs="Arial" w:eastAsia="Arial" w:hAnsi="Arial"/>
                <w:sz w:val="14"/>
                <w:szCs w:val="14"/>
                <w:i w:val="1"/>
                <w:iCs w:val="1"/>
                <w:color w:val="auto"/>
              </w:rPr>
              <w:t>IFN</w:t>
            </w:r>
            <w:r>
              <w:rPr>
                <w:rFonts w:ascii="Arial" w:cs="Arial" w:eastAsia="Arial" w:hAnsi="Arial"/>
                <w:sz w:val="14"/>
                <w:szCs w:val="14"/>
                <w:color w:val="auto"/>
              </w:rPr>
              <w:t>α</w:t>
            </w:r>
            <w:r>
              <w:rPr>
                <w:rFonts w:ascii="Arial" w:cs="Arial" w:eastAsia="Arial" w:hAnsi="Arial"/>
                <w:sz w:val="14"/>
                <w:szCs w:val="14"/>
                <w:i w:val="1"/>
                <w:iCs w:val="1"/>
                <w:color w:val="auto"/>
              </w:rPr>
              <w: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profit/loss share)</w:t>
            </w:r>
          </w:p>
        </w:tc>
        <w:tc>
          <w:tcPr>
            <w:tcW w:w="0" w:type="dxa"/>
            <w:vAlign w:val="bottom"/>
          </w:tcPr>
          <w:p>
            <w:pPr>
              <w:spacing w:after="0"/>
              <w:rPr>
                <w:sz w:val="1"/>
                <w:szCs w:val="1"/>
                <w:color w:val="auto"/>
              </w:rPr>
            </w:pPr>
          </w:p>
        </w:tc>
      </w:tr>
      <w:tr>
        <w:trPr>
          <w:trHeight w:val="43"/>
        </w:trPr>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gridSpan w:val="2"/>
          </w:tcPr>
          <w:p>
            <w:pPr>
              <w:spacing w:after="0"/>
              <w:rPr>
                <w:sz w:val="3"/>
                <w:szCs w:val="3"/>
                <w:color w:val="auto"/>
              </w:rPr>
            </w:pPr>
          </w:p>
        </w:tc>
        <w:tc>
          <w:tcPr>
            <w:tcW w:w="1760" w:type="dxa"/>
            <w:vAlign w:val="bottom"/>
            <w:tcBorders>
              <w:bottom w:val="single" w:sz="8" w:color="7F7F7F"/>
            </w:tcBorders>
            <w:gridSpan w:val="2"/>
          </w:tcPr>
          <w:p>
            <w:pPr>
              <w:spacing w:after="0"/>
              <w:rPr>
                <w:sz w:val="3"/>
                <w:szCs w:val="3"/>
                <w:color w:val="auto"/>
              </w:rPr>
            </w:pPr>
          </w:p>
        </w:tc>
        <w:tc>
          <w:tcPr>
            <w:tcW w:w="2740" w:type="dxa"/>
            <w:vAlign w:val="bottom"/>
            <w:tcBorders>
              <w:bottom w:val="single" w:sz="8" w:color="7F7F7F"/>
            </w:tcBorders>
            <w:gridSpan w:val="2"/>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 xml:space="preserve">RiboMabs </w:t>
            </w:r>
            <w:r>
              <w:rPr>
                <w:rFonts w:ascii="Arial" w:cs="Arial" w:eastAsia="Arial" w:hAnsi="Arial"/>
                <w:sz w:val="14"/>
                <w:szCs w:val="14"/>
                <w:color w:val="auto"/>
              </w:rPr>
              <w:t>(mRNA-</w:t>
            </w:r>
          </w:p>
        </w:tc>
        <w:tc>
          <w:tcPr>
            <w:tcW w:w="1760" w:type="dxa"/>
            <w:vAlign w:val="bottom"/>
            <w:gridSpan w:val="2"/>
          </w:tcPr>
          <w:p>
            <w:pPr>
              <w:spacing w:after="0" w:line="129" w:lineRule="exact"/>
              <w:rPr>
                <w:sz w:val="20"/>
                <w:szCs w:val="20"/>
                <w:color w:val="auto"/>
              </w:rPr>
            </w:pPr>
            <w:r>
              <w:rPr>
                <w:rFonts w:ascii="Arial" w:cs="Arial" w:eastAsia="Arial" w:hAnsi="Arial"/>
                <w:sz w:val="14"/>
                <w:szCs w:val="14"/>
                <w:color w:val="auto"/>
              </w:rPr>
              <w:t>BNT141</w:t>
            </w:r>
          </w:p>
        </w:tc>
        <w:tc>
          <w:tcPr>
            <w:tcW w:w="2740" w:type="dxa"/>
            <w:vAlign w:val="bottom"/>
            <w:gridSpan w:val="2"/>
          </w:tcPr>
          <w:p>
            <w:pPr>
              <w:spacing w:after="0" w:line="129" w:lineRule="exact"/>
              <w:rPr>
                <w:sz w:val="20"/>
                <w:szCs w:val="20"/>
                <w:color w:val="auto"/>
              </w:rPr>
            </w:pPr>
            <w:r>
              <w:rPr>
                <w:rFonts w:ascii="Arial" w:cs="Arial" w:eastAsia="Arial" w:hAnsi="Arial"/>
                <w:sz w:val="14"/>
                <w:szCs w:val="14"/>
                <w:color w:val="auto"/>
              </w:rPr>
              <w:t>Multiple Solid Tumors</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4"/>
                <w:szCs w:val="14"/>
                <w:color w:val="auto"/>
              </w:rPr>
              <w:t>encoded antibodies)</w:t>
            </w:r>
          </w:p>
        </w:tc>
        <w:tc>
          <w:tcPr>
            <w:tcW w:w="1760" w:type="dxa"/>
            <w:vAlign w:val="bottom"/>
            <w:gridSpan w:val="2"/>
          </w:tcPr>
          <w:p>
            <w:pPr>
              <w:spacing w:after="0"/>
              <w:rPr>
                <w:sz w:val="20"/>
                <w:szCs w:val="20"/>
                <w:color w:val="auto"/>
              </w:rPr>
            </w:pPr>
            <w:r>
              <w:rPr>
                <w:rFonts w:ascii="Arial" w:cs="Arial" w:eastAsia="Arial" w:hAnsi="Arial"/>
                <w:sz w:val="14"/>
                <w:szCs w:val="14"/>
                <w:color w:val="auto"/>
              </w:rPr>
              <w:t>BNT142</w:t>
            </w:r>
          </w:p>
        </w:tc>
        <w:tc>
          <w:tcPr>
            <w:tcW w:w="2740" w:type="dxa"/>
            <w:vAlign w:val="bottom"/>
            <w:gridSpan w:val="2"/>
          </w:tcPr>
          <w:p>
            <w:pPr>
              <w:spacing w:after="0"/>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(CD3+CLDN6)</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1440" w:type="dxa"/>
            <w:vAlign w:val="bottom"/>
            <w:tcBorders>
              <w:bottom w:val="single" w:sz="8" w:color="7F7F7F"/>
            </w:tcBorders>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1760" w:type="dxa"/>
            <w:vAlign w:val="bottom"/>
            <w:tcBorders>
              <w:bottom w:val="single" w:sz="8" w:color="7F7F7F"/>
            </w:tcBorders>
            <w:gridSpan w:val="2"/>
          </w:tcPr>
          <w:p>
            <w:pPr>
              <w:spacing w:after="0"/>
              <w:rPr>
                <w:sz w:val="2"/>
                <w:szCs w:val="2"/>
                <w:color w:val="auto"/>
              </w:rPr>
            </w:pPr>
          </w:p>
        </w:tc>
        <w:tc>
          <w:tcPr>
            <w:tcW w:w="2740" w:type="dxa"/>
            <w:vAlign w:val="bottom"/>
            <w:tcBorders>
              <w:bottom w:val="single" w:sz="8" w:color="7F7F7F"/>
            </w:tcBorders>
            <w:gridSpan w:val="2"/>
          </w:tcPr>
          <w:p>
            <w:pPr>
              <w:spacing w:after="0"/>
              <w:rPr>
                <w:sz w:val="2"/>
                <w:szCs w:val="2"/>
                <w:color w:val="auto"/>
              </w:rPr>
            </w:pPr>
          </w:p>
        </w:tc>
        <w:tc>
          <w:tcPr>
            <w:tcW w:w="76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540" w:type="dxa"/>
            <w:vAlign w:val="bottom"/>
            <w:tcBorders>
              <w:bottom w:val="single" w:sz="8" w:color="7F7F7F"/>
            </w:tcBorders>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54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540" w:type="dxa"/>
            <w:vAlign w:val="bottom"/>
            <w:tcBorders>
              <w:bottom w:val="single" w:sz="8" w:color="7F7F7F"/>
            </w:tcBorders>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144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RiboCytokines</w:t>
            </w:r>
          </w:p>
        </w:tc>
        <w:tc>
          <w:tcPr>
            <w:tcW w:w="1760" w:type="dxa"/>
            <w:vAlign w:val="bottom"/>
            <w:gridSpan w:val="2"/>
          </w:tcPr>
          <w:p>
            <w:pPr>
              <w:spacing w:after="0" w:line="133" w:lineRule="exact"/>
              <w:rPr>
                <w:sz w:val="20"/>
                <w:szCs w:val="20"/>
                <w:color w:val="auto"/>
              </w:rPr>
            </w:pPr>
            <w:r>
              <w:rPr>
                <w:rFonts w:ascii="Arial" w:cs="Arial" w:eastAsia="Arial" w:hAnsi="Arial"/>
                <w:sz w:val="14"/>
                <w:szCs w:val="14"/>
                <w:color w:val="auto"/>
              </w:rPr>
              <w:t>BNT151</w:t>
            </w:r>
          </w:p>
        </w:tc>
        <w:tc>
          <w:tcPr>
            <w:tcW w:w="2740" w:type="dxa"/>
            <w:vAlign w:val="bottom"/>
            <w:gridSpan w:val="2"/>
          </w:tcPr>
          <w:p>
            <w:pPr>
              <w:spacing w:after="0" w:line="133" w:lineRule="exact"/>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(Optimized IL-2)</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72"/>
        </w:trPr>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760" w:type="dxa"/>
            <w:vAlign w:val="bottom"/>
            <w:gridSpan w:val="2"/>
            <w:vMerge w:val="restart"/>
          </w:tcPr>
          <w:p>
            <w:pPr>
              <w:spacing w:after="0" w:line="153" w:lineRule="exact"/>
              <w:rPr>
                <w:sz w:val="20"/>
                <w:szCs w:val="20"/>
                <w:color w:val="auto"/>
              </w:rPr>
            </w:pPr>
            <w:r>
              <w:rPr>
                <w:rFonts w:ascii="Arial" w:cs="Arial" w:eastAsia="Arial" w:hAnsi="Arial"/>
                <w:sz w:val="14"/>
                <w:szCs w:val="14"/>
                <w:color w:val="auto"/>
              </w:rPr>
              <w:t>BNT152</w:t>
            </w:r>
          </w:p>
        </w:tc>
        <w:tc>
          <w:tcPr>
            <w:tcW w:w="2740" w:type="dxa"/>
            <w:vAlign w:val="bottom"/>
            <w:gridSpan w:val="2"/>
            <w:vMerge w:val="restart"/>
          </w:tcPr>
          <w:p>
            <w:pPr>
              <w:spacing w:after="0" w:line="153" w:lineRule="exact"/>
              <w:rPr>
                <w:sz w:val="20"/>
                <w:szCs w:val="20"/>
                <w:color w:val="auto"/>
              </w:rPr>
            </w:pPr>
            <w:r>
              <w:rPr>
                <w:rFonts w:ascii="Arial" w:cs="Arial" w:eastAsia="Arial" w:hAnsi="Arial"/>
                <w:sz w:val="14"/>
                <w:szCs w:val="14"/>
                <w:color w:val="auto"/>
              </w:rPr>
              <w:t>Multiple Solid Tumors</w:t>
            </w: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(mRNA-encoded</w:t>
            </w:r>
          </w:p>
        </w:tc>
        <w:tc>
          <w:tcPr>
            <w:tcW w:w="1760" w:type="dxa"/>
            <w:vAlign w:val="bottom"/>
            <w:gridSpan w:val="2"/>
            <w:vMerge w:val="continue"/>
          </w:tcPr>
          <w:p>
            <w:pPr>
              <w:spacing w:after="0"/>
              <w:rPr>
                <w:sz w:val="7"/>
                <w:szCs w:val="7"/>
                <w:color w:val="auto"/>
              </w:rPr>
            </w:pPr>
          </w:p>
        </w:tc>
        <w:tc>
          <w:tcPr>
            <w:tcW w:w="27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(IL-7)</w:t>
            </w: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color w:val="auto"/>
              </w:rPr>
              <w:t>cytokines)</w:t>
            </w: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BNT153</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(IL-2)</w:t>
            </w: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2"/>
            <w:vMerge w:val="continue"/>
          </w:tcPr>
          <w:p>
            <w:pPr>
              <w:spacing w:after="0"/>
              <w:rPr>
                <w:sz w:val="8"/>
                <w:szCs w:val="8"/>
                <w:color w:val="auto"/>
              </w:rPr>
            </w:pPr>
          </w:p>
        </w:tc>
        <w:tc>
          <w:tcPr>
            <w:tcW w:w="2740" w:type="dxa"/>
            <w:vAlign w:val="bottom"/>
            <w:tcBorders>
              <w:bottom w:val="single" w:sz="8" w:color="auto"/>
            </w:tcBorders>
            <w:gridSpan w:val="2"/>
            <w:vMerge w:val="continue"/>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CAR-T Cells</w:t>
            </w:r>
          </w:p>
        </w:tc>
        <w:tc>
          <w:tcPr>
            <w:tcW w:w="1760" w:type="dxa"/>
            <w:vAlign w:val="bottom"/>
            <w:gridSpan w:val="2"/>
          </w:tcPr>
          <w:p>
            <w:pPr>
              <w:spacing w:after="0"/>
              <w:rPr>
                <w:sz w:val="20"/>
                <w:szCs w:val="20"/>
                <w:color w:val="auto"/>
              </w:rPr>
            </w:pPr>
            <w:r>
              <w:rPr>
                <w:rFonts w:ascii="Arial" w:cs="Arial" w:eastAsia="Arial" w:hAnsi="Arial"/>
                <w:sz w:val="14"/>
                <w:szCs w:val="14"/>
                <w:color w:val="auto"/>
              </w:rPr>
              <w:t>BNT211</w:t>
            </w:r>
          </w:p>
        </w:tc>
        <w:tc>
          <w:tcPr>
            <w:tcW w:w="2740" w:type="dxa"/>
            <w:vAlign w:val="bottom"/>
            <w:gridSpan w:val="2"/>
          </w:tcPr>
          <w:p>
            <w:pPr>
              <w:spacing w:after="0"/>
              <w:rPr>
                <w:sz w:val="20"/>
                <w:szCs w:val="20"/>
                <w:color w:val="auto"/>
              </w:rPr>
            </w:pPr>
            <w:r>
              <w:rPr>
                <w:rFonts w:ascii="Arial" w:cs="Arial" w:eastAsia="Arial" w:hAnsi="Arial"/>
                <w:sz w:val="14"/>
                <w:szCs w:val="14"/>
                <w:color w:val="auto"/>
              </w:rPr>
              <w:t xml:space="preserve">Multiple Solid Tumors </w:t>
            </w:r>
            <w:r>
              <w:rPr>
                <w:rFonts w:ascii="Arial" w:cs="Arial" w:eastAsia="Arial" w:hAnsi="Arial"/>
                <w:sz w:val="14"/>
                <w:szCs w:val="14"/>
                <w:i w:val="1"/>
                <w:iCs w:val="1"/>
                <w:color w:val="auto"/>
              </w:rPr>
              <w:t>(CLDN6)</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01"/>
        </w:trPr>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BNT212</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Pancreatic, Other Cancers </w:t>
            </w:r>
            <w:r>
              <w:rPr>
                <w:rFonts w:ascii="Arial" w:cs="Arial" w:eastAsia="Arial" w:hAnsi="Arial"/>
                <w:sz w:val="14"/>
                <w:szCs w:val="14"/>
                <w:i w:val="1"/>
                <w:iCs w:val="1"/>
                <w:color w:val="auto"/>
              </w:rPr>
              <w:t>(CLDN18.2)</w:t>
            </w: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14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1760" w:type="dxa"/>
            <w:vAlign w:val="bottom"/>
            <w:tcBorders>
              <w:bottom w:val="single" w:sz="8" w:color="7F7F7F"/>
            </w:tcBorders>
            <w:gridSpan w:val="2"/>
            <w:vMerge w:val="continue"/>
          </w:tcPr>
          <w:p>
            <w:pPr>
              <w:spacing w:after="0"/>
              <w:rPr>
                <w:sz w:val="8"/>
                <w:szCs w:val="8"/>
                <w:color w:val="auto"/>
              </w:rPr>
            </w:pPr>
          </w:p>
        </w:tc>
        <w:tc>
          <w:tcPr>
            <w:tcW w:w="2740" w:type="dxa"/>
            <w:vAlign w:val="bottom"/>
            <w:tcBorders>
              <w:bottom w:val="single" w:sz="8" w:color="7F7F7F"/>
            </w:tcBorders>
            <w:gridSpan w:val="2"/>
            <w:vMerge w:val="continue"/>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120" w:type="dxa"/>
            <w:vAlign w:val="bottom"/>
            <w:tcBorders>
              <w:bottom w:val="single" w:sz="8" w:color="7F7F7F"/>
            </w:tcBorders>
          </w:tcPr>
          <w:p>
            <w:pPr>
              <w:spacing w:after="0"/>
              <w:rPr>
                <w:sz w:val="8"/>
                <w:szCs w:val="8"/>
                <w:color w:val="auto"/>
              </w:rPr>
            </w:pPr>
          </w:p>
        </w:tc>
        <w:tc>
          <w:tcPr>
            <w:tcW w:w="5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540" w:type="dxa"/>
            <w:vAlign w:val="bottom"/>
            <w:tcBorders>
              <w:bottom w:val="single" w:sz="8" w:color="7F7F7F"/>
            </w:tcBorders>
          </w:tcPr>
          <w:p>
            <w:pPr>
              <w:spacing w:after="0"/>
              <w:rPr>
                <w:sz w:val="8"/>
                <w:szCs w:val="8"/>
                <w:color w:val="auto"/>
              </w:rPr>
            </w:pPr>
          </w:p>
        </w:tc>
        <w:tc>
          <w:tcPr>
            <w:tcW w:w="120" w:type="dxa"/>
            <w:vAlign w:val="bottom"/>
            <w:tcBorders>
              <w:bottom w:val="single" w:sz="8" w:color="7F7F7F"/>
            </w:tcBorders>
          </w:tcPr>
          <w:p>
            <w:pPr>
              <w:spacing w:after="0"/>
              <w:rPr>
                <w:sz w:val="8"/>
                <w:szCs w:val="8"/>
                <w:color w:val="auto"/>
              </w:rPr>
            </w:pPr>
          </w:p>
        </w:tc>
        <w:tc>
          <w:tcPr>
            <w:tcW w:w="5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1440" w:type="dxa"/>
            <w:vAlign w:val="bottom"/>
            <w:tcBorders>
              <w:bottom w:val="single" w:sz="8" w:color="7F7F7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To be selected</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Solid Tumors</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Eli Lilly (Exclusive</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TCRs</w:t>
            </w:r>
          </w:p>
        </w:tc>
        <w:tc>
          <w:tcPr>
            <w:tcW w:w="176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license option)</w:t>
            </w: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All Tumors</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To be selected</w:t>
            </w:r>
          </w:p>
        </w:tc>
        <w:tc>
          <w:tcPr>
            <w:tcW w:w="27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2"/>
          </w:tcPr>
          <w:p>
            <w:pPr>
              <w:spacing w:after="0"/>
              <w:rPr>
                <w:sz w:val="4"/>
                <w:szCs w:val="4"/>
                <w:color w:val="auto"/>
              </w:rPr>
            </w:pPr>
          </w:p>
        </w:tc>
        <w:tc>
          <w:tcPr>
            <w:tcW w:w="274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spacing w:after="0" w:line="160" w:lineRule="exact"/>
              <w:rPr>
                <w:sz w:val="20"/>
                <w:szCs w:val="20"/>
                <w:color w:val="auto"/>
              </w:rPr>
            </w:pPr>
            <w:r>
              <w:rPr>
                <w:rFonts w:ascii="Arial" w:cs="Arial" w:eastAsia="Arial" w:hAnsi="Arial"/>
                <w:sz w:val="14"/>
                <w:szCs w:val="14"/>
                <w:color w:val="auto"/>
              </w:rPr>
              <w:t>GEN1042 (BNT311)</w:t>
            </w:r>
          </w:p>
        </w:tc>
        <w:tc>
          <w:tcPr>
            <w:tcW w:w="2740" w:type="dxa"/>
            <w:vAlign w:val="bottom"/>
            <w:gridSpan w:val="2"/>
          </w:tcPr>
          <w:p>
            <w:pPr>
              <w:spacing w:after="0" w:line="160" w:lineRule="exact"/>
              <w:rPr>
                <w:sz w:val="20"/>
                <w:szCs w:val="20"/>
                <w:color w:val="auto"/>
              </w:rPr>
            </w:pPr>
            <w:r>
              <w:rPr>
                <w:rFonts w:ascii="Arial" w:cs="Arial" w:eastAsia="Arial" w:hAnsi="Arial"/>
                <w:sz w:val="14"/>
                <w:szCs w:val="14"/>
                <w:color w:val="auto"/>
              </w:rPr>
              <w:t>Multiple Solid Tumors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Genmab</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Next-Gen CP</w:t>
            </w:r>
            <w:r>
              <w:rPr>
                <w:rFonts w:ascii="Arial" w:cs="Arial" w:eastAsia="Arial" w:hAnsi="Arial"/>
                <w:sz w:val="12"/>
                <w:szCs w:val="12"/>
                <w:b w:val="1"/>
                <w:bCs w:val="1"/>
                <w:color w:val="auto"/>
              </w:rPr>
              <w:t>3</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(PD-L1×4-1BB)</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(Global 50:50</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profit/loss share)</w:t>
            </w:r>
          </w:p>
        </w:tc>
        <w:tc>
          <w:tcPr>
            <w:tcW w:w="0" w:type="dxa"/>
            <w:vAlign w:val="bottom"/>
          </w:tcPr>
          <w:p>
            <w:pPr>
              <w:spacing w:after="0"/>
              <w:rPr>
                <w:sz w:val="1"/>
                <w:szCs w:val="1"/>
                <w:color w:val="auto"/>
              </w:rPr>
            </w:pPr>
          </w:p>
        </w:tc>
      </w:tr>
      <w:tr>
        <w:trPr>
          <w:trHeight w:val="92"/>
        </w:trPr>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restart"/>
          </w:tcPr>
          <w:p>
            <w:pPr>
              <w:spacing w:after="0" w:line="153" w:lineRule="exact"/>
              <w:rPr>
                <w:sz w:val="20"/>
                <w:szCs w:val="20"/>
                <w:color w:val="auto"/>
              </w:rPr>
            </w:pPr>
            <w:r>
              <w:rPr>
                <w:rFonts w:ascii="Arial" w:cs="Arial" w:eastAsia="Arial" w:hAnsi="Arial"/>
                <w:sz w:val="14"/>
                <w:szCs w:val="14"/>
                <w:b w:val="1"/>
                <w:bCs w:val="1"/>
                <w:color w:val="auto"/>
              </w:rPr>
              <w:t>Immuno-modulators</w:t>
            </w:r>
          </w:p>
        </w:tc>
        <w:tc>
          <w:tcPr>
            <w:tcW w:w="1760" w:type="dxa"/>
            <w:vAlign w:val="bottom"/>
            <w:gridSpan w:val="2"/>
            <w:vMerge w:val="restart"/>
          </w:tcPr>
          <w:p>
            <w:pPr>
              <w:spacing w:after="0" w:line="153" w:lineRule="exact"/>
              <w:rPr>
                <w:sz w:val="20"/>
                <w:szCs w:val="20"/>
                <w:color w:val="auto"/>
              </w:rPr>
            </w:pPr>
            <w:r>
              <w:rPr>
                <w:rFonts w:ascii="Arial" w:cs="Arial" w:eastAsia="Arial" w:hAnsi="Arial"/>
                <w:sz w:val="14"/>
                <w:szCs w:val="14"/>
                <w:color w:val="auto"/>
              </w:rPr>
              <w:t>BNT312</w:t>
            </w:r>
          </w:p>
        </w:tc>
        <w:tc>
          <w:tcPr>
            <w:tcW w:w="2740" w:type="dxa"/>
            <w:vAlign w:val="bottom"/>
            <w:gridSpan w:val="2"/>
            <w:vMerge w:val="restart"/>
          </w:tcPr>
          <w:p>
            <w:pPr>
              <w:spacing w:after="0" w:line="153" w:lineRule="exact"/>
              <w:rPr>
                <w:sz w:val="20"/>
                <w:szCs w:val="20"/>
                <w:color w:val="auto"/>
              </w:rPr>
            </w:pPr>
            <w:r>
              <w:rPr>
                <w:rFonts w:ascii="Arial" w:cs="Arial" w:eastAsia="Arial" w:hAnsi="Arial"/>
                <w:sz w:val="14"/>
                <w:szCs w:val="14"/>
                <w:color w:val="auto"/>
              </w:rPr>
              <w:t>Multiple Solid Tumors</w:t>
            </w: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274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Arial" w:cs="Arial" w:eastAsia="Arial" w:hAnsi="Arial"/>
                <w:sz w:val="14"/>
                <w:szCs w:val="14"/>
                <w:i w:val="1"/>
                <w:iCs w:val="1"/>
                <w:color w:val="auto"/>
              </w:rPr>
              <w:t>(CD40×4-1BB)</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1540" w:type="dxa"/>
            <w:vAlign w:val="bottom"/>
            <w:tcBorders>
              <w:bottom w:val="single" w:sz="8" w:color="7F7F7F"/>
            </w:tcBorders>
            <w:gridSpan w:val="2"/>
          </w:tcPr>
          <w:p>
            <w:pPr>
              <w:spacing w:after="0"/>
              <w:rPr>
                <w:sz w:val="6"/>
                <w:szCs w:val="6"/>
                <w:color w:val="auto"/>
              </w:rPr>
            </w:pPr>
          </w:p>
        </w:tc>
        <w:tc>
          <w:tcPr>
            <w:tcW w:w="166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64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120" w:type="dxa"/>
            <w:vAlign w:val="bottom"/>
            <w:tcBorders>
              <w:bottom w:val="single" w:sz="8" w:color="7F7F7F"/>
            </w:tcBorders>
          </w:tcPr>
          <w:p>
            <w:pPr>
              <w:spacing w:after="0"/>
              <w:rPr>
                <w:sz w:val="6"/>
                <w:szCs w:val="6"/>
                <w:color w:val="auto"/>
              </w:rPr>
            </w:pPr>
          </w:p>
        </w:tc>
        <w:tc>
          <w:tcPr>
            <w:tcW w:w="54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540" w:type="dxa"/>
            <w:vAlign w:val="bottom"/>
            <w:tcBorders>
              <w:bottom w:val="single" w:sz="8" w:color="7F7F7F"/>
            </w:tcBorders>
          </w:tcPr>
          <w:p>
            <w:pPr>
              <w:spacing w:after="0"/>
              <w:rPr>
                <w:sz w:val="6"/>
                <w:szCs w:val="6"/>
                <w:color w:val="auto"/>
              </w:rPr>
            </w:pPr>
          </w:p>
        </w:tc>
        <w:tc>
          <w:tcPr>
            <w:tcW w:w="120" w:type="dxa"/>
            <w:vAlign w:val="bottom"/>
            <w:tcBorders>
              <w:bottom w:val="single" w:sz="8" w:color="7F7F7F"/>
            </w:tcBorders>
          </w:tcPr>
          <w:p>
            <w:pPr>
              <w:spacing w:after="0"/>
              <w:rPr>
                <w:sz w:val="6"/>
                <w:szCs w:val="6"/>
                <w:color w:val="auto"/>
              </w:rPr>
            </w:pPr>
          </w:p>
        </w:tc>
        <w:tc>
          <w:tcPr>
            <w:tcW w:w="54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144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Targeted Cancer</w:t>
            </w: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MVT-5873 (BNT321)</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Pancreatic Cancer </w:t>
            </w:r>
            <w:r>
              <w:rPr>
                <w:rFonts w:ascii="Arial" w:cs="Arial" w:eastAsia="Arial" w:hAnsi="Arial"/>
                <w:sz w:val="14"/>
                <w:szCs w:val="14"/>
                <w:i w:val="1"/>
                <w:iCs w:val="1"/>
                <w:color w:val="auto"/>
              </w:rPr>
              <w:t>(sLe</w:t>
            </w:r>
            <w:r>
              <w:rPr>
                <w:rFonts w:ascii="Arial" w:cs="Arial" w:eastAsia="Arial" w:hAnsi="Arial"/>
                <w:sz w:val="12"/>
                <w:szCs w:val="12"/>
                <w:i w:val="1"/>
                <w:iCs w:val="1"/>
                <w:color w:val="auto"/>
              </w:rPr>
              <w:t>a</w:t>
            </w:r>
            <w:r>
              <w:rPr>
                <w:rFonts w:ascii="Arial" w:cs="Arial" w:eastAsia="Arial" w:hAnsi="Arial"/>
                <w:sz w:val="14"/>
                <w:szCs w:val="14"/>
                <w:i w:val="1"/>
                <w:iCs w:val="1"/>
                <w:color w:val="auto"/>
              </w:rPr>
              <w:t>)</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Antibodies</w:t>
            </w:r>
          </w:p>
        </w:tc>
        <w:tc>
          <w:tcPr>
            <w:tcW w:w="1760" w:type="dxa"/>
            <w:vAlign w:val="bottom"/>
            <w:gridSpan w:val="2"/>
            <w:vMerge w:val="continue"/>
          </w:tcPr>
          <w:p>
            <w:pPr>
              <w:spacing w:after="0"/>
              <w:rPr>
                <w:sz w:val="10"/>
                <w:szCs w:val="10"/>
                <w:color w:val="auto"/>
              </w:rPr>
            </w:pPr>
          </w:p>
        </w:tc>
        <w:tc>
          <w:tcPr>
            <w:tcW w:w="274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24"/>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Toll-Like Receptor</w:t>
            </w: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BNT411</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Solid Tumors </w:t>
            </w:r>
            <w:r>
              <w:rPr>
                <w:rFonts w:ascii="Arial" w:cs="Arial" w:eastAsia="Arial" w:hAnsi="Arial"/>
                <w:sz w:val="14"/>
                <w:szCs w:val="14"/>
                <w:i w:val="1"/>
                <w:iCs w:val="1"/>
                <w:color w:val="auto"/>
              </w:rPr>
              <w:t>(TLR7)</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Global</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Binding</w:t>
            </w:r>
          </w:p>
        </w:tc>
        <w:tc>
          <w:tcPr>
            <w:tcW w:w="1760" w:type="dxa"/>
            <w:vAlign w:val="bottom"/>
            <w:gridSpan w:val="2"/>
            <w:vMerge w:val="continue"/>
          </w:tcPr>
          <w:p>
            <w:pPr>
              <w:spacing w:after="0"/>
              <w:rPr>
                <w:sz w:val="10"/>
                <w:szCs w:val="10"/>
                <w:color w:val="auto"/>
              </w:rPr>
            </w:pPr>
          </w:p>
        </w:tc>
        <w:tc>
          <w:tcPr>
            <w:tcW w:w="274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0" w:type="dxa"/>
            <w:vAlign w:val="bottom"/>
            <w:tcBorders>
              <w:top w:val="single" w:sz="8" w:color="auto"/>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Drug</w:t>
            </w:r>
          </w:p>
        </w:tc>
        <w:tc>
          <w:tcPr>
            <w:tcW w:w="100" w:type="dxa"/>
            <w:vAlign w:val="bottom"/>
          </w:tcPr>
          <w:p>
            <w:pPr>
              <w:spacing w:after="0"/>
              <w:rPr>
                <w:sz w:val="10"/>
                <w:szCs w:val="10"/>
                <w:color w:val="auto"/>
              </w:rPr>
            </w:pPr>
          </w:p>
        </w:tc>
        <w:tc>
          <w:tcPr>
            <w:tcW w:w="14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Platform</w:t>
            </w:r>
          </w:p>
        </w:tc>
        <w:tc>
          <w:tcPr>
            <w:tcW w:w="100" w:type="dxa"/>
            <w:vAlign w:val="bottom"/>
            <w:vMerge w:val="restart"/>
          </w:tcPr>
          <w:p>
            <w:pPr>
              <w:spacing w:after="0"/>
              <w:rPr>
                <w:sz w:val="10"/>
                <w:szCs w:val="10"/>
                <w:color w:val="auto"/>
              </w:rPr>
            </w:pPr>
          </w:p>
        </w:tc>
        <w:tc>
          <w:tcPr>
            <w:tcW w:w="16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Product Candidate</w:t>
            </w:r>
          </w:p>
        </w:tc>
        <w:tc>
          <w:tcPr>
            <w:tcW w:w="100" w:type="dxa"/>
            <w:vAlign w:val="bottom"/>
            <w:vMerge w:val="restart"/>
          </w:tcPr>
          <w:p>
            <w:pPr>
              <w:spacing w:after="0"/>
              <w:rPr>
                <w:sz w:val="10"/>
                <w:szCs w:val="10"/>
                <w:color w:val="auto"/>
              </w:rPr>
            </w:pPr>
          </w:p>
        </w:tc>
        <w:tc>
          <w:tcPr>
            <w:tcW w:w="26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 xml:space="preserve">Indication </w:t>
            </w:r>
            <w:r>
              <w:rPr>
                <w:rFonts w:ascii="Arial" w:cs="Arial" w:eastAsia="Arial" w:hAnsi="Arial"/>
                <w:sz w:val="14"/>
                <w:szCs w:val="14"/>
                <w:i w:val="1"/>
                <w:iCs w:val="1"/>
                <w:color w:val="auto"/>
              </w:rPr>
              <w:t>(Targets)</w:t>
            </w:r>
          </w:p>
        </w:tc>
        <w:tc>
          <w:tcPr>
            <w:tcW w:w="100" w:type="dxa"/>
            <w:vAlign w:val="bottom"/>
            <w:vMerge w:val="restart"/>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Preclinical</w:t>
            </w:r>
          </w:p>
        </w:tc>
        <w:tc>
          <w:tcPr>
            <w:tcW w:w="120" w:type="dxa"/>
            <w:vAlign w:val="bottom"/>
            <w:vMerge w:val="restart"/>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0"/>
              </w:rPr>
              <w:t>Phase 1</w:t>
            </w:r>
          </w:p>
        </w:tc>
        <w:tc>
          <w:tcPr>
            <w:tcW w:w="100" w:type="dxa"/>
            <w:vAlign w:val="bottom"/>
            <w:vMerge w:val="restart"/>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0"/>
              </w:rPr>
              <w:t>Phase 2</w:t>
            </w:r>
          </w:p>
        </w:tc>
        <w:tc>
          <w:tcPr>
            <w:tcW w:w="120" w:type="dxa"/>
            <w:vAlign w:val="bottom"/>
            <w:vMerge w:val="restart"/>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Phase 3</w:t>
            </w:r>
          </w:p>
        </w:tc>
        <w:tc>
          <w:tcPr>
            <w:tcW w:w="100" w:type="dxa"/>
            <w:vAlign w:val="bottom"/>
            <w:vMerge w:val="restart"/>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Rights/</w:t>
            </w:r>
          </w:p>
        </w:tc>
        <w:tc>
          <w:tcPr>
            <w:tcW w:w="0" w:type="dxa"/>
            <w:vAlign w:val="bottom"/>
          </w:tcPr>
          <w:p>
            <w:pPr>
              <w:spacing w:after="0"/>
              <w:rPr>
                <w:sz w:val="1"/>
                <w:szCs w:val="1"/>
                <w:color w:val="auto"/>
              </w:rPr>
            </w:pPr>
          </w:p>
        </w:tc>
      </w:tr>
      <w:tr>
        <w:trPr>
          <w:trHeight w:val="185"/>
        </w:trPr>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Collaborator</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Infectious Disease</w:t>
            </w:r>
          </w:p>
        </w:tc>
        <w:tc>
          <w:tcPr>
            <w:tcW w:w="1760" w:type="dxa"/>
            <w:vAlign w:val="bottom"/>
            <w:gridSpan w:val="2"/>
          </w:tcPr>
          <w:p>
            <w:pPr>
              <w:spacing w:after="0"/>
              <w:rPr>
                <w:sz w:val="20"/>
                <w:szCs w:val="20"/>
                <w:color w:val="auto"/>
              </w:rPr>
            </w:pPr>
            <w:r>
              <w:rPr>
                <w:rFonts w:ascii="Arial" w:cs="Arial" w:eastAsia="Arial" w:hAnsi="Arial"/>
                <w:sz w:val="14"/>
                <w:szCs w:val="14"/>
                <w:color w:val="auto"/>
              </w:rPr>
              <w:t>BNT161</w:t>
            </w:r>
          </w:p>
        </w:tc>
        <w:tc>
          <w:tcPr>
            <w:tcW w:w="2740" w:type="dxa"/>
            <w:vAlign w:val="bottom"/>
            <w:gridSpan w:val="2"/>
          </w:tcPr>
          <w:p>
            <w:pPr>
              <w:spacing w:after="0"/>
              <w:rPr>
                <w:sz w:val="20"/>
                <w:szCs w:val="20"/>
                <w:color w:val="auto"/>
              </w:rPr>
            </w:pPr>
            <w:r>
              <w:rPr>
                <w:rFonts w:ascii="Arial" w:cs="Arial" w:eastAsia="Arial" w:hAnsi="Arial"/>
                <w:sz w:val="14"/>
                <w:szCs w:val="14"/>
                <w:color w:val="auto"/>
              </w:rPr>
              <w:t>Influenza</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Pfizer</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Immunotherapies</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Up to 10 Indications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Penn</w:t>
            </w:r>
            <w:r>
              <w:rPr>
                <w:rFonts w:ascii="Arial" w:cs="Arial" w:eastAsia="Arial" w:hAnsi="Arial"/>
                <w:sz w:val="12"/>
                <w:szCs w:val="12"/>
                <w:b w:val="1"/>
                <w:bCs w:val="1"/>
                <w:color w:val="auto"/>
                <w:w w:val="87"/>
              </w:rPr>
              <w:t>4</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6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4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To be selected</w:t>
            </w:r>
          </w:p>
        </w:tc>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5 Rare Disease Indications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Genevant</w:t>
            </w:r>
          </w:p>
        </w:tc>
        <w:tc>
          <w:tcPr>
            <w:tcW w:w="0" w:type="dxa"/>
            <w:vAlign w:val="bottom"/>
          </w:tcPr>
          <w:p>
            <w:pPr>
              <w:spacing w:after="0"/>
              <w:rPr>
                <w:sz w:val="1"/>
                <w:szCs w:val="1"/>
                <w:color w:val="auto"/>
              </w:rPr>
            </w:pPr>
          </w:p>
        </w:tc>
      </w:tr>
      <w:tr>
        <w:trPr>
          <w:trHeight w:val="92"/>
        </w:trPr>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Rare Disease PRT</w:t>
            </w:r>
            <w:r>
              <w:rPr>
                <w:rFonts w:ascii="Arial" w:cs="Arial" w:eastAsia="Arial" w:hAnsi="Arial"/>
                <w:sz w:val="12"/>
                <w:szCs w:val="12"/>
                <w:b w:val="1"/>
                <w:bCs w:val="1"/>
                <w:color w:val="auto"/>
              </w:rPr>
              <w:t>5</w:t>
            </w: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(Global 50:50</w:t>
            </w:r>
          </w:p>
        </w:tc>
        <w:tc>
          <w:tcPr>
            <w:tcW w:w="0" w:type="dxa"/>
            <w:vAlign w:val="bottom"/>
          </w:tcPr>
          <w:p>
            <w:pPr>
              <w:spacing w:after="0"/>
              <w:rPr>
                <w:sz w:val="1"/>
                <w:szCs w:val="1"/>
                <w:color w:val="auto"/>
              </w:rPr>
            </w:pPr>
          </w:p>
        </w:tc>
      </w:tr>
      <w:tr>
        <w:trPr>
          <w:trHeight w:val="59"/>
        </w:trPr>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-5233035</wp:posOffset>
            </wp:positionV>
            <wp:extent cx="556895" cy="946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6895" cy="946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-5086985</wp:posOffset>
            </wp:positionV>
            <wp:extent cx="556895" cy="3860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6895" cy="38608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-4692650</wp:posOffset>
            </wp:positionV>
            <wp:extent cx="93980" cy="274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27432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-4624070</wp:posOffset>
            </wp:positionV>
            <wp:extent cx="925830" cy="939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25830" cy="9398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-4452620</wp:posOffset>
            </wp:positionV>
            <wp:extent cx="556895" cy="939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6895" cy="9398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-4238625</wp:posOffset>
            </wp:positionV>
            <wp:extent cx="556895" cy="939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6895" cy="9398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-3989705</wp:posOffset>
            </wp:positionV>
            <wp:extent cx="274320" cy="3346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4320" cy="3346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-3561080</wp:posOffset>
            </wp:positionV>
            <wp:extent cx="274320" cy="205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4320" cy="20574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-3321050</wp:posOffset>
            </wp:positionV>
            <wp:extent cx="205740" cy="5740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5740" cy="57404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-3312795</wp:posOffset>
            </wp:positionV>
            <wp:extent cx="274320" cy="2146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74320" cy="21463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-2978150</wp:posOffset>
            </wp:positionV>
            <wp:extent cx="274320" cy="1028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-2755265</wp:posOffset>
            </wp:positionV>
            <wp:extent cx="274320" cy="102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-2284095</wp:posOffset>
            </wp:positionV>
            <wp:extent cx="93980" cy="420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42037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-2455545</wp:posOffset>
            </wp:positionV>
            <wp:extent cx="556895" cy="946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6895" cy="946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-2215515</wp:posOffset>
            </wp:positionV>
            <wp:extent cx="274320" cy="1028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-1949450</wp:posOffset>
            </wp:positionV>
            <wp:extent cx="556895" cy="939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6895" cy="9398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-1684020</wp:posOffset>
            </wp:positionV>
            <wp:extent cx="205740" cy="523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5740" cy="52324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-1726565</wp:posOffset>
            </wp:positionV>
            <wp:extent cx="27432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-381000</wp:posOffset>
            </wp:positionV>
            <wp:extent cx="93980" cy="274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3980" cy="27432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-603885</wp:posOffset>
            </wp:positionV>
            <wp:extent cx="274320" cy="1028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-398145</wp:posOffset>
            </wp:positionV>
            <wp:extent cx="274320" cy="1028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74320" cy="10287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-200660</wp:posOffset>
            </wp:positionV>
            <wp:extent cx="274320" cy="1028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74320" cy="102870"/>
                    </a:xfrm>
                    <a:prstGeom prst="rect">
                      <a:avLst/>
                    </a:prstGeom>
                    <a:noFill/>
                  </pic:spPr>
                </pic:pic>
              </a:graphicData>
            </a:graphic>
          </wp:anchor>
        </w:drawing>
      </w:r>
    </w:p>
    <w:p>
      <w:pPr>
        <w:ind w:left="9900"/>
        <w:spacing w:after="0"/>
        <w:rPr>
          <w:sz w:val="20"/>
          <w:szCs w:val="20"/>
          <w:color w:val="auto"/>
        </w:rPr>
      </w:pPr>
      <w:r>
        <w:rPr>
          <w:rFonts w:ascii="Arial" w:cs="Arial" w:eastAsia="Arial" w:hAnsi="Arial"/>
          <w:sz w:val="14"/>
          <w:szCs w:val="14"/>
          <w:b w:val="1"/>
          <w:bCs w:val="1"/>
          <w:color w:val="auto"/>
        </w:rPr>
        <w:t>profit/loss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70294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8" w:lineRule="exact"/>
        <w:rPr>
          <w:sz w:val="20"/>
          <w:szCs w:val="20"/>
          <w:color w:val="auto"/>
        </w:rPr>
      </w:pPr>
    </w:p>
    <w:p>
      <w:pPr>
        <w:ind w:left="220" w:hanging="104"/>
        <w:spacing w:after="0"/>
        <w:tabs>
          <w:tab w:leader="none" w:pos="220" w:val="left"/>
        </w:tabs>
        <w:numPr>
          <w:ilvl w:val="0"/>
          <w:numId w:val="179"/>
        </w:numPr>
        <w:rPr>
          <w:rFonts w:ascii="Arial" w:cs="Arial" w:eastAsia="Arial" w:hAnsi="Arial"/>
          <w:sz w:val="12"/>
          <w:szCs w:val="12"/>
          <w:color w:val="auto"/>
        </w:rPr>
      </w:pPr>
      <w:r>
        <w:rPr>
          <w:rFonts w:ascii="Arial" w:cs="Arial" w:eastAsia="Arial" w:hAnsi="Arial"/>
          <w:sz w:val="14"/>
          <w:szCs w:val="14"/>
          <w:color w:val="auto"/>
        </w:rPr>
        <w:t>BNT113 is currently being studied in an investigator-initiated Phase 1 trial</w:t>
      </w:r>
    </w:p>
    <w:p>
      <w:pPr>
        <w:ind w:left="12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Checkpoint Inhibitor</w:t>
      </w:r>
    </w:p>
    <w:p>
      <w:pPr>
        <w:ind w:left="12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3 </w:t>
      </w:r>
      <w:r>
        <w:rPr>
          <w:rFonts w:ascii="Arial" w:cs="Arial" w:eastAsia="Arial" w:hAnsi="Arial"/>
          <w:sz w:val="14"/>
          <w:szCs w:val="14"/>
          <w:color w:val="auto"/>
        </w:rPr>
        <w:t>Checkpoint</w:t>
      </w:r>
    </w:p>
    <w:p>
      <w:pPr>
        <w:ind w:left="12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4 </w:t>
      </w:r>
      <w:r>
        <w:rPr>
          <w:rFonts w:ascii="Arial" w:cs="Arial" w:eastAsia="Arial" w:hAnsi="Arial"/>
          <w:sz w:val="14"/>
          <w:szCs w:val="14"/>
          <w:color w:val="auto"/>
        </w:rPr>
        <w:t>We are eligible to receive worldwide licenses</w:t>
      </w:r>
    </w:p>
    <w:p>
      <w:pPr>
        <w:ind w:left="120"/>
        <w:spacing w:after="0"/>
        <w:rPr>
          <w:rFonts w:ascii="Arial" w:cs="Arial" w:eastAsia="Arial" w:hAnsi="Arial"/>
          <w:sz w:val="12"/>
          <w:szCs w:val="12"/>
          <w:color w:val="auto"/>
        </w:rPr>
      </w:pPr>
      <w:r>
        <w:rPr>
          <w:rFonts w:ascii="Arial" w:cs="Arial" w:eastAsia="Arial" w:hAnsi="Arial"/>
          <w:sz w:val="12"/>
          <w:szCs w:val="12"/>
          <w:color w:val="auto"/>
        </w:rPr>
        <w:t xml:space="preserve">5 </w:t>
      </w:r>
      <w:r>
        <w:rPr>
          <w:rFonts w:ascii="Arial" w:cs="Arial" w:eastAsia="Arial" w:hAnsi="Arial"/>
          <w:sz w:val="14"/>
          <w:szCs w:val="14"/>
          <w:color w:val="auto"/>
        </w:rPr>
        <w:t>Protein Replacement Therapy</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hanging="432"/>
        <w:spacing w:after="0"/>
        <w:tabs>
          <w:tab w:leader="none" w:pos="9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Our mRNA Product Class in Oncology</w:t>
      </w:r>
    </w:p>
    <w:p>
      <w:pPr>
        <w:spacing w:after="0" w:line="135" w:lineRule="exact"/>
        <w:rPr>
          <w:sz w:val="20"/>
          <w:szCs w:val="20"/>
          <w:color w:val="auto"/>
        </w:rPr>
      </w:pPr>
    </w:p>
    <w:p>
      <w:pPr>
        <w:ind w:left="1540" w:hanging="547"/>
        <w:spacing w:after="0"/>
        <w:tabs>
          <w:tab w:leader="none" w:pos="1540" w:val="left"/>
        </w:tabs>
        <w:numPr>
          <w:ilvl w:val="0"/>
          <w:numId w:val="1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FixVac</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FixVac is our wholly owned systemic off-the-shelf mRNA-based cancer immunotherapy platform, from which we are developing several first-in-human and first-in-class product candidates. FixVac product candidates are designed to trigger both innate and adaptive immune responses by encoding selected combinations of shared, tumor-associated antigens.</w:t>
      </w:r>
    </w:p>
    <w:p>
      <w:pPr>
        <w:spacing w:after="0" w:line="328" w:lineRule="exact"/>
        <w:rPr>
          <w:sz w:val="20"/>
          <w:szCs w:val="20"/>
          <w:color w:val="auto"/>
        </w:rPr>
      </w:pPr>
    </w:p>
    <w:p>
      <w:pPr>
        <w:ind w:left="1980" w:hanging="433"/>
        <w:spacing w:after="0"/>
        <w:tabs>
          <w:tab w:leader="none" w:pos="19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BNT111: Our FixVac Cancer Immunotherapy for the Treatment of Advanced Melanoma</w:t>
      </w:r>
    </w:p>
    <w:p>
      <w:pPr>
        <w:spacing w:after="0" w:line="121"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We are developing our mRNA-based FixVac product candidate BNT111 for the treatment of advanced melanoma in patients with metastatic tumors and as an adjuvant treatment after tumor resection. We are currently studying BNT111 in an ongoing Phase 1 clinical trial.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Melanoma</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Melanoma is an increasingly prevalent, deadly form of skin cancer in which melanocytes, which are the cells that color the skin, form malignant cells. With 132,000 new cases diagnosed globally each year, melanoma constitutes less than five percent of all skin cancers. In recent decades, however, the incidence rate of melanoma has risen faster than almost any other cancer type, on average by 1.5% per year over the last 10 years. In 2018, approximately 91,000 new melanoma cases were diagnosed in the United States, representing 5.3% of all new cancer cases in the United States.</w:t>
      </w:r>
    </w:p>
    <w:p>
      <w:pPr>
        <w:spacing w:after="0" w:line="15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Melanoma is the most lethal form of skin cancer, accounting for the majority of skin cancer deaths. There were an estimated 9,300 deaths from melanoma in the United States in 2018. While the five-year survival rate for melanoma, regardless of disease stage, is approximately 91.8%, patients with stage III melanoma have a five-year survival rate of approximately 63%. The five-year survival rate for metastatic melanoma (stage IV) is approximately 20%.</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current treatment regimen involves surgical removal for earlier stages, while a number of targeted therapies, such as BRAF and MEK inhibitors, and checkpoint inhibitors are approved for advanced disease. Checkpoint inhibitors include nivolumab (Opdivo) for advanced or metastatic melanoma after resection, and pembrolizumab (Keytruda) in unresectable or metastatic disease.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BNT111 Targets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BNT111 is designed to elicit an immune response to the following four antigens that have each been found to be associated with melanoma:</w:t>
      </w:r>
    </w:p>
    <w:p>
      <w:pPr>
        <w:spacing w:after="0" w:line="154" w:lineRule="exact"/>
        <w:rPr>
          <w:sz w:val="20"/>
          <w:szCs w:val="20"/>
          <w:color w:val="auto"/>
        </w:rPr>
      </w:pPr>
    </w:p>
    <w:p>
      <w:pPr>
        <w:ind w:left="980" w:right="340" w:hanging="324"/>
        <w:spacing w:after="0" w:line="277" w:lineRule="auto"/>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New York esophageal squamous cell carcinoma 1, or NY-ESO-1, a well-known cancer-testis antigen that is also expressed in numerous cancers, including melanoma;</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melanoma-associated antigen A3, or MAGE-A3, which is not expressed in normal tissues, except the testis and the placenta;</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tyrosinase, an enzyme that is required for melanin production and that is produced in increased levels in melanoma;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trans-membrane phosphatase with tensin homology, or TPTE, a novel cancer-testis antigen that we discovered internally.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sequenced over 300 melanoma tumors and detected at least one of these four antigens in over 90% of melanoma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168910</wp:posOffset>
            </wp:positionV>
            <wp:extent cx="5117465" cy="8572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174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 xml:space="preserve">BNT111 antigens detected in over 90% of melanoma tumors. </w:t>
      </w:r>
      <w:r>
        <w:rPr>
          <w:rFonts w:ascii="Arial" w:cs="Arial" w:eastAsia="Arial" w:hAnsi="Arial"/>
          <w:sz w:val="14"/>
          <w:szCs w:val="14"/>
          <w:color w:val="auto"/>
        </w:rPr>
        <w:t>The graphic above shows expression of BNT111 target antigens on a patient by patient basis. Each row at the bottom of the</w:t>
      </w:r>
      <w:r>
        <w:rPr>
          <w:rFonts w:ascii="Arial" w:cs="Arial" w:eastAsia="Arial" w:hAnsi="Arial"/>
          <w:sz w:val="14"/>
          <w:szCs w:val="14"/>
          <w:b w:val="1"/>
          <w:bCs w:val="1"/>
          <w:color w:val="auto"/>
        </w:rPr>
        <w:t xml:space="preserve"> </w:t>
      </w:r>
      <w:r>
        <w:rPr>
          <w:rFonts w:ascii="Arial" w:cs="Arial" w:eastAsia="Arial" w:hAnsi="Arial"/>
          <w:sz w:val="14"/>
          <w:szCs w:val="14"/>
          <w:color w:val="auto"/>
        </w:rPr>
        <w:t>graphic represents an antigen, and each vertical line represents a patient, depicting whether or not that patient expressed each antigen.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BNT111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trial in advanced melanoma patients (LIPOMERIT study)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are conducting a multi-center, open-label, first-in-human, Phase 1 dose escalation study evaluating the safety and tolerability of multiple intravenous administrations of BNT111 in patients with advanced melanoma. This is the first clinical trial worldwide in which an mRNA-based cancer immunotherapy is administered intravenously for systemic treatment.</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trial employs a conventional 3+3 design, in which patients are dosed in groups of three at incrementally greater dosages until the maximum tolerated dose is identified, during the dose escalation phase, which is then followed by expanded dose cohorts. Patients are treated with doses from 7.2µg up to the highest administered dose of 400µg total mRNA.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July 2018 Interim Data</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of July 2018, 54 patients had been enrolled and treated in the trial at four centers in Germany. A total of 54 patients were included in the safety analysis set, and 22 (41%) patients had evaluable disease at baseline with all 22 of them valid for efficacy analysis, including 15 patients who received an anti-PD1 checkpoint inhibitor in combination with BNT111. In addition, 32 (59%) patients had no evaluable disease at baseline and their analysis is ongoing.</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 xml:space="preserve">Safety. </w:t>
      </w:r>
      <w:r>
        <w:rPr>
          <w:rFonts w:ascii="Arial" w:cs="Arial" w:eastAsia="Arial" w:hAnsi="Arial"/>
          <w:sz w:val="16"/>
          <w:szCs w:val="16"/>
          <w:color w:val="auto"/>
        </w:rPr>
        <w:t>As of July 2018, BNT111 has been well tolerated. During dose escalation no dose-limiting toxicities were reported. Based on the safety,</w:t>
      </w:r>
      <w:r>
        <w:rPr>
          <w:rFonts w:ascii="Arial" w:cs="Arial" w:eastAsia="Arial" w:hAnsi="Arial"/>
          <w:sz w:val="16"/>
          <w:szCs w:val="16"/>
          <w:i w:val="1"/>
          <w:iCs w:val="1"/>
          <w:color w:val="auto"/>
        </w:rPr>
        <w:t xml:space="preserve"> </w:t>
      </w:r>
      <w:r>
        <w:rPr>
          <w:rFonts w:ascii="Arial" w:cs="Arial" w:eastAsia="Arial" w:hAnsi="Arial"/>
          <w:sz w:val="16"/>
          <w:szCs w:val="16"/>
          <w:color w:val="auto"/>
        </w:rPr>
        <w:t>immunogenicity and preliminary efficacy data, the dose escalation was limited to 400µg total mRNA and doses up to 100µg total mRNA were tested in expansion cohorts. The observed symptoms such as transient febrile episodes are driven by the mode of action of the RNA-LPX, which activates antigen presenting cells via signaling of TLRs, resulting in a temporary, self-limiting release of pro-inflammatory cytokines upon intravenous application. These flu-like symptoms were managed by pre-medication with non-steroidal antipyretics, such as ibuprofen and acetaminophen.</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 xml:space="preserve">Immunogenicity. </w:t>
      </w:r>
      <w:r>
        <w:rPr>
          <w:rFonts w:ascii="Arial" w:cs="Arial" w:eastAsia="Arial" w:hAnsi="Arial"/>
          <w:sz w:val="18"/>
          <w:szCs w:val="18"/>
          <w:color w:val="auto"/>
        </w:rPr>
        <w:t>We studied immunogenicity in 41 patients of whom 22 (54%) were without measurable disease at baseline and 19 (46%)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three patients treated in combination with an anti-PD-1 checkpoint inhibitor) had measurable disease at baseline. Antigen-specific T cell responses induced by cancer immunotherapies are often low-frequency and below the detection level of standard assays. Therefore, immunomonitoring programs of many cancer immunotherapy studies first expand T cells of patients post- immunotherapy by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stimulation, or IVS, in culture for one to two weeks before subjecting them to detection assays.</w:t>
      </w:r>
    </w:p>
    <w:p>
      <w:pPr>
        <w:spacing w:after="0" w:line="18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In addition to studying immunogenicity in culture via IVS, we also analyzed immune responses </w:t>
      </w:r>
      <w:r>
        <w:rPr>
          <w:rFonts w:ascii="Arial" w:cs="Arial" w:eastAsia="Arial" w:hAnsi="Arial"/>
          <w:sz w:val="18"/>
          <w:szCs w:val="18"/>
          <w:i w:val="1"/>
          <w:iCs w:val="1"/>
          <w:color w:val="auto"/>
        </w:rPr>
        <w:t>ex vivo</w:t>
      </w:r>
      <w:r>
        <w:rPr>
          <w:rFonts w:ascii="Arial" w:cs="Arial" w:eastAsia="Arial" w:hAnsi="Arial"/>
          <w:sz w:val="18"/>
          <w:szCs w:val="18"/>
          <w:color w:val="auto"/>
        </w:rPr>
        <w:t>, which requires strong expansion of immunotherapy-induced T cells directly within the patient. Moreover, as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RNA-LPX platform was specifically engineered to induce CD4</w:t>
      </w:r>
      <w:r>
        <w:rPr>
          <w:rFonts w:ascii="Arial" w:cs="Arial" w:eastAsia="Arial" w:hAnsi="Arial"/>
          <w:sz w:val="15"/>
          <w:szCs w:val="15"/>
          <w:color w:val="auto"/>
        </w:rPr>
        <w:t>+</w:t>
      </w:r>
      <w:r>
        <w:rPr>
          <w:rFonts w:ascii="Arial" w:cs="Arial" w:eastAsia="Arial" w:hAnsi="Arial"/>
          <w:sz w:val="18"/>
          <w:szCs w:val="18"/>
          <w:color w:val="auto"/>
        </w:rPr>
        <w:t xml:space="preserve"> T cell responses, both CD8</w:t>
      </w:r>
      <w:r>
        <w:rPr>
          <w:rFonts w:ascii="Arial" w:cs="Arial" w:eastAsia="Arial" w:hAnsi="Arial"/>
          <w:sz w:val="15"/>
          <w:szCs w:val="15"/>
          <w:color w:val="auto"/>
        </w:rPr>
        <w:t>+</w:t>
      </w:r>
      <w:r>
        <w:rPr>
          <w:rFonts w:ascii="Arial" w:cs="Arial" w:eastAsia="Arial" w:hAnsi="Arial"/>
          <w:sz w:val="18"/>
          <w:szCs w:val="18"/>
          <w:color w:val="auto"/>
        </w:rPr>
        <w:t xml:space="preserve"> as well as CD4</w:t>
      </w:r>
      <w:r>
        <w:rPr>
          <w:rFonts w:ascii="Arial" w:cs="Arial" w:eastAsia="Arial" w:hAnsi="Arial"/>
          <w:sz w:val="15"/>
          <w:szCs w:val="15"/>
          <w:color w:val="auto"/>
        </w:rPr>
        <w:t>+</w:t>
      </w:r>
      <w:r>
        <w:rPr>
          <w:rFonts w:ascii="Arial" w:cs="Arial" w:eastAsia="Arial" w:hAnsi="Arial"/>
          <w:sz w:val="18"/>
          <w:szCs w:val="18"/>
          <w:color w:val="auto"/>
        </w:rPr>
        <w:t xml:space="preserve"> antigen-specific T cell responses were assessed as part of the immunogenicity monitoring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57150</wp:posOffset>
            </wp:positionV>
            <wp:extent cx="3223260" cy="29317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2326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right="80"/>
        <w:spacing w:after="0" w:line="235" w:lineRule="auto"/>
        <w:rPr>
          <w:sz w:val="20"/>
          <w:szCs w:val="20"/>
          <w:color w:val="auto"/>
        </w:rPr>
      </w:pPr>
      <w:r>
        <w:rPr>
          <w:rFonts w:ascii="Arial" w:cs="Arial" w:eastAsia="Arial" w:hAnsi="Arial"/>
          <w:sz w:val="14"/>
          <w:szCs w:val="14"/>
          <w:b w:val="1"/>
          <w:bCs w:val="1"/>
          <w:color w:val="auto"/>
        </w:rPr>
        <w:t xml:space="preserve">BNT111 immunogenicity rate. </w:t>
      </w:r>
      <w:r>
        <w:rPr>
          <w:rFonts w:ascii="Arial" w:cs="Arial" w:eastAsia="Arial" w:hAnsi="Arial"/>
          <w:sz w:val="14"/>
          <w:szCs w:val="14"/>
          <w:color w:val="auto"/>
        </w:rPr>
        <w:t>In all patients, T cell responses were observed for at least one antigen of BNT111. Of note, in 41 patients (98%), these responses were detectable directly</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ex</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vivo</w:t>
      </w:r>
      <w:r>
        <w:rPr>
          <w:rFonts w:ascii="Arial" w:cs="Arial" w:eastAsia="Arial" w:hAnsi="Arial"/>
          <w:sz w:val="14"/>
          <w:szCs w:val="14"/>
          <w:color w:val="auto"/>
        </w:rPr>
        <w:t>, without prior</w:t>
      </w:r>
      <w:r>
        <w:rPr>
          <w:rFonts w:ascii="Arial" w:cs="Arial" w:eastAsia="Arial" w:hAnsi="Arial"/>
          <w:sz w:val="14"/>
          <w:szCs w:val="14"/>
          <w:i w:val="1"/>
          <w:iCs w:val="1"/>
          <w:color w:val="auto"/>
        </w:rPr>
        <w:t xml:space="preserve"> in vitro </w:t>
      </w:r>
      <w:r>
        <w:rPr>
          <w:rFonts w:ascii="Arial" w:cs="Arial" w:eastAsia="Arial" w:hAnsi="Arial"/>
          <w:sz w:val="14"/>
          <w:szCs w:val="14"/>
          <w:color w:val="auto"/>
        </w:rPr>
        <w:t>expansion of antigen-specific T cells. In 38 patients (88%) the observed antigen-specific immune responses were immunotherapy-induced. These included T cell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specificities undetectable at baseline and induced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by the immunotherapy as well as T cell specificities that were present at low levels at baseline and were expanded and amplified by immunotherapy antigen.</w:t>
      </w:r>
    </w:p>
    <w:p>
      <w:pPr>
        <w:spacing w:after="0" w:line="18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i w:val="1"/>
          <w:iCs w:val="1"/>
          <w:color w:val="auto"/>
        </w:rPr>
        <w:t xml:space="preserve">Efficacy. </w:t>
      </w:r>
      <w:r>
        <w:rPr>
          <w:rFonts w:ascii="Arial" w:cs="Arial" w:eastAsia="Arial" w:hAnsi="Arial"/>
          <w:sz w:val="18"/>
          <w:szCs w:val="18"/>
          <w:color w:val="auto"/>
        </w:rPr>
        <w:t>As of July 2018, in our review of interim data, we observed efficacy for 22 patients who received BNT111 as a monotherapy. All 22</w:t>
      </w:r>
      <w:r>
        <w:rPr>
          <w:rFonts w:ascii="Arial" w:cs="Arial" w:eastAsia="Arial" w:hAnsi="Arial"/>
          <w:sz w:val="18"/>
          <w:szCs w:val="18"/>
          <w:i w:val="1"/>
          <w:iCs w:val="1"/>
          <w:color w:val="auto"/>
        </w:rPr>
        <w:t xml:space="preserve"> </w:t>
      </w:r>
      <w:r>
        <w:rPr>
          <w:rFonts w:ascii="Arial" w:cs="Arial" w:eastAsia="Arial" w:hAnsi="Arial"/>
          <w:sz w:val="18"/>
          <w:szCs w:val="18"/>
          <w:color w:val="auto"/>
        </w:rPr>
        <w:t>monotherapy patients had received a prior treatment with a CPI.</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the BNT111 monotherapy cohort, four patients (18.2%) showed a partial response, or PR, and eight patients (36.4%) demonstrated stable disease. The clinical benefit rate, or CBR, is 54.6%. Two of the PRs manifested early on during treatment (at imaging day 90); the two others manifested at imaging days 180 and 360,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Completed Phase 1 trial in patients with advanced melanoma (MERIT study)</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2016, we published results of a first-in-human dose escalation study evaluating the safety and tolerability of intranodal administration of an earlier generation of BNT111 in patients with advanced melanoma. In this study, the earlier formulation of BNT111 targeted only NY-ESO-1 and tyrosinase.</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This international, multi-center, open-label interventional study’s primary endpoints were the maximum tolerated dose for multiple dosing, safety and adverse reactions and tolerability profile of multiple dosing. The secondary endpoints were (i) to observe immunotherapy-induced immune responses following multiple treatment cycles and (ii) clinical benefit (complete response, partial response and stable disease).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Five dosages were administered to patients sequentially: 50µg, 100µg, 300µg, 600µg, and 1,000µg. The sample size for the first three doses was three each. The 600µg dose cohort was comprised of 13 patients and the 1,000µg dose cohort was comprised of seven patients. In the 100µg, 300µg and 600µg dose cohorts, seven patients in total received continued treatment. The overall individual treatment period was 43 to 51 days and comprised eight treatment cycles of ultrasound-guided intranodal injections on days one, four, eight, 11, 15-17, 22-26, 29-35 and 43-51. In case of an optional continued treatment for patients who neither exhibited unacceptable drug-related toxicity nor disease progression, four additional treatment cycles were administered at the same dosage that the patient had received in his or her cohort. The first cycle of continued treatment was scheduled 14-42 days after the last visit, with the second and third additional treatment cycles following after a one-month interval each. The fourth treatment cycle then followed after an interval of three months.</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occurrence of new measurable lesions was observed in only one patient of the 1,000µg dose cohort, while new non-measurable lesions were identified in seven patients. Twenty-one patients, or 75%, were classified as having immune-related stable disease and six patients, or 21.4%, had immune-related progressive disease.</w:t>
      </w:r>
    </w:p>
    <w:p>
      <w:pPr>
        <w:spacing w:after="0" w:line="184" w:lineRule="exact"/>
        <w:rPr>
          <w:sz w:val="20"/>
          <w:szCs w:val="20"/>
          <w:color w:val="auto"/>
        </w:rPr>
      </w:pPr>
    </w:p>
    <w:p>
      <w:pPr>
        <w:jc w:val="both"/>
        <w:ind w:left="120" w:right="400" w:firstLine="440"/>
        <w:spacing w:after="0" w:line="275" w:lineRule="auto"/>
        <w:rPr>
          <w:sz w:val="20"/>
          <w:szCs w:val="20"/>
          <w:color w:val="auto"/>
        </w:rPr>
      </w:pPr>
      <w:r>
        <w:rPr>
          <w:rFonts w:ascii="Arial" w:cs="Arial" w:eastAsia="Arial" w:hAnsi="Arial"/>
          <w:sz w:val="17"/>
          <w:szCs w:val="17"/>
          <w:color w:val="auto"/>
        </w:rPr>
        <w:t>The most frequent adverse events included administration site conditions, infections and infestations, musculoskeletal and connective tissue disorders, nasopharyngitis, fatigue, headache and back pain. No life-threatening adverse events nor deaths occurred in this study. Thirteen severe adverse events were reported, including infections and infestations and vascular disorders. Sixteen patients were affected by adverse events with a suspected relationship to the study drug. These were most frequently fatigue, application site erythema and application site pain. None of the drug-related adverse events was categorized as serious. No dose-limiting toxicities were observed.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report final Phase 1 data and to initiate Phase 2 clinical trials for BNT111 in the first half of 2020.</w:t>
      </w:r>
    </w:p>
    <w:p>
      <w:pPr>
        <w:spacing w:after="0" w:line="370" w:lineRule="exact"/>
        <w:rPr>
          <w:sz w:val="20"/>
          <w:szCs w:val="20"/>
          <w:color w:val="auto"/>
        </w:rPr>
      </w:pPr>
    </w:p>
    <w:p>
      <w:pPr>
        <w:ind w:left="1980" w:hanging="433"/>
        <w:spacing w:after="0"/>
        <w:tabs>
          <w:tab w:leader="none" w:pos="19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BNT112: Our FixVac Cancer Immunotherapy for the Treatment of Prostate Cancer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developing BNT112 for the treatment of prostate cancer.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Prostate Cancer</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Prostate cancer is the second most common cancer amongst men worldwide and the fourth most commonly occurring cancer overall, with around 1.3 million new cases recorded worldwide in 2018 and 174,650 cases expected in 2019 in the United States alone. The stage of the prostate cancer (I-IV), alongside the prostate-specific antigen and Gleason score, are the key factors for defining the treatment options for individual cases. Surgical or radiation based approaches are often used in first-line therapy, however after relapse (up to 30-40% of patients), androgen-deprivation therapies are employed, which in turn also often become redundant (metastatic castration-resistant prostate cancer, or mCRPC) at which point patients are treated with either further hormonal agents or chemotherapy.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BNT112 Targets</w:t>
      </w:r>
    </w:p>
    <w:p>
      <w:pPr>
        <w:spacing w:after="0" w:line="117" w:lineRule="exact"/>
        <w:rPr>
          <w:sz w:val="20"/>
          <w:szCs w:val="20"/>
          <w:color w:val="auto"/>
        </w:rPr>
      </w:pPr>
    </w:p>
    <w:p>
      <w:pPr>
        <w:ind w:left="120" w:right="680" w:firstLine="440"/>
        <w:spacing w:after="0" w:line="342" w:lineRule="auto"/>
        <w:rPr>
          <w:sz w:val="20"/>
          <w:szCs w:val="20"/>
          <w:color w:val="auto"/>
        </w:rPr>
      </w:pPr>
      <w:r>
        <w:rPr>
          <w:rFonts w:ascii="Arial" w:cs="Arial" w:eastAsia="Arial" w:hAnsi="Arial"/>
          <w:sz w:val="16"/>
          <w:szCs w:val="16"/>
          <w:color w:val="auto"/>
        </w:rPr>
        <w:t>BNT112 is designed to elicit an immune response to five prostate cancer-specific antigens, including prostate-specific antigen, or PSA, a transmembrane protein that is expressed by virtually all prostate cancers, prostatic acid phosphatase, or PAP, and three undisclosed antigens.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9"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BNT112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Planned Phase 1/2 Clinical Trial</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plan to initiate an open-label, multi-center, first-in-human Phase 1/2 individual dose titration study of BNT112 in patients with mCRPC and high-risk localized prostate cancer, or LPC, in the second half of 2019. Eligible patients will have newly diagnosed high-risk localized prostate cancer and will be treated with BNT112 as a single agent, in combination with cemiplimab and goserelin acetate or in combination with goserelin acetate alone. We anticipate a total enrollment of 60 to 80 patients at up to 20 investigational sites.</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study is designed to evaluate the safety, tolerability, immunogenicity and preliminary efficacy of BNT112 in mCRPC and LPC patients. The primary objective of this study will be to establish the safety and tolerability of BNT112 alone, or in combination with goserelin acetate with or without cemiplimab. The secondary objectives of the trial will be to examine the immunogenicity of BNT112 alone or in combination with goserelin acetate with or without cemiplimab, and to evaluate anti-tumor activity based on levels of prostate-specific antigen, or PSA.</w:t>
      </w:r>
    </w:p>
    <w:p>
      <w:pPr>
        <w:spacing w:after="0" w:line="17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study will consist of three arms. The first arm will start with a dose titration phase for the initial safety assessment and recommended expansion dose range assessment. We anticipate enrollment of approximately 20 patients in arm one who will receive BNT112 alone, with up to nine patients participating in the dose titration part of the arm (with staggered starting groups of three patients one week apart). Titration will continue until unacceptable toxicity or disease progression. Efficacy in the first arm will be assessed by on-treatment imaging and in the second and third arms by tumor volume measurement.</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After at least six patients are treated and evaluable for at least one treatment cycle, we plan to commence enrollment of the second and third arms, each enrolling approximately 20 patients with newly diagnosed LPC. Patients in the second arm will receive BNT112 combined with goserelin acetate and cemiplimab, and patients in the third arm will receive BNT112 combined with goserelin acetate alone. Treatment periods in the second and third arms will last until unacceptable toxicity or until the end of the eighth cycle, which will be followed by planned radical prostatectomy.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initiate a Phase 1/2 trial for BNT112 in the second half of 2019.</w:t>
      </w:r>
    </w:p>
    <w:p>
      <w:pPr>
        <w:spacing w:after="0" w:line="370" w:lineRule="exact"/>
        <w:rPr>
          <w:sz w:val="20"/>
          <w:szCs w:val="20"/>
          <w:color w:val="auto"/>
        </w:rPr>
      </w:pPr>
    </w:p>
    <w:p>
      <w:pPr>
        <w:ind w:left="1980" w:hanging="433"/>
        <w:spacing w:after="0"/>
        <w:tabs>
          <w:tab w:leader="none" w:pos="198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BNT113: Our FixVac Cancer Immunotherapy for the Treatment of HPV+ Head and Neck Cancer</w:t>
      </w:r>
    </w:p>
    <w:p>
      <w:pPr>
        <w:spacing w:after="0" w:line="121" w:lineRule="exact"/>
        <w:rPr>
          <w:sz w:val="20"/>
          <w:szCs w:val="20"/>
          <w:color w:val="auto"/>
        </w:rPr>
      </w:pPr>
    </w:p>
    <w:p>
      <w:pPr>
        <w:ind w:left="120" w:right="960" w:firstLine="440"/>
        <w:spacing w:after="0" w:line="342" w:lineRule="auto"/>
        <w:rPr>
          <w:sz w:val="20"/>
          <w:szCs w:val="20"/>
          <w:color w:val="auto"/>
        </w:rPr>
      </w:pPr>
      <w:r>
        <w:rPr>
          <w:rFonts w:ascii="Arial" w:cs="Arial" w:eastAsia="Arial" w:hAnsi="Arial"/>
          <w:sz w:val="16"/>
          <w:szCs w:val="16"/>
          <w:color w:val="auto"/>
        </w:rPr>
        <w:t>We are developing BNT113 for the treatment of HPV+ head and neck cancer. BNT113 is currently being studied by the University of Southampton in an ongoing investigator-sponsored Phase 1/2 basket study in HPV+ cancers, including head and neck cancer.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HPV+ Head and Neck Cancer</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Head and neck cancer defines an heterogeneous group of tumors originating in the squamous cells that line the moist, mucosal surfaces inside the head and neck. Head and neck cancer is the sixth most common malignancy worldwide, accounting for approximately 6% of all cancer cases, and is responsible for 1-2% of all cancer deaths. An increasing percentage of this cancer is now attributed to HPV infection in the United States and Europe, particularly those arising from the oropharynx. In the U.S., HPV-related oropharynx cancer, or OPC, is one of only five cancers with rising incidence and prevalence. The percentage of OPC related to HPV rose from approximately 16% in 1984 to 1989 to approximately 72% during 2000 to 2004. Early stage H&amp;N cancer is typically either treated with surgery or radiation alone, however approximately 66% of patients present with advanced disease and fewer than 30% of these are cured. The management of advanced disease consists of multiple-modality therapy with surgery, radiation and chemotherapy. Long-term survival rates in these patients have not increased significantly in the past 30 years: five-year survival rates are 60-80%.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BNT113 Targets</w:t>
      </w:r>
    </w:p>
    <w:p>
      <w:pPr>
        <w:spacing w:after="0" w:line="117"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BNT113 is designed to elicit an immune response against the well-characterized HPV16-derived oncoproteins E6 and E7, which are strongly immunogenic, viral neoantigens that are found in HPV16+ solid cancers such as head and neck squamous cell carcinoma.</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BNT113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1/2 Basket Study (Investigator Sponsored)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BNT113 is being studied in an investigator sponsored open-label, Phase 1/2 dose escalation basket study with two different arms in approximately 44 patients with HPV+ head and neck and other cancers. The first arm will perform dose escalation in patients with previously treated HPV+ head and neck cancer using two dose cohorts to establish a safe, tolerable and recommended dose of BNT113. The second arm will perform dose escalation in patients with advanced HPV+ cancers, including head and neck, anogenital, penile and cervical cancers, using a single cohort to establish a safe, tolerable and recommended dose.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initiate a Phase 2 trial of BNT113 in HPV+ cancers in the first half of 2020.</w:t>
      </w:r>
    </w:p>
    <w:p>
      <w:pPr>
        <w:spacing w:after="0" w:line="370" w:lineRule="exact"/>
        <w:rPr>
          <w:sz w:val="20"/>
          <w:szCs w:val="20"/>
          <w:color w:val="auto"/>
        </w:rPr>
      </w:pPr>
    </w:p>
    <w:p>
      <w:pPr>
        <w:ind w:left="1980" w:hanging="433"/>
        <w:spacing w:after="0"/>
        <w:tabs>
          <w:tab w:leader="none" w:pos="19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BNT114: Our FixVac Cancer Immunotherapy for the Treatment of Triple Negative Breast Cancer</w:t>
      </w:r>
    </w:p>
    <w:p>
      <w:pPr>
        <w:spacing w:after="0" w:line="121"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We are currently studying antigens selected for BNT114 in a three-arm clinical trial as both a monotherapy and in combination with our RO7198457 (BNT122) individualized iNeST immunotherapy in patients with triple negative breast cancers.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Triple Negative Breast Cancer</w:t>
      </w:r>
    </w:p>
    <w:p>
      <w:pPr>
        <w:spacing w:after="0" w:line="11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Breast cancer is the most commonly occurring cancer in women and the second most common cancer overall with over two million new cases globally in 2018 with an expected 268,600 cases in 2019 in the United States alone. There are three broadly defined categories of breast cancer. About 80% of breast cancers are defined as ER+, meaning that they grow in response to the hormone estrogen, while 65% of these are also defined as PR+, as they also grow in response to another hormone, progesterone. Such cancers can be identified by the presence of estrogen receptors, or ER, and/or progesterone receptors, or PR, on the cancer cell surface and are more likely to be treatable by hormone therapies than cancers that are ER or PR negative. In about 20% of cancers, the tumor can be identified by its production of an excess of the HER2 protein. Such HER2+ cancers tend to be aggressive and fast moving. Breast cancers that neither express ER or PR, nor over-express HER2-, are known as triple negative breast cancers, or TNBCs. TNBC patients represent approximately 12-15% of all breast cancer cases, however it remains an area of high unmet medical need given it is typically the most aggressive form of breast cancer. There are currently no effective treatments for TNBC. While initial treatment options include surgery or chemotherapy, TNBC is characterized by rapid resistance to chemotherapy, and few remaining treatment options remain thereafter.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BNT114 Targets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BNT114 is designed to elicit an immune response to selected antigens that are found in breast cancers.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BNT114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Clinical Trial (BNT114 monotherapy and in combination with RO7198457 (BNT122))</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are currently conducting an international, multi-center, open-label, three-arm Phase 1 study of BNT114 as a monotherapy and in combination with our RO7198457 (BNT122) individualized iNeST immunotherapy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39 TNBC patients who had previously received the standard of care therapy (</w:t>
      </w:r>
      <w:r>
        <w:rPr>
          <w:rFonts w:ascii="Arial" w:cs="Arial" w:eastAsia="Arial" w:hAnsi="Arial"/>
          <w:sz w:val="17"/>
          <w:szCs w:val="17"/>
          <w:i w:val="1"/>
          <w:iCs w:val="1"/>
          <w:color w:val="auto"/>
        </w:rPr>
        <w:t>i.e.</w:t>
      </w:r>
      <w:r>
        <w:rPr>
          <w:rFonts w:ascii="Arial" w:cs="Arial" w:eastAsia="Arial" w:hAnsi="Arial"/>
          <w:sz w:val="17"/>
          <w:szCs w:val="17"/>
          <w:color w:val="auto"/>
        </w:rPr>
        <w:t>, surgery, chemotherapy and/or radiotherapy). The primary endpoints of the study are to assess safety and tolerability. Safety will be analyzed by adverse event documentation and clinical observation and tolerability will be analyzed based on patients’ vital signs and clinical chemistry. The secondary endpoint of the study is the observation of the treatment-induced immune responses, expressed as treatment-induced T cell responses, resulting from multiple treatment cycles.</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Patients in the first arm receive BNT114, patients in the second arm receive BNT114 in combination with RO7198457 (BNT122) and patients in the third arm receive BNT114 in combination with mRNA encoding tetanus-toxin help epitopes.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report a data update in the first half of 2020 and assess the immunogenicity of the selected antigens.</w:t>
      </w:r>
    </w:p>
    <w:p>
      <w:pPr>
        <w:spacing w:after="0" w:line="370" w:lineRule="exact"/>
        <w:rPr>
          <w:sz w:val="20"/>
          <w:szCs w:val="20"/>
          <w:color w:val="auto"/>
        </w:rPr>
      </w:pPr>
    </w:p>
    <w:p>
      <w:pPr>
        <w:ind w:left="1980" w:hanging="433"/>
        <w:spacing w:after="0"/>
        <w:tabs>
          <w:tab w:leader="none" w:pos="198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Other FixVac Indications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also exploring FixVac development candidates in other cancer indications, including ovarian cancer.</w:t>
      </w:r>
    </w:p>
    <w:p>
      <w:pPr>
        <w:spacing w:after="0" w:line="370" w:lineRule="exact"/>
        <w:rPr>
          <w:sz w:val="20"/>
          <w:szCs w:val="20"/>
          <w:color w:val="auto"/>
        </w:rPr>
      </w:pPr>
    </w:p>
    <w:p>
      <w:pPr>
        <w:ind w:left="1540" w:hanging="547"/>
        <w:spacing w:after="0"/>
        <w:tabs>
          <w:tab w:leader="none" w:pos="15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Individualized Neoantigen Specific Immunotherapy (iNeST)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iNeST product candidate is an individualized cancer immunotherapy that targets specific neoantigens that are present on a patient’s tumors.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developing our iNeST cancer immunotherapy in collaboration with Genentech.</w:t>
      </w:r>
    </w:p>
    <w:p>
      <w:pPr>
        <w:spacing w:after="0" w:line="355" w:lineRule="exact"/>
        <w:rPr>
          <w:sz w:val="20"/>
          <w:szCs w:val="20"/>
          <w:color w:val="auto"/>
        </w:rPr>
      </w:pPr>
    </w:p>
    <w:p>
      <w:pPr>
        <w:ind w:left="1980" w:hanging="433"/>
        <w:spacing w:after="0"/>
        <w:tabs>
          <w:tab w:leader="none" w:pos="19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BNT122: Our iNeST Cancer Immunotherapy for Multiple Potential Indications</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and our collaborator Genentech are developing RO7198457 (BNT122) for the treatment of metastatic melanoma and other solid tumors. In a previous Phase 1 trial of BNT121, an earlier version of our iNeST product candidate that was administered intranodally, in 13 patients with metastatic melanoma, we observed stable progression-free survival in nine patients for up to 41 months following surgery and treatment with BNT121. We are currently conducting a randomized Phase 2 trial of RO7198457 (BNT122) in collaboration with Genentech in first-line melanoma in combination with pembrolizumab. We are also studying RO7198457 (BNT122) as a monotherapy and in combination with atezolizumab in a Phase 1a/1b basket study of patients with locally advanced or metastatic solid tumors (including in melanoma, non-small cell lung cancer, bladder cancer as well as other solid tumors).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RO7198457 (BNT122) Targets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RO7198457 (BNT122) is an individualized neoantigen specific immunotherapy. Each RO7198457 (BNT122) dose includes up to 20 different neoepitopes, selected on a patient-by-patient basis. We believe that neoepitope-specific T cells induced by RO7198457 (BNT122) can enhance the therapeutic efficacy of immune checkpoint blockade.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RO7198457 (BNT122)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2 Clinical Trial (First-line with pembrolizumab)</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January 2019, we and Genentech initiated a Phase 2, open-label, multi-center, randomized clinical trial investigating the safety and efficacy of RO7198457 (BNT122) in combination with pembrolizumab in 132 patients with previously untreated metastatic melanoma. Patients in the experimental arm will receive pembrolizumab by intravenous infusion every three weeks, plus a selected dose of RO7198457 (BNT122) at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defined intervals. Patients in the active comparator arm will receive 200mg of pembrolizumab by intravenous infusion every three weeks. Following treatment in the comparator arm, patients will be permitted to cross over to combination therapy with RO7198457 (BNT122).</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co-primary endpoints are:</w:t>
      </w:r>
    </w:p>
    <w:p>
      <w:pPr>
        <w:spacing w:after="0" w:line="131" w:lineRule="exact"/>
        <w:rPr>
          <w:sz w:val="20"/>
          <w:szCs w:val="20"/>
          <w:color w:val="auto"/>
        </w:rPr>
      </w:pPr>
    </w:p>
    <w:p>
      <w:pPr>
        <w:ind w:left="980" w:hanging="324"/>
        <w:spacing w:after="0" w:line="342" w:lineRule="auto"/>
        <w:tabs>
          <w:tab w:leader="none" w:pos="9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progression-free survival, or PFS, of patients treated with RO7198457 (BNT122) compared with patients receiving pembrolizumab alone, at up to approximately 24 months, according to Response Evaluation Criteria in Solid Tumors, Version 1.1, or RECIST v1.1; and</w:t>
      </w:r>
    </w:p>
    <w:p>
      <w:pPr>
        <w:spacing w:after="0" w:line="29" w:lineRule="exact"/>
        <w:rPr>
          <w:rFonts w:ascii="Arial" w:cs="Arial" w:eastAsia="Arial" w:hAnsi="Arial"/>
          <w:sz w:val="16"/>
          <w:szCs w:val="16"/>
          <w:color w:val="auto"/>
        </w:rPr>
      </w:pPr>
    </w:p>
    <w:p>
      <w:pPr>
        <w:ind w:left="980" w:right="280" w:hanging="324"/>
        <w:spacing w:after="0" w:line="308" w:lineRule="auto"/>
        <w:tabs>
          <w:tab w:leader="none" w:pos="9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objective response rate, or ORR, in patients treated with RO7198457 (BNT122) compared with patients receiving pembrolizumab alone, defined as the proportion of participants with complete response, or CR, or PR, at up to approximately 24 months.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Secondary endpoints include:</w:t>
      </w:r>
    </w:p>
    <w:p>
      <w:pPr>
        <w:spacing w:after="0" w:line="131" w:lineRule="exact"/>
        <w:rPr>
          <w:sz w:val="20"/>
          <w:szCs w:val="20"/>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overall survival, or OS, of patients treated with RO7198457 (BNT122) compared with patients receiving pembrolizumab only;</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duration of response according to RECIST v1.1 of patients treated with iNeST compared with patients receiving pembrolizumab only;</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mean change in health-related quality of life, scores of patients treated with iNeST compared with patients receiving pembrolizumab only;</w:t>
      </w:r>
    </w:p>
    <w:p>
      <w:pPr>
        <w:spacing w:after="0" w:line="153" w:lineRule="exact"/>
        <w:rPr>
          <w:rFonts w:ascii="Arial" w:cs="Arial" w:eastAsia="Arial" w:hAnsi="Arial"/>
          <w:sz w:val="16"/>
          <w:szCs w:val="16"/>
          <w:color w:val="auto"/>
        </w:rPr>
      </w:pPr>
    </w:p>
    <w:p>
      <w:pPr>
        <w:ind w:left="980" w:right="240" w:hanging="324"/>
        <w:spacing w:after="0" w:line="277" w:lineRule="auto"/>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percentage of patients with CR or PR following cross-over from pembrolizumab monotherapy to combination therapy at up to 12 months following cross-over, according to RECIST v1.1; and</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incidence and severity of adverse events.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Clinical Trial</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and Genentech are currently conducting a global Phase 1a/1b open-label, global dose-escalation basket study to assess the safety, tolerability, immune response and pharmacokinetics of RO7198457 (BNT122) as a single agent and in combination with Tecentriq (atezolizumab), an anti-PD-L1 mAb, in patients with locally advanced or metastatic tumors, including in melanoma, non-small cell lung cancer, bladder cancer, colorectal cancer, TNBC, renal cancer, H&amp;N cancer and other solid cancers. We expect to enroll over 770 patients in this study and expect initial data in 2020.</w:t>
      </w:r>
    </w:p>
    <w:p>
      <w:pPr>
        <w:spacing w:after="0" w:line="15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the Phase 1a portion of the study, patients receive RO7198457 (BNT122), administered intravenously every 21 days at escalating doses. In the Phase 1b portion, patients receive RO7198457 (BNT122), administered intravenously every 21 days at escalating dosages, in combination with atezolizumab at a fixed dose of 1,200mg.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we are investigating RO7198457 (BNT122) in three Phase 1b arms in combination with atezolizumab at a fixed dose of 1200mg, in</w:t>
      </w:r>
    </w:p>
    <w:p>
      <w:pPr>
        <w:spacing w:after="0" w:line="46" w:lineRule="exact"/>
        <w:rPr>
          <w:sz w:val="20"/>
          <w:szCs w:val="20"/>
          <w:color w:val="auto"/>
        </w:rPr>
      </w:pPr>
    </w:p>
    <w:p>
      <w:pPr>
        <w:ind w:left="120" w:right="520" w:hanging="4"/>
        <w:spacing w:after="0" w:line="260" w:lineRule="auto"/>
        <w:tabs>
          <w:tab w:leader="none" w:pos="33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patients with non-small cell lung cancer that have received cancer checkpoint inhibitors, (ii) patients with selected tumor types who consent to optional serial biopsies and (iii) patients with different indications as per inclusion criteria.</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Completed Phase 1 Clinical Trial (First Generation iNeST)</w:t>
      </w:r>
    </w:p>
    <w:p>
      <w:pPr>
        <w:spacing w:after="0" w:line="117"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In 2017, we published the results of a 13-patient, first-in-human trial of our first generation intranodal iNeST product candidate, BNT121, in patients with late-stage malignant melanoma. The objective of this clinical trial was to study the feasibility, safety, tolerability, immunogenicity and potential anti-tumoral activity of iNeST. All patients had stable disease at enrollment with a high risk for relapse.</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All 13 patients developed T cell immune responses against multiple immunotherapy neoepitopes at up to high single-digit percentages. As shown below, 60% of the selected neoepitopes elicited a T cell response.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detected immune response was elicited by both CD4</w:t>
      </w:r>
      <w:r>
        <w:rPr>
          <w:rFonts w:ascii="Arial" w:cs="Arial" w:eastAsia="Arial" w:hAnsi="Arial"/>
          <w:sz w:val="15"/>
          <w:szCs w:val="15"/>
          <w:color w:val="auto"/>
        </w:rPr>
        <w:t>+</w:t>
      </w:r>
      <w:r>
        <w:rPr>
          <w:rFonts w:ascii="Arial" w:cs="Arial" w:eastAsia="Arial" w:hAnsi="Arial"/>
          <w:sz w:val="18"/>
          <w:szCs w:val="18"/>
          <w:color w:val="auto"/>
        </w:rPr>
        <w:t xml:space="preserve"> and CD8</w:t>
      </w:r>
      <w:r>
        <w:rPr>
          <w:rFonts w:ascii="Arial" w:cs="Arial" w:eastAsia="Arial" w:hAnsi="Arial"/>
          <w:sz w:val="15"/>
          <w:szCs w:val="15"/>
          <w:color w:val="auto"/>
        </w:rPr>
        <w:t>+</w:t>
      </w:r>
      <w:r>
        <w:rPr>
          <w:rFonts w:ascii="Arial" w:cs="Arial" w:eastAsia="Arial" w:hAnsi="Arial"/>
          <w:sz w:val="18"/>
          <w:szCs w:val="18"/>
          <w:color w:val="auto"/>
        </w:rPr>
        <w:t xml:space="preserve"> T cells and the majority was induced </w:t>
      </w:r>
      <w:r>
        <w:rPr>
          <w:rFonts w:ascii="Arial" w:cs="Arial" w:eastAsia="Arial" w:hAnsi="Arial"/>
          <w:sz w:val="18"/>
          <w:szCs w:val="18"/>
          <w:i w:val="1"/>
          <w:iCs w:val="1"/>
          <w:color w:val="auto"/>
        </w:rPr>
        <w:t>de novo</w:t>
      </w:r>
      <w:r>
        <w:rPr>
          <w:rFonts w:ascii="Arial" w:cs="Arial" w:eastAsia="Arial" w:hAnsi="Arial"/>
          <w:sz w:val="18"/>
          <w:szCs w:val="18"/>
          <w:color w:val="auto"/>
        </w:rPr>
        <w:t>, which we believe to be an important requirement for an effective immune response and an added benefit beyond checkpoint inhibition alone.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severe adverse drug reactions were reported in the study. Common adverse events included flu-like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168910</wp:posOffset>
            </wp:positionV>
            <wp:extent cx="2631440" cy="29571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3144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Immune responses documented in our prior BNT121 study</w:t>
      </w:r>
      <w:r>
        <w:rPr>
          <w:rFonts w:ascii="Arial" w:cs="Arial" w:eastAsia="Arial" w:hAnsi="Arial"/>
          <w:sz w:val="13"/>
          <w:szCs w:val="13"/>
          <w:color w:val="auto"/>
        </w:rPr>
        <w:t>. Patients showed immune responses, including both CD4</w:t>
      </w:r>
      <w:r>
        <w:rPr>
          <w:rFonts w:ascii="Arial" w:cs="Arial" w:eastAsia="Arial" w:hAnsi="Arial"/>
          <w:sz w:val="11"/>
          <w:szCs w:val="1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and CD8</w:t>
      </w:r>
      <w:r>
        <w:rPr>
          <w:rFonts w:ascii="Arial" w:cs="Arial" w:eastAsia="Arial" w:hAnsi="Arial"/>
          <w:sz w:val="11"/>
          <w:szCs w:val="1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responses, against multiple neoantigens.</w:t>
      </w:r>
    </w:p>
    <w:p>
      <w:pPr>
        <w:spacing w:after="0" w:line="15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780"/>
          </w:cols>
          <w:pgMar w:left="320" w:top="459" w:right="7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metastases resected from two patients following treatment with BNT121 demonstrated evidence of treatment-induced infiltration with BNT121-induced neoepitope-specific T cells and neoepitope-specific killing of tumor cells. The cumulative rate of metastatic events was significantly reduced after the start of treatment, resulting in a sustained progression-free survival. Of the 13 patients entering the trial, eight patients that had no radiologically detectable lesions at start of neo-epitope vaccination were relapse free and remained recurrence-free for the whole follow-up period (12 to 23 months). Five patients experienced melanoma relapses shortly after inclusion in the trial and despite initiation of standard treatment had progressing metastases at start of their neoepitope treatment. Of these, two patients developed neoepitope treatment-related objective clinical responses. One of these patients exhibited a complete response and remained relapse-free for 26 months. The other patient had an immunotherapy-related partial response. This patient had a late relapse owing to outgrowth of ß2-microglobulin-deficient melanoma cells as an acquired resistance mechanism. A third patient developed a complete response to treatment in combination with PD-1 blockade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131445</wp:posOffset>
            </wp:positionV>
            <wp:extent cx="3883025" cy="3077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8302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right="360"/>
        <w:spacing w:after="0" w:line="258" w:lineRule="auto"/>
        <w:rPr>
          <w:sz w:val="20"/>
          <w:szCs w:val="20"/>
          <w:color w:val="auto"/>
        </w:rPr>
      </w:pPr>
      <w:r>
        <w:rPr>
          <w:rFonts w:ascii="Arial" w:cs="Arial" w:eastAsia="Arial" w:hAnsi="Arial"/>
          <w:sz w:val="14"/>
          <w:szCs w:val="14"/>
          <w:b w:val="1"/>
          <w:bCs w:val="1"/>
          <w:color w:val="auto"/>
        </w:rPr>
        <w:t xml:space="preserve">Metastatic relapses before and after treatment with BNT121. </w:t>
      </w:r>
      <w:r>
        <w:rPr>
          <w:rFonts w:ascii="Arial" w:cs="Arial" w:eastAsia="Arial" w:hAnsi="Arial"/>
          <w:sz w:val="14"/>
          <w:szCs w:val="14"/>
          <w:color w:val="auto"/>
        </w:rPr>
        <w:t>The chart above shows the metastatic relapses of patients before and after treatment with BNT121. Each horizontal line</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represents the time course of a single patient. The vertical line indicates the treatment start of BNT121.</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expect to report interim data from our RO7198457 (BNT122) first-line Phase 2 melanoma trial, and report a data update from our RO7198457 (BNT122) Phase 1a/1b solid tumor trial, in the second half of 2020.</w:t>
      </w:r>
    </w:p>
    <w:p>
      <w:pPr>
        <w:spacing w:after="0" w:line="319" w:lineRule="exact"/>
        <w:rPr>
          <w:sz w:val="20"/>
          <w:szCs w:val="20"/>
          <w:color w:val="auto"/>
        </w:rPr>
      </w:pPr>
    </w:p>
    <w:p>
      <w:pPr>
        <w:ind w:left="1540" w:hanging="547"/>
        <w:spacing w:after="0"/>
        <w:tabs>
          <w:tab w:leader="none" w:pos="1540" w:val="left"/>
        </w:tabs>
        <w:numPr>
          <w:ilvl w:val="0"/>
          <w:numId w:val="1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Intratumoral Immunotherapy</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in collaboration with Sanofi, are developing intratumoral immunotherapies utilizing our proprietary mRNA technology. These immunotherapies are designed to be administered directly into the tumor in order to alter the tumor microenvironment and enhance the immune system’s ability to recognize and fight cancer within the tumor (proximal) as well as in other untreated locations (distal).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80" w:hanging="433"/>
        <w:spacing w:after="0"/>
        <w:tabs>
          <w:tab w:leader="none" w:pos="198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SAR441000 (BNT131): Our Initial Intratumoral Immunotherapy for the Treatment of Solid Tumors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and Sanofi are developing SAR441000 (BNT131) as an intratumoral immunotherapy for the treatment of solid tumors. SAR441000 (BNT131) is being studied in a Phase 1 basket clinical trial as a monotherapy in patients with advanced melanoma and in combination with an anti-PD-1/PD-L1 checkpoint inhibitor in patients with advanced melanoma and certain solid tumors.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SAR441000 (BNT131) Targets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SAR441000 (BNT131) utilizes mRNA to encode the cytokines IL-12sc, IL-15sushi, IFNα and GM-CSF. By increasing the concentration of these cytokines in the tumor microenvironment, the immune system may more easily recognize and fight cancer.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SAR441000 (BNT131)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Clinical Trial</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and Sanofi have commenced a first-in-human, multi-center, open-label, Phase 1, dose escalation and expansion basket study to evaluate the safety, pharmacokinetics, pharmacodynamics and anti-tumor activity of SAR441000 (BNT131) administered intratumorally as monotherapy and in combination with cemiplimab, in 264 patients with advanced solid tumors.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SAR441000 (BNT131) Preclinical Studies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 xml:space="preserve">We conducted a preclinical study of SAR441000 (BNT131) in mouse tumor models. In these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the anti-tumor activity of cytokines encoded by mRNA was driven by the action of T cells as well as NK cells and was accompanied by robust intratumoral induction of interferon gamma, systemic expansion of antigen-specific T cells and increased granzyme B positive CD8</w:t>
      </w:r>
      <w:r>
        <w:rPr>
          <w:rFonts w:ascii="Arial" w:cs="Arial" w:eastAsia="Arial" w:hAnsi="Arial"/>
          <w:sz w:val="15"/>
          <w:szCs w:val="15"/>
          <w:color w:val="auto"/>
        </w:rPr>
        <w:t>+</w:t>
      </w:r>
      <w:r>
        <w:rPr>
          <w:rFonts w:ascii="Arial" w:cs="Arial" w:eastAsia="Arial" w:hAnsi="Arial"/>
          <w:sz w:val="18"/>
          <w:szCs w:val="18"/>
          <w:color w:val="auto"/>
        </w:rPr>
        <w:t xml:space="preserve"> T cell infiltration.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SAR441000 (BNT131) was shown to form immunological memory toward both dominant and subdominant antigens, which protected long-term survivors from re-challenge with autologous tumors. Importantly, although cytokine mRNAs were administered intratumorally, resulting in local target expression, anti-tumor activity extended beyond the injected tumor to effectively control the growth of distal tumors in both a dual-tumor model and an experimental lung metastasis model. Finally, SAR441000 (BNT131) demonstrated improved overall survival and higher incidence of complete tumor regressions across several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145415</wp:posOffset>
            </wp:positionV>
            <wp:extent cx="4526280" cy="28975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52628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line="258" w:lineRule="auto"/>
        <w:rPr>
          <w:sz w:val="20"/>
          <w:szCs w:val="20"/>
          <w:color w:val="auto"/>
        </w:rPr>
      </w:pPr>
      <w:r>
        <w:rPr>
          <w:rFonts w:ascii="Arial" w:cs="Arial" w:eastAsia="Arial" w:hAnsi="Arial"/>
          <w:sz w:val="13"/>
          <w:szCs w:val="13"/>
          <w:b w:val="1"/>
          <w:bCs w:val="1"/>
          <w:color w:val="auto"/>
        </w:rPr>
        <w:t xml:space="preserve">Systemic anti-tumor effects in mouse model. </w:t>
      </w:r>
      <w:r>
        <w:rPr>
          <w:rFonts w:ascii="Arial" w:cs="Arial" w:eastAsia="Arial" w:hAnsi="Arial"/>
          <w:sz w:val="13"/>
          <w:szCs w:val="13"/>
          <w:color w:val="auto"/>
        </w:rPr>
        <w:t>As shown above, BNT131 demonstrated local and systemic anti-tumor effects of intratumoral cytokine mRNA. In this study, mice were</w:t>
      </w:r>
      <w:r>
        <w:rPr>
          <w:rFonts w:ascii="Arial" w:cs="Arial" w:eastAsia="Arial" w:hAnsi="Arial"/>
          <w:sz w:val="13"/>
          <w:szCs w:val="13"/>
          <w:b w:val="1"/>
          <w:bCs w:val="1"/>
          <w:color w:val="auto"/>
        </w:rPr>
        <w:t xml:space="preserve"> </w:t>
      </w:r>
      <w:r>
        <w:rPr>
          <w:rFonts w:ascii="Arial" w:cs="Arial" w:eastAsia="Arial" w:hAnsi="Arial"/>
          <w:sz w:val="13"/>
          <w:szCs w:val="13"/>
          <w:color w:val="auto"/>
        </w:rPr>
        <w:t>implanted with a tumor on each of the right and left flank. One tumor was injected with intratumoral cytokine mRNA (or control mRNA) while the other was not. The top center figure shows the tumor volume of the treated tumor (red line) against the control (blue line). The top right figure shows an anti-tumor effect on the untreated tumor (red line) against the control (blue line). The figures on the bottom show the abscopal effect of an intratumoral cytokine mRNA (center bottom) on distal lung metastases compared to the control mRNA (right bottom).</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Based on these preclinical results, we believe we can leverage our robust and versatile synthetic mRNA technology to deliver localized cytokine-based cancer immunotherapy with broad anti-tumor activity against treated and untreated lesions.</w:t>
      </w:r>
    </w:p>
    <w:p>
      <w:pPr>
        <w:spacing w:after="0" w:line="315" w:lineRule="exact"/>
        <w:rPr>
          <w:sz w:val="20"/>
          <w:szCs w:val="20"/>
          <w:color w:val="auto"/>
        </w:rPr>
      </w:pPr>
    </w:p>
    <w:p>
      <w:pPr>
        <w:ind w:left="1540" w:hanging="547"/>
        <w:spacing w:after="0"/>
        <w:tabs>
          <w:tab w:leader="none" w:pos="15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RiboMabs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RiboMab product candidates consist of our proprietary nucleoside-modified mRNA that is designed to minimize the immunomodulatory activity of the mRNA, and these candidates are formulated using liver-targeting LNP for intravenous delivery.</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Our RiboMab product candidates are designed to encode secreted antibodies for expression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by the patient’s cells. RiboMabs potentially addresses the limitations of recombinent antibodies, including costly manufacturing processes and unfavorable pharmacokinetics, such as short plasma half-life. We are conducting preclinical studies for two development candidates, and have shown compelling preclinical data.</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RiboMab Preclinical Studies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have generated RiboMabs targeting different tumor antigens and tested their therapeutic potency in mice engrafted with human tumors that were repopulated with human immune cells. We demonstrated in preclinical studies that injection with a RiboMab product candidate encoding bispecific RiboMabs directed against CD3 and CLDN6 antigens resulted in elimination of aggressively growing, large tumors. Intravenously administering a microgram dose of mRNA encoding RiboMabs resulted in bispecific RiboMab production in the liver cells and rapid secretion into circulation, reaching peak plasma concentration within hours and remaining at therapeutically effective levels for one week. The dosage and frequency of dosing of recombinant bispecific antibodies required to produce similar effects was substantially greater. This was the first preclinical study to demonstrate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application of mRNA-encoded antibodies for the successful treatment of cancer.</w:t>
      </w:r>
    </w:p>
    <w:p>
      <w:pPr>
        <w:spacing w:after="0" w:line="322" w:lineRule="exact"/>
        <w:rPr>
          <w:sz w:val="20"/>
          <w:szCs w:val="20"/>
          <w:color w:val="auto"/>
        </w:rPr>
      </w:pPr>
    </w:p>
    <w:p>
      <w:pPr>
        <w:ind w:left="1980" w:hanging="433"/>
        <w:spacing w:after="0"/>
        <w:tabs>
          <w:tab w:leader="none" w:pos="198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BNT141: Our Initial RiboMab for the Treatment of Solid Tumors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BNT141 is our RiboMab product candidate for the treatment of solid tumors. BNT141 is designed to encode secreted IgG antibodies.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BNT141 Targets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BNT141 is designed to encode secreted antibodies that target multiple epithelial solid tumors, including gastric and pancreatic cancers.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expect to initiate a Phase 1 basket trial of BNT141 for the treatment of various solid tumors, including gastrointestinal tumors, in the first half of 2020.</w:t>
      </w:r>
    </w:p>
    <w:p>
      <w:pPr>
        <w:spacing w:after="0" w:line="315" w:lineRule="exact"/>
        <w:rPr>
          <w:sz w:val="20"/>
          <w:szCs w:val="20"/>
          <w:color w:val="auto"/>
        </w:rPr>
      </w:pPr>
    </w:p>
    <w:p>
      <w:pPr>
        <w:ind w:left="1980" w:hanging="433"/>
        <w:spacing w:after="0"/>
        <w:tabs>
          <w:tab w:leader="none" w:pos="198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BNT142: Our Second RiboMab for the Treatment of Solid Tumors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BNT142 is our RiboMab product candidate for the treatment of solid tumors. BNT142 is designed to encode a secreted bispecific antibody that targets CD3 and CLDN6.</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BNT142 Targets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BNT142 is designed to encode bispecific antibodies that target CD3, a T cell receptor that plays a key role in the activation of CD8</w:t>
      </w:r>
      <w:r>
        <w:rPr>
          <w:rFonts w:ascii="Arial" w:cs="Arial" w:eastAsia="Arial" w:hAnsi="Arial"/>
          <w:sz w:val="15"/>
          <w:szCs w:val="15"/>
          <w:color w:val="auto"/>
        </w:rPr>
        <w:t>+</w:t>
      </w:r>
      <w:r>
        <w:rPr>
          <w:rFonts w:ascii="Arial" w:cs="Arial" w:eastAsia="Arial" w:hAnsi="Arial"/>
          <w:sz w:val="18"/>
          <w:szCs w:val="18"/>
          <w:color w:val="auto"/>
        </w:rPr>
        <w:t xml:space="preserve"> and CD4</w:t>
      </w:r>
      <w:r>
        <w:rPr>
          <w:rFonts w:ascii="Arial" w:cs="Arial" w:eastAsia="Arial" w:hAnsi="Arial"/>
          <w:sz w:val="15"/>
          <w:szCs w:val="15"/>
          <w:color w:val="auto"/>
        </w:rPr>
        <w:t>+</w:t>
      </w:r>
      <w:r>
        <w:rPr>
          <w:rFonts w:ascii="Arial" w:cs="Arial" w:eastAsia="Arial" w:hAnsi="Arial"/>
          <w:sz w:val="18"/>
          <w:szCs w:val="18"/>
          <w:color w:val="auto"/>
        </w:rPr>
        <w:t xml:space="preserve"> T cells, and CLDN6, a highly specific oncofetal cell surface antigen that is found in solid tumors, but not in normal cells.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initiate a Phase 1 basket trial of BNT142 for the treatment of numerous solid tumors in the second half of 2020.</w:t>
      </w:r>
    </w:p>
    <w:p>
      <w:pPr>
        <w:spacing w:after="0" w:line="374" w:lineRule="exact"/>
        <w:rPr>
          <w:sz w:val="20"/>
          <w:szCs w:val="20"/>
          <w:color w:val="auto"/>
        </w:rPr>
      </w:pPr>
    </w:p>
    <w:p>
      <w:pPr>
        <w:ind w:left="1540" w:hanging="547"/>
        <w:spacing w:after="0"/>
        <w:tabs>
          <w:tab w:leader="none" w:pos="1540" w:val="left"/>
        </w:tabs>
        <w:numPr>
          <w:ilvl w:val="0"/>
          <w:numId w:val="19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RiboCytokines</w:t>
      </w:r>
    </w:p>
    <w:p>
      <w:pPr>
        <w:spacing w:after="0" w:line="117"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Our RiboCytokine product candidates utilize mRNA that encodes the desired cytokines. RiboCytokine product candidates consist of modified mRNA designed to encode secreted cytokines that are formulated to use liver-targeting LNP for intravenous delivery.</w:t>
      </w:r>
    </w:p>
    <w:p>
      <w:pPr>
        <w:spacing w:after="0" w:line="14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RiboCytokine product candidates are designed to address the limitations of recombinantly expressed cytokines, including limited serum half-life and production costs. We are developing RiboCytokines to be used primarily in combination with other drugs, including our other pipeline candidates.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880" w:hanging="333"/>
        <w:spacing w:after="0"/>
        <w:tabs>
          <w:tab w:leader="none" w:pos="188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BNT151:Our Initial RiboCytokine for the Treatment of Solid Tumors</w:t>
      </w:r>
    </w:p>
    <w:p>
      <w:pPr>
        <w:spacing w:after="0" w:line="121"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We are developing BNT151, our RiboCytokine designed to encode a modified version of the human interleukin-2, or IL-2, cytokine for the treatment of solid tumors. BNT151 is designed to stimulate T cells without triggering immunosuppression in the tumor microenvironment.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BNT151 Target</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BNT151 comprises our nucleoside-modified mRNA that encodes mRNA for a function-modified IL-2. IL-2 is a key cytokine in T cell immunity, supporting the differentiation, proliferation, survival and effector functions of T cells.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Recombinant IL-2, aldesleukin, was the first approved cancer immunotherapy, and has been marketed globally for the treatment of late stage melanoma and renal cell cancer for decades. Most patients with complete responses after IL-2 treatment remain regression free for more than 25 years after initial treatment, but overall response rates are low due in part to the limitations of recombinant cytokines. Recombinant IL-2 has a very short half-life, requiring high and frequent dosing and a partially unfavorable activity profile, which leads to increased side effects, thus limiting its utility as a cancer treatment.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initiate a Phase 1 clinical basket trial of BNT151 in the first half of 2020.</w:t>
      </w:r>
    </w:p>
    <w:p>
      <w:pPr>
        <w:spacing w:after="0" w:line="370" w:lineRule="exact"/>
        <w:rPr>
          <w:sz w:val="20"/>
          <w:szCs w:val="20"/>
          <w:color w:val="auto"/>
        </w:rPr>
      </w:pPr>
    </w:p>
    <w:p>
      <w:pPr>
        <w:ind w:left="1880" w:hanging="333"/>
        <w:spacing w:after="0"/>
        <w:tabs>
          <w:tab w:leader="none" w:pos="18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BNT152:Our Second RiboCytokine for the Treatment of Solid Tumors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developing BNT152, our RiboCytokine designed to encode IL-7 for the treatment of solid tumors.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initiate a Phase 1 clinical trial of BNT152 in the first half of 2020.</w:t>
      </w:r>
    </w:p>
    <w:p>
      <w:pPr>
        <w:spacing w:after="0" w:line="370" w:lineRule="exact"/>
        <w:rPr>
          <w:sz w:val="20"/>
          <w:szCs w:val="20"/>
          <w:color w:val="auto"/>
        </w:rPr>
      </w:pPr>
    </w:p>
    <w:p>
      <w:pPr>
        <w:ind w:left="1860" w:hanging="313"/>
        <w:spacing w:after="0"/>
        <w:tabs>
          <w:tab w:leader="none" w:pos="18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BNT153:Our IL-2 variant RiboCytokine for the Treatment of Solid Tumors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developing BNT153, our RiboCytokine designed to secrete IL-2 for the treatment of solid tumors.</w:t>
      </w:r>
    </w:p>
    <w:p>
      <w:pPr>
        <w:spacing w:after="0" w:line="370" w:lineRule="exact"/>
        <w:rPr>
          <w:sz w:val="20"/>
          <w:szCs w:val="20"/>
          <w:color w:val="auto"/>
        </w:rPr>
      </w:pPr>
    </w:p>
    <w:p>
      <w:pPr>
        <w:ind w:left="1540" w:hanging="547"/>
        <w:spacing w:after="0"/>
        <w:tabs>
          <w:tab w:leader="none" w:pos="15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Our Oncology Engineered Cell Therapy Product Candidates</w:t>
      </w:r>
    </w:p>
    <w:p>
      <w:pPr>
        <w:spacing w:after="0" w:line="131" w:lineRule="exact"/>
        <w:rPr>
          <w:sz w:val="20"/>
          <w:szCs w:val="20"/>
          <w:color w:val="auto"/>
        </w:rPr>
      </w:pPr>
    </w:p>
    <w:p>
      <w:pPr>
        <w:ind w:left="1980" w:hanging="433"/>
        <w:spacing w:after="0"/>
        <w:tabs>
          <w:tab w:leader="none" w:pos="19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CAR T</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are advancing multiple CAR T product candidates, the most advanced of which, BNT211, is targeting the novel and highly specific target CLDN6</w:t>
      </w:r>
      <w:r>
        <w:rPr>
          <w:rFonts w:ascii="Arial" w:cs="Arial" w:eastAsia="Arial" w:hAnsi="Arial"/>
          <w:sz w:val="15"/>
          <w:szCs w:val="15"/>
          <w:color w:val="auto"/>
        </w:rPr>
        <w:t>+</w:t>
      </w:r>
      <w:r>
        <w:rPr>
          <w:rFonts w:ascii="Arial" w:cs="Arial" w:eastAsia="Arial" w:hAnsi="Arial"/>
          <w:sz w:val="18"/>
          <w:szCs w:val="18"/>
          <w:color w:val="auto"/>
        </w:rPr>
        <w:t xml:space="preserve"> in solid tumors, and which we expect to enter the clinic in the second half of 2019 for the treatment of CLDN6</w:t>
      </w:r>
      <w:r>
        <w:rPr>
          <w:rFonts w:ascii="Arial" w:cs="Arial" w:eastAsia="Arial" w:hAnsi="Arial"/>
          <w:sz w:val="15"/>
          <w:szCs w:val="15"/>
          <w:color w:val="auto"/>
        </w:rPr>
        <w:t>+</w:t>
      </w:r>
      <w:r>
        <w:rPr>
          <w:rFonts w:ascii="Arial" w:cs="Arial" w:eastAsia="Arial" w:hAnsi="Arial"/>
          <w:sz w:val="18"/>
          <w:szCs w:val="18"/>
          <w:color w:val="auto"/>
        </w:rPr>
        <w:t xml:space="preserve"> solid tumors, including ovarian cancer. We plan to use our initial CAR-T cell product candidates in combination with a FixVac immunotherapy that encodes the same target as the CAR T. The FixVac selectively targets dendritic cells, which leads to uptake, antigen expression and maturation of the dendritic cells. The co-stimulation provided by dendritic cell maturation has been shown in preclinical studies to amplify and expand CAR-T cells </w:t>
      </w:r>
      <w:r>
        <w:rPr>
          <w:rFonts w:ascii="Arial" w:cs="Arial" w:eastAsia="Arial" w:hAnsi="Arial"/>
          <w:sz w:val="18"/>
          <w:szCs w:val="18"/>
          <w:i w:val="1"/>
          <w:iCs w:val="1"/>
          <w:color w:val="auto"/>
        </w:rPr>
        <w:t>in vivo</w:t>
      </w:r>
      <w:r>
        <w:rPr>
          <w:rFonts w:ascii="Arial" w:cs="Arial" w:eastAsia="Arial" w:hAnsi="Arial"/>
          <w:sz w:val="18"/>
          <w:szCs w:val="18"/>
          <w:color w:val="auto"/>
        </w:rPr>
        <w:t>, leading to increased persistence of the CAR T.</w:t>
      </w:r>
    </w:p>
    <w:p>
      <w:pPr>
        <w:spacing w:after="0" w:line="337" w:lineRule="exact"/>
        <w:rPr>
          <w:sz w:val="20"/>
          <w:szCs w:val="20"/>
          <w:color w:val="auto"/>
        </w:rPr>
      </w:pPr>
    </w:p>
    <w:p>
      <w:pPr>
        <w:ind w:left="1980" w:hanging="433"/>
        <w:spacing w:after="0"/>
        <w:tabs>
          <w:tab w:leader="none" w:pos="19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BNT211: Our CAR T cell Therapy for the Treatment of CLDN6</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Solid Tumors</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BNT211 is our CAR T cell therapy for the treatment of CLDN6</w:t>
      </w:r>
      <w:r>
        <w:rPr>
          <w:rFonts w:ascii="Arial" w:cs="Arial" w:eastAsia="Arial" w:hAnsi="Arial"/>
          <w:sz w:val="15"/>
          <w:szCs w:val="15"/>
          <w:color w:val="auto"/>
        </w:rPr>
        <w:t>+</w:t>
      </w:r>
      <w:r>
        <w:rPr>
          <w:rFonts w:ascii="Arial" w:cs="Arial" w:eastAsia="Arial" w:hAnsi="Arial"/>
          <w:sz w:val="18"/>
          <w:szCs w:val="18"/>
          <w:color w:val="auto"/>
        </w:rPr>
        <w:t xml:space="preserve"> solid tumors. BNT211 targets CLDN6 and will initially be evaluated in combination with a FixVac that encodes CLDN6.</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60"/>
          </w:cols>
          <w:pgMar w:left="320" w:top="459"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BNT211 Target</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BNT211 targets Claudin 6, or CLDN6, a highly specific oncofetal cell surface antigen that is found in multiple cancers, including ovarian, testicular and lung cancers, but not in normal cells.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BNT211 Trials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Planned Phase 1/2 Clinical Trial</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anticipate initiating a Phase 1/2 open-label, multi-center dose escalation and dose expansion basket study of BNT211 with or without a CLDN6 FixVac immunotherapy in the first half of 2020. We anticipate enrolling patients with advanced solid tumor malignancies who express CLDN6. While our preclinical focus has been on ovarian cancer, we expect patients with uterine, testicular, lung and gastric cancers may also be enrolled in our upcoming CAR T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have observed compelling preclinical data of BNT211 demonstrating potent anti-tumoral efficacy, including eradication of advanced tumors in an ovarian carcinoma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133985</wp:posOffset>
            </wp:positionV>
            <wp:extent cx="2554605" cy="26142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5460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Potent anti-tumoral effect. </w:t>
      </w:r>
      <w:r>
        <w:rPr>
          <w:rFonts w:ascii="Arial" w:cs="Arial" w:eastAsia="Arial" w:hAnsi="Arial"/>
          <w:sz w:val="14"/>
          <w:szCs w:val="14"/>
          <w:color w:val="auto"/>
        </w:rPr>
        <w:t>As shown above, BNT211 demonstrated eradication of advanced tumors in a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160655</wp:posOffset>
            </wp:positionV>
            <wp:extent cx="2545715" cy="13455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4571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right="80"/>
        <w:spacing w:after="0" w:line="258" w:lineRule="auto"/>
        <w:rPr>
          <w:sz w:val="20"/>
          <w:szCs w:val="20"/>
          <w:color w:val="auto"/>
        </w:rPr>
      </w:pPr>
      <w:r>
        <w:rPr>
          <w:rFonts w:ascii="Arial" w:cs="Arial" w:eastAsia="Arial" w:hAnsi="Arial"/>
          <w:sz w:val="14"/>
          <w:szCs w:val="14"/>
          <w:b w:val="1"/>
          <w:bCs w:val="1"/>
          <w:color w:val="auto"/>
        </w:rPr>
        <w:t xml:space="preserve">Effect of FixVac booster. </w:t>
      </w:r>
      <w:r>
        <w:rPr>
          <w:rFonts w:ascii="Arial" w:cs="Arial" w:eastAsia="Arial" w:hAnsi="Arial"/>
          <w:sz w:val="14"/>
          <w:szCs w:val="14"/>
          <w:color w:val="auto"/>
        </w:rPr>
        <w:t>The figure above depicts the effect of a CLDN6-encoding FixVac immune booster administered in combination with BNT211 on the number of CLDN6-specific T</w:t>
      </w:r>
      <w:r>
        <w:rPr>
          <w:rFonts w:ascii="Arial" w:cs="Arial" w:eastAsia="Arial" w:hAnsi="Arial"/>
          <w:sz w:val="14"/>
          <w:szCs w:val="14"/>
          <w:b w:val="1"/>
          <w:bCs w:val="1"/>
          <w:color w:val="auto"/>
        </w:rPr>
        <w:t xml:space="preserve"> </w:t>
      </w:r>
      <w:r>
        <w:rPr>
          <w:rFonts w:ascii="Arial" w:cs="Arial" w:eastAsia="Arial" w:hAnsi="Arial"/>
          <w:sz w:val="14"/>
          <w:szCs w:val="14"/>
          <w:color w:val="auto"/>
        </w:rPr>
        <w:t>cells.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are planning to initiate a Phase 1/2 clinical trial of the combination of BNT211 and a CLDN6 FixVac in the first half of 2020 for the treatment of CLDN6</w:t>
      </w:r>
      <w:r>
        <w:rPr>
          <w:rFonts w:ascii="Arial" w:cs="Arial" w:eastAsia="Arial" w:hAnsi="Arial"/>
          <w:sz w:val="15"/>
          <w:szCs w:val="15"/>
          <w:color w:val="auto"/>
        </w:rPr>
        <w:t>+</w:t>
      </w:r>
      <w:r>
        <w:rPr>
          <w:rFonts w:ascii="Arial" w:cs="Arial" w:eastAsia="Arial" w:hAnsi="Arial"/>
          <w:sz w:val="18"/>
          <w:szCs w:val="18"/>
          <w:color w:val="auto"/>
        </w:rPr>
        <w:t xml:space="preserve"> solid tumors.</w:t>
      </w:r>
    </w:p>
    <w:p>
      <w:pPr>
        <w:spacing w:after="0" w:line="315" w:lineRule="exact"/>
        <w:rPr>
          <w:sz w:val="20"/>
          <w:szCs w:val="20"/>
          <w:color w:val="auto"/>
        </w:rPr>
      </w:pPr>
    </w:p>
    <w:p>
      <w:pPr>
        <w:ind w:left="1980" w:hanging="433"/>
        <w:spacing w:after="0"/>
        <w:tabs>
          <w:tab w:leader="none" w:pos="19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BNT212: Our CAR T Cell Therapy for the Treatment of CLDN18.2</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Solid Tumors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BNT212 is our CAR-T cell therapy for the treatment of CLDN18.2-positive solid tumors. BNT212 and will initially be evaluated in combination with a FixVac that encodes CLDN18.2.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BNT212 Target</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BNT212 targets Claudin 18.2, or CLDN18.2, a highly specific target that is only expressed in cancer and in differentiated epithelial cells of the gastric mucosa, but it is absent from the gastric stem cell zone. CLDN18.2 is expressed in numerous epithelial solid tumors, including gastric, pancreatic, esophageal, ovarian and lung tumors.</w:t>
      </w:r>
    </w:p>
    <w:p>
      <w:pPr>
        <w:spacing w:after="0" w:line="328" w:lineRule="exact"/>
        <w:rPr>
          <w:sz w:val="20"/>
          <w:szCs w:val="20"/>
          <w:color w:val="auto"/>
        </w:rPr>
      </w:pPr>
    </w:p>
    <w:p>
      <w:pPr>
        <w:ind w:left="1540" w:hanging="547"/>
        <w:spacing w:after="0"/>
        <w:tabs>
          <w:tab w:leader="none" w:pos="15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Our TCR Product Candidates in Oncology</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developing T cell receptor therapies for the treatment of cancer, including in collaboration with Eli Lilly. Under our collaboration, Eli Lilly has an exclusive option to pursue clinical development of certain potential TCR product candidates. We and Eli Lilly have concluded the research phase of the collaboration and Eli Lilly is evaluating whether to exercise its option.</w:t>
      </w:r>
    </w:p>
    <w:p>
      <w:pPr>
        <w:spacing w:after="0" w:line="328" w:lineRule="exact"/>
        <w:rPr>
          <w:sz w:val="20"/>
          <w:szCs w:val="20"/>
          <w:color w:val="auto"/>
        </w:rPr>
      </w:pPr>
    </w:p>
    <w:p>
      <w:pPr>
        <w:ind w:left="1540" w:hanging="547"/>
        <w:spacing w:after="0"/>
        <w:tabs>
          <w:tab w:leader="none" w:pos="15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Antibody Product Candidates in Oncology</w:t>
      </w:r>
    </w:p>
    <w:p>
      <w:pPr>
        <w:spacing w:after="0" w:line="135" w:lineRule="exact"/>
        <w:rPr>
          <w:sz w:val="20"/>
          <w:szCs w:val="20"/>
          <w:color w:val="auto"/>
        </w:rPr>
      </w:pPr>
    </w:p>
    <w:p>
      <w:pPr>
        <w:ind w:left="1980" w:hanging="433"/>
        <w:spacing w:after="0"/>
        <w:tabs>
          <w:tab w:leader="none" w:pos="1980" w:val="left"/>
        </w:tabs>
        <w:numPr>
          <w:ilvl w:val="0"/>
          <w:numId w:val="2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Next-Generation Checkpoint Immunomodulators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collaboration with Genmab, we are currently studying two bispecific antibody checkpoint immunomodulators.</w:t>
      </w:r>
    </w:p>
    <w:p>
      <w:pPr>
        <w:spacing w:after="0" w:line="248" w:lineRule="exact"/>
        <w:rPr>
          <w:sz w:val="20"/>
          <w:szCs w:val="20"/>
          <w:color w:val="auto"/>
        </w:rPr>
      </w:pPr>
    </w:p>
    <w:p>
      <w:pPr>
        <w:ind w:left="2420" w:hanging="441"/>
        <w:spacing w:after="0"/>
        <w:tabs>
          <w:tab w:leader="none" w:pos="242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GEN1046 (BNT311): Our Bispecific PD-L1x4-1BB Antibody for the Treatment of Solid Tumors</w:t>
      </w:r>
    </w:p>
    <w:p>
      <w:pPr>
        <w:spacing w:after="0" w:line="229" w:lineRule="exact"/>
        <w:rPr>
          <w:sz w:val="20"/>
          <w:szCs w:val="20"/>
          <w:color w:val="auto"/>
        </w:rPr>
      </w:pPr>
    </w:p>
    <w:p>
      <w:pPr>
        <w:jc w:val="both"/>
        <w:ind w:left="120" w:right="700" w:firstLine="440"/>
        <w:spacing w:after="0" w:line="263" w:lineRule="auto"/>
        <w:rPr>
          <w:sz w:val="20"/>
          <w:szCs w:val="20"/>
          <w:color w:val="auto"/>
        </w:rPr>
      </w:pPr>
      <w:r>
        <w:rPr>
          <w:rFonts w:ascii="Arial" w:cs="Arial" w:eastAsia="Arial" w:hAnsi="Arial"/>
          <w:sz w:val="18"/>
          <w:szCs w:val="18"/>
          <w:color w:val="auto"/>
        </w:rPr>
        <w:t>GEN1046 (BNT311), our PD-L1x4-1BB product candidate, is a potential first-in-class bispecific antibody combining PD-L1 checkpoint inhibition with 4-1BB checkpoint activation. We dosed the first patient in a Phase 1/2 basket study of GEN1046 (BNT311) for the treatment of malignant solid tumors in May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GEN1046 (BNT311) Targets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GEN1046 (BNT311) is a bispecific antibody designed to target PD-L1 and 4-1BB to block the inhibitory PD-1/PD-L1 axis and simultaneously activate essential co-stimulatory activity via 4-1BB. PD-L1 is a validated target that is expressed on tumor cells. 4-1BB is a trans-membrane receptor belonging to the TNF super-family, and is expressed predominantly on activated T cells.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GEN1046 (BNT311)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Ongoing Phase 1/2 Clinical Trial</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collaboration with Genmab, we are conducting a Phase 1/2, open-label, single arm safety basket trial of GEN1046 (BNT311), which is expected to enroll approximately 192 patients with malignant solid tumors. The trial consists of a dose escalation portion and an expansion portion. The dose escalation portion will determine the safety profile of GEN1046 (BNT311) in subjects with certain relapsed or refractory, advanced and/or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metastatic malignant solid tumors who are no longer candidates for standard therapy. The expansion portion will be initiated once the recommended Phase 2 dose has been established in Phase 1. In the expansion portion, GEN1046 (BNT311) will be administered intravenously once every 21 days. The primary endpoints of the trial are dose-limiting toxicities, adverse events and safety laboratory parameters, including hematology, biochemistry, coagulation and endocrinology.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preclinical settings, GEN1046 (BNT311) promoted conditional T cell activation in a tumor-specific manner. Preclinical studies also indicated a release of T cell inhibition through the PD-1/PD-L1 axis.</w:t>
      </w:r>
    </w:p>
    <w:p>
      <w:pPr>
        <w:spacing w:after="0" w:line="315" w:lineRule="exact"/>
        <w:rPr>
          <w:sz w:val="20"/>
          <w:szCs w:val="20"/>
          <w:color w:val="auto"/>
        </w:rPr>
      </w:pPr>
    </w:p>
    <w:p>
      <w:pPr>
        <w:ind w:left="1980" w:hanging="433"/>
        <w:spacing w:after="0"/>
        <w:tabs>
          <w:tab w:leader="none" w:pos="19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BNT312: Our Bispecific CD40x4-1BB Antibody for the Treatment of Solid Tumors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BNT312, our CD40+4-1BB antibody product candidate, is a potential first-in-class bispecific antibody designed to induce conditional immune activation by crosslinking CD40 and 4-1BB positive cells.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BNT312 Targets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BNT312 is a bispecific antibody designed to activate an anti-tumor immune response through conditional CD40-mediated stimulation of antigen presenting cells crosslinked with conditional stimulation of 4-1BB</w:t>
      </w:r>
      <w:r>
        <w:rPr>
          <w:rFonts w:ascii="Arial" w:cs="Arial" w:eastAsia="Arial" w:hAnsi="Arial"/>
          <w:sz w:val="15"/>
          <w:szCs w:val="15"/>
          <w:color w:val="auto"/>
        </w:rPr>
        <w:t>+</w:t>
      </w:r>
      <w:r>
        <w:rPr>
          <w:rFonts w:ascii="Arial" w:cs="Arial" w:eastAsia="Arial" w:hAnsi="Arial"/>
          <w:sz w:val="18"/>
          <w:szCs w:val="18"/>
          <w:color w:val="auto"/>
        </w:rPr>
        <w:t xml:space="preserve"> T cells. The cell surface molecule CD40 is a member of the tumor necrosis factor receptor superfamily and is broadly expressed by a wide range of tumor cells.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BNT312 Preclinical Studies</w:t>
      </w:r>
    </w:p>
    <w:p>
      <w:pPr>
        <w:spacing w:after="0" w:line="117"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BNT312 is designed to target CD40 and 4-1BB to enhance both DC and antigen-dependent T cell activation. In preclinical settings, BNT312 simultaneously activated antigen presenting cells and enhanced T cell activation. Preclinical studies also indicated the conditional activation and expansion of previously activated cytotoxic CD8</w:t>
      </w:r>
      <w:r>
        <w:rPr>
          <w:rFonts w:ascii="Arial" w:cs="Arial" w:eastAsia="Arial" w:hAnsi="Arial"/>
          <w:sz w:val="13"/>
          <w:szCs w:val="13"/>
          <w:color w:val="auto"/>
        </w:rPr>
        <w:t>+</w:t>
      </w:r>
      <w:r>
        <w:rPr>
          <w:rFonts w:ascii="Arial" w:cs="Arial" w:eastAsia="Arial" w:hAnsi="Arial"/>
          <w:sz w:val="16"/>
          <w:szCs w:val="16"/>
          <w:color w:val="auto"/>
        </w:rPr>
        <w:t xml:space="preserve"> T-cells, clonal expansion of T cells and cytokine production resulting from BNT312.</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the first half of 2019, we submitted a CTA to regulatory authorities in the United Kingdom, and we expect to initiate a Phase 1 clinical trial for BNT312 in the second half of 2019 for the treatment of solid tumors.</w:t>
      </w:r>
    </w:p>
    <w:p>
      <w:pPr>
        <w:spacing w:after="0" w:line="319" w:lineRule="exact"/>
        <w:rPr>
          <w:sz w:val="20"/>
          <w:szCs w:val="20"/>
          <w:color w:val="auto"/>
        </w:rPr>
      </w:pPr>
    </w:p>
    <w:p>
      <w:pPr>
        <w:ind w:left="1540" w:hanging="547"/>
        <w:spacing w:after="0"/>
        <w:tabs>
          <w:tab w:leader="none" w:pos="1540" w:val="left"/>
        </w:tabs>
        <w:numPr>
          <w:ilvl w:val="0"/>
          <w:numId w:val="2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Targeted Cancer Antibodies</w:t>
      </w:r>
    </w:p>
    <w:p>
      <w:pPr>
        <w:spacing w:after="0" w:line="126" w:lineRule="exact"/>
        <w:rPr>
          <w:rFonts w:ascii="Arial" w:cs="Arial" w:eastAsia="Arial" w:hAnsi="Arial"/>
          <w:sz w:val="18"/>
          <w:szCs w:val="18"/>
          <w:b w:val="1"/>
          <w:bCs w:val="1"/>
          <w:i w:val="1"/>
          <w:iCs w:val="1"/>
          <w:color w:val="auto"/>
        </w:rPr>
      </w:pPr>
    </w:p>
    <w:p>
      <w:pPr>
        <w:ind w:left="1980" w:hanging="433"/>
        <w:spacing w:after="0"/>
        <w:tabs>
          <w:tab w:leader="none" w:pos="1980"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MVT-5873 (BNT321): Our Targeted Cancer Antibody for the Treatment of Pancreatic Cancer</w:t>
      </w:r>
    </w:p>
    <w:p>
      <w:pPr>
        <w:spacing w:after="0" w:line="2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May 2019, we acquired certain antibody assets from MabVax Therapeutics Holding, Inc., including MVT-5873 (BNT321), a clinical stage targeted cancer antibody.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Pancreatic Cancer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American Cancer Society estimates that approximately 56,770 people will be diagnosed with pancreatic cancer in the United States in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Pancreatic cancer is an aggressive cancer, with a five-year survival rate from diagnosis, across all stages combined, of 9%.</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MVT-5873 (BNT321) Target</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MVT-5873 (BNT321) is a fully human IgG1 monoclonal antibody targeting sialyl Lewis A (sLe</w:t>
      </w:r>
      <w:r>
        <w:rPr>
          <w:rFonts w:ascii="Arial" w:cs="Arial" w:eastAsia="Arial" w:hAnsi="Arial"/>
          <w:sz w:val="15"/>
          <w:szCs w:val="15"/>
          <w:color w:val="auto"/>
        </w:rPr>
        <w:t>a</w:t>
      </w:r>
      <w:r>
        <w:rPr>
          <w:rFonts w:ascii="Arial" w:cs="Arial" w:eastAsia="Arial" w:hAnsi="Arial"/>
          <w:sz w:val="18"/>
          <w:szCs w:val="18"/>
          <w:color w:val="auto"/>
        </w:rPr>
        <w:t>), an epitope on CA19-9 that is expressed in pancreatic and other gastrointestinal cancers that plays a role in tumor adhesion and metastasis formation, and is a marker of an aggressive cancer phenotype.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60"/>
          </w:cols>
          <w:pgMar w:left="320" w:top="459" w:right="5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MVT-5873 (BNT321) Trials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MVT-5873 (BNT321) is being investigated in an open-label, multi-center, non-randomized dose escalation Phase 1/2 study evaluating the safety and recommended Phase 2 dose of MVT-5873 (BNT321) both as a monotherapy and in combination with a standard of care chemotherapy in approximately 68 subjects with pancreatic and other CA19-9 positive malignancies. Secondary objectives include evaluating tumor response rate by RECIST 1.1, duration of response, and determining pharmacokinetics. This study utilizes a conventional 3+3 design to identify the recommended Phase 2 dose.</w:t>
      </w:r>
    </w:p>
    <w:p>
      <w:pPr>
        <w:spacing w:after="0" w:line="188"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Interim data for the combination cohort was reported in February 2018. In this cohort, MVT-5873 (BNT321) was given in combination with nab-paclitaxel and gemcitabine to patients newly diagnosed with CA19-9 positive pancreatic cancer. MVT-5873 (BNT321) at a dose of 0.125mg/kg when added to first-line chemotherapy was generally well tolerated by all subjects. All six patients evaluated had measurable tumor reductions by RECIST, with four patients meeting the criteria for partial response and two patients meeting the criteria for stable disease.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trial is currently paused; however, we intend to resume the trial in the second half of 2019.</w:t>
      </w:r>
    </w:p>
    <w:p>
      <w:pPr>
        <w:spacing w:after="0" w:line="37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   Our Oncology Small Molecule Immunomodulator Product Candidates</w:t>
      </w:r>
    </w:p>
    <w:p>
      <w:pPr>
        <w:spacing w:after="0" w:line="134" w:lineRule="exact"/>
        <w:rPr>
          <w:sz w:val="20"/>
          <w:szCs w:val="20"/>
          <w:color w:val="auto"/>
        </w:rPr>
      </w:pPr>
    </w:p>
    <w:p>
      <w:pPr>
        <w:ind w:left="540" w:hanging="424"/>
        <w:spacing w:after="0"/>
        <w:tabs>
          <w:tab w:leader="none" w:pos="540" w:val="left"/>
        </w:tabs>
        <w:numPr>
          <w:ilvl w:val="0"/>
          <w:numId w:val="2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BNT411: Our Small Molecule TLR7 Agonist for the Treatment of Colorectal and Bladder Cancer</w:t>
      </w:r>
    </w:p>
    <w:p>
      <w:pPr>
        <w:spacing w:after="0" w:line="117" w:lineRule="exact"/>
        <w:rPr>
          <w:rFonts w:ascii="Arial" w:cs="Arial" w:eastAsia="Arial" w:hAnsi="Arial"/>
          <w:sz w:val="18"/>
          <w:szCs w:val="18"/>
          <w:b w:val="1"/>
          <w:bCs w:val="1"/>
          <w:i w:val="1"/>
          <w:iCs w:val="1"/>
          <w:color w:val="auto"/>
        </w:rPr>
      </w:pPr>
    </w:p>
    <w:p>
      <w:pPr>
        <w:ind w:left="56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BNT411 is our novel small molecule TLR7 agonist product candidate. BNT411 is designed to activate both the adaptive and innate immune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system through the TLR7 pathway. We are designing BNT411 to be used in combination with chemotherapy and checkpoint inhibitors.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BNT411 Target</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BNT411 is a TLR7 agonist that is designed to activate both the adaptive and innate immune system through the TLR7 pathway. This activity and the release of cytokines and chemokines are designed to result in the potent stimulation of antigen specific CD8</w:t>
      </w:r>
      <w:r>
        <w:rPr>
          <w:rFonts w:ascii="Arial" w:cs="Arial" w:eastAsia="Arial" w:hAnsi="Arial"/>
          <w:sz w:val="15"/>
          <w:szCs w:val="15"/>
          <w:color w:val="auto"/>
        </w:rPr>
        <w:t>+</w:t>
      </w:r>
      <w:r>
        <w:rPr>
          <w:rFonts w:ascii="Arial" w:cs="Arial" w:eastAsia="Arial" w:hAnsi="Arial"/>
          <w:sz w:val="18"/>
          <w:szCs w:val="18"/>
          <w:color w:val="auto"/>
        </w:rPr>
        <w:t xml:space="preserve"> T cells, B cells and innate immune cells such as NK cells and macrophages.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BNT411 Preclinical Studies</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 xml:space="preserve">In preclinical studies, BNT411 (SC1.2/Ago1.2) was shown to be more potent in the induction of IFNα compared to the clinical competitor compound resiquimod (R848), even at lower concentrations (minimal effective concentration of BNT411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is 4nM). In contrast to the tested competitor compound, BNT411 was shown to induce at low concentrations especially IFNα whereas other (pro-)inflammatory and CRS related cytokines (IL-6, IL-10, TNFα, IL-8) are only observed at higher concentrations.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80"/>
          </w:cols>
          <w:pgMar w:left="320" w:top="459"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18770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8604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initiate a Phase 1 clinical trial of BNT411 as a combination therapy in solid tumors in the first half of 2020.</w:t>
      </w:r>
    </w:p>
    <w:p>
      <w:pPr>
        <w:spacing w:after="0" w:line="370" w:lineRule="exact"/>
        <w:rPr>
          <w:sz w:val="20"/>
          <w:szCs w:val="20"/>
          <w:color w:val="auto"/>
        </w:rPr>
      </w:pPr>
    </w:p>
    <w:p>
      <w:pPr>
        <w:ind w:left="980" w:hanging="432"/>
        <w:spacing w:after="0"/>
        <w:tabs>
          <w:tab w:leader="none" w:pos="9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Our Infectious Disease mRNA Product Candidates</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BNT161: Our Prophylactic Vaccine for the Prevention of Influenza</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are collaborating with Pfizer to develop an influenza vaccine based on our mRNA drug classes. Our product candidate BNT161 will encode influenza virus antigens selected by the WHO in advance of the flu season. We anticipate beginning a Phase 1 clinical trial in BNT 161 by the end of 2020.</w:t>
      </w:r>
    </w:p>
    <w:p>
      <w:pPr>
        <w:spacing w:after="0" w:line="332" w:lineRule="exact"/>
        <w:rPr>
          <w:sz w:val="20"/>
          <w:szCs w:val="20"/>
          <w:color w:val="auto"/>
        </w:rPr>
      </w:pPr>
    </w:p>
    <w:p>
      <w:pPr>
        <w:ind w:left="1540" w:hanging="547"/>
        <w:spacing w:after="0"/>
        <w:tabs>
          <w:tab w:leader="none" w:pos="1540" w:val="left"/>
        </w:tabs>
        <w:numPr>
          <w:ilvl w:val="0"/>
          <w:numId w:val="2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Infectious Diseases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have a research collaboration with Penn, under which we have the exclusive option to develop and commercialize prophylactic mRNA immunotherapies for the treatment of up to 10 infectious disease indications.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targeting initiating our first Phase 1 clinical trial under this collaboration by the end of 2020.</w:t>
      </w:r>
    </w:p>
    <w:p>
      <w:pPr>
        <w:spacing w:after="0" w:line="370" w:lineRule="exact"/>
        <w:rPr>
          <w:sz w:val="20"/>
          <w:szCs w:val="20"/>
          <w:color w:val="auto"/>
        </w:rPr>
      </w:pPr>
    </w:p>
    <w:p>
      <w:pPr>
        <w:ind w:left="980" w:hanging="432"/>
        <w:spacing w:after="0"/>
        <w:tabs>
          <w:tab w:leader="none" w:pos="9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Our Rare Disease Protein Replacement mRNA Product Candidates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collaborated with Genevant, combining our mRNA technology with Genevant’s LNP delivery technology, to create up to five mRNA protein replacement therapies for the treatment of rare diseases with high unmet medical needs. We expect our first compound from this collaboration to enter the clinic by the end of 2020.</w:t>
      </w:r>
    </w:p>
    <w:p>
      <w:pPr>
        <w:spacing w:after="0" w:line="328" w:lineRule="exact"/>
        <w:rPr>
          <w:sz w:val="20"/>
          <w:szCs w:val="20"/>
          <w:color w:val="auto"/>
        </w:rPr>
      </w:pPr>
    </w:p>
    <w:p>
      <w:pPr>
        <w:ind w:left="980" w:hanging="432"/>
        <w:spacing w:after="0"/>
        <w:tabs>
          <w:tab w:leader="none" w:pos="9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Our legacy commercial stage product, MammaTyper, is a molecular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for the quantitative detection of the mRNA expression of ERBB2, ESR1, PGR and MKI67 in breast cancer tissue. MammaTyper has been shown in a variety of scientific publications to offer superior diagnostics insights compared to conventional immunohistochemical detection methods.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80"/>
          </w:cols>
          <w:pgMar w:left="32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XIII. Manufacturing</w:t>
      </w:r>
    </w:p>
    <w:p>
      <w:pPr>
        <w:spacing w:after="0" w:line="121"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We are building a fully integrated biotechnology company, with operations spanning from research through clinical development, and manufacturing through sales and marketing. We operate three GMP-certified manufacturing facilities in Germany, where we manufacture mRNA therapeutics and engineered cell therapies for our own pipeline and for external customers. We operate a fourth facility in Germany where we manufacture custom peptides to support our extensive immunomonitoring activities within our development programs. Our subsidiary BioNTech Innovative Manufacturing Services GmbH, or BioNTech IMFS, has been manufacturing GMP-certified cellular products since 1999, was granted its first GMP license for manufacturing mRNA in 2011 and has been manufacturing individualized mRNA products since 2014.</w:t>
      </w:r>
    </w:p>
    <w:p>
      <w:pPr>
        <w:spacing w:after="0" w:line="16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have expanded our capability to produce and supply drug products to support clinical development of our, and our collaborators’, product candidates. To date, we have manufactured over 500 drug substance batches in our manufacturing facilities.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approach has been to proactively build capacity in anticipation of demand from internal research and development, as well as from our collaborators. We have done so by continuing to make significant investments in manufacturing infrastructure and increasingly expanding our capacity to manufacture mRNA, viral vectors, cellular products and peptides. We believe the development and optimization of our manufacturing processes in parallel to drug development is crucial to our success. We have also collaborated with Siemens to develop a process for the fully-automated, on-demand production of mRNA therapies.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Manufacturing Operations</w:t>
      </w:r>
    </w:p>
    <w:p>
      <w:pPr>
        <w:spacing w:after="0" w:line="117"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i w:val="1"/>
          <w:iCs w:val="1"/>
          <w:color w:val="auto"/>
        </w:rPr>
        <w:t xml:space="preserve">mRNA. </w:t>
      </w:r>
      <w:r>
        <w:rPr>
          <w:rFonts w:ascii="Arial" w:cs="Arial" w:eastAsia="Arial" w:hAnsi="Arial"/>
          <w:sz w:val="16"/>
          <w:szCs w:val="16"/>
          <w:color w:val="auto"/>
        </w:rPr>
        <w:t>We believe manufacturing mRNA at scale can best be executed as part of a proprietary manufacturing approach, not as part of an</w:t>
      </w:r>
      <w:r>
        <w:rPr>
          <w:rFonts w:ascii="Arial" w:cs="Arial" w:eastAsia="Arial" w:hAnsi="Arial"/>
          <w:sz w:val="16"/>
          <w:szCs w:val="16"/>
          <w:i w:val="1"/>
          <w:iCs w:val="1"/>
          <w:color w:val="auto"/>
        </w:rPr>
        <w:t xml:space="preserve"> </w:t>
      </w:r>
      <w:r>
        <w:rPr>
          <w:rFonts w:ascii="Arial" w:cs="Arial" w:eastAsia="Arial" w:hAnsi="Arial"/>
          <w:sz w:val="16"/>
          <w:szCs w:val="16"/>
          <w:color w:val="auto"/>
        </w:rPr>
        <w:t>outsourcing strategy. We believe this approach allows us to maintain control of our proprietary processes and gives us the flexibility we need for scheduling drug substance batch production to match our development plans as they evolve. Our mRNA manufacturing is conducted at our in-house BioNTech IMFS facility and our BioNTech East Wing facility, the latter being dedicated to iNeST manufacturing. Our mRNA manufacturing process involves standardized production of all mRNA constructs and minimal restrictions in construct length. We have the capacity to undertake sterile filtration and final filling in up to 1,200 vials of various sizes. Batch sizes range from a few mg for individualized applications (</w:t>
      </w:r>
      <w:r>
        <w:rPr>
          <w:rFonts w:ascii="Arial" w:cs="Arial" w:eastAsia="Arial" w:hAnsi="Arial"/>
          <w:sz w:val="16"/>
          <w:szCs w:val="16"/>
          <w:i w:val="1"/>
          <w:iCs w:val="1"/>
          <w:color w:val="auto"/>
        </w:rPr>
        <w:t>i.e.</w:t>
      </w:r>
      <w:r>
        <w:rPr>
          <w:rFonts w:ascii="Arial" w:cs="Arial" w:eastAsia="Arial" w:hAnsi="Arial"/>
          <w:sz w:val="16"/>
          <w:szCs w:val="16"/>
          <w:color w:val="auto"/>
        </w:rPr>
        <w:t>, iNeST) to 3g for standard mRNA applications (</w:t>
      </w:r>
      <w:r>
        <w:rPr>
          <w:rFonts w:ascii="Arial" w:cs="Arial" w:eastAsia="Arial" w:hAnsi="Arial"/>
          <w:sz w:val="16"/>
          <w:szCs w:val="16"/>
          <w:i w:val="1"/>
          <w:iCs w:val="1"/>
          <w:color w:val="auto"/>
        </w:rPr>
        <w:t>i.e.</w:t>
      </w:r>
      <w:r>
        <w:rPr>
          <w:rFonts w:ascii="Arial" w:cs="Arial" w:eastAsia="Arial" w:hAnsi="Arial"/>
          <w:sz w:val="16"/>
          <w:szCs w:val="16"/>
          <w:color w:val="auto"/>
        </w:rPr>
        <w:t>, FixVac and intratumoral immunotherapies), with batch sizes of up to 10g currently possible.</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To date, we have produced more than 500 batches of mRNA drug substance to support our studies. We currently have infrastructure capable of producing more than 100 batches of mRNA drug substance and formulated drug product per month with a turnaround time of about 30 to 40 days from sequence identification to released product. We believe we currently have capacity to meet the product candidate supply needs of our in clinical trials up to registration.</w:t>
      </w:r>
    </w:p>
    <w:p>
      <w:pPr>
        <w:spacing w:after="0" w:line="18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recent years, we have successfully decreased the time required to deliver individualized immunotherapy to patients. In 2014, it took us over three months to manually manufacture and deliver individualized immunotherapies to patients. Since December 2017, with the implementation of semiautomatic GMP manufacturing in collaboration with Siemens, we have been consistently delivering individualized immunotherapies in under six weeks. This advancement represents significant progress toward our commercial target turnaround time of less than 28 days. We believe this is achievable, and with our clinical process have already achieved turnaround times as low as 29 days for iNeST delivery. We plan to continue to develop additional process improvements which we expect will further reduce our turnaround times as we progress through clinical development.</w:t>
      </w:r>
    </w:p>
    <w:p>
      <w:pPr>
        <w:spacing w:after="0" w:line="16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i w:val="1"/>
          <w:iCs w:val="1"/>
          <w:color w:val="auto"/>
        </w:rPr>
        <w:t xml:space="preserve">Cell Therapy Products. </w:t>
      </w:r>
      <w:r>
        <w:rPr>
          <w:rFonts w:ascii="Arial" w:cs="Arial" w:eastAsia="Arial" w:hAnsi="Arial"/>
          <w:sz w:val="18"/>
          <w:szCs w:val="18"/>
          <w:color w:val="auto"/>
        </w:rPr>
        <w:t>We have end-to-end capabilities and over 20 years of experience in cell therapy manufacturing. Our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for cellular products involves the isolation of primary human cells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and subpopulations, including CD34</w:t>
      </w:r>
      <w:r>
        <w:rPr>
          <w:rFonts w:ascii="Arial" w:cs="Arial" w:eastAsia="Arial" w:hAnsi="Arial"/>
          <w:sz w:val="14"/>
          <w:szCs w:val="14"/>
          <w:color w:val="auto"/>
        </w:rPr>
        <w:t>+</w:t>
      </w:r>
      <w:r>
        <w:rPr>
          <w:rFonts w:ascii="Arial" w:cs="Arial" w:eastAsia="Arial" w:hAnsi="Arial"/>
          <w:sz w:val="17"/>
          <w:szCs w:val="17"/>
          <w:color w:val="auto"/>
        </w:rPr>
        <w:t xml:space="preserve"> and CD3</w:t>
      </w:r>
      <w:r>
        <w:rPr>
          <w:rFonts w:ascii="Arial" w:cs="Arial" w:eastAsia="Arial" w:hAnsi="Arial"/>
          <w:sz w:val="14"/>
          <w:szCs w:val="14"/>
          <w:color w:val="auto"/>
        </w:rPr>
        <w:t>+</w:t>
      </w:r>
      <w:r>
        <w:rPr>
          <w:rFonts w:ascii="Arial" w:cs="Arial" w:eastAsia="Arial" w:hAnsi="Arial"/>
          <w:sz w:val="17"/>
          <w:szCs w:val="17"/>
          <w:color w:val="auto"/>
        </w:rPr>
        <w:t xml:space="preserve"> cells. We engage in the culturing, expansion and genetic modification of primary human cells as well as mammalian cell lines. Our processes include vector production for transfection of cells with CARs, cell banking and cryopreservation.</w:t>
      </w:r>
    </w:p>
    <w:p>
      <w:pPr>
        <w:spacing w:after="0" w:line="14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have set up a broad range of quality control assays for the characterization of cell therapy products that allow us to certify the manufactured drug products in a short time. We are a leader in the production of gamma retroviral vectors. To date, we have produced more than 50 different cell therapy products.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Peptides. </w:t>
      </w:r>
      <w:r>
        <w:rPr>
          <w:rFonts w:ascii="Arial" w:cs="Arial" w:eastAsia="Arial" w:hAnsi="Arial"/>
          <w:sz w:val="17"/>
          <w:szCs w:val="17"/>
          <w:color w:val="auto"/>
        </w:rPr>
        <w:t>Our custom peptide synthesis business has developed unique technologies to produce several million peptides during the past three years</w:t>
      </w:r>
      <w:r>
        <w:rPr>
          <w:rFonts w:ascii="Arial" w:cs="Arial" w:eastAsia="Arial" w:hAnsi="Arial"/>
          <w:sz w:val="17"/>
          <w:szCs w:val="17"/>
          <w:i w:val="1"/>
          <w:iCs w:val="1"/>
          <w:color w:val="auto"/>
        </w:rPr>
        <w:t xml:space="preserve"> </w:t>
      </w:r>
      <w:r>
        <w:rPr>
          <w:rFonts w:ascii="Arial" w:cs="Arial" w:eastAsia="Arial" w:hAnsi="Arial"/>
          <w:sz w:val="17"/>
          <w:szCs w:val="17"/>
          <w:color w:val="auto"/>
        </w:rPr>
        <w:t>to support our growing clinical pipeline. These include fast small scale manufacturing of peptides for target and epitope discovery as well as for neo epitope characterization and production of high content arrays. It is important to synthesize highly purified peptides in order to avoid false positives in immunomonitoring in our mRNA immunotherapy trials. We also use these peptides as starting material in our engineered cell therapies. We have developed know-how to produce highly complex and purified peptide pools that consist of overlapping peptides spanning entire antigens or neoepitopes. We plan to establish a new production facility, which will roughly double our current capacity.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Manufacturing Facilities</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We operate four manufacturing and packaging facilities in Germany. In these facilities, we manufacture and package individualized mRNA, bulk mRNA, retroviral vectors, cellular products and peptides. In Mainz, we are currently constructing another facility for iNeST manufacturing at a commercial scale, which is planned to start manufacturing in 2022 and will supply markets mainly in Europe and the United States.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BioNTech IMFS</w:t>
      </w:r>
      <w:r>
        <w:rPr>
          <w:rFonts w:ascii="Arial" w:cs="Arial" w:eastAsia="Arial" w:hAnsi="Arial"/>
          <w:sz w:val="18"/>
          <w:szCs w:val="18"/>
          <w:color w:val="auto"/>
        </w:rPr>
        <w:t>. Our manufacturing operations for retroviral vectors, cell therapy products and mRNA are housed in our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BioNTech IMFS. Founded in 1997, BioNTech IMFS specializes in services for innovative therapeutic approaches. In 2009, BioNTech IMFS became our wholly-owned subsidiary, giving us access to synergistic platforms and complementary expertise for development, testing and manufacturing services. BioNTech IMFS and its predecessors have had GMP-certified cell and gene therapy manufacturing capabilities since 1999, and obtained GMP manufacturing authorization for mRNA production in 2011. In 2017, BioNTech IMFS began automated manufacturing of the iNeST product candidate and entered into its first commercial supply contract for retroviral vectors. Located near Mainz, the BioNTech IMFS facility occupies over 30,000 square feet. Two hundred and twenty staff members are employed at this facility, with collective expertise in molecular biology, cell biology and virology.</w:t>
      </w:r>
    </w:p>
    <w:p>
      <w:pPr>
        <w:spacing w:after="0" w:line="192" w:lineRule="exact"/>
        <w:rPr>
          <w:sz w:val="20"/>
          <w:szCs w:val="20"/>
          <w:color w:val="auto"/>
        </w:rPr>
      </w:pPr>
    </w:p>
    <w:p>
      <w:pPr>
        <w:jc w:val="both"/>
        <w:ind w:left="120" w:right="380" w:firstLine="440"/>
        <w:spacing w:after="0" w:line="257" w:lineRule="auto"/>
        <w:rPr>
          <w:sz w:val="20"/>
          <w:szCs w:val="20"/>
          <w:color w:val="auto"/>
        </w:rPr>
      </w:pPr>
      <w:r>
        <w:rPr>
          <w:rFonts w:ascii="Arial" w:cs="Arial" w:eastAsia="Arial" w:hAnsi="Arial"/>
          <w:sz w:val="18"/>
          <w:szCs w:val="18"/>
          <w:i w:val="1"/>
          <w:iCs w:val="1"/>
          <w:color w:val="auto"/>
        </w:rPr>
        <w:t>BioNTech iNeST Clinical Manufacturing (East Wing)</w:t>
      </w:r>
      <w:r>
        <w:rPr>
          <w:rFonts w:ascii="Arial" w:cs="Arial" w:eastAsia="Arial" w:hAnsi="Arial"/>
          <w:sz w:val="18"/>
          <w:szCs w:val="18"/>
          <w:color w:val="auto"/>
        </w:rPr>
        <w:t>. We dedicate our GMP-certified manufacturing facility at our headquarters building in</w:t>
      </w:r>
      <w:r>
        <w:rPr>
          <w:rFonts w:ascii="Arial" w:cs="Arial" w:eastAsia="Arial" w:hAnsi="Arial"/>
          <w:sz w:val="18"/>
          <w:szCs w:val="18"/>
          <w:i w:val="1"/>
          <w:iCs w:val="1"/>
          <w:color w:val="auto"/>
        </w:rPr>
        <w:t xml:space="preserve"> </w:t>
      </w:r>
      <w:r>
        <w:rPr>
          <w:rFonts w:ascii="Arial" w:cs="Arial" w:eastAsia="Arial" w:hAnsi="Arial"/>
          <w:sz w:val="18"/>
          <w:szCs w:val="18"/>
          <w:color w:val="auto"/>
        </w:rPr>
        <w:t>Mainz, Germany to the production of iNeST immunotherapies. In 2015, our wholly-owned subsidiary, BioNTech RNA Pharmaceuticals GmbH, or BioNTech RNA, and Siemens announced a collaboration for developing an automated, paperless and digitalized production site for individualized mRNA. We obtained our GMP manufacturing authorization for iNeST production at our East Wing facility in June 2018 and released our first drug product there the following month.</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This facility contains approximately 17,000 square feet of laboratory and office space, including 4,300 square feet of GMP facilities. About 200 staff members are employed at this facility and operate it seven days per week. In its first year of operation the facility manufactured and released more than 250 batches of mRNA.</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BioNTech Clinical Manufacturing (“Kupferbergterrasse”)</w:t>
      </w:r>
      <w:r>
        <w:rPr>
          <w:rFonts w:ascii="Arial" w:cs="Arial" w:eastAsia="Arial" w:hAnsi="Arial"/>
          <w:sz w:val="17"/>
          <w:szCs w:val="17"/>
          <w:color w:val="auto"/>
        </w:rPr>
        <w:t>. Our GMP-certified manufacturing facility in Kupferbergterrasse, Mainz, Germany is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to conduct secondary packing, labeling, storage and batch release of primary packed investigational medicinal products. This facility contains approximately 11,500 square feet of laboratory and office space, including 1,250 square feet of GMP facilities.</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JPT</w:t>
      </w:r>
      <w:r>
        <w:rPr>
          <w:rFonts w:ascii="Arial" w:cs="Arial" w:eastAsia="Arial" w:hAnsi="Arial"/>
          <w:sz w:val="18"/>
          <w:szCs w:val="18"/>
          <w:color w:val="auto"/>
        </w:rPr>
        <w:t>. JPT, our peptide manufacturing facility, was established in 2004 and became a wholly owned subsidiary of BioNTech in 2008. JPT is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Berlin, Germany and occupies over 16,000 square feet of clean rooms, laboratory and office space.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Certifications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BioNTech Diagnostics has a quality management system that is certified according to ISO 13485:2016 and JPT maintains a ISO 9001:2015 certified Quality Management System to allow production of European CE marked companion diagnostics.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We have implemented and maintain several Quality Assurance systems. BioNTech IMFS, BioNTech Clinical Manufacturing and BioNTech iNeST Clinical Manufacturing have implemented GMP-certified quality assurance systems. BioNTech Diagnostics has a quality management system that is certified according to ISO 13485:2016 and JPT maintains a ISO 9001:2015 certified Quality Management System.</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Manufacturing Outlook</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committed to the continued development of world-class manufacturing operations to support our clinical manufacturing needs, to prepare for commercial scale manufacturing of our product candidates, and to realize external commercial opportunities. We expect to commit approximately an additional €250 million through 2023. Our planned manufacturing investments include:</w:t>
      </w:r>
    </w:p>
    <w:p>
      <w:pPr>
        <w:spacing w:after="0" w:line="89" w:lineRule="exact"/>
        <w:rPr>
          <w:sz w:val="20"/>
          <w:szCs w:val="20"/>
          <w:color w:val="auto"/>
        </w:rPr>
      </w:pPr>
    </w:p>
    <w:p>
      <w:pPr>
        <w:ind w:left="540" w:right="380" w:hanging="316"/>
        <w:spacing w:after="0" w:line="277"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two new buildings at our BioNTech IMFS facility, including three floors each of clean rooms and additional development and quality control laboratories;</w:t>
      </w:r>
    </w:p>
    <w:p>
      <w:pPr>
        <w:spacing w:after="0" w:line="75" w:lineRule="exact"/>
        <w:rPr>
          <w:rFonts w:ascii="Arial" w:cs="Arial" w:eastAsia="Arial" w:hAnsi="Arial"/>
          <w:sz w:val="18"/>
          <w:szCs w:val="18"/>
          <w:color w:val="auto"/>
        </w:rPr>
      </w:pPr>
    </w:p>
    <w:p>
      <w:pPr>
        <w:ind w:left="540" w:right="280" w:hanging="316"/>
        <w:spacing w:after="0" w:line="277"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our planned commercial scale facility in Mainz, which will occupy more than 100,000 square feet and will house cleanrooms, laboratories and offices; and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 expansion of our JPT facility, which is designed to more than double our capacity.</w:t>
      </w:r>
    </w:p>
    <w:p>
      <w:pPr>
        <w:spacing w:after="0" w:line="370"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XIV.</w:t>
      </w:r>
      <w:r>
        <w:rPr>
          <w:sz w:val="20"/>
          <w:szCs w:val="20"/>
          <w:color w:val="auto"/>
        </w:rPr>
        <w:tab/>
      </w:r>
      <w:r>
        <w:rPr>
          <w:rFonts w:ascii="Arial" w:cs="Arial" w:eastAsia="Arial" w:hAnsi="Arial"/>
          <w:sz w:val="16"/>
          <w:szCs w:val="16"/>
          <w:b w:val="1"/>
          <w:bCs w:val="1"/>
          <w:color w:val="auto"/>
        </w:rPr>
        <w:t>Third-Party Collaborations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have forged productive collaborations with pharmaceutical companies and academic research institutions with area expertise and resources in an effort to advance and accelerate our discovery and development programs in oncology, and also to leverage our drug classes into additional disease indications while minimizing our incremental costs.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collaborations include:</w:t>
      </w:r>
    </w:p>
    <w:p>
      <w:pPr>
        <w:spacing w:after="0" w:line="131" w:lineRule="exact"/>
        <w:rPr>
          <w:sz w:val="20"/>
          <w:szCs w:val="20"/>
          <w:color w:val="auto"/>
        </w:rPr>
      </w:pPr>
    </w:p>
    <w:p>
      <w:pPr>
        <w:ind w:left="540" w:hanging="316"/>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Genentech for our iNeST platform in our mRNA drug class;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Sanofi for our intratumoral therapy platform in our mRNA drug class;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Genmab for our next-generation checkpoint immunomodulator platform in our antibodies drug class;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Pfizer for our influenza vaccine program, which leverages technology from our infectious disease mRNA-based platform;</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Penn for up to 10 prophylactic indications in our infectious disease mRNA-based platform;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Genevant for our rare disease protein replacement therapy platform in our mRNA drug class.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either wholly own or retain significant rights to all of our clinical stage programs, either in the form of a global share of profit and co-commercialization rights with our collaborators in certain markets or significant royalties and milestones. We plan to continue to identify potential collaborators who can contribute meaningful resources and insights to our programs and allow us to more rapidly expand our impact to broader patient populations.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80"/>
          </w:cols>
          <w:pgMar w:left="320" w:top="459"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Genentech—iNeST Collaboration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Agreement</w:t>
      </w:r>
    </w:p>
    <w:p>
      <w:pPr>
        <w:spacing w:after="0" w:line="117" w:lineRule="exact"/>
        <w:rPr>
          <w:sz w:val="20"/>
          <w:szCs w:val="20"/>
          <w:color w:val="auto"/>
        </w:rPr>
      </w:pPr>
    </w:p>
    <w:p>
      <w:pPr>
        <w:jc w:val="both"/>
        <w:ind w:left="120" w:right="200" w:firstLine="440"/>
        <w:spacing w:after="0" w:line="287" w:lineRule="auto"/>
        <w:rPr>
          <w:sz w:val="20"/>
          <w:szCs w:val="20"/>
          <w:color w:val="auto"/>
        </w:rPr>
      </w:pPr>
      <w:r>
        <w:rPr>
          <w:rFonts w:ascii="Arial" w:cs="Arial" w:eastAsia="Arial" w:hAnsi="Arial"/>
          <w:sz w:val="16"/>
          <w:szCs w:val="16"/>
          <w:color w:val="auto"/>
        </w:rPr>
        <w:t>On September 20, 2016, we and BioNTech RNA entered into a Collaboration Agreement with Genentech and F. Hoffman-La Roche Ltd, which we refer to as the Genentech Collaboration Agreement, to jointly research, develop, manufacture and commercialize certain pharmaceutical products that comprise neoepitope RNAs, or the Genentech Collaboration Products, which include our iNeST development candidates, for any use worldwide.</w:t>
      </w:r>
    </w:p>
    <w:p>
      <w:pPr>
        <w:spacing w:after="0" w:line="2"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Under the Genentech Collaboration Agreement, we and Genentech have agreed to perform joint research, with each party bearing its own costs, under a research plan to further improve our technology platform for the manufacturing of Genentech Collaboration Products.</w:t>
      </w:r>
    </w:p>
    <w:p>
      <w:pPr>
        <w:spacing w:after="0" w:line="18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and Genentech must use commercially reasonable efforts to jointly develop one or more Genentech Collaboration Products in accordance with an agreed global development plan, with the costs of such development to be shared equally. We will continue certain clinical studies that were initiated prior to the execution of the Collaboration Agreement at our sole expense, and any future material changes in the operation of such clinical studies require Genentech’s approval. Genentech may access and use any data generated in these ongoing clinical studies.</w:t>
      </w:r>
    </w:p>
    <w:p>
      <w:pPr>
        <w:spacing w:after="0" w:line="15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addition to the clinical studies included in the global development plan, we may propose certain additional clinical studies for indications not included in the global development plan, and if the joint development committee formed by the parties does not elect to include the proposed studies in the global development plan, then we may conduct the study at our sole expense under certain conditions, and subject to certain restrictions. Genentech has the option to select any candidate in such studies for potential further joint development and/or commercialization by Genentech as a Genentech Collaboration Product. In the case that Genentech wishes to pursue the clinical development of a Genentech Collaboration Product in an indication that we are not interested in pursuing, then under certain conditions, we may opt out of the co-funding of such development and Genentech may continue do so at its own costs, except that we are obligated to repay Genentech’s development costs in the event that such product subsequently receives regulatory approval.</w:t>
      </w:r>
    </w:p>
    <w:p>
      <w:pPr>
        <w:spacing w:after="0" w:line="19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Genentech has the sole right to commercialize the Genentech Collaboration Products on a worldwide basis, with all profits and losses from such commercialization to be split equally with us. If we exercise our right to opt out of sharing equally in future development costs for any Genentech Collaboration Products, then we will no longer split all such profits and losses for such Genentech Collaboration Products equally with Genentech and will instead receive a royalty on annual worldwide net sales of such Genentech Collaboration Products that are covered by a valid claim included in certain of our patents and certain joint patents that arise out of the collaboration. Furthermore, for certain Genentech Collaboration Products for which we share co-promotion rights with Genentech, we have the option to assume a percentage to be determined of the total sales force in the United States and certain other countries, including Germany and other major European markets. In addition, under certain regulatory and other circumstances, we have the right to independently commercialize Genentech Collaboration Products in indications that the joint development committee declines to pursue and that Genentech does not subsequently elect to commercialize, provided that we market such Genentech Collaboration Products under a separate brand and trademark that is approved by the joint commercialization committee established by the parties as not confusingly similar to the Genentech Collaboration Products being commercialized by Genentech. Our ability to research, develop, co-promote and/or independently commercialize Genentech Collaboration Products may be terminated or limited in the event we undergo a change of control.</w:t>
      </w:r>
    </w:p>
    <w:p>
      <w:pPr>
        <w:spacing w:after="0" w:line="16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granted to Genentech an exclusive license under certain of our intellectual property, and our interest in any jointly owned intellectual property developed under this agreement, to research, develop, make, sell and import any pharmaceutical products that comprise neoepitope RNA. Genentech granted to us an exclusive, non-transferable, sublicensable licenses under certain Genentech intellectual property, our intellectual property exclusively licensed to Genentech, and their interest in any jointly owned intellectual property developed under this agreement for the performance of our ongoing clinical studies and the exercise of our rights and obligations under the Genentech Collaboration Agreement.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Until September 20, 2019, we and Genentech are subject to certain exclusivity obligations under the Genentech Collaboration Agreement. In addition, until the first marketing approval for a Genentech Collaboration Product, we have granted Genentech the first right to negotiate an exclusive license to develop, manufacture and commercialize combination therapies involving pharmaceutical products based on neoepitope RNA and pharmaceutical products based on non-neoepitope RNA for the treatment of cancer in humans.</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Genentech Collaboration Agreement will remain in effect so as long as Genentech Collaboration Products are in development or commercialization, or until the date of the expiration of the last royalty term if BioNTech has exercised its option to opt-out of joint development of Genentech Collaboration Products. If the agreement expires, the licenses granted to Genentech become fully-paid up, royalty-free and irrevocable. Genentech may terminate the Collaboration Agreement if we fail to achieve certain milestone targets or at any time for convenience with or without reason upon 60 days’ prior written notice. In the event of any such termination, all rights to the development and commercialization of Genentech Collaboration Products developed under the collaboration would revert to us and Genentech would grant us licenses under its intellectual property to further develop and commercialize Genentech Collaboration Products. We would be required to pay certain royalties to Genentech for such license(s). In addition, either party may terminate the agreement upon the other party’s uncured material breach or insolvency.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Manufacturing Development and Supply Agreement</w:t>
      </w:r>
    </w:p>
    <w:p>
      <w:pPr>
        <w:spacing w:after="0" w:line="11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Concurrent with the Genentech Collaboration Agreement, we and BioNTech RNA entered into a Manufacturing Development and Supply Agreement with Genentech and F. Hoffman-La Roche Ltd, or the Genentech Manufacturing Agreement, which governs the manufacturing, related manufacturing development activities and supply of Genentech Collaboration Products. Pursuant to the Genentech Manufacturing Agreement, we are responsible for clinical manufacturing and supply, for developing and implementing manufacturing processes (including pursuant to specified target turnaround times), and for constructing, commissioning, qualifying and obtaining permits for the clinical facilities. We are permitted to subcontract certain steps in the clinical manufacturing process to our affiliate, BioNTech IMFS.</w:t>
      </w:r>
    </w:p>
    <w:p>
      <w:pPr>
        <w:spacing w:after="0" w:line="17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addition, we are responsible for developing the commercial manufacturing process, which requires more stringent turnaround times than the clinical manufacturing process. Genentech will generally be responsible for commercial manufacturing. We are obligated to use commercially reasonable efforts to achieve certain predetermined clinical manufacturing capacity commitments.</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Under the Genentech Manufacturing Agreement, we and Genentech will jointly develop a manufacturing network plan detailing the location, capacity, scale-out, associated timing and other appropriate details of the commercial manufacturing facilities. We may participate in commercial manufacturing through our right to include as part of the commercial manufacturing network one of our own facilities in the European Union or the United States and one of our own facilities in another region to be agreed upon with Genentech (provided that in each region our facility is not the first facility to be included in the commercial manufacturing network).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Sanofi—Intratumoral Therapy Collaboration</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Pursuant to the Sanofi Agreement, we and Sanofi will collaborate on intratumorally administered mRNA-based therapeutics for the treatment of solid tumors in humans.</w:t>
      </w:r>
    </w:p>
    <w:p>
      <w:pPr>
        <w:spacing w:after="0" w:line="170" w:lineRule="exact"/>
        <w:rPr>
          <w:sz w:val="20"/>
          <w:szCs w:val="20"/>
          <w:color w:val="auto"/>
        </w:rPr>
      </w:pPr>
    </w:p>
    <w:p>
      <w:pPr>
        <w:ind w:left="120" w:right="1020" w:firstLine="440"/>
        <w:spacing w:after="0" w:line="277" w:lineRule="auto"/>
        <w:rPr>
          <w:sz w:val="20"/>
          <w:szCs w:val="20"/>
          <w:color w:val="auto"/>
        </w:rPr>
      </w:pPr>
      <w:r>
        <w:rPr>
          <w:rFonts w:ascii="Arial" w:cs="Arial" w:eastAsia="Arial" w:hAnsi="Arial"/>
          <w:sz w:val="18"/>
          <w:szCs w:val="18"/>
          <w:color w:val="auto"/>
        </w:rPr>
        <w:t>The Sanofi Agreement contemplates: (i) research, (ii) development and commercialization and (iii) possible co-development and co-commercialization activities with us.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the research phase, the parties seek to identify, characterize and validate up to five “mixtures” of two or more mRNAs encoding different proteins administered together in the same solution. Sanofi at its sole discretion may select up to five mixtures created under the research plan for further development and commercialization, which we refer to as Sanofi Collaboration Products.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After selection of a Sanofi Collaboration Product, Sanofi would be responsible for all development and commercialization activities involving that product. We have the option, by payment of an exercise fee, to co-develop and co-commercialize up to two Sanofi Collaboration Products primarily in the United States and in some European countries, including the United Kingdom, France, Germany, Italy and Spain. If we exercise such option, the costs for co-development and co-commercialization of the chosen Sanofi Collaboration Products would be allocated between the parties. In turn, Sanofi has an option to co-develop and co-commercialize certain mixtures developed by us or with third parties that contain certain amount of the mRNAs of a Sanofi Collaboration Product.</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March 2018, Sanofi selected the first Sanofi Collaboration Product for further development and commercialization and we exercised our option for co-development and co-commercialization of the Sanofi Collaboration Product. Effective as of March 2018, the parties entered into a separate development agreement for the co-development of this Sanofi Collaboration Product.</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Under the Sanofi Agreement, Sanofi has paid upfront and near-term milestone payments of approximately €60 million. We are entitled to receive up to approximately €260 million per product upon achievement of certain development, regulatory and commercial milestones. If commercialized successfully, we would also be eligible for tiered royalties on net sales up to the low double digits on a country-by-country and product-by-product basis until the later of (i) expiration of the last relevant patent covering such product in such country, (ii) 10 years following first commercial sale of such product in such country, (iii) expiration of regulatory data exclusivity for such product in such country and (iv) the market entry of a generic biological product with a certain market share in relation to such product in such country.</w:t>
      </w:r>
    </w:p>
    <w:p>
      <w:pPr>
        <w:spacing w:after="0" w:line="17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Sanofi Agreement will remain effective until the last-to-expire royalty term (or, when a co-development option has been exercised, the completion of all co-development and co-commercialization activities). The parties may terminate the Sanofi Agreement in its entirety or terminate certain co-development activities for convenience, with or without cause.</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Sanofi Agreement provides that we may not engage in certain research and development activities relating to the intratumoral injection of mRNAs.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Genmab—Next-generation Immunomodulator Collaboration</w:t>
      </w:r>
    </w:p>
    <w:p>
      <w:pPr>
        <w:spacing w:after="0" w:line="11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On May 19, 2015, we entered into a License and Collaboration Agreement with Genmab (together with all amendments and side letters thereto, collectively referred to as the Genmab Agreement) to jointly research, develop and commercialize polypeptide-based bispecific antibodies against certain target combinations for the treatment of cancer in humans worldwide, or the Genmab Agreement Field, using certain Genmab technology.</w:t>
      </w:r>
    </w:p>
    <w:p>
      <w:pPr>
        <w:spacing w:after="0" w:line="14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Under the Genmab Agreement, we and Genmab must use commercially reasonable efforts to research and develop clinical candidates, including our next-generation checkpoint immunomodulators, with costs split equally during the research and evaluation phase. Our joint activities in this phase are governed by a research plan, which is subject to annual review and updates, and which specifies the clinical candidates to be developed. This research and evaluation phase is currently set to expire on May 31, 2021, but has in the past been extended.</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During the research and evaluation phase, we and Genmab may propose clinical candidates for consideration by a joint research committee for further preclinical and clinical development. If a party, through the joint research committee, indicates that it is not interested in further development and commercialization of any clinical candidate, the other party may continue development and commercialization of such products on a unilateral basis, at its sole expense. The party that continues such development and commercialization is obligated to pay the other party certain development, regulatory and sales milestone payments and royalties on net sales of the applicable Unilateral Products. During either party’s development and commercialization of 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Unilateral Product, the other party must not develop or commercialize any bispecific antibody targeting the same target combination of such Genmab Unilateral Product if such bispecific antibody was generated as part of the collaboration under this agreement.</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and Genmab must use commercially reasonable efforts to develop candidates selected by the joint research committee, or the Genmab Collaboration Products, through preclinical and clinical development. In addition, the joint research committee may select an additional candidate, or the Genmab Back-up Candidate, as a back-up for each Genmab Collaboration Product and may decide at any time to replace the Genmab Collaboration Product with its Genmab Back-up Candidate. The preclinical and clinical development of the Genmab Collaboration Products would be performed pursuant to a development plan to be agreed upon by us and Genmab, with costs to be split equally. The joint steering committee may designate a third party as a manufacturer of a Genmab Collaboration Product or of any of its components.</w:t>
      </w:r>
    </w:p>
    <w:p>
      <w:pPr>
        <w:spacing w:after="0" w:line="17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and Genmab must use commercially reasonable efforts to jointly commercialize all Genmab Collaboration Products and share equally all expenses and profits arising from such commercialization. We and Genmab, on a product-by-product basis and at least 12 months prior to the anticipated start of a pivotal clinical trial for a Genmab Collaboration Product, will jointly designate between the two of us a lead party responsible for establishing the distribution and marketing operations in each geographical region. Each party would be entitled to equally co-promote the products pursuant to a separately negotiated global commercialization agreement that the parties agree to negotiate.</w:t>
      </w:r>
    </w:p>
    <w:p>
      <w:pPr>
        <w:spacing w:after="0" w:line="17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Unless otherwise agreed by the joint steering committee established under the agreement, Genmab is responsible for all regulatory actions and shall own all regulatory approvals obtained for the Genmab Collaboration Products. Genmab is obligated to provides regular updates to us on regulatory activities.</w:t>
      </w:r>
    </w:p>
    <w:p>
      <w:pPr>
        <w:spacing w:after="0" w:line="184"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Each party grants to the other party a worldwide, co-exclusive, sublicensable, royalty-free license under certain of such first party’s intellectual property, including certain patents and know-how, to perform the research under this agreement and to research, develop, make, import, use and sell Genmab Collaboration Products in the Genmab Agreement Field pursuant to the terms of the Genmab Agreement. These licenses shall continue on a country-by-country and product-by-product basis for as long as development or commercialization activities are contemplated under the Genmab Agreement.</w:t>
      </w:r>
    </w:p>
    <w:p>
      <w:pPr>
        <w:spacing w:after="0" w:line="18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During the research and evaluation phase prior to the selection of a Genmab Collaboration Product, neither we nor Genmab may engage in any research and development activity in the Genmab Agreement Field relating to the development of any bispecific antibody which targets any combination that is the subject of our joint research plan. During the preclinical and clinical development phase for any Genmab Collaboration Product, engagement in research and development activities in the Genmab Agreement Field unilaterally by a party relating to a Genmab Collaboration Product or its Genmab Back-up Candidate or any bispecific antibody which targets the same target combination for which such Genmab Collaboration Product or Genmab Back-up Candidate has been developed would require the other party’s prior written consent.</w:t>
      </w:r>
    </w:p>
    <w:p>
      <w:pPr>
        <w:spacing w:after="0" w:line="17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Each party has the right to discontinue its participation in the further development and commercialization of a Genmab Collaboration Product at two points: (i) when an IND submission package has been agreed upon by the parties and (ii) when the draft clinical trial report from the first Phase 1/2 clinical trial becomes available. The party that wishes to opt out of such further development and commercialization may choose to permit the other party to continue the development and commercialization of the Genmab Collaboration Product or divest its interest in such Genmab Collaboration Product. If the opt-out party permits continued development and commercialization, the other party may elect to pursue development and commercialization of such Genmab Collaboration Product alone as a Unilateral Product, at its sole cost and subject to pre-defined milestone and royalty payments and certain additional pre-defined terms. If the other party wishes to not pursue such continued development and commercialization on such pre-defined payment and additional terms, then the parties will jointly divest their interest in such Genmab Collaboration Product to a third party, and if such divestiture fails,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parties will cease all development and commercialization of such Genmab Collaboration Product. Alternatively, if the opt-out party seeks to unilaterally divest its interest in the applicable Genmab Collaboration Product, the other party has the right of first exclusive negotiation to obtain exclusive, worldwide rights to develop and commercialize such Genmab Collaboration Product. If such unilateral divestiture fails after the other party’s exercise of its right of first exclusive negotiation, the opt-out party may either continue development and commercialization of such Genmab Collaboration Product or offer the other party to continue such development and commercialization on such pre-defined payment and additional terms as set forth above.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Genmab Agreement will remain in effect until the later of (i) the expiration of the last-to-expire royalty term for any Unilateral Product and</w:t>
      </w:r>
    </w:p>
    <w:p>
      <w:pPr>
        <w:spacing w:after="0" w:line="46" w:lineRule="exact"/>
        <w:rPr>
          <w:sz w:val="20"/>
          <w:szCs w:val="20"/>
          <w:color w:val="auto"/>
        </w:rPr>
      </w:pPr>
    </w:p>
    <w:p>
      <w:pPr>
        <w:ind w:left="120" w:right="400" w:hanging="4"/>
        <w:spacing w:after="0" w:line="323" w:lineRule="auto"/>
        <w:tabs>
          <w:tab w:leader="none" w:pos="38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time when no Genmab Collaboration Products are being developed or commercialized under this agreement. Either party may terminate the agreement in its entirety or on a product-by-product basis with immediate effect upon the other party’s uncured material breach or insolvency.</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Pfizer—Influenza Collaboration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July 20, 2018, we and BioNTech RNA entered into a Research Collaboration and License Agreement with Pfizer, or the Pfizer Agreement, for the research, development and Pfizer’s commercialization of immunogenic compositions comprising modified RNA and/or replicon technology for prophylaxis against influenza in humans, which we refer to as the Pfizer Agreement Field.</w:t>
      </w:r>
    </w:p>
    <w:p>
      <w:pPr>
        <w:spacing w:after="0" w:line="18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and Pfizer agreed to collaborate on the research in the Pfizer Agreement Field for an initial period of three years. The details of such research were set forth in a research plan that is governed by a joint steering committee, with Pfizer holding the final decision-making right. Each party will bear its own costs under the research plan. The research term will be extended automatically by a reasonable amount of time if the activities or deliverables under the research plan are delayed due to our material breach of our research obligations under the research plan. In addition, Pfizer may unilaterally extend the research term by up to a year by making an additional payment to us.</w:t>
      </w:r>
    </w:p>
    <w:p>
      <w:pPr>
        <w:spacing w:after="0" w:line="17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After the research term expires, Pfizer has the sole responsibility, authority and control of the development, manufacturing and commercialization of all candidates and products. Pfizer undertakes to use commercially reasonable efforts to seek regulatory approval for one product in the United States and in two countries out of France, Germany, Italy, Spain, the United Kingdom and Japan, and to commercialize such product in such countries where such product has received regulatory approval.</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Under the Pfizer Agreement, we grant to Pfizer an exclusive, worldwide, sublicensable license under certain of our intellectual property, including our patents and know-how, relating to replicons and modified RNA in the Pfizer Agreement Field as well as certain intellectual property in-licensed by us from third parties, to use, research, develop, manufacture, commercialize and otherwise exploit candidates and products selected under the Pfizer Agreement. We also grant to Pfizer a non-exclusive, royalty-free, sublicensable license under all intellectual property controlled by us or our affiliates to use, develop, manufacture, commercialize and otherwise exploit candidates and products selected under the Pfizer Agreement in the Pfizer Agreement Field. We undertake to maintain in full effect all intellectual property licenses held by us at the time we entered into the agreement and to not modify or amend any such license in a manner that would adversely affect any of the rights granted to Pfizer under the Pfizer Agreement. We are obligated to notify Pfizer of any breach of our current licenses and may be obligated to take steps to maintain Pfizer’s access to any intellectual property licensed under such licenses.</w:t>
      </w:r>
    </w:p>
    <w:p>
      <w:pPr>
        <w:spacing w:after="0" w:line="18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For a limited period of time, we also grant Pfizer an exclusive right of first refusal and a right of first negotiation to acquire an exclusive worldwide license under certain intellectual property controlled by us for Pfizer to develop, manufacture and commercialize immunogenic products comprising RNA for prophylaxis against respiratory syncytial virus or human cytomegalovirus. The right of first refusal will expire on July 20, 2019, at which time the right of first negotiation will become effective. The right of first negotiation may be exercised until the end of the research term.</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consideration of the rights granted to Pfizer under the agreement, Pfizer subscribed to shares in BioNTech AG under a separate investment agreement. In addition, under the Pfizer Agreement, Pfizer made an upfront payment of $50 million and agreed to potential payments of up to $325 million upon the achievement of specified development, regulatory and commercial milestones. Pfizer further agreed to a tiered royalty on net sales if a product is commercialized with the maximum royalty rate being a low double-digit rate. Royalties are subject to stacking provisions. The obligation of Pfizer to pay royalties ends, on a country-by-country and a product-by-product, basis upon the later of (i) the expiration of the last valid licensed patent right covering such product category in such country, (ii) 10 years after the first commercial sale of a product of such product category in such country and (iii) the lapse of regulatory data exclusivity for the first product in such product category in such country. There are only two product categories: one for modified RNA and a second for replicon products.</w:t>
      </w:r>
    </w:p>
    <w:p>
      <w:pPr>
        <w:spacing w:after="0" w:line="178"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During the term of the Pfizer Agreement, we have committed not to research, develop, manufacture, commercialize or otherwise exploit immunogenic compositions compromising RNA in the Pfizer Agreement Field other than pursuant to the Pfizer Agreement.</w:t>
      </w:r>
    </w:p>
    <w:p>
      <w:pPr>
        <w:spacing w:after="0" w:line="146"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Pfizer Agreement ends on a country-by-country basis upon expiration of the last royalty term for any product in that country. Thereafter, the licenses granted to Pfizer with respect to such product in such country will convert into a perpetual, exclusive, fully paid-up and royalty-free license. In addition to termination rights granted to each party in the case of the other party’s uncured material breach, Pfizer may terminate the agreement, in whole or in part, for convenience and with or without reason at any time upon 60 days’ prior written notice. In addition, Pfizer is entitled to terminate the agreement and initiate a technology transfer of certain intellectual property if one of its key competitors acquires control over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Genevant—Rare Disease Protein Replacement Therapy Strategic Collaboration</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In July 2018, our wholly-owned subsidiary BioNTech RNA Pharmaceuticals GmbH, or BioNTech RNA, entered into a license and co-development agreement with Genevant Sciences GmbH, or Genevant for the joint development of certain pharmaceutical products and the licensing of specified rights to Genevant’s lipid nanoparticle delivery technology to BioNTech RNA. We refer to this agreement as the Genevant Agreement.</w:t>
      </w:r>
    </w:p>
    <w:p>
      <w:pPr>
        <w:spacing w:after="0" w:line="14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Under the Genevant Agreement, BioNTech RNA and Genevant have agreed to collaborate to develop pharmaceutical products that contain any of five mRNA payloads created by BioNTech RNA encapsulated within a Genevant (or, if the parties agree, a third party) LNP, or the Co-Development Products, for the treatment, prevention and diagnosis of liver diseases, excluding any oncology diseases, or the Co-Development Field. Each party granted to the other party a worldwide, co-exclusive license or sublicense, with limited sublicensing rights, under certain of its patents and know-how to research, develop, make, have made, use, distribute, sell, offer for sale, have sold, import, export and otherwise commercialize the Co-Development Products in the Co-Development Field as provided in development and commercialization plans approved by a joint steering committee and subject to certain restrictions under the Genevant Agreement.</w:t>
      </w:r>
    </w:p>
    <w:p>
      <w:pPr>
        <w:spacing w:after="0" w:line="17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addition, BioNTech RNA obtained an exclusive, worldwide, royalty-bearing license or sublicense under Genevant’s LNP delivery technology to research, develop, make, have made, use, distribute, sell, offer for sale, have sold, import, export and otherwise commercialize pharmaceutical products containing BioNTech mRNA payloads encapsulated within an LNP, or the BioNTech Products, for the treatment, prevention and diagnosis of illnesses in the field of oncology, or the BioNTech Field.</w:t>
      </w:r>
    </w:p>
    <w:p>
      <w:pPr>
        <w:spacing w:after="0" w:line="187" w:lineRule="exact"/>
        <w:rPr>
          <w:sz w:val="20"/>
          <w:szCs w:val="20"/>
          <w:color w:val="auto"/>
        </w:rPr>
      </w:pPr>
    </w:p>
    <w:p>
      <w:pPr>
        <w:ind w:left="120" w:right="640" w:firstLine="440"/>
        <w:spacing w:after="0" w:line="279" w:lineRule="auto"/>
        <w:rPr>
          <w:sz w:val="20"/>
          <w:szCs w:val="20"/>
          <w:color w:val="auto"/>
        </w:rPr>
      </w:pPr>
      <w:r>
        <w:rPr>
          <w:rFonts w:ascii="Arial" w:cs="Arial" w:eastAsia="Arial" w:hAnsi="Arial"/>
          <w:sz w:val="17"/>
          <w:szCs w:val="17"/>
          <w:color w:val="auto"/>
        </w:rPr>
        <w:t>Each party retained certain rights to practice its intellectual property for all purposes outside of the Co-Development Field or in the Co-Development Field with any product that is not a Co-Development Product, subject to the next sentence as to BioNTech. During the term of the Genevant Agreement for each Co-Development Product or BioNTech Product, BioNTech RNA has agreed not to conduct or enable any clinical development, promotion or commercialization of any product involving the use of LNP with the BioNTech</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mRNA payload contained in the Co-Development Product or BioNTech Product other than in collaboration with Genevant pursuant to the Genevant Agreement. Genevant has also retained rights to practice its intellectual property for all purposes outside the BioNTech Field, or in the BioNTech Field with any product that is not a BioNTech Product.</w:t>
      </w:r>
    </w:p>
    <w:p>
      <w:pPr>
        <w:spacing w:after="0" w:line="18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parties are jointly responsible for the development of, and must use commercially reasonable efforts to develop, the Co-Development Products in accordance with a development plan approved by a joint steering committee. Genevant is responsible for the preclinical, clinical and commercial manufacture of the Co-Development Products, and BioNTech RNA is obligated to supply the mRNA payloads for use in manufactured Co-Development Products. The parties share equally all costs for the development of Co-Development Products as well as any profits and losses. For each Co-Development Product, one or the other party will take the lead responsibility for commercialization of the Co-Development Product in the Co-Development Field. Each party must use commercially reasonable efforts to perform the commercialization activities allocated to it in a commercialization plan approved by a joint steering committee.</w:t>
      </w:r>
    </w:p>
    <w:p>
      <w:pPr>
        <w:spacing w:after="0" w:line="19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Each party may opt-out of the co-development of any Co-Development Product with 90 days’ prior notice at any time after the filing of an IND or equivalent for the Co-Development Product. In such event, the other party may continue the development of the Co-Development Product on its own, at its sole cost and expense apart from specified obligations to support manufacturing and any ongoing clinical studies, but has to pay to the party that opted out pre-defined regulatory and sales milestones for the Co-Development Product of up to a low nine figure U.S. dollar amount in the aggregate and tiered low to mid-single digit percentage royalties on aggregate net sales of the Co-Development Product. In the event that a party opts out of the co-development of any Co-Development Product, the license granted by the party opting out to the other party shall become exclusive licenses, even as to the opting out party.</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BioNTech RNA is solely responsible for the development and commercialization of the BioNTech Products, including the performance of preclinical and clinical trials, all regulatory activities, and marketing and sales, and bears all related costs. BioNTech RNA must use commercially reasonable efforts to develop and obtain regulatory approval for BioNTech Products in the BioNTech Field in the United States, Germany, United Kingdom, France, Spain and Italy. Genevant is responsible for the manufacturing of the BioNTech Products, and the details of such manufacturing are to be agreed in a separate manufacturing and supply agreement. BioNTech RNA is obligated to pay regulatory and sales milestone payments on each BioNTech Product, and royalties based on aggregate net sales of all BioNTech Products, to Genevant.</w:t>
      </w:r>
    </w:p>
    <w:p>
      <w:pPr>
        <w:spacing w:after="0" w:line="17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Genevant Agreement continues until later of (i) the expiration of the last-to-expire royalty term for any BioNTech Product worldwide and (ii) the date on which all Co-Development Products cease being developed or commercialized. BioNTech RNA may terminate the agreement for convenience with respect to one or more BioNTech Products at any time with 90 or 180 days’ prior notice, depending on whether regulatory approval has been granted. The Genevant Agreement grants each party termination rights: if the other party challenges the validity, enforceability or scope of any patents licensed to it under the Genevant Agreement; for uncured material breaches of the other party; for the other party’s insolvency; or if the other party undergoes a change of control through which it is controlled by a competitor, if specified by the parties at the time of the Genevant Agreement, before the earlier of July 4, 2021 or when the other party undergoes an initial public offering.</w:t>
      </w:r>
    </w:p>
    <w:p>
      <w:pPr>
        <w:spacing w:after="0" w:line="17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Under certain scenarios, if BioNTech RNA terminates the Genevant Agreement with respect to a particular BioNTech Product, before granting a license to a third party for the BioNTech mRNA payload included in the BioNTech Product, Genevant has the right of negotiation with BioNTech. Under certain scenarios, if Genevant terminates the Genevant Agreement, Genevant keeps all licenses and have certain rights, but not the obligation, to continue the development and commercialization of Co-Development Products, and BioNTech RNA has certain obligations to provide assistance, documentation, and certain know-how and inventions to enable Genevant’s continued development and commercialization of Co-Development Products.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XV.</w:t>
        <w:tab/>
        <w:t>Government Regulation</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Government authorities in the United States, at the federal, state and local levels, and in the European Union and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foreign countries and jurisdictions, along with subsequent compliance with applicable statutes and regulations and other requirements of regulatory authorities, require the expenditure of substantial time and financial resources.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and Procedures Governing Approval of Drug and Biological Products in the United States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the United States, the FDA regulates drugs under the Federal Food, Drug, and Cosmetic Act, or the FDCA, and its implementing regulations and biologics under the FDCA, the Public Health Service Act, or the PHSA, and their implementing regulations. Both drugs and biologics also are subject to other federal, state and local statutes and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approval process or following approval may subject a sponsor to administrative or judicial sanctions. These sanctions could include, among other actions, the FDA’s refusal to approve pending applications, withdrawal of an approval, license revocation, clinical hold, untitled or warning letters, voluntary or mandatory product recalls,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6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 sponsor seeking approval to market and distribute a new drug or biological product in the United States generally must satisfactorily complete each of the following steps:</w:t>
      </w:r>
    </w:p>
    <w:p>
      <w:pPr>
        <w:spacing w:after="0" w:line="76" w:lineRule="exact"/>
        <w:rPr>
          <w:sz w:val="20"/>
          <w:szCs w:val="20"/>
          <w:color w:val="auto"/>
        </w:rPr>
      </w:pPr>
    </w:p>
    <w:p>
      <w:pPr>
        <w:ind w:left="540" w:right="200" w:hanging="316"/>
        <w:spacing w:after="0" w:line="277" w:lineRule="auto"/>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applicable regulations, including the FDA’s good laboratory practices, or GLP, regulations;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submission to the FDA of an IND application for human clinical testing, which must become effective before human clinical trials may begin;</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approval by the IRB representing each clinical site before each clinical trial may be initiated;</w:t>
      </w:r>
    </w:p>
    <w:p>
      <w:pPr>
        <w:spacing w:after="0" w:line="130" w:lineRule="exact"/>
        <w:rPr>
          <w:rFonts w:ascii="Arial" w:cs="Arial" w:eastAsia="Arial" w:hAnsi="Arial"/>
          <w:sz w:val="18"/>
          <w:szCs w:val="18"/>
          <w:color w:val="auto"/>
        </w:rPr>
      </w:pPr>
    </w:p>
    <w:p>
      <w:pPr>
        <w:ind w:left="540" w:right="380" w:hanging="316"/>
        <w:spacing w:after="0" w:line="277" w:lineRule="auto"/>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applicable regulations, including with GCP, regulations;</w:t>
      </w:r>
    </w:p>
    <w:p>
      <w:pPr>
        <w:spacing w:after="0" w:line="75" w:lineRule="exact"/>
        <w:rPr>
          <w:rFonts w:ascii="Arial" w:cs="Arial" w:eastAsia="Arial" w:hAnsi="Arial"/>
          <w:sz w:val="18"/>
          <w:szCs w:val="18"/>
          <w:color w:val="auto"/>
        </w:rPr>
      </w:pPr>
    </w:p>
    <w:p>
      <w:pPr>
        <w:ind w:left="540" w:right="120" w:hanging="316"/>
        <w:spacing w:after="0" w:line="286" w:lineRule="auto"/>
        <w:tabs>
          <w:tab w:leader="none" w:pos="5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preparation and submission to the FDA of a NDA for a drug product, or a BLA for a biological product requesting marketing approval for one or more proposed indications, including submission of detailed information on the manufacture and composition of the product in clinical development, evidence of safety, purity and potency from preclinical testing and clinical trials, and proposed labeling;</w:t>
      </w:r>
    </w:p>
    <w:p>
      <w:pPr>
        <w:spacing w:after="0" w:line="70" w:lineRule="exact"/>
        <w:rPr>
          <w:rFonts w:ascii="Arial" w:cs="Arial" w:eastAsia="Arial" w:hAnsi="Arial"/>
          <w:sz w:val="17"/>
          <w:szCs w:val="17"/>
          <w:color w:val="auto"/>
        </w:rPr>
      </w:pPr>
    </w:p>
    <w:p>
      <w:pPr>
        <w:ind w:left="540" w:hanging="316"/>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if applicable;</w:t>
      </w:r>
    </w:p>
    <w:p>
      <w:pPr>
        <w:spacing w:after="0" w:line="130" w:lineRule="exact"/>
        <w:rPr>
          <w:rFonts w:ascii="Arial" w:cs="Arial" w:eastAsia="Arial" w:hAnsi="Arial"/>
          <w:sz w:val="18"/>
          <w:szCs w:val="18"/>
          <w:color w:val="auto"/>
        </w:rPr>
      </w:pPr>
    </w:p>
    <w:p>
      <w:pPr>
        <w:ind w:left="540" w:right="180" w:hanging="316"/>
        <w:spacing w:after="0" w:line="263" w:lineRule="auto"/>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including those of third parties, at which the product, or components thereof, are produced to assess compliance with current GMP requirements and to assure that the facilities, methods and controls are adequate to preserve the product’s identity, strength, quality and purity;</w:t>
      </w:r>
    </w:p>
    <w:p>
      <w:pPr>
        <w:spacing w:after="0" w:line="89"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satisfactory completion of any FDA audits of the clinical study sites to assure compliance with GCPs, and the integrity of clinical data in support of the NDA or BLA;</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or BLA;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to conduct any post-approval studies required by the FDA.</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and we cannot be certain that any approvals for our investigational medicines and any future investigational medicines will be granted on a timely basis, or at all.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Before testing any drug or biological product candidate in humans, the product candidate must undergo preclinical testing. Preclinical tests include laboratory evaluations of product chemistry, formulation and stability, as well as animal studies to evaluate the potential for activity and toxicity. The conduct of the preclinical tests and formulation of the compounds for testing must comply with federal regulations and requirements. The results of the preclinical tests, together with manufacturing information, analytical data, any available clinical data or literature and a proposed clinical protocol, are submitted to the FDA as part of an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and places the trial on a clinical hold. In that case, the IND sponsor and the FDA must resolve any outstanding FDA concerns before the clinical trial can begin.</w:t>
      </w:r>
    </w:p>
    <w:p>
      <w:pPr>
        <w:spacing w:after="0" w:line="178"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As a result, submission of the IND may result in the FDA not allowing the trial to commence or not be conducted on the terms originally specified by the sponsor in the IND. If the FDA raises concerns or questions either during this initial 30-day period, or at any time during the IND process, it may choose to impose a partial or complete clinical hold. If the FDA imposes a clinical hold, trials may not recommence without FDA authorization and then only under terms authorized by the FDA. A clinical hold issued by the FDA may therefore delay either a proposed clinical study or cause suspension of an ongoing study, until all outstanding concerns have been adequately addressed and the FDA has notified the company that investigation may proceed. This could cause significant difficulties in completing planned clinical trials in a timely manner.</w:t>
      </w:r>
    </w:p>
    <w:p>
      <w:pPr>
        <w:spacing w:after="0" w:line="17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FDA may impose clinical holds on a biological product candidate at any time before or during clinical trials due to safety concerns or non-compliance.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Human Clinical Trials in Support of an NDA or a BLA</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 trials are conducted under study protocols detailing, among other things, the objectives of the study, inclusion and exclusion criteria, the parameters to be used in monitoring safety, dosing procedures and the effectiveness criteria to be evaluated. A protocol for each clinical trial and any subsequent protocol amendments must be submitted to the FDA as part of the IND.</w:t>
      </w:r>
    </w:p>
    <w:p>
      <w:pPr>
        <w:spacing w:after="0" w:line="19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NDA or BLA so long as the clinical trial is well-designed and well-conducted in accordance with GCP, including review and approval by an independent ethics committee, and the FDA is able to validate the study data through an onsite inspection, if necessary.</w:t>
      </w:r>
    </w:p>
    <w:p>
      <w:pPr>
        <w:spacing w:after="0" w:line="17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Further, each clinical trial must be reviewed and approved by an IRB either centrally or individually at each institution at which the clinical trial will be conducted. The IRB will consider, among other things, clinical trial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design, patient informed consent, ethical factors and the safety of human subjects.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subjects or patients are being exposed to an unacceptable health risk. Clinical testing also must satisfy extensive GCP rules and the requirements for informed consent. The IRB also approves the form and content of the informed consent that must be signed by each clinical trial subject or his or her legal representative and must monitor the clinical trial until completed. Additionally, some clinical trials are overseen by an independent group of qualified experts organized by the clinical trial sponsor, known as a data safety monitoring board or committee, or DSMB. This group may recommend continuation of the study as planned, changes in study conduct, or cessation of the study at designated check points based on access to certain data from the study.</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76" w:lineRule="exact"/>
        <w:rPr>
          <w:sz w:val="20"/>
          <w:szCs w:val="20"/>
          <w:color w:val="auto"/>
        </w:rPr>
      </w:pPr>
    </w:p>
    <w:p>
      <w:pPr>
        <w:ind w:left="980" w:hanging="324"/>
        <w:spacing w:after="0" w:line="259" w:lineRule="auto"/>
        <w:tabs>
          <w:tab w:leader="none" w:pos="9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Phase 1 clinical trials (or Phase 1) are initially conducted in a limited population to test the product candidate for safety, including adverse effects, dose tolerance, absorption, metabolism, distribution, excretion and pharmacodynamics in healthy humans or, on occasion, in patients, such as in the case of some products for severe or life-threatening diseases, especially when the product may be too inherently toxic to ethically administer to healthy volunteers.</w:t>
      </w:r>
    </w:p>
    <w:p>
      <w:pPr>
        <w:spacing w:after="0" w:line="92" w:lineRule="exact"/>
        <w:rPr>
          <w:rFonts w:ascii="Arial" w:cs="Arial" w:eastAsia="Arial" w:hAnsi="Arial"/>
          <w:sz w:val="18"/>
          <w:szCs w:val="18"/>
          <w:color w:val="auto"/>
        </w:rPr>
      </w:pPr>
    </w:p>
    <w:p>
      <w:pPr>
        <w:ind w:left="980" w:right="80" w:hanging="324"/>
        <w:spacing w:after="0" w:line="273" w:lineRule="auto"/>
        <w:tabs>
          <w:tab w:leader="none" w:pos="9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Phase 2 clinical trials (or Phase 2) are generally conducted in a limited patient population to identify possible adverse effects and safety risks, preliminarily evaluate the efficacy of the product candidate for specific targeted indications and determine dose tolerance and optimal dosage. Multiple Phase 2 clinical trials may be conducted by the sponsor to obtain information prior to beginning larger Phase 3 clinical trials. When a drug is intended to treat life-threatening or severely debilitating illnesses, the FDA may accept well-controlled Phase 2 clinical trials as adequate to provide sufficient data on the drug’s safety and effectiveness to support a decision on its approvability for marketing, in which case Phase 3 clinical trials would not be required.</w:t>
      </w:r>
    </w:p>
    <w:p>
      <w:pPr>
        <w:spacing w:after="0" w:line="83" w:lineRule="exact"/>
        <w:rPr>
          <w:rFonts w:ascii="Arial" w:cs="Arial" w:eastAsia="Arial" w:hAnsi="Arial"/>
          <w:sz w:val="17"/>
          <w:szCs w:val="17"/>
          <w:color w:val="auto"/>
        </w:rPr>
      </w:pPr>
    </w:p>
    <w:p>
      <w:pPr>
        <w:ind w:left="980" w:hanging="324"/>
        <w:spacing w:after="0" w:line="279" w:lineRule="auto"/>
        <w:tabs>
          <w:tab w:leader="none" w:pos="9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Phase 3 clinical trials (or Phase 3) proceed if the Phase 2 clinical trials demonstrate that a certain dose or dose range of the product candidate is potentially effective and has an acceptable safety profile. Phase 3 clinical trials are undertaken within an expanded patient population, often at geographically dispersed clinical trial sites, to gather additional information about safety and effectiveness necessary to evaluate the overall benefit-risk relationship of the product and to provide an adequate basis for product labeling.</w:t>
      </w:r>
    </w:p>
    <w:p>
      <w:pPr>
        <w:spacing w:after="0" w:line="17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some cases, the FDA may approve an NDA or a BLA for a product candidate but require the sponsor to conduct additional clinical trials to further assess the product candidate’s safety and effectiveness after approval. Such post-approval trials are typically referred to as Phase 4 clinical trials (or Phase 4). These studies may be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required Phase 4 clinical trials could result in withdrawal of approval for products.</w:t>
      </w:r>
    </w:p>
    <w:p>
      <w:pPr>
        <w:spacing w:after="0" w:line="17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subjects, or any clinically important increase in the rate of a serious suspected adverse reaction over that listed in the protocol 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DSMB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new drug candidate or biological product candidate has been associated with unexpected serious harm to patients.</w:t>
      </w:r>
    </w:p>
    <w:p>
      <w:pPr>
        <w:spacing w:after="0" w:line="178"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Compliance with GMP Requirements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Before approving an NDA or a BLA, the FDA typically will inspect the facility or facilities where the product is manufactured. The FDA will not approve an application unless it determines that the manufacturing processes and facilities are in full compliance with GMP requirements and adequate to assure consistent production of the product within required specifications. Among other things, the sponsor must develop methods for testing the identity, strength, quality, potency and purity of the final drug or biological product. Additionally, appropriate packaging must be selected and tested and stability studies must be conducted to demonstrate that the drug or biological product does not undergo unacceptable deterioration over its shelf life. In particular, the PHSA emphasizes the importance of manufacturing control for products like biologics whose attributes cannot be precisely defined.</w:t>
      </w:r>
    </w:p>
    <w:p>
      <w:pPr>
        <w:spacing w:after="0" w:line="16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Manufacturers and others involved in the manufacture and distribution of drugs and biological products must also register their establishments with the FDA and certain state agencies. Both domestic and foreign manufacturing establishments must register and provide additional information to the FDA upon their initial participation in the manufacturing process.</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manufacturing facilities may be subject to periodic unannounced inspections by government authorities to ensure compliance with GMPs and other laws. Manufacturers may have to provide, on request, electronic or physical records regarding their establishments. Delaying, denying, limiting or refusing inspection by the FDA may lead to a product being deemed to be adulterated.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Review and Approval of an NDA or a BLA</w:t>
      </w:r>
    </w:p>
    <w:p>
      <w:pPr>
        <w:spacing w:after="0" w:line="117"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The results of product candidate development, preclinical testing and clinical trials, including negative or ambiguous results as well as positive findings, are submitted to the FDA as part of an NDA or a BLA requesting a license to market the product. These applications must contain extensive manufacturing information and detailed information on the composition of the product and proposed labeling.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the NDA or BLA is sufficient to accept for filing based on the agency’s threshold determination that it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substantially complete so as to permit substantive review. Once the submission has been accepted for filing, the FDA begins an in-depth review of the application. Under the goals and policies agreed to by the FDA under PDUFA, the FDA aims to complete its initial review of a standard application and respond to the sponsor within ten months of the 60-day filing date, and for a priority review application within six months. The FDA does not always meet its PDUFA goal dates for standard and priority NDA or BLA applications, and its review goals are subject to change from time to time. The review process may often be significantly extended by FDA requests for additional information or clarification. The review process and the PDUFA goal date may also be extended by three months if the FDA requests or if the sponsor otherwise provides additional information or clarification regarding information already provided in the submission within the last three months before the PDUFA goal date.</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FDA reviews NDA and BLA applications to determine, among other things, whether the proposed product is safe and potent, or effective, for its intended use, and has an acceptable purity profile, and whether the product is being manufactured in accordance with GMP requirements to assure and preserve the product’s identity, safety, strength, quality, potency and purity. On the basis of the FDA’s evaluation of the application and accompanying information, including the results of the inspection of the manufacturing facilities and any FDA audits of clinical trial sites to assure compliance with GCPs, the FDA may issue an approval letter, denial letter or complete response letter. An approval letter authorizes commercial marketing of the product with specific prescribing information for specific indications. Under the FDCA, the FDA may approve an NDA if it determines that the product is safe and effective for its intended use, the benefits of the drug outweigh any risks, and the methods used in manufacturing the drug and the controls used to maintain the drug’s quality are adequate to preserve the drug’s identity, strength, quality and purity. Under the PHSA, the FDA may approve a BLA if it determines that the product is safe, pure and potent and the facility where the product will be manufactured meets standards designed to ensure that it continues to be safe, pure and potent. If the application is not approved, the FDA may issue a complete response letter, which will contain the conditions that must be met in order to secure final approval of the application, and when possible will outline recommended actions the sponsor might take to obtain approval of the application. If a complete response letter is issued, the sponsor may either resubmit the NDA or BLA, addressing all of the deficiencies identified in the letter, or withdraw the application.</w:t>
      </w:r>
    </w:p>
    <w:p>
      <w:pPr>
        <w:spacing w:after="0" w:line="174"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Sponsors that receive a complete response letter who elect to address the deficiencies may submit to the FDA information that represents a complete response to the issues identified by the FDA in the response letter. Such resubmissions are classified under PDUFA as either Class 1 or Class 2, based on the information submitted by a sponsor in response to an action letter. Under the goals and policies agreed to by the FDA under PDUFA, the FDA aims to review and act on a Class 1 resubmission with two months of receipt and, with respect to a Class 2 resubmission, within six months of receipt. The FDA will not approve an application until issues identified in the complete response letter have been addressed.</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FDA may also refer the application to an Advisory Committee for review, evaluation and recommendation as to whether the application should be approved and under what conditions. In particular, the FDA may refer applications for novel drug or biological products or drug or biological products that present difficult questions of safety or efficacy to an advisory committee. Typically, an Advisory Committee is a panel of independent experts, including clinicians and other scientific experts. The FDA is not bound by the recommendations of an Advisory Committee, but it considers such recommendations carefully when making decisions.</w:t>
      </w:r>
    </w:p>
    <w:p>
      <w:pPr>
        <w:spacing w:after="0" w:line="188"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If the FDA approves a new product, it may limit the approved indications for use of the product, or limit the approval to specific dosages. It may also require that certain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or REMS, to help ensure that the benefits of the product outweigh the potential risks. REMS can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NDA or BLA must submit a proposed REMS; the FDA will not approve the NDA or BLA without a REMS, if required. The FDA may prevent or limit further marketing of a product based on the results of post-marketing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FDA may designate certain products for expedited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disease or condition. Fast track designation applies to the combination of the product and the specific indication for which it is being studied. The sponsor of a new drug or biologic may request that the FDA designate the drug or biologic as a fast track product at any time during the clinical development of the product.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Fast track designation may be withdrawn by the FDA if the FDA believes that the designation is no longer supported by data emerging in the clinical trial process.</w:t>
      </w:r>
    </w:p>
    <w:p>
      <w:pPr>
        <w:spacing w:after="0" w:line="16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2012, Congress enacted the Food and Drug Administration Safety and Innovation Act, or the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facilitate the design of clinical trials in an efficient manner.</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to six months (compared to 10 months under standard review).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Fast track designation, priority review and breakthrough therapy designation may expedite the development or approval process, but do not change the standards for approval.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Accelerated Approval Pathway</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6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stated that although it has limited experience with accelerated approvals based on intermediate clinical endpoints,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accelerated approval pathway is most often used in settings in which the course of a disease is long and an extended period of time is required to measure the intended clinical benefit of a product.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71"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may lead the FDA to withdraw the product from the market. All promotional materials for product candidates approved under accelerated regulations are subject to prior review by the FDA.</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Accelerated approval pathways are available for regenerative medicine therapies that meet certain conditions. Regenerative medicine therapies include cell therapies (both allogenic and autologous), therapeutic tissue engineering products, human cell and tissue products, and combination products using any such therapies or products, except those regulated under section 361 of the PHSA. Human gene therapies, including genetically modified cells, that lead to a sustained effect on cells or tissues, may also meet the definition of a regenerative medicine therapy, as may xenogeneic cell products.</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Regenerative medicine therapies designed to treat, modify, reverse or cure serious conditions are eligible for FDA’s expedited programs, including fast track designation, breakthrough therapy designation, priority review and accelerated approval, if they meet the criteria for such programs. They may also be eligible for Regenerative Medicine Advanced Therapy Designation, or RMAT designation.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An investigational drug is eligible for RMAT designation if it meets the definition of regenerative medicine therapy, it is intended to treat, modify, reverse or cure a serious condition, and preliminary clinical evidence indicates that the regenerative medicine therapy has the potential to address unmet medical needs for such condition. An unmet medical need is a condition whose treatment or diagnosis is not addressed adequately by available therapy.</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RMAT designation confers all the benefits of the fast track and breakthrough therapy designation programs, including early actions with the FDA. The FDA reviews each application on a case-by-case basis to determine whether the clinical evidence is sufficient to support RMAT designation, considering factors such as the rigor of data collection, the consistency and persuasiveness of the outcomes, the number of patients or subjects, and the severity, rarity or prevalence of the condition, among other factors. The FDA may decline to grant RMAT designation if it finds the clinical evidence insufficient.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RMAT designation may expedite the development or approval process, but it does not change the standards for approval.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regulatory approval for marketing of a product or for a new indication for an existing product is obtained, the sponsor will be required to comply with rigorous and extensive post-approval regulatory requirements as well as any post-approval requirements that the FDA has imposed on the particular product as part of the approval process. The sponsor will be required, among other things, to report certain adverse reactions and production problems to the FDA, provide updated safety and efficacy information and comply with requirements concerning advertising and promotional labeling.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GMP regulations, which impose certain procedural and documentation requirements upon manufacturers. Accordingly, the BLA holder and its third-party manufacturers must continue to expend time, money and effort in the areas of production and quality control to maintain compliance with GMP regulations and other regulatory requirements.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study requirements or clinical trial requirements to assess new safety risks; or imposition of distribution restrictions or other restrictions under a REMS program. Other potential consequences include, among other things:</w:t>
      </w:r>
    </w:p>
    <w:p>
      <w:pPr>
        <w:spacing w:after="0" w:line="67" w:lineRule="exact"/>
        <w:rPr>
          <w:sz w:val="20"/>
          <w:szCs w:val="20"/>
          <w:color w:val="auto"/>
        </w:rPr>
      </w:pPr>
    </w:p>
    <w:p>
      <w:pPr>
        <w:ind w:left="540" w:hanging="316"/>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fines, untitled letters or warning letters or holds on post-approval clinical trials;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30" w:lineRule="exact"/>
        <w:rPr>
          <w:rFonts w:ascii="Arial" w:cs="Arial" w:eastAsia="Arial" w:hAnsi="Arial"/>
          <w:sz w:val="18"/>
          <w:szCs w:val="18"/>
          <w:color w:val="auto"/>
        </w:rPr>
      </w:pPr>
    </w:p>
    <w:p>
      <w:pPr>
        <w:ind w:left="540" w:right="480" w:hanging="316"/>
        <w:spacing w:after="0" w:line="277" w:lineRule="auto"/>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injunctions, fines, debarment, disgorgement of profits or the imposition of civil or criminal penalties.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Orphan drug designation in the United States is designed to encourage sponsors to develop products intended for rare diseases or conditions. In the United States, a rare disease or condition is statutorily defined as a disease or condition that affects fewer than 200,000 individuals in the United States or that affects more than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15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Orphan drug designation qualifies a company for certain financial incentives, including tax advantages and, if the product receives the first FDA approval for the indication for which it has orphan designation, market exclusivity for seven years following the date of the product’s marketing approval. An application for designation as an orphan product can be made any time prior to the filing of an application for approval to market the product. Once a product receives orphan drug designation from the Office of Orphan Products Development at the FDA, the product must then go through the review and approval process like any other product.</w:t>
      </w:r>
    </w:p>
    <w:p>
      <w:pPr>
        <w:spacing w:after="0" w:line="188"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product. More than one sponsor may receive orphan drug designation for the same product for the same rare disease or condition, but each sponsor seeking orphan drug designation must file a complete request for designation.</w:t>
      </w:r>
    </w:p>
    <w:p>
      <w:pPr>
        <w:spacing w:after="0" w:line="17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the manufacturer makes a showing of clinical superiority over the product with orphan exclusivity, or the sponsor is unable to provide sufficient quantities.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Orphan product designation does not convey any advantage in or shorten the duration of the regulatory review and approval process.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the Pediatric Research Equity Act of 2003, an NDA or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who are planning to submit a marketing application for a drug or biological product that includes a new active ingredient, new indication, new dosage form, new dosing regimen or new route of administration must also submit pediatric study plans prior to the assessment data, and no later than 60 calendar days following an end-of-Phase 2 meeting with the FDA or, if there is no such meeting, as early as practicable before the initiation of the Phase 3 or Phase 2/3 study. Pediatric study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or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Biosimilars and Reference Product Exclusivity</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the ACA, signed into law in 2010, includes a subtitle called the Biologics Price Competition and Innovation Act of 2009, or the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w:t>
      </w:r>
    </w:p>
    <w:p>
      <w:pPr>
        <w:spacing w:after="0" w:line="17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sponsor’s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5"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89" w:lineRule="exact"/>
        <w:rPr>
          <w:sz w:val="20"/>
          <w:szCs w:val="20"/>
          <w:color w:val="auto"/>
        </w:rPr>
      </w:pPr>
    </w:p>
    <w:p>
      <w:pPr>
        <w:ind w:left="540" w:right="360" w:hanging="316"/>
        <w:spacing w:after="0" w:line="277" w:lineRule="auto"/>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75" w:lineRule="exact"/>
        <w:rPr>
          <w:rFonts w:ascii="Arial" w:cs="Arial" w:eastAsia="Arial" w:hAnsi="Arial"/>
          <w:sz w:val="18"/>
          <w:szCs w:val="18"/>
          <w:color w:val="auto"/>
        </w:rPr>
      </w:pPr>
    </w:p>
    <w:p>
      <w:pPr>
        <w:ind w:left="540" w:right="720" w:hanging="316"/>
        <w:spacing w:after="0" w:line="277" w:lineRule="auto"/>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75" w:lineRule="exact"/>
        <w:rPr>
          <w:rFonts w:ascii="Arial" w:cs="Arial" w:eastAsia="Arial" w:hAnsi="Arial"/>
          <w:sz w:val="18"/>
          <w:szCs w:val="18"/>
          <w:color w:val="auto"/>
        </w:rPr>
      </w:pPr>
    </w:p>
    <w:p>
      <w:pPr>
        <w:ind w:left="540" w:right="20" w:hanging="316"/>
        <w:spacing w:after="0" w:line="279" w:lineRule="auto"/>
        <w:tabs>
          <w:tab w:leader="none" w:pos="5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A drug, or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w:t>
      </w:r>
      <w:r>
        <w:rPr>
          <w:rFonts w:ascii="Arial" w:cs="Arial" w:eastAsia="Arial" w:hAnsi="Arial"/>
          <w:sz w:val="17"/>
          <w:szCs w:val="17"/>
          <w:i w:val="1"/>
          <w:iCs w:val="1"/>
          <w:color w:val="auto"/>
        </w:rPr>
        <w:t>e.g</w:t>
      </w:r>
      <w:r>
        <w:rPr>
          <w:rFonts w:ascii="Arial" w:cs="Arial" w:eastAsia="Arial" w:hAnsi="Arial"/>
          <w:sz w:val="17"/>
          <w:szCs w:val="17"/>
          <w:color w:val="auto"/>
        </w:rPr>
        <w:t>., to reflect a change in intended use, dosage form, strength, route of administration or significant change in dose; or</w:t>
      </w:r>
    </w:p>
    <w:p>
      <w:pPr>
        <w:spacing w:after="0" w:line="76" w:lineRule="exact"/>
        <w:rPr>
          <w:rFonts w:ascii="Arial" w:cs="Arial" w:eastAsia="Arial" w:hAnsi="Arial"/>
          <w:sz w:val="17"/>
          <w:szCs w:val="17"/>
          <w:color w:val="auto"/>
        </w:rPr>
      </w:pPr>
    </w:p>
    <w:p>
      <w:pPr>
        <w:ind w:left="540" w:right="160" w:hanging="316"/>
        <w:spacing w:after="0" w:line="342" w:lineRule="auto"/>
        <w:tabs>
          <w:tab w:leader="none" w:pos="5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biological product, the FDA center responsible for premarket review of the biological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6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 and sell the product in those countries or jurisdictions.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European Union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process governing approval of medicinal products, including biological medicinal products and advanced therapy medicinal products, or ATMPs, which comprise gene therapy products, somatic cell therapy products and tissue-engineered products, in the European Union generally follows the same lines as in the United States. It entails satisfactory completion of pharmaceutical development, nonclinical and clinical studies to establish the safety and efficacy of the medicinal product for each proposed indication. Moreover, an applicant must also demonstrate the ability to manufacture the product to a suitable quality.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European Union has been implemented through national legislation of the member states.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Clinical trials must be conducted in accordance with European Union and national regulations and the International Conference on Harmonization, or ICH, guidelines on GCP. Additional GCP guidelines from the European Commission, focusing in particular on traceability, apply to clinical trials of advanced therapy medicinal products. If the sponsor of the clinical trial is not established within the European Union, it must appoint an entity within the European Union to act as its legal representative.</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Under this system, a sponsor must obtain approval from the competent national authority of a European Union member state in which the clinical trial is to be conducted or in multiple member states if the clinical trial is to be conducted in a number of member states. Furthermore, the sponsor may only start a clinical trial at a specific study site after the independent ethics committee has issued a favorable opinion. The clinical trial application must be accompanied by a copy of the trial protocol and an investigational medicinal product dossier with supporting information prescribed by Directive 2001/20/EC and Directive 2005/28/EC and corresponding national laws of the member states and further detailed in applicable guidance documents. Moreover, the sponsor must take out a clinical trial insurance policy, and in most European Union countries the sponsor is liable to provide ‘no fault’ compensation to any study subject injured in the clinical trial.</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It is expected that the new Clinical Trials Regulation will apply at earliest in the second half of 2019. It will overhaul the current system of approvals for clinical trials in the European Union. Specifically, the new regulation, which will be directly applicable in all member states, aims to simplify and streamline the approval of clinical trials in the European Union. For instance, the new Clinical Trials Regulation provides for a streamlined application procedure using a single entry point and strictly defined deadlines for the assessment of clinical trial applications. This means that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sponsor of a clinical trial must register the clinical trial in advance, and information related to the product, patient population, phase of investigation, study sites and investigators, and other aspects of the clinical trial will be made public as part of the registration. The results of the clinical trial must be submitted to the competent authorities and, with the exception of non-pediatric Phase 1 trials, will be made public at the latest within 12 months after the end of the trial.</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During the development of a medicinal product, the European Medicines Agency, or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of the product concerned.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To obtain a marketing authorization for a product under the European Union regulatory system, a sponsor must submit a marketing authorization application, or MAA, either under a centralized procedure administered by the EMA or one of the procedures administered by competent authorities in European Union member states (decentralized procedure, national procedure or mutual recognition procedure).</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All application procedures require an application in the common technical document, or CTD, format, which includes the submission of detailed information about the manufacturing and quality of the product, and nonclinical and clinical trial information. There is an increasing trend in the European Union toward greater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 In October 2014, the EMA adopted a policy under which clinical study reports would be posted on the agency’s website following the grant, denial or withdrawal of a MAA, subject to procedures for limited redactions and protection against unfair commercial use. A similar requirement is contained in the new Clinical Trials Regulation that is currently expected to take effect at earliest in the second half of 2019.</w:t>
      </w:r>
    </w:p>
    <w:p>
      <w:pPr>
        <w:spacing w:after="0" w:line="17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 marketing authorization may be granted only to a sponsor established in the European Union. Regulation (EC) No. 1901/2006 on medicinal products for pediatric use provides that prior to obtaining a marketing authorization in the European Union in the centralized procedure, a sponsor must demonstrate compliance with all measures included in an EMA-approved Pediatric Investigation Plan covering all subsets of the pediatric population, unless the EMA has granted a product-specific waiver, class waiver or deferral for one or more of the measures included in the Pediatric Investigation Plan.</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9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Under the centralized procedure, the CHMP established at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from the CHMP. Accelerated evaluation may be granted by the CHMP in exceptional cases, when a medicinal product is of major interest from the point of view of public health determined by three cumulative criteria: (i) the seriousness of the disease (</w:t>
      </w:r>
      <w:r>
        <w:rPr>
          <w:rFonts w:ascii="Arial" w:cs="Arial" w:eastAsia="Arial" w:hAnsi="Arial"/>
          <w:sz w:val="17"/>
          <w:szCs w:val="17"/>
          <w:i w:val="1"/>
          <w:iCs w:val="1"/>
          <w:color w:val="auto"/>
        </w:rPr>
        <w:t>e.g</w:t>
      </w:r>
      <w:r>
        <w:rPr>
          <w:rFonts w:ascii="Arial" w:cs="Arial" w:eastAsia="Arial" w:hAnsi="Arial"/>
          <w:sz w:val="17"/>
          <w:szCs w:val="17"/>
          <w:color w:val="auto"/>
        </w:rPr>
        <w:t>., heavy disabling or life-threatening diseases) to be treated, (ii) the absence or insufficiency of an appropriate alternative therapeutic approach, and (iii) anticipation of high therapeutic benefit.</w:t>
      </w:r>
    </w:p>
    <w:p>
      <w:pPr>
        <w:spacing w:after="0" w:line="17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46"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The Committee for Advanced Therapies, or CAT, is responsible in conjunction with the CHMP for the evaluation of ATMPs. The CAT is primarily responsible for the scientific evaluation of ATMPs and prepares a draft opinion on the quality, safety and efficacy of each ATMP for which a MAA is submitted. The CAT’s opinion is then taken into account by the CHMP when giving its final recommendation regarding the authorization of a product in view of the balance of benefits and risks identified. Although the CAT’s draft opinion is submitted to the CHMP for final approval, the CHMP may depart from the draft opinion if it provides detailed scientific justification. The CHMP and CAT are also responsible for providing guidelines on ATMPs and have published numerous guidelines, including specific guidelines on gene therapies and cell therapies. These guidelines, which are not legally binding, provide additional guidance on the factors that the EMA will consider in relation to the development and evaluation of ATMPs and include, inter alia, the preclinical studies required to characterize ATMPs, the manufacturing and control information that should be submitted in a MAA; and post-approval measures required to monitor patients and evaluate the long term efficacy and potential adverse reactions of ATMPs.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83" w:lineRule="exact"/>
        <w:rPr>
          <w:sz w:val="20"/>
          <w:szCs w:val="20"/>
          <w:color w:val="auto"/>
        </w:rPr>
      </w:pPr>
    </w:p>
    <w:p>
      <w:pPr>
        <w:ind w:left="540" w:right="140" w:hanging="316"/>
        <w:spacing w:after="0" w:line="277" w:lineRule="auto"/>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75" w:lineRule="exact"/>
        <w:rPr>
          <w:rFonts w:ascii="Arial" w:cs="Arial" w:eastAsia="Arial" w:hAnsi="Arial"/>
          <w:sz w:val="18"/>
          <w:szCs w:val="18"/>
          <w:color w:val="auto"/>
        </w:rPr>
      </w:pPr>
    </w:p>
    <w:p>
      <w:pPr>
        <w:ind w:left="540" w:right="580" w:hanging="316"/>
        <w:spacing w:after="0" w:line="277" w:lineRule="auto"/>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EMA decides, on justified grounds, to proceed with one additional five-year renewal.</w:t>
      </w:r>
    </w:p>
    <w:p>
      <w:pPr>
        <w:spacing w:after="0" w:line="161"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the CHMP finds that all the following requirements are met:</w:t>
      </w:r>
    </w:p>
    <w:p>
      <w:pPr>
        <w:spacing w:after="0" w:line="71" w:lineRule="exact"/>
        <w:rPr>
          <w:sz w:val="20"/>
          <w:szCs w:val="20"/>
          <w:color w:val="auto"/>
        </w:rPr>
      </w:pPr>
    </w:p>
    <w:p>
      <w:pPr>
        <w:ind w:left="980" w:hanging="324"/>
        <w:spacing w:after="0"/>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benefit-risk balance of the product is positive;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it is likely that the applicant will be able to provide comprehensive data;</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benefit to public health of the medicinal product’s immediate availability on the market outweighs the risks due to need for further data.</w:t>
      </w:r>
    </w:p>
    <w:p>
      <w:pPr>
        <w:spacing w:after="0" w:line="24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Once comprehensive data on the medicinal product have been obtained, the marketing authorization may be converted into a standard marketing authorization which is no longer subject to specific obligations. Initially, this is valid for five years, but can be renewed for unlimited validity.</w:t>
      </w:r>
    </w:p>
    <w:p>
      <w:pPr>
        <w:spacing w:after="0" w:line="17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European Union medicines rules expressly permit the member states to adopt national legislation prohibiting or restricting the sale, supply or use of any medicinal products containing, consisting of or derived from a specific type of human or animal cell, such as embryonic stem cells.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within three years after authorization ceases to be valid.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6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the manufacturing, processing and packing of products to assure their safety and identity. Specifically, medicinal products may only be manufactured in the European Union, or imported into the European Union from another country, by the holder of a manufacturing/import authorization from the competent national authority. The manufacturer or importer must have a qualified person who is responsible for certifying that each batch of product has been manufactured in accordance with European Union standards of good manufacturing practice, or GMP, before releasing the product for commercial distribution in the European Union or for use in a clinical trial. Manufacturing facilities are subject to periodic inspections by the competent authorities for compliance with GMP.</w:t>
      </w:r>
    </w:p>
    <w:p>
      <w:pPr>
        <w:spacing w:after="0" w:line="17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Finally, the marketing and promotion of authorized products, including industry-sponsored continuing medical education and advertising directed toward the prescribers of products and/or the general public, are strictly regulated in the European Union. In principle,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Directive 2001/83/EC, as amended, the details are governed by regulations in each member state and can differ from one country to another.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Human Cells and Tissues</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Human cells and tissues that are intended for human applications but that do not fall within the scope of rules governing medicinal products or medical devices are not subject to premarket review and approval, nor do they require extensive preclinical and clinical testing. However, there are European Union rules governing the donation, procurement, testing and storage of human cells and tissues intended for human application, whether or not they are ATMPs. These rules also cover the processing, preservation and distribution of human cell and tissues that are not ATMPs.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serious adverse events and reactions linked to the quality and safety of cells and tissues. More detailed rules may exist at the national level.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Named Patient Supplies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European Union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his direct personal responsibility. This may in certain countries also apply to products manufactured in a country outside the European Union and imported to treat specific patients or small groups of patients.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10,000 persons in the European Union when the application is made, or (ii)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sponsor must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 orphan drug designation provides a number of benefits, including fee reductions, regulatory assistance and the possibility to apply for a centralized European Union marketing authorization. Marketing authorization for an orphan drug leads to a 10-year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Data Collection and Data Protection Laws</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are required to comply with strict data protection and privacy legislation in the jurisdictions in which we operate, including the General Data Protection Regulation (EU) 2016/679, or GDPR. The GDPR governs our collection and use of personal data in the European Union relating to individuals (</w:t>
      </w:r>
      <w:r>
        <w:rPr>
          <w:rFonts w:ascii="Arial" w:cs="Arial" w:eastAsia="Arial" w:hAnsi="Arial"/>
          <w:sz w:val="16"/>
          <w:szCs w:val="16"/>
          <w:i w:val="1"/>
          <w:iCs w:val="1"/>
          <w:color w:val="auto"/>
        </w:rPr>
        <w:t>e.g</w:t>
      </w:r>
      <w:r>
        <w:rPr>
          <w:rFonts w:ascii="Arial" w:cs="Arial" w:eastAsia="Arial" w:hAnsi="Arial"/>
          <w:sz w:val="16"/>
          <w:szCs w:val="16"/>
          <w:color w:val="auto"/>
        </w:rPr>
        <w:t>., patients). The GDPR imposes several requirements on organizations that process such data, including: to observe core data processing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principles; to comply with various accountability measures; to provide more detailed information to individuals about data processing activities; to establish a legal basis to process personal data (including enhanced consent requirements); to maintain the integrity, security and confidentiality of personal data; and to report personal data breaches. The GDPR also restricts the transfer of personal data outside of the European Economic Area (</w:t>
      </w:r>
      <w:r>
        <w:rPr>
          <w:rFonts w:ascii="Arial" w:cs="Arial" w:eastAsia="Arial" w:hAnsi="Arial"/>
          <w:sz w:val="17"/>
          <w:szCs w:val="17"/>
          <w:i w:val="1"/>
          <w:iCs w:val="1"/>
          <w:color w:val="auto"/>
        </w:rPr>
        <w:t>e.g</w:t>
      </w:r>
      <w:r>
        <w:rPr>
          <w:rFonts w:ascii="Arial" w:cs="Arial" w:eastAsia="Arial" w:hAnsi="Arial"/>
          <w:sz w:val="17"/>
          <w:szCs w:val="17"/>
          <w:color w:val="auto"/>
        </w:rPr>
        <w:t>., to the United States and other countries that are not deemed to provide adequate protection under their domestic laws). The GDPR may impose additional responsibility and liability in relation to personal data that we process, and require us to put in place additional mechanisms ensuring compliance with the new data protection rules. This may be onerous and adversely affect our business, financial condition, results of operations and prospects. Failure to comply with the requirements of the GDPR and related national data protection laws of European Union member states may result in a variety of enforcement measures, including significant fines and other administrative measures. The GDPR has introduced substantial fines for breaches of the data protection rules, increased powers for regulators, enhanced rights for individuals, and new rules on judicial remedies and collective redress. We may be subject to claims by third parties, such as patients or regulatory bodies, that we or our employees or independent contractors inadvertently or otherwise breached GDPR and related data protection rules. Litigation may be necessary to defend against these claims. There is no guarantee of success in defending these claims, and if we do not prevail, we could be required to pay substantial fines and/or damages and could suffer significant reputational harm. Even if we are successful, litigation could result in substantial cost and be a distraction to management and other employees.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Diagnostic Products in the European Union</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 xml:space="preserve">In the European Union,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products are regulated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medical devices, or IVDs. The marketing of IVDs is subject to compliance with the In Vitro Diagnostic Medical Devices Directive 98/79/EC (IVD Directive). An IVD may be placed on the market within the European Union only if it conforms to certain “essential requirements” and bears the CE Mark. The most fundamental and essential requirement is that an IVD must be designed and manufactured in such a way that it will not compromise the clinical condition or safety of patients, or the safety and health of users and others. In addition, the IVD must achieve the performance(s) stated by the manufacturer and be designed and manufactured in a suitable manner.</w:t>
      </w:r>
    </w:p>
    <w:p>
      <w:pPr>
        <w:spacing w:after="0" w:line="192"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Manufacturers must demonstrate that their IVDs conform to the relevant essential requirements through a conformity assessment procedure. The nature of the assessment depends upon the classification of the device. For IVDs intended to determine certain conditions or detect certain diseases, conformity assessment procedures involve a notified body. Notified bodies are often private entities and are authorized or licensed to perform such assessments by government authorities.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For all other IVDs, the manufacturer performs its own conformity assessment procedure and self-declares conformity before applying the CE Mark. Application of the CE Mark allows the general commercializing of an IVD in the European Union. The manufacturer or, if the manufacturer is located outside the European Union, its authorized representative in the European Union must also register with the competent authority in the European Union member state in which it is located.</w:t>
      </w:r>
    </w:p>
    <w:p>
      <w:pPr>
        <w:spacing w:after="0" w:line="16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May 2017, the European Union adopted a new In Vitro Diagnostic Medical Devices Regulation (EU) 2017/746, or the IVD Regulation, which will apply in the European Union from May 26, 2022. The IVD Regulation does not set out a radically new system, but clearly envisages, among other things, stricter controls of IVDs, including the involvement of notified bodies in conformity assessments of many more categories of IVD and increased expectations as regards clinical data for IVDs. The IVD Regulation also envisages greater control over notified bodies and their standards, increased transparency, more robust device vigilance requirements and clarification of the rules for clinical investigations. Under transitional provisions, IVDs with notified body certificates issued under the IVD Directive prior to May 26, 2022 may continue to be placed on the market for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60"/>
          </w:cols>
          <w:pgMar w:left="320" w:top="459" w:right="5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remaining validity of the certificate, until May 27, 2024 at the latest. After the expiry of any applicable transitional period, only IVDs that have been CE marked under the IVD Regulation may be placed on the market in the European Union.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In the United States, the member states of the European Union and markets in other countries, patients who are prescribed treatments for their conditions and providers performing the prescribed services generally rely on third-party payors to reimburse all or part of the associated healthcare costs. Reimbursement rules and levels are not harmonized in the European Union and therefore differ from member state to member state. Patients are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 and examining the medical necessity and cost-effectiveness of medical products and services and imposing controls to manage costs.</w:t>
      </w:r>
    </w:p>
    <w:p>
      <w:pPr>
        <w:spacing w:after="0" w:line="17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and the cost of these studies would be in addition to the costs required to obtain FDA or other comparable marketing approvals. Even after pharmacoeconomic studies are conducted,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For example, the payor may require co-payments that patients find unacceptably high. Further, one payor’s determination to provide coverage for a product does not assure that such coverage will continue or that other payors will also provide coverage and reimbursement for the product, and the level of coverage and reimbursement can differ significantly from payor to payor. Third-party reimbursement and coverage 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a company’s ability to generate revenue.</w:t>
      </w:r>
    </w:p>
    <w:p>
      <w:pPr>
        <w:spacing w:after="0" w:line="16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as well as other third-party payors such as statutory health insurance funds,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or coverage may be ended in the future.</w:t>
      </w:r>
    </w:p>
    <w:p>
      <w:pPr>
        <w:spacing w:after="0" w:line="166"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Outside the United States, we will face challenges in ensuring obtaining adequate coverage and payment for any product candidates we may develop. Pricing of prescription pharmaceuticals is subject to governmental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control in many countries, including in particular the member states of the European Union. Pricing negotiations with governmental authorities or other third-party payors such as statutory health insurance funds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7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 called health technology assessments) in order to obtain reimbursement or pricing approval. Moreover, European Union member states may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in the marketplace.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 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federal and state fraud and abuse, anti-kickback, false claims, transparency and patient privacy laws and regulations and other healthcare laws and regulations that may constrain our business and/or financial arrangements. Restrictions under applicable federal and state healthcare laws and regulations include, without limitation, the following:</w:t>
      </w:r>
    </w:p>
    <w:p>
      <w:pPr>
        <w:spacing w:after="0" w:line="93" w:lineRule="exact"/>
        <w:rPr>
          <w:sz w:val="20"/>
          <w:szCs w:val="20"/>
          <w:color w:val="auto"/>
        </w:rPr>
      </w:pPr>
    </w:p>
    <w:p>
      <w:pPr>
        <w:ind w:left="540" w:right="20" w:hanging="316"/>
        <w:spacing w:after="0" w:line="293" w:lineRule="auto"/>
        <w:tabs>
          <w:tab w:leader="none" w:pos="5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and entities from knowingly and willfully soliciting, receiving, offering or paying remuneration, directly or indirectly, in-cash or in 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statute or a specific intent to violate it in order to have committed a violation. Moreover, the government may assert that a claim that includes items or services resulting from a violation of the federal Anti-Kickback Statute constitutes a false or fraudulent claim for purposes of the civil False Claims Act;</w:t>
      </w:r>
    </w:p>
    <w:p>
      <w:pPr>
        <w:spacing w:after="0" w:line="69" w:lineRule="exact"/>
        <w:rPr>
          <w:rFonts w:ascii="Arial" w:cs="Arial" w:eastAsia="Arial" w:hAnsi="Arial"/>
          <w:sz w:val="16"/>
          <w:szCs w:val="16"/>
          <w:color w:val="auto"/>
        </w:rPr>
      </w:pPr>
    </w:p>
    <w:p>
      <w:pPr>
        <w:ind w:left="540" w:right="40" w:hanging="316"/>
        <w:spacing w:after="0" w:line="263" w:lineRule="auto"/>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or knowingly making, using, or causing to be made or used a false record or statement to avoid, decrease, or conceal an obligation to pay money to the federal government;</w:t>
      </w:r>
    </w:p>
    <w:p>
      <w:pPr>
        <w:spacing w:after="0" w:line="76" w:lineRule="exact"/>
        <w:rPr>
          <w:sz w:val="20"/>
          <w:szCs w:val="20"/>
          <w:color w:val="auto"/>
        </w:rPr>
      </w:pPr>
    </w:p>
    <w:p>
      <w:pPr>
        <w:ind w:left="540" w:right="80" w:hanging="316"/>
        <w:spacing w:after="0" w:line="259"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HIPAA, which created additional federal criminal laws that prohibit,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a specific intent to violate it in order to have committed a violation;</w:t>
      </w:r>
    </w:p>
    <w:p>
      <w:pPr>
        <w:spacing w:after="0" w:line="92" w:lineRule="exact"/>
        <w:rPr>
          <w:rFonts w:ascii="Arial" w:cs="Arial" w:eastAsia="Arial" w:hAnsi="Arial"/>
          <w:sz w:val="18"/>
          <w:szCs w:val="18"/>
          <w:color w:val="auto"/>
        </w:rPr>
      </w:pPr>
    </w:p>
    <w:p>
      <w:pPr>
        <w:ind w:left="540" w:right="40" w:hanging="316"/>
        <w:spacing w:after="0" w:line="301" w:lineRule="auto"/>
        <w:tabs>
          <w:tab w:leader="none" w:pos="5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without the appropriate authorization by entities subject to the law, such as healthcare providers, health plans and healthcare clearinghouses and their respective business associates;</w:t>
      </w:r>
    </w:p>
    <w:p>
      <w:pPr>
        <w:spacing w:after="0" w:line="62" w:lineRule="exact"/>
        <w:rPr>
          <w:rFonts w:ascii="Arial" w:cs="Arial" w:eastAsia="Arial" w:hAnsi="Arial"/>
          <w:sz w:val="16"/>
          <w:szCs w:val="16"/>
          <w:color w:val="auto"/>
        </w:rPr>
      </w:pPr>
    </w:p>
    <w:p>
      <w:pPr>
        <w:ind w:left="540" w:right="340" w:hanging="316"/>
        <w:spacing w:after="0" w:line="301" w:lineRule="auto"/>
        <w:tabs>
          <w:tab w:leader="none" w:pos="5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ACA, which requires certain manufacturers of drugs, devices, biologics and medical supplies to report annually to the Centers for Medicare &amp; Medicaid Services, or CMS, within the U.S. Department of Health and Human Services, information related to payments and other transfers of value made by that entity to physicians and teaching hospitals, as well as ownership and investment interests held by physicians and their immediate family members;</w:t>
      </w:r>
    </w:p>
    <w:p>
      <w:pPr>
        <w:spacing w:after="0" w:line="62" w:lineRule="exact"/>
        <w:rPr>
          <w:rFonts w:ascii="Arial" w:cs="Arial" w:eastAsia="Arial" w:hAnsi="Arial"/>
          <w:sz w:val="16"/>
          <w:szCs w:val="16"/>
          <w:color w:val="auto"/>
        </w:rPr>
      </w:pPr>
    </w:p>
    <w:p>
      <w:pPr>
        <w:ind w:left="540" w:right="600" w:hanging="316"/>
        <w:spacing w:after="0" w:line="277"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to government programs and which may be used in the calculation of reimbursement and/or discounts on marketed products;</w:t>
      </w:r>
    </w:p>
    <w:p>
      <w:pPr>
        <w:spacing w:after="0" w:line="75" w:lineRule="exact"/>
        <w:rPr>
          <w:rFonts w:ascii="Arial" w:cs="Arial" w:eastAsia="Arial" w:hAnsi="Arial"/>
          <w:sz w:val="18"/>
          <w:szCs w:val="18"/>
          <w:color w:val="auto"/>
        </w:rPr>
      </w:pPr>
    </w:p>
    <w:p>
      <w:pPr>
        <w:ind w:left="540" w:right="520" w:hanging="316"/>
        <w:spacing w:after="0" w:line="277"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Foreign Corrupt Practices Act, a U.S. law which regulates certain financial relationships with foreign government officials (which could include, for example, certain medical professionals);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national anti-bribery laws and laws governing interactions with healthcare professionals of European Union Member States;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U.K. Bribery Act 2010; and</w:t>
      </w:r>
    </w:p>
    <w:p>
      <w:pPr>
        <w:spacing w:after="0" w:line="130" w:lineRule="exact"/>
        <w:rPr>
          <w:rFonts w:ascii="Arial" w:cs="Arial" w:eastAsia="Arial" w:hAnsi="Arial"/>
          <w:sz w:val="18"/>
          <w:szCs w:val="18"/>
          <w:color w:val="auto"/>
        </w:rPr>
      </w:pPr>
    </w:p>
    <w:p>
      <w:pPr>
        <w:ind w:left="540" w:right="580" w:hanging="316"/>
        <w:spacing w:after="0" w:line="277"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Violations of these laws can subject us to criminal, civil and administrative sanctions including monetary penalties, damages, fines, disgorgement, individual imprisonment and exclusion from participation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the business. Moreover, we expect that there will continue to be federal and state laws and regulations, proposed and implemented, that could impact our future operations and business.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the United States and foreign jurisdictions, there have been a number of legislative and regulatory changes and proposed changes regarding the healthcare system that could prevent or delay marketing approval of our investigational medicines, restrict or regulate post-approval activities, and affect our ability to profitably sell any investigational medicines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w:t>
      </w:r>
    </w:p>
    <w:p>
      <w:pPr>
        <w:spacing w:after="0" w:line="17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ACA, for example, contains provisions that subject biological products to potential competition by lower-cost biosimilars and may reduce the profitability of drug products through increased rebates for drugs reimbursed by Medicaid programs, extension of Medicaid rebates to Medicaid-managed care plans, mandatory discounts for certain Medicare Part D beneficiaries, and annual fees based on pharmaceutical companies’ share of sales to federal health care programs. With the current presidential administration and Congress, there may be additional administrative or legislative changes, including modification, repeal or replacement of all, or certain provisions of, the ACA, which may impact reimbursement for drugs and biologics. On January 20, 2017, an Executive Order was signed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October 13, 2017, an executive order was signed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has put forth multiple bills this year designed to repeal or repeal and replace portions of the ACA. While Congress has not passed repeal legislation, the TCJA includes a provision repealing the tax-based shared responsibility payment imposed by the ACA on certain individuals who fail to maintain qualifying health coverage for all or part of a year that is commonly referred to as the “individual mandate.” Congress may consider other legislation to repeal and replace elements of the ACA. Litigation and legislation over the ACA are likely to continue, with unpredictable and uncertain results.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Additionally, other federal health reform measures have been proposed and adopted in the United States since the ACA was enacted:</w:t>
      </w:r>
    </w:p>
    <w:p>
      <w:pPr>
        <w:spacing w:after="0" w:line="142" w:lineRule="exact"/>
        <w:rPr>
          <w:sz w:val="20"/>
          <w:szCs w:val="20"/>
          <w:color w:val="auto"/>
        </w:rPr>
      </w:pPr>
    </w:p>
    <w:p>
      <w:pPr>
        <w:ind w:left="540" w:right="40" w:hanging="316"/>
        <w:spacing w:after="0" w:line="257"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2025 unless additional Congressional action is taken.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hanging="316"/>
        <w:spacing w:after="0" w:line="277"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75" w:lineRule="exact"/>
        <w:rPr>
          <w:rFonts w:ascii="Arial" w:cs="Arial" w:eastAsia="Arial" w:hAnsi="Arial"/>
          <w:sz w:val="18"/>
          <w:szCs w:val="18"/>
          <w:color w:val="auto"/>
        </w:rPr>
      </w:pPr>
    </w:p>
    <w:p>
      <w:pPr>
        <w:ind w:left="540" w:hanging="316"/>
        <w:spacing w:after="0" w:line="263"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Middle Class Tax Relief and Job Creation Act of 2012 required that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Further,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products. In addition, the federal government, state legislatures and foreign governments have shown significant interest in implementing cost containment programs, including price-controls, restrictions on reimbursement, and requirements for substitution of generic products for branded prescription drugs to limit the growth of government-paid health care costs. For example, the federal government has passed legislation requiring pharmaceutical manufacturers to provide rebates and discounts to certain entities and governmental payors to participate in federal healthcare programs.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Packaging and Distribution in the United States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our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w:t>
      </w:r>
    </w:p>
    <w:p>
      <w:pPr>
        <w:spacing w:after="0" w:line="46" w:lineRule="exact"/>
        <w:rPr>
          <w:sz w:val="20"/>
          <w:szCs w:val="20"/>
          <w:color w:val="auto"/>
        </w:rPr>
      </w:pPr>
    </w:p>
    <w:p>
      <w:pPr>
        <w:ind w:left="340" w:hanging="224"/>
        <w:spacing w:after="0"/>
        <w:tabs>
          <w:tab w:leader="none" w:pos="3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changes to our manufacturing arrangements, (ii) additions or modifications to product labeling, (iii) the recall or discontinuation of our products or</w:t>
      </w:r>
    </w:p>
    <w:p>
      <w:pPr>
        <w:spacing w:after="0" w:line="32" w:lineRule="exact"/>
        <w:rPr>
          <w:rFonts w:ascii="Arial" w:cs="Arial" w:eastAsia="Arial" w:hAnsi="Arial"/>
          <w:sz w:val="16"/>
          <w:szCs w:val="16"/>
          <w:color w:val="auto"/>
        </w:rPr>
      </w:pPr>
    </w:p>
    <w:p>
      <w:pPr>
        <w:ind w:left="420" w:hanging="304"/>
        <w:spacing w:after="0"/>
        <w:tabs>
          <w:tab w:leader="none" w:pos="42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Environmental, Health and Safety Laws and Regulations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may be subject to numerous environmental, health and safety laws and regulations, including those governing laboratory procedures and the handling, use, storage, treatment and disposal of hazardous materials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maintain workers’ compensation employers’ liability insurance to cover us for costs and expenses we may incur due to injuries to our employees, but this insurance may not provide adequate coverage against potential liabilities.</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32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XVI.</w:t>
      </w:r>
      <w:r>
        <w:rPr>
          <w:sz w:val="20"/>
          <w:szCs w:val="20"/>
          <w:color w:val="auto"/>
        </w:rPr>
        <w:tab/>
      </w:r>
      <w:r>
        <w:rPr>
          <w:rFonts w:ascii="Arial" w:cs="Arial" w:eastAsia="Arial" w:hAnsi="Arial"/>
          <w:sz w:val="16"/>
          <w:szCs w:val="16"/>
          <w:b w:val="1"/>
          <w:bCs w:val="1"/>
          <w:color w:val="auto"/>
        </w:rPr>
        <w:t>Intellectual Property</w:t>
      </w:r>
    </w:p>
    <w:p>
      <w:pPr>
        <w:spacing w:after="0" w:line="131" w:lineRule="exact"/>
        <w:rPr>
          <w:sz w:val="20"/>
          <w:szCs w:val="20"/>
          <w:color w:val="auto"/>
        </w:rPr>
      </w:pPr>
    </w:p>
    <w:p>
      <w:pPr>
        <w:ind w:left="980" w:hanging="432"/>
        <w:spacing w:after="0"/>
        <w:tabs>
          <w:tab w:leader="none" w:pos="98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pursue a layered intellectual property strategy to protect our various technology platforms and their application to the treatment of cancer and other serious diseases. One focus of our intellectual property strategy is to provide protection for our platforms and product candidates currently in development. We also pursue intellectual property protection for assets that may be used in future development programs and/or that may be of interest to our collaborators, or otherwise may prove valuable in the field.</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Various aspects of our technology platforms and our product candidates are claimed by patent filings. We also pursue other modalities of protection, including trademark and trade secret protection, as appropriate. Many of our intellectual property assets were developed and are owned solely by us, some have been developed via collaboration and are jointly owned, and some have been acquired by acquisition and/or licensed from third parties. We expect that we will continue to make additional patent application filings, and will continue to pursue opportunities to acquire and license additional intellectual property assets, technologies, platforms or product candidates, as developments arise or are identified.</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Regardless, given the early stage of development of our product candidates, we cannot be certain that any of the patent filings or other intellectual property rights that we have pursued or obtained will provide protection for any product candidates that may ultimately be commercialized. Our most advanced product candidates are currently in clinical testing, with no certainty that they will be successful, or that significant modification or adjustment may not be required for successful commercialization.</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Our future commercial success depends, in part, on our ability to obtain and maintain patent and other proprietary protection for commercially important technology, inventions and know-how related to our business; defend and enforce our patents and other intellectual property; preserve the confidentiality of our trade secrets; and operate without infringing, misappropriating or violating the valid and enforceable patents and other intellectual property rights of third parties. Our ability to stop third parties from making, using, selling, offering to sell or importing our products may depend on the extent to which we have rights under valid and enforceable patents, trade secrets or other intellectual property rights that cover these activities. With respect to both our owned and licensed intellectual property, we cannot be sure that patents will issue with respect to any of the owned or licensed pending patent applications or with respect to any patent applications that we, our co-owners or our licensors may file in the future, nor can we be sure that any of our owned or licensed patents or any patents that may be issued in the future to us or our licensors will be commercially useful in protecting any products that,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ultimately attempt to commercialize, or any method of making or using such products. Moreover, we may be unable to obtain patent protection for certain of our product candidates generally as well as with respect to certain indications. See “Risk Factors—Risks Related to our Intellectual Property” for a more comprehensive description of risks related to our intellectual property.</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As of May 31, 2019, our overall owned and in-licensed patent portfolio included more than 200 patent families, each of which includes at least one filing in the United States or Europe, and several of which are pending or granted in multiple jurisdictions. The patent families include at least 100 patent families that are solely or jointly owned by BioNTech, including certain families acquired through our acquisitions of antibody assets and infrastructure from MabVax Therapeutics Holdings, Inc., and the rest that we have licensed from a third party.</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patents have a presumptive term of 20 years from their effective filing date (which is the earliest non-provisional filing date to which the patent claims priority). However, many jurisdictions, including the United States, require the payment of periodic maintenance fees in order for patents to remain in force for the full 20-year term. The United States also has provisions that require a patent term to be shortened if its claims are too similar to another patent owned by the same party that has a shorter term. The United States and certain other jurisdictions also have provisions that permit extension of patent term for patents that claim a drug or drug product, or its approved use, if the patent was issued before clinical trials were completed and certain other requirements were satisfied. In the United States, such extension is called a Patent Term Extension, or PTE, and it is limited to a period of not more than five years, or the total patent term including the PTE cannot exceed 14 years after the date of regulatory approval; only one patent can be extended per product approval. The United States also offers a different form of patent term extension, known as Patent Term Adjustment, or PTA, whereby a particular patent’s term is automatically extended beyond the 20-year date if the United States Patent and Trademark Office, or the USPTO, caused delay during its examination; however, potentially available PTA is reduced by any amount of any delay caused by the patent applicant.</w:t>
      </w:r>
    </w:p>
    <w:p>
      <w:pPr>
        <w:spacing w:after="0" w:line="16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Below, we provide a summary of the contours of our current patent portfolio as it relates to different aspects of relevant technology, including noting ownership and 20-year terms for filings included in the portfolio that are directed to such aspects. Particularly given our pre-commercial state of development, we cannot be certain that any of the patent filings in our portfolio will provide meaningful protection for any product we ultimately attempt to commercialize.</w:t>
      </w:r>
    </w:p>
    <w:p>
      <w:pPr>
        <w:spacing w:after="0" w:line="331" w:lineRule="exact"/>
        <w:rPr>
          <w:sz w:val="20"/>
          <w:szCs w:val="20"/>
          <w:color w:val="auto"/>
        </w:rPr>
      </w:pPr>
    </w:p>
    <w:p>
      <w:pPr>
        <w:ind w:left="980" w:hanging="432"/>
        <w:spacing w:after="0"/>
        <w:tabs>
          <w:tab w:leader="none" w:pos="9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Patent Portfolio</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patent portfolios for our most advanced programs as of May 31, 2019 are summarized below. Patent prosecution is a lengthy process, during which the scope of the claims initially submitted for examination by the USPTO and its foreign equivalents can be significantly narrowed by the time they issue, if they issue at all. We expect this could be the case with respect to some of our pending patent applications referred to below.</w:t>
      </w:r>
    </w:p>
    <w:p>
      <w:pPr>
        <w:spacing w:after="0" w:line="297" w:lineRule="exact"/>
        <w:rPr>
          <w:sz w:val="20"/>
          <w:szCs w:val="20"/>
          <w:color w:val="auto"/>
        </w:rPr>
      </w:pPr>
    </w:p>
    <w:p>
      <w:pPr>
        <w:ind w:left="1540" w:hanging="547"/>
        <w:spacing w:after="0"/>
        <w:tabs>
          <w:tab w:leader="none" w:pos="1540" w:val="left"/>
        </w:tabs>
        <w:numPr>
          <w:ilvl w:val="0"/>
          <w:numId w:val="2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mRNA</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patent portfolio for our mRNA therapeutic platforms and product candidates includes patent filings directed to features of therapeutic mRNA structures, some of which are included in current development candidates. Our patent portfolio also includes patent filings directed to mRNA formulations, including the lipoplex formulations currently utilized with our FixVac and iNeST platforms, and the lipid nanoparticles currently utilized with our RiboMab and RiboCytokine platforms, as well as patent filings directed to mRNA manufacturing, and to uses of mRNA therapeutics. We provide more detail below regarding the patent filings directed to these features.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Structure</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patent portfolio includes patent filings directed to various features of mRNA structure, which may, for example, contribute to increased immunogenicity (</w:t>
      </w:r>
      <w:r>
        <w:rPr>
          <w:rFonts w:ascii="Arial" w:cs="Arial" w:eastAsia="Arial" w:hAnsi="Arial"/>
          <w:sz w:val="17"/>
          <w:szCs w:val="17"/>
          <w:i w:val="1"/>
          <w:iCs w:val="1"/>
          <w:color w:val="auto"/>
        </w:rPr>
        <w:t>e.g</w:t>
      </w:r>
      <w:r>
        <w:rPr>
          <w:rFonts w:ascii="Arial" w:cs="Arial" w:eastAsia="Arial" w:hAnsi="Arial"/>
          <w:sz w:val="17"/>
          <w:szCs w:val="17"/>
          <w:color w:val="auto"/>
        </w:rPr>
        <w:t>., antigen presentation), translation efficiency, and/or stability of mRNA constructs that include them. Such features include, for example, antigen-MHC fusions, 5’ cap structures, 3’ UTR structures, polyA tails and reduced-uracil content mRNAs. Filings directed to each of these features, or collectively, the mRNA Structure Filings, have been made in the United States and various foreign jurisdictions. Some such mRNA Structure Filings are owned solely by BioNTech SE or BioNTech RNA which are referred to collectively in this section as BioNTech, some jointly by BioNTech and one or more third parties, and some by BioNTech licensors, such as Louisiana State University, or LSU, and the terms of the applicable agreement with LSU, are further summarized below in “—C. In-Licensing.” Issued existing mRNA Structure Filings have, and pending existing mRNA Structure Filings, if issued, would have, 20-year terms that extend into the mid-2020s to the mid-2030s.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Formulations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patent portfolio includes patent filings directed to various formulations for mRNA delivery, some of which are utilized with current development candidates. For example, our portfolio includes patent filings directed to lipoplex formulations, with 20-year terms that extend into 2038, if issued, or collectively, the mRNA Lipoplex Filings, although none of these filings is currently an issued patent. Such mRNA Lipoplex Filings are solely owned by BioNTech RNA.</w:t>
      </w:r>
    </w:p>
    <w:p>
      <w:pPr>
        <w:spacing w:after="0" w:line="187" w:lineRule="exact"/>
        <w:rPr>
          <w:sz w:val="20"/>
          <w:szCs w:val="20"/>
          <w:color w:val="auto"/>
        </w:rPr>
      </w:pPr>
    </w:p>
    <w:p>
      <w:pPr>
        <w:ind w:left="120" w:right="400" w:firstLine="440"/>
        <w:spacing w:after="0" w:line="296" w:lineRule="auto"/>
        <w:rPr>
          <w:sz w:val="20"/>
          <w:szCs w:val="20"/>
          <w:color w:val="auto"/>
        </w:rPr>
      </w:pPr>
      <w:r>
        <w:rPr>
          <w:rFonts w:ascii="Arial" w:cs="Arial" w:eastAsia="Arial" w:hAnsi="Arial"/>
          <w:sz w:val="16"/>
          <w:szCs w:val="16"/>
          <w:color w:val="auto"/>
        </w:rPr>
        <w:t>In addition, our portfolio includes U.S. and foreign patent filings directed to lipid nanoparticles and polyplex technologies, which are jointly owned by BioNTech RNA and TRON, or collectively, the mRNA Lipid Nanoparticle/Polyplex Filings. Issued mRNA Lipid Nanoparticle/Polyplex Filings have, and pending mRNA Lipid Nanoparticle/Polyplex Filings, if issued, would have, 20 year terms that extend into the mid- to late-2030s. Some such mRNA Lipid Nanoparticle/Polyplex Filings were granted in certain foreign jurisdictions, but do not currently include any U.S. issued patents. The terms of the co-ownership of such patent filings with TRON are summarized below in “—C. In-Licensing.”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Manufacturing</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As discussed below, we utilize trade secret protection for many aspects of our mRNA manufacturing technologies, including as currently utilized for production of certain of our development candidates. In addition, our patent portfolio includes certain patent filings relevant to mRNA manufacturing, or collectively, the mRNA Manufacturing Filings, which we believe may provide commercial value to protect product candidates and/or support collaborations or other licensing arrangements. For example, our mRNA Manufacturing Filings include U.S. and foreign patent filings relating to certain aspects of mRNA purification and production. These mRNA Manufacturing Filings are either solely owned by BioNTech RNA, or jointly owned by BioNTech RNA and TRON and, if issued, would have 20-year terms that would extend into mid to late 2030s, although none is currently an issued patent.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Product Candidates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most advanced mRNA product candidate development programs are in oncology and involve various platforms. Our pipeline also includes mRNA product candidates for treatment of certain infectious diseases and mRNA product candidates for protein replacement therapy in certain rare diseases.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Oncology mRNA Product Candidates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current clinical programs are all in oncology. The most advanced involve iNeST immunotherapy product candidates being developed with our collaborator, Genentech. We also have FixVac product candidates in Phase 1 clinical trials, and have recently initiated Phase 1 clinical trials of our mRNA-based intratumoral immunotherapy developed through our collaboration with Sanofi.</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FixVac</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FixVac product candidates share many of the structural elements involved in our iNeST product candidates. Thus, some or all of the mRNA Structure Filings relevant to our iNeST product candidates and discussed above are also relevant to our FixVac product candidates. These patent filings, or the FixVac Platform Filings, include mRNA Structure Filings relating to antigen-MHC fusions, phosphorothioate stabilized 5’ cap structures, 3’ UTR structures containing a specific sequence element, and interrupted polyA tails, which are solely or jointly owned by BioNTech or BioNTech’s licensors. Issued FixVAC Platform Filings have, and pending FixVac Platform Filings, if issued, would have, 20-year terms extending into the mid-2020s to the mid-2030s. While we have pursued or obtained patent protection covering components of FixVac product candidates, manufacturing-related methods and/or formulations, we do not currently have any claims in our owned or in-licensed issued patents that cover the overall construct used in our FixVac product candidates.</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patent portfolio further includes U.S. and foreign patent filings relating to combined uses of our FixVac and iNeST product candidates. Such issued patent filings have, and such pending patent filings, if issued, would have, 20-year terms that extend into 2033, and are jointly owned by BioNTech RNA and TRON.</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current Phase 1 clinical trials for FixVac product candidates are studying such product candidates in treatment of advanced melanoma, head and neck cancer, and breast cancer (particularly triple negative breast cancer). While we do not currently have any claims in our owned or in-licensed issued patents that are directed to use of our FixVac product candidates in the indications of these clinical trials, certain FixVac Platform Filings include specific reference to treatment of each of these indications. Additionally, our patent portfolio relevant to FixVac product candidates further includes U.S. and foreign patent filings relating to use of particular tumor antigens for treatment of triple negative breast cancer included in Phase 1 clinical trials, or the Triple Negative Breast Cancer FixVAC Filings. Issued Triple Negative Breast Cancer FixVac Filings have, and pending Triple Negative Breast Cancer FixVac Filings, if issued, would have, 20-year terms that extend into 2034, and are jointly owned by BioNTech SE and TRON.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iNeST</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Our patent filings relevant to our iNeST product candidates include mRNA Structure Filings relating to features for increasing antigen presentation (</w:t>
      </w:r>
      <w:r>
        <w:rPr>
          <w:rFonts w:ascii="Arial" w:cs="Arial" w:eastAsia="Arial" w:hAnsi="Arial"/>
          <w:sz w:val="18"/>
          <w:szCs w:val="18"/>
          <w:i w:val="1"/>
          <w:iCs w:val="1"/>
          <w:color w:val="auto"/>
        </w:rPr>
        <w:t>e.g</w:t>
      </w:r>
      <w:r>
        <w:rPr>
          <w:rFonts w:ascii="Arial" w:cs="Arial" w:eastAsia="Arial" w:hAnsi="Arial"/>
          <w:sz w:val="18"/>
          <w:szCs w:val="18"/>
          <w:color w:val="auto"/>
        </w:rPr>
        <w:t>., antigen-MHC fusions) and features for increasing translation efficiency and/or stability of mRNA constructs (</w:t>
      </w:r>
      <w:r>
        <w:rPr>
          <w:rFonts w:ascii="Arial" w:cs="Arial" w:eastAsia="Arial" w:hAnsi="Arial"/>
          <w:sz w:val="18"/>
          <w:szCs w:val="18"/>
          <w:i w:val="1"/>
          <w:iCs w:val="1"/>
          <w:color w:val="auto"/>
        </w:rPr>
        <w:t>e.g.</w:t>
      </w:r>
      <w:r>
        <w:rPr>
          <w:rFonts w:ascii="Arial" w:cs="Arial" w:eastAsia="Arial" w:hAnsi="Arial"/>
          <w:sz w:val="18"/>
          <w:szCs w:val="18"/>
          <w:color w:val="auto"/>
        </w:rPr>
        <w:t>, phosphorothioate stabilized 5’ cap structures, 3’ UTR structures containing a specific sequence element, and polyA tails of a particular length or interrupted polyA tails); mRNA Lipoplex Filings relating to negatively charged lipoplexes (</w:t>
      </w:r>
      <w:r>
        <w:rPr>
          <w:rFonts w:ascii="Arial" w:cs="Arial" w:eastAsia="Arial" w:hAnsi="Arial"/>
          <w:sz w:val="18"/>
          <w:szCs w:val="18"/>
          <w:i w:val="1"/>
          <w:iCs w:val="1"/>
          <w:color w:val="auto"/>
        </w:rPr>
        <w:t>e.g</w:t>
      </w:r>
      <w:r>
        <w:rPr>
          <w:rFonts w:ascii="Arial" w:cs="Arial" w:eastAsia="Arial" w:hAnsi="Arial"/>
          <w:sz w:val="18"/>
          <w:szCs w:val="18"/>
          <w:color w:val="auto"/>
        </w:rPr>
        <w:t>., for spleen targeting); and mRNA Manufacturing Filings, or collectively, the iNeST mRNA Platform Filings. While we have pursued or obtained patent protection covering components of iNeST product candidates, manufacturing-related methods and/or formulations, we do not currently have any claims in our owned or in-licensed issued patents that cover the overall construct used in our iNeST product candidates.</w:t>
      </w:r>
    </w:p>
    <w:p>
      <w:pPr>
        <w:spacing w:after="0" w:line="19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patent portfolio further includes U.S. and foreign filings directed to the process of identifying neoantigens in patient samples and/or predicting those that will be immunoreactive in an iNeST immunotherapy product, or collectively, the Neoantigen Filings. Certain issued Neoantigen Filings have, and certain pending Neoantigen Filings, if issued, would have 20-year terms that extend into the mid- to late-2030s, although none is a U.S. issued patent. The Neoantigen Filings are solely owned by BioNTech RNA, or jointly owned by BioNTech RNA and TRON.</w:t>
      </w:r>
    </w:p>
    <w:p>
      <w:pPr>
        <w:spacing w:after="0" w:line="15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are currently studying our iNeST product candidates for the treatment of metastatic melanoma in Phase 2 clinical trials and those for the treatment of various solid tumors in Phase 1 clinical trials. Certain iNeST mRNA Platform Filings and Neoantigen Filings cover treatment of each of these indications. However, we do not currently have any claims in our owned or in-licensed issued patents that are directed to use of iNeST product candidates in the indications of these clinical trials.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Intratumoral Immunotherapies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Certain of the mRNA Structure Filings (including some that are relevant to iNeST and/or FixVac product candidates, as discussed above) are also directed to one or more features of our intratumoral immunotherapies, including our most advanced intratumoral immunotherapy, which we are developing through our collaboration with Sanofi, and which has recently entered Phase 1 clinical trials. For example, mRNA Structure Filings relating to 3’ UTR structures containing a specific sequence element, interrupted polyA tail structures, and reduced-uracil content mRNAs, which, as noted above are solely or jointly owned by BioNTech and, if issued, would have 20-year terms extending into the mid-2030s, provide protection to our current intratumoral immunotherapy development candidate. However, these filings do not currently include any issued patents.</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also obtained third-party licenses to technologies relating to certain features of the mRNA structure relevant to the intratumoral immunotherapies. These include two non-exclusive sublicenses—one from mRNA RiboTherapeutics, Inc., or MRT, and one from its affiliate CellScript, LLC (these licenses, together, the MRT-CellScript Sublicenses). MRT-CellScript Sublicenses allow us to use, make and/or sell nucleoside-modified mRNA products that are covered by U.S. and European Patent Office patent filings owned by the Trustees of the University of Pennsylvania, or the Penn Modified RNA Patent Rights, which sublicenses are further summarized below in “—C. In-Licensing.”</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Additionally, we and Sanofi co-own certain patent filings relating to compositions including mRNAs encoding particular cytokines for treatment of solid tumors, or the mRNA Cytokine Filings. Such mRNA Cytokine Filings, if issued, would have 20-year terms that would extend into 2038. However, these filings do not currently include any issued patents.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RiboMabs and RiboCytokines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own or license a number of patent filings directed to our RiboMab and RiboCytokine programs. Many are owned solely by us, some are jointly owned, and some have been acquired or licensed.</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Patent filings relevant to our RiboMab and RiboCytokine programs include certain mRNA Structure Filings relevant to our iNeST and/or FixVac product candidates, specifically relating to 3’ UTR structures containing a specific sequence element, interrupted polyA tail structures, and reduced-uracil content mRNAs; mRNA Lipid Nanoparticle/Polyplex Filings; and patent filings under the MRT-CellScript Sublicenses relating to nucleoside-modified mRNAs.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have also recently acquired patent assets from MabVax Therapeutics, or the MabVax Filings, that relate to various antibodies, including certain antibodies targeting sialyl Lewis A and ganglioside GD2, as well as nucleic acid encoding them. Issued MabVax Filings have, and the pending MabVax Filings, if issued, would have, 20-year terms that extend into the mid-2030s.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Infectious Diseases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is discussed elsewhere, we have collaborated with third parties, including Pfizer and Penn, to develop infectious disease mRNA vaccines.</w:t>
      </w:r>
    </w:p>
    <w:p>
      <w:pPr>
        <w:spacing w:after="0" w:line="24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Certain patent filings that might be useful to our infectious disease mRNA vaccines include certain of the mRNA Structure Filings and the mRNA Lipid Nanoparticle/Polyplex Filings.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Rare Diseases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are developing mRNA-based protein replacement therapy for several rare disease indications through our collaboration with Genevant.</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55" w:lineRule="auto"/>
        <w:rPr>
          <w:sz w:val="20"/>
          <w:szCs w:val="20"/>
          <w:color w:val="auto"/>
        </w:rPr>
      </w:pPr>
      <w:r>
        <w:rPr>
          <w:rFonts w:ascii="Arial" w:cs="Arial" w:eastAsia="Arial" w:hAnsi="Arial"/>
          <w:sz w:val="18"/>
          <w:szCs w:val="18"/>
          <w:color w:val="auto"/>
        </w:rPr>
        <w:t>Certain of the mRNA Structure Filings (including some that are relevant to iNeST and/or FixVac product candidates, as discussed above) and patent filings under the CellScript Licenses include patent filings directed to nucleoside-modified mRNAs also provide protection for one or more features of mRNA-based protein replacement product candidates. For example, mRNA Structure Filings include patent filings directed to 3’ UTR structures containing a specific sequence element, interrupted poly A tail structures and reduced-uracil content mRNAs, which, as noted above are solely or jointly owned by BioNTech, and, if issued, would have 20-year terms that would extend into the mid-2030s. However, these filings do not currently include any issued patents.</w:t>
      </w:r>
    </w:p>
    <w:p>
      <w:pPr>
        <w:spacing w:after="0" w:line="19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patent portfolio relating to our rare disease programs also include certain patent filings that we have licensed from Genevant, or the Genevant Filings. Specifically, the Genevant Filings are owned by Arbutus Biopharma Corporation, which is a Genevant affiliate, and relate primarily to lipid or non-liposomal formulations that might be useful in these programs, and have been filed primarily in the U.S. and Europe, with 20-year terms that extend into mid-2020s to mid-2030s for the issued Genevant Filings and the pending Genevant Filings, if issued.</w:t>
      </w:r>
    </w:p>
    <w:p>
      <w:pPr>
        <w:spacing w:after="0" w:line="320" w:lineRule="exact"/>
        <w:rPr>
          <w:sz w:val="20"/>
          <w:szCs w:val="20"/>
          <w:color w:val="auto"/>
        </w:rPr>
      </w:pPr>
    </w:p>
    <w:p>
      <w:pPr>
        <w:ind w:left="1540" w:hanging="547"/>
        <w:spacing w:after="0"/>
        <w:tabs>
          <w:tab w:leader="none" w:pos="1540" w:val="left"/>
        </w:tabs>
        <w:numPr>
          <w:ilvl w:val="0"/>
          <w:numId w:val="2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Engineered Cell Therapy</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engineered cell therapy product class features use of chimeric antigen receptor, or CAR-, T cell or individualized T cell receptors for oncology therapy. Our patent filings relevant to these platforms and product candidates, or the CAR T/TCR Filings, are generally co-owned by BioNTech Cell &amp; Gene Therapies GmbH, or BioNTech C&amp;GT, and TRON. For example, the CAR T/TCR Filings include patent filings directed to various CAR T formats and methods of enhancing CAR-T cells by nucleic acid vaccination, as well as patent filings directed to processes of identifying and/or making individualized T cell receptors. The CAR T/TCR Patent Filings, if issued, would have 20-year terms that would extend into the mid- to late-2030s. However, these filings do not currently include any issued patents.</w:t>
      </w:r>
    </w:p>
    <w:p>
      <w:pPr>
        <w:spacing w:after="0" w:line="17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Certain CAR T programs involve CAR-T cell product candidates that target different members of the claudin family. Our patent portfolio includes certain patent filings specifically relevant to our claudin-specific CAR-T cell product candidates and are jointly owned by BioNTech C&amp;GT, TRON and Ganymed, or the Claudin-Specific CAR-T Cell Filings. The issued Claudin-Specific CAR-T Cell Filings have, and the pending Claudin-Specific CAR-T Cell Filings, if issued, would have, 20-year terms extending into the mid-2030s. However, these filings do not currently include any U.S. issued patents. The terms of our co-ownership of such patent filings with TRON and Ganymed are summarized below in “—C. In-Licensing.”</w:t>
      </w:r>
    </w:p>
    <w:p>
      <w:pPr>
        <w:spacing w:after="0" w:line="310" w:lineRule="exact"/>
        <w:rPr>
          <w:sz w:val="20"/>
          <w:szCs w:val="20"/>
          <w:color w:val="auto"/>
        </w:rPr>
      </w:pPr>
    </w:p>
    <w:p>
      <w:pPr>
        <w:ind w:left="1540" w:hanging="547"/>
        <w:spacing w:after="0"/>
        <w:tabs>
          <w:tab w:leader="none" w:pos="1540" w:val="left"/>
        </w:tabs>
        <w:numPr>
          <w:ilvl w:val="0"/>
          <w:numId w:val="2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Antibodies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antibodies product class features bispecific checkpoint immunomodulators for oncology therapy, which are developed through collaboration with Genmab. Our development candidates include bispecific antibodies that are designed to activate 4-1BB upon simultaneous binding to PD-L1 or CD-40. Our patent portfolio includes certain patent filings relevant to such bispecific antibodies, or the Bispecific Checkpoint Modulator Filings, co-owned by us and Genmab. Such Bispecific Checkpoint Modulator Filings, if issued, would have 20-year terms that would extend into the late-2030s and do not currently include any issued patents.</w:t>
      </w:r>
    </w:p>
    <w:p>
      <w:pPr>
        <w:spacing w:after="0" w:line="336" w:lineRule="exact"/>
        <w:rPr>
          <w:sz w:val="20"/>
          <w:szCs w:val="20"/>
          <w:color w:val="auto"/>
        </w:rPr>
      </w:pPr>
    </w:p>
    <w:p>
      <w:pPr>
        <w:ind w:left="1540" w:hanging="547"/>
        <w:spacing w:after="0"/>
        <w:tabs>
          <w:tab w:leader="none" w:pos="1540" w:val="left"/>
        </w:tabs>
        <w:numPr>
          <w:ilvl w:val="0"/>
          <w:numId w:val="2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Small Molecule Immunomodulators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small molecule therapeutics product class features oncology treatment using small molecule product candidates that activate the immune system via TLR7 agonism. Our patent portfolio includes patent filings relevant to these TLR7 agonists, or the TLR7 Agonist Filings. Certain TLR7 Agonist Filings are directed to substituted imidazoquinolines, and, if issued, would have 20-year terms that would extend into the late 2030s. However, these filings do not currently include any issued patents.</w:t>
      </w:r>
    </w:p>
    <w:p>
      <w:pPr>
        <w:spacing w:after="0" w:line="331" w:lineRule="exact"/>
        <w:rPr>
          <w:sz w:val="20"/>
          <w:szCs w:val="20"/>
          <w:color w:val="auto"/>
        </w:rPr>
      </w:pPr>
    </w:p>
    <w:p>
      <w:pPr>
        <w:ind w:left="980" w:hanging="432"/>
        <w:spacing w:after="0"/>
        <w:tabs>
          <w:tab w:leader="none" w:pos="98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In-Licensing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Some of our intellectual property assets have been acquired by acquisition and/or in-licensing.</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have pursued a strategy of identifying and in-licensing third-party patents that we believe are complementary to or otherwise interact synergistically with our own intellectual property portfolio. We have entered into material intellectual property licensing or option arrangements with Penn, TRON, Louisiana State University and MRT-CellScript.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terms of these arrangements are summarized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Penn Agreement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October 2018, BioNTech RNA entered into a collaboration and license agreement with the Trustees of the University of Pennsylvania regarding the development and commercialization of certain mRNA vaccines and mRNA diagnostics for the diagnosis, detection, evaluation, prophylaxis and treatment of infectious diseases. We refer to this agreement as the Penn Agreement.</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the Penn Agreement, BioNTech RNA and Penn agree to collaborate with respect to research and development activities and are obligated to use commercially reasonable efforts to develop products that use formulated mRNAs encoding one or more immunogens for 10 disease indications in the field of infectious diseases (each, a Penn Product). Penn is responsible for all research and development work up to completion of studies enabling an IND as well as IND-supporting preclinical work, and BioNTech RNA is responsible for the manufacture of mRNA amounts to support the preclinical and IND-enabling studies. If a Penn Product developed under the research program achieves certain acceptance criteria for a specified indication, BioNTech RNA has the right to obtain an exclusive worldwide license under Penn’s patent rights (and a non-exclusive license under Penn’s know-how and materials) to research, develop, make, use or commercialize Penn Products in such indication. Under the Penn Agreement, Penn retains certain rights to conduct and authorize non-commercial third-party research, educational and patient care activities under any licensed intellectual property. Moreover, the license granted by Penn is subject to certain rights granted to the U.S. government in connection with government funding provided by the United States, including the requirement that products that result from intellectual property funded by the U.S. government that are sold in the United States be substantially manufactured in the United States.</w:t>
      </w:r>
    </w:p>
    <w:p>
      <w:pPr>
        <w:spacing w:after="0" w:line="18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BioNTech RNA has an obligation to use commercially reasonable efforts to clinically develop, obtain regulatory approval for and commercialize at least one Penn Product for each indication licensed under the Penn Agreement. Moreover, BioNTech RNA is obligated to achieve certain clinical and regulatory milestones within specified time periods, and its failure to do so would provide Penn the right to terminate the Penn Agreement on an indication-by-indication basis.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BioNTech RNA paid to Penn an upfront fee of $5 million to fund research activities and has agreed to pay Penn additional funds through quarterly payments, not to exceed an aggregate of $15 million, upon depletion of the previously advanced funds. Under the Penn Agreement, BioNTech RNA also agreed to pay Penn an annual alliance management fee. In addition, if any Penn Product is covered by a Penn patent, BioNTech RNA will pay to Penn development and commercialization milestone payments for each Penn Product licensed under this agreement and royalties on net sales of all Penn Products licensed under the Penn Agreement. Further, Penn will receive a percentage of any income from sublicenses BioNTech RNA grants to third parties, subject to certain caps set forth in the Penn Agreement.</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BioNTech RNA has the sole responsibility for and decision-making authority over clinical development and commercialization activities relating to any Penn Product arising from the collaboration. BioNTech RNA is also responsible for the manufacture of mRNA to support clinical development and commercialization efforts.</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Penn Agreement remains in effect until the expiration of the last Penn patent covering any licensed Penn Product or developmental product candidate. BioNTech RNA may terminate the Penn Agreement for convenience in its entirety or on an indication-by-indication basis at any time after October 9, 2019 upon 90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days’ prior notice to Penn. The Penn Agreement also grants both parties termination rights for uncured material breaches, including for BioNTech RNA’s failure to achieve its obligations to achieve certain diligence milestones, and insolvency.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TRON Agreements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2015, we and our subsidiaries BioNTech RNA, BioNTech Diagnostics GmbH, BioNTech Protein Therapeutics GmbH, BioNTech Cell &amp; Gene Therapies GmbH, Eufets GmbH and JPT Peptide Technologies GmbH entered into a Master Agreement for Research Services with TRON. Concurrently with this Master Agreement for Research Services, or the TRON Research Agreement, we entered into a License Agreement with Ganymed, TRON, Johannes Gutenberg-Universität Mainz and Universitätsmedizin der Johannes Gutenberg-Universität Mainz, or the TRON License Agreement. The TRON Research Agreement and TRON License Agreement together replaced and superseded our 2008 Cooperation, Purchase and Licensing Agreement with the University Mainz, or the 2008 Cooperation Agreement.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TRON Research Agreement</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TRON Research Agreement, TRON from time to time performs certain services for us under work orders, which may comprise innovative applied research projects, pre-defined research and development or clinical research services. We and TRON meet at regular intervals, but no less than annually, to prepare an overall non-binding project plan, which sets the scope, period and costs for the relevant projects contemplated for that period. Individual work orders set the specific binding terms of each project or service. TRON is obligated to render services in accordance with the scientific standards, all applicable laboratory and legal provisions and with the care customary in the industry.</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entitled to the exclusive rights to all inventions, methods, specifications, materials, documents, data, know-how and other results (together, the Results) developed or discovered by TRON or by us and TRON jointly under the TRON Research Agreement, except to the extent they constitute improvements of the technologies applied by TRON in the relevant projects. Under the TRON Research Agreement, TRON granted us a non-exclusive, royalty-free license to use TRON Improvements if such TRON Improvements are necessary for the continued development and exploitation of the Results or the manufacture or marketing of products which contain any of the Results and are covered by a patent claiming any of the Results.</w:t>
      </w:r>
    </w:p>
    <w:p>
      <w:pPr>
        <w:spacing w:after="0" w:line="16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Under the TRON Research Agreement, TRON’s services rendered in the field of applied research are invoiced at cost. For other services, fixed prices are to be set forth in the individual work orders. TRON invoices us monthly and our payments are due no later than 10 days thereafter. Additionally, we are obligated to pay to TRON low single-digit tired royalties on net sales of any product developed under the TRON Research Agreement that is covered by a patent claiming any of the Results.</w:t>
      </w:r>
    </w:p>
    <w:p>
      <w:pPr>
        <w:spacing w:after="0" w:line="18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TRON Research Agreement limits each party’s liability to the other to intentional and grossly negligent actions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14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TRON Research Agreement has an indefinite term, but may be terminated by either party on six months’ notice. If one of our subsidiaries terminates its role in the TRON Research Agreement, the agreement will survive and continue without that subsidiary.</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November 2017, we and TRON entered into an agreement to include certain research and development activities regarding neoepitope RNA immunotherapies as work included in the TRON Research Agreement.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080"/>
          </w:cols>
          <w:pgMar w:left="320" w:top="459"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TRON License Agreement</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TRON License Agreement governs the ownership of and licenses under certain patents, inventions, know-how, technologies and other knowledge (together, the Development Results) filed and created before January 1, 2015 in the course of our collaboration with TRON, Johannes Gutenberg-Universität Mainz and Universitätsmedizin der Johannes Gutenberg-Universität Mainz (collectively, the University Parties) and Ganymed pursuant to the 2008 Cooperation Agreement.</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TRON License Agreement sets forth the parties’ rights with respect to the Development Results, mainly depending on which parties have contributed to such Development Results. Ownership of the Development Results and any patents and other intellectual property included therein is allocated to either (i) TRON and us as co-owners in equal shares, (ii) TRON and Ganymed as co-owners in equal shares or (iii) TRON, Ganymed and us as co-owners in equal shares. Each party may assign its share in the co-owned Development Results to its affiliates provided that such party provide notice of the transfer and the identity of the new co-owner to the other co-owners. However, in case of an assignment of such share to a third party (except in case of a material asset sale), the assigning party must obligate the assignee to comply with the terms of the TRON License Agreement and the assigning party will remain bound by the obligations of the TRON License Agreement unless the other co-owners have consented to discharge the assigning party from such obligations.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The parties to the TRON License Agreement grant licenses to each other under their shares in the Development Results substantially as follows. Ganymed is exclusively entitled to use the Development Results for certain antibodies, antibody fragments and antibody fusion proteins in terms of recombinant proteins that bind to certain defined targets via an immune globulin domain, nanoparticles combined, fused or otherwise firmly attached to such antibodies, antibody fragments or antibody fusion proteins, related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as companion diagnostics, as well as products for diagnosing, preventing and treating multiple sclerosis, or the Ganymed Field of Use. We are exclusively entitled to use the Development Results in any other field of use (including immunological therapeutics, small molecule compounds, siRNA-based therapeutics, micro-proteins, antibody based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(except for those in the Ganymed Field of Use), diagnostics and therapeutics based on long-chain RNA as well as other cell therapy applications, immune cells transgenized with recombinant directed against certain defined targets or chimeric antigene receptors and RNA-based pharmaceuticals). The University Parties may use the Development Results for internal research purposes only. We and Ganymed have an obligation to use reasonable efforts to develop and commercialize products in our respective fields of use worldwide.</w:t>
      </w:r>
    </w:p>
    <w:p>
      <w:pPr>
        <w:spacing w:after="0" w:line="18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the TRON License Agreement, we and Ganymed must agree on which party will have the primary role in filing, prosecuting, maintaining and defending jointly owned patents. We and Ganymed each have the exclusive right to enforce the Development Results in our respective fields of use, subject to certain step-in rights of the other parties.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obligated to pay to the University Parties low single-digit tiered royalties on net sales on any product that is covered by certain of the patents including in the Development Results. If licenses are granted to third parties, we are obligated to pay to the University Parties a mid-single-digit share of all upfront payments, milestone payments and other remuneration we receive from such third parties in consideration for the license. Regarding upfront payments only, the University Parties’ share will be offset against subsequent license fees on net sales. In addition, we are obligated to pay certain development and regulatory milestones up to a low seven- figure amount to Johannes Gutenberg-Universität Mainz.</w:t>
      </w:r>
    </w:p>
    <w:p>
      <w:pPr>
        <w:spacing w:after="0" w:line="176"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TRON License Agreement contains a limitation on liability as between the parties, wherein the parties will only be liable to each other for intentional and grossly negligent actions, and, in the case of gross negligence, liability for indirect and consequential damages and lost profits is excluded. We are obligated to indemnify the University Parties and Ganymed for third-party claims of product liability or violation of applicable law based on our distribution of our products or if we breach the TRON License Agreement or if we or one of our agents acts culpably.</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TRON License Agreement will remain in effect as long as there are any obligations on us or Ganymed to pay license fees. After expiry of the TRON License Agreement, each party will have a perpetual, non-exclusive, royalty-free license to use the Developments Results. The TRON License Agreement may be terminated by any party on six months’ notice. The licenses granted between the parties will survive such termination. The TRON License Agreement also grants all parties termination rights for uncured material breaches. If only one party terminates its role in the Agreement, the Agreement will survive and continue between the other parties.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LSU License Agreement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May 2015, we entered into a Patent License Agreement with the Board of Supervisors of Louisiana State University and Agricultural and Mechanical College, or LSU, and the University of Warsaw, or UW. The agreement (which we refer to as the LSU Agreement) replaces and supersedes the earlier license agreement between the parties.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Under the LSU Agreement, UW and LSU granted to us an exclusive royalty-bearing license under certain patent rights relating to mRNA cap analogs and the synthesis and use of anti-reverse phosphorothioate analogs of the mRNA cap in the United States, certain jurisdictions in the European Union and other countries. As consideration for the license granted, we are obligated to pay running royalties on all net sales of products utilizing the licensed patents and to pay annual maintenance fees to LSU.</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obligated to use commercially reasonable efforts to develop one or more marketable products utilizing the licensed patents, upon which we would owe additional milestone payments to LSU.</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LSU Agreement remains in effect until expiration of the licensed patents. We have the right to terminate the LSU Agreement for convenience with 60 days’ prior notice, and LSU and UW may terminate for our uncured material breach.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Cellscript and mRNA Ribotherapeutics License Agreement</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BioNTech RNA entered into the two MRT-CellScript Sublicenses discussed above. Together, the MRT-CellScript Sublicenses grant BioNTech RNA worldwide, non-exclusive sublicenses under the Penn Modified mRNA Patent Rights (as defined in the MRT-CellScript Sublicenses) to research, develop, make, import, use and commercialize products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uses in humans and non-human animals, including therapeutic and prophylactic applications, and for certain uses in the diagnostic and prognostic field of use and certain laboratory research or screening uses. Under these sublicenses, BioNTech RNA has the right to grant sublicenses to affiliates and third parties.</w:t>
      </w:r>
    </w:p>
    <w:p>
      <w:pPr>
        <w:spacing w:after="0" w:line="176"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BioNTech RNA must use reasonable efforts to develop and commercialize products under the sublicenses. Furthermore, BioNTech RNA is obliged to pay MRT and CellScript development milestone payments as well as royalties on the sales of products.</w:t>
      </w:r>
    </w:p>
    <w:p>
      <w:pPr>
        <w:spacing w:after="0" w:line="14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agreements continue until the expiration or abandonment of the last licensed patent to expire or be abandoned. BioNTech RNA may terminate the agreement for convenience with respect to all or certain patent rights with 60 days’ prior written notice. MRT or CellScript may terminate the respective sublicense agreement for payment default, uncured material breach or the bankruptcy of BioNTech RNA.</w:t>
      </w:r>
    </w:p>
    <w:p>
      <w:pPr>
        <w:spacing w:after="0" w:line="310" w:lineRule="exact"/>
        <w:rPr>
          <w:sz w:val="20"/>
          <w:szCs w:val="20"/>
          <w:color w:val="auto"/>
        </w:rPr>
      </w:pPr>
    </w:p>
    <w:p>
      <w:pPr>
        <w:ind w:left="980" w:hanging="432"/>
        <w:spacing w:after="0"/>
        <w:tabs>
          <w:tab w:leader="none" w:pos="9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Trademark Portfolio</w:t>
      </w:r>
    </w:p>
    <w:p>
      <w:pPr>
        <w:spacing w:after="0" w:line="121" w:lineRule="exact"/>
        <w:rPr>
          <w:sz w:val="20"/>
          <w:szCs w:val="20"/>
          <w:color w:val="auto"/>
        </w:rPr>
      </w:pPr>
    </w:p>
    <w:p>
      <w:pPr>
        <w:ind w:left="120" w:right="240" w:firstLine="440"/>
        <w:spacing w:after="0" w:line="299" w:lineRule="auto"/>
        <w:rPr>
          <w:sz w:val="20"/>
          <w:szCs w:val="20"/>
          <w:color w:val="auto"/>
        </w:rPr>
      </w:pPr>
      <w:r>
        <w:rPr>
          <w:rFonts w:ascii="Arial" w:cs="Arial" w:eastAsia="Arial" w:hAnsi="Arial"/>
          <w:sz w:val="18"/>
          <w:szCs w:val="18"/>
          <w:color w:val="auto"/>
        </w:rPr>
        <w:t>Certain features of our business and our product candidates are protected by trademarks. Our trademark portfolio includes, but is not limited to, registrations for each of FixVac</w:t>
      </w:r>
      <w:r>
        <w:rPr>
          <w:rFonts w:ascii="Arial" w:cs="Arial" w:eastAsia="Arial" w:hAnsi="Arial"/>
          <w:sz w:val="15"/>
          <w:szCs w:val="15"/>
          <w:color w:val="auto"/>
        </w:rPr>
        <w:t>®</w:t>
      </w:r>
      <w:r>
        <w:rPr>
          <w:rFonts w:ascii="Arial" w:cs="Arial" w:eastAsia="Arial" w:hAnsi="Arial"/>
          <w:sz w:val="18"/>
          <w:szCs w:val="18"/>
          <w:color w:val="auto"/>
        </w:rPr>
        <w:t>, IVAC</w:t>
      </w:r>
      <w:r>
        <w:rPr>
          <w:rFonts w:ascii="Arial" w:cs="Arial" w:eastAsia="Arial" w:hAnsi="Arial"/>
          <w:sz w:val="15"/>
          <w:szCs w:val="15"/>
          <w:color w:val="auto"/>
        </w:rPr>
        <w:t>®</w:t>
      </w:r>
      <w:r>
        <w:rPr>
          <w:rFonts w:ascii="Arial" w:cs="Arial" w:eastAsia="Arial" w:hAnsi="Arial"/>
          <w:sz w:val="18"/>
          <w:szCs w:val="18"/>
          <w:color w:val="auto"/>
        </w:rPr>
        <w:t>, MammaTyper</w:t>
      </w:r>
      <w:r>
        <w:rPr>
          <w:rFonts w:ascii="Arial" w:cs="Arial" w:eastAsia="Arial" w:hAnsi="Arial"/>
          <w:sz w:val="15"/>
          <w:szCs w:val="15"/>
          <w:color w:val="auto"/>
        </w:rPr>
        <w:t>®,</w:t>
      </w:r>
      <w:r>
        <w:rPr>
          <w:rFonts w:ascii="Arial" w:cs="Arial" w:eastAsia="Arial" w:hAnsi="Arial"/>
          <w:sz w:val="18"/>
          <w:szCs w:val="18"/>
          <w:color w:val="auto"/>
        </w:rPr>
        <w:t xml:space="preserve"> RiboCytokine</w:t>
      </w:r>
      <w:r>
        <w:rPr>
          <w:rFonts w:ascii="Arial" w:cs="Arial" w:eastAsia="Arial" w:hAnsi="Arial"/>
          <w:sz w:val="15"/>
          <w:szCs w:val="15"/>
          <w:color w:val="auto"/>
        </w:rPr>
        <w:t>®</w:t>
      </w:r>
      <w:r>
        <w:rPr>
          <w:rFonts w:ascii="Arial" w:cs="Arial" w:eastAsia="Arial" w:hAnsi="Arial"/>
          <w:sz w:val="18"/>
          <w:szCs w:val="18"/>
          <w:color w:val="auto"/>
        </w:rPr>
        <w:t xml:space="preserve"> and RiboMab</w:t>
      </w:r>
      <w:r>
        <w:rPr>
          <w:rFonts w:ascii="Arial" w:cs="Arial" w:eastAsia="Arial" w:hAnsi="Arial"/>
          <w:sz w:val="15"/>
          <w:szCs w:val="15"/>
          <w:color w:val="auto"/>
        </w:rPr>
        <w:t>®</w:t>
      </w:r>
      <w:r>
        <w:rPr>
          <w:rFonts w:ascii="Arial" w:cs="Arial" w:eastAsia="Arial" w:hAnsi="Arial"/>
          <w:sz w:val="18"/>
          <w:szCs w:val="18"/>
          <w:color w:val="auto"/>
        </w:rPr>
        <w:t>.</w:t>
      </w:r>
    </w:p>
    <w:p>
      <w:pPr>
        <w:spacing w:after="0" w:line="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hanging="432"/>
        <w:spacing w:after="0"/>
        <w:tabs>
          <w:tab w:leader="none" w:pos="98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Trade Secret Protection</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Certain of our technologies, including in particular certain proprietary manufacturing processes or technologies and/or neoantigen prediction technologies, are protected as trade secrets.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addition to patent protection, we rely upon unpatented trade secrets and confidential know-how and continuing technological innovation to develop and maintain our competitive position. We protect certain of our technologies, including, in particular, certain proprietary manufacturing processes and technologies and/or neoantigen prediction technologies, as trade secrets. However, trade secrets and confidential know-how are difficult to protect. We seek to protect our proprietary information, in part, by using confidentiality agreements with any future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331"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b w:val="1"/>
          <w:bCs w:val="1"/>
          <w:color w:val="auto"/>
        </w:rPr>
        <w:t>XVII.</w:t>
      </w:r>
      <w:r>
        <w:rPr>
          <w:sz w:val="20"/>
          <w:szCs w:val="20"/>
          <w:color w:val="auto"/>
        </w:rPr>
        <w:tab/>
      </w: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compete in an industry characterized by rapidly advancing technologies, intense competition and a complex intellectual property landscape. We face substantial competition from many different sources, including large and specialty pharmaceutical and biotechnology companies, academic research institutions and governmental agencies and public and private research institutions.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 description of competition surrounding each of our technologies.</w:t>
      </w:r>
    </w:p>
    <w:p>
      <w:pPr>
        <w:spacing w:after="0" w:line="225"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i w:val="1"/>
          <w:iCs w:val="1"/>
          <w:color w:val="auto"/>
        </w:rPr>
        <w:t>mRNA Therapies</w:t>
      </w:r>
      <w:r>
        <w:rPr>
          <w:rFonts w:ascii="Arial" w:cs="Arial" w:eastAsia="Arial" w:hAnsi="Arial"/>
          <w:sz w:val="17"/>
          <w:szCs w:val="17"/>
          <w:color w:val="auto"/>
        </w:rPr>
        <w:t>. mRNA therapies are a new medical frontier, and we expect competition in this space to be robust across diverse therapeutic</w:t>
      </w:r>
      <w:r>
        <w:rPr>
          <w:rFonts w:ascii="Arial" w:cs="Arial" w:eastAsia="Arial" w:hAnsi="Arial"/>
          <w:sz w:val="17"/>
          <w:szCs w:val="17"/>
          <w:i w:val="1"/>
          <w:iCs w:val="1"/>
          <w:color w:val="auto"/>
        </w:rPr>
        <w:t xml:space="preserve"> </w:t>
      </w:r>
      <w:r>
        <w:rPr>
          <w:rFonts w:ascii="Arial" w:cs="Arial" w:eastAsia="Arial" w:hAnsi="Arial"/>
          <w:sz w:val="17"/>
          <w:szCs w:val="17"/>
          <w:color w:val="auto"/>
        </w:rPr>
        <w:t>areas. We compete with a number of companies focused on developing mRNA technologies for a wide range of applications, including Moderna, CureVac, eTheRNA immunotherapies, Translate Bio, Arcturus Therapeutics, ethris, Genevant and GlaxoSmithKline.</w:t>
      </w:r>
    </w:p>
    <w:p>
      <w:pPr>
        <w:spacing w:after="0" w:line="165"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i w:val="1"/>
          <w:iCs w:val="1"/>
          <w:color w:val="auto"/>
        </w:rPr>
        <w:t xml:space="preserve">Oncology. </w:t>
      </w:r>
      <w:r>
        <w:rPr>
          <w:rFonts w:ascii="Arial" w:cs="Arial" w:eastAsia="Arial" w:hAnsi="Arial"/>
          <w:sz w:val="18"/>
          <w:szCs w:val="18"/>
          <w:color w:val="auto"/>
        </w:rPr>
        <w:t>The oncology therapeutics landscape in general is highly competitive and includes large and specialty pharmaceutical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biotechnology companies, academic research institutions and governmental agencies and public and private research institutions. It includes both competition from marketed therapies as well as potential new therapeutics in development. We may compete with products with different mechanisms of action as well as against established standards of care. Companies such as AstraZeneca, Amgen, Bristol-Myers Squibb, Celgene, Eli Lilly, GlaxoSmithKline, Incyte, Janssen Pharmaceuticals, Merck &amp; Co., Novartis, Pfizer, Roche and Sanofi are developing diversified immuno-oncology programs and have substantial resources. We expect our intratumoral immunotherapy candidates for the treatment of solid tumors to face direct competition from companies such as Moderna and CureVac.</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also expect our FixVac and iNeST candidates to face competition from smaller specialized oncology companies such as Agenus, Neon Therapeutics, Gritstone, Moderna in collaboration with Merck &amp; Co., Aduro Biotech, Advaxis Immunotherapies, Achilles Therapeutics, NousCom, ISA Pharmaceuticals, CureVac in collaboration with Eli Lilly, Genocea Biosciences, Vaccibody, PACT Pharma and ZIOPHARM Oncology in the antigen-based therapy space.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Engineered Cell Therapy Drug Class</w:t>
      </w:r>
      <w:r>
        <w:rPr>
          <w:rFonts w:ascii="Arial" w:cs="Arial" w:eastAsia="Arial" w:hAnsi="Arial"/>
          <w:sz w:val="17"/>
          <w:szCs w:val="17"/>
          <w:color w:val="auto"/>
        </w:rPr>
        <w:t>. We compete with a number of companies focused on adoptive cell therapies, including Novartis</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Pharmaceuticals, Gilead Sciences, Celgene, Allogene Therapeutics, CRISPR Therapeutics, bluebird bio, Medigene, Adaptimmune Therapeutics, Amgen, Atara Biotherapeutics, Autolus Limited, Cellectis, PACT, Neon, Mustang Bio, Iovance Biotherapeutics, TCR2 Therapeutics, Editas Medicine, Celyad, Celularity, Unum Therapeutics, Intrexon, and Bellicum Pharmaceuticals and Precision Biosciences.</w:t>
      </w:r>
    </w:p>
    <w:p>
      <w:pPr>
        <w:spacing w:after="0" w:line="17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i w:val="1"/>
          <w:iCs w:val="1"/>
          <w:color w:val="auto"/>
        </w:rPr>
        <w:t xml:space="preserve">Antibodies Drug Class. </w:t>
      </w:r>
      <w:r>
        <w:rPr>
          <w:rFonts w:ascii="Arial" w:cs="Arial" w:eastAsia="Arial" w:hAnsi="Arial"/>
          <w:sz w:val="18"/>
          <w:szCs w:val="18"/>
          <w:color w:val="auto"/>
        </w:rPr>
        <w:t>We compete with a number of companies with operations focused on checkpoint immunomodulators,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AstraZeneca, Merck, Pfizer, Novartis, Roche and Bristol-Myers Squibb.</w:t>
      </w:r>
    </w:p>
    <w:p>
      <w:pPr>
        <w:spacing w:after="0" w:line="170"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i w:val="1"/>
          <w:iCs w:val="1"/>
          <w:color w:val="auto"/>
        </w:rPr>
        <w:t xml:space="preserve">Small Molecule Immunomodulator Drug Class. </w:t>
      </w:r>
      <w:r>
        <w:rPr>
          <w:rFonts w:ascii="Arial" w:cs="Arial" w:eastAsia="Arial" w:hAnsi="Arial"/>
          <w:sz w:val="16"/>
          <w:szCs w:val="16"/>
          <w:color w:val="auto"/>
        </w:rPr>
        <w:t>We are aware of a number of other companies developing TLR agonists, including Checkmate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Dynavax Technologies, Exicure, Gilead, GlaxoSmithKline, Hoffmann-La Roche, Mologen and Nektar Therapeutics.</w:t>
      </w:r>
    </w:p>
    <w:p>
      <w:pPr>
        <w:spacing w:after="0" w:line="12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Infectious Diseases</w:t>
      </w:r>
      <w:r>
        <w:rPr>
          <w:rFonts w:ascii="Arial" w:cs="Arial" w:eastAsia="Arial" w:hAnsi="Arial"/>
          <w:sz w:val="18"/>
          <w:szCs w:val="18"/>
          <w:color w:val="auto"/>
        </w:rPr>
        <w:t>. The infectious disease space includes general competition from well-established pharmaceutical companies such as AbbVie,</w:t>
      </w:r>
      <w:r>
        <w:rPr>
          <w:rFonts w:ascii="Arial" w:cs="Arial" w:eastAsia="Arial" w:hAnsi="Arial"/>
          <w:sz w:val="18"/>
          <w:szCs w:val="18"/>
          <w:i w:val="1"/>
          <w:iCs w:val="1"/>
          <w:color w:val="auto"/>
        </w:rPr>
        <w:t xml:space="preserve"> </w:t>
      </w:r>
      <w:r>
        <w:rPr>
          <w:rFonts w:ascii="Arial" w:cs="Arial" w:eastAsia="Arial" w:hAnsi="Arial"/>
          <w:sz w:val="18"/>
          <w:szCs w:val="18"/>
          <w:color w:val="auto"/>
        </w:rPr>
        <w:t>Bayer, Gilead, Janssen Pharmaceuticals, Merck &amp; Co. and Novartis. In addition, Seqirus UK, Sanofi Pasteur, GlaxoSmithKline, Biomedical Corp. of Quebec and AstraZeneca produce influenza vaccines.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Rare Diseases</w:t>
      </w:r>
      <w:r>
        <w:rPr>
          <w:rFonts w:ascii="Arial" w:cs="Arial" w:eastAsia="Arial" w:hAnsi="Arial"/>
          <w:sz w:val="18"/>
          <w:szCs w:val="18"/>
          <w:color w:val="auto"/>
        </w:rPr>
        <w:t>. We compete with a number of companies focused on rare diseases, including Roche, Alexion Pharmaceuticals, Novartis, Bristol-Myers Squibb, Sanofi Novo Nordisk and Pfizer.</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Many of our competitors and potential competitors, either alone or with their collaborators, have greater scientific, research and product development capabilities as well as greater financial, marketing, sales and human resources and experience than we do. In addition, smaller or early-stage companies, including immunotherapy-focused therapeutics companies, may also prove to be significant competitors, particularly through collaborative arrangements with large and established companies. Some of our collaborators, such as Genmab, Pfizer and Sanofi, may also be competitors within the same market or other markets. Accordingly, our competitors may be more successful than us in developing and potentially commercializing technologies and achieving widespread market acceptance. In addition, our competitors may design technologies that are more efficacious, safer or more effectively marketed than ours or have fewer side effects, or may obtain regulatory approvals more quickly than we are able, which could eliminate or reduce our commercial potential.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anticipate that the key competitive factors affecting our technologies will be efficacy, safety, cost and convenience, as well as our ability to build a fully-integrated biotechnology company. The availability of reimbursement from government and other third-party payors will also significantly affect the pricing and competitiveness of our products. The timing of market introduction of our products and competitive products will also affect competition among products. We expect the relative speed with which we can develop our products, complete the clinical trials and approval processes, and supply commercial quantities of the products to the market to be important competitive factors.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040"/>
          </w:cols>
          <w:pgMar w:left="320" w:top="459" w:right="5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b w:val="1"/>
          <w:bCs w:val="1"/>
          <w:color w:val="auto"/>
        </w:rPr>
        <w:t>XVIII.</w:t>
        <w:tab/>
        <w:t>Employees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of March 31, 2019, we had 1,032 full-time employees working for BioNTech, of whom 220 hold a doctoral degree or higher. The following tables provide breakdowns of our full-time equivalent employees as of March 31, 2019 by function and by region:</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Function</w:t>
            </w:r>
          </w:p>
        </w:tc>
        <w:tc>
          <w:tcPr>
            <w:tcW w:w="6320" w:type="dxa"/>
            <w:vAlign w:val="bottom"/>
          </w:tcPr>
          <w:p>
            <w:pPr>
              <w:spacing w:after="0"/>
              <w:rPr>
                <w:sz w:val="16"/>
                <w:szCs w:val="16"/>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r>
      <w:tr>
        <w:trPr>
          <w:trHeight w:val="203"/>
        </w:trPr>
        <w:tc>
          <w:tcPr>
            <w:tcW w:w="6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Clinical Research &amp; Development</w:t>
            </w: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58</w:t>
            </w:r>
          </w:p>
        </w:tc>
        <w:tc>
          <w:tcPr>
            <w:tcW w:w="60" w:type="dxa"/>
            <w:vAlign w:val="bottom"/>
            <w:tcBorders>
              <w:top w:val="single" w:sz="8" w:color="auto"/>
            </w:tcBorders>
            <w:shd w:val="clear" w:color="auto" w:fill="CCEEFF"/>
          </w:tcPr>
          <w:p>
            <w:pPr>
              <w:spacing w:after="0"/>
              <w:rPr>
                <w:sz w:val="17"/>
                <w:szCs w:val="17"/>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Scientific Research &amp; Development</w:t>
            </w:r>
          </w:p>
        </w:tc>
        <w:tc>
          <w:tcPr>
            <w:tcW w:w="540" w:type="dxa"/>
            <w:vAlign w:val="bottom"/>
          </w:tcPr>
          <w:p>
            <w:pPr>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Quality</w:t>
            </w:r>
          </w:p>
        </w:tc>
        <w:tc>
          <w:tcPr>
            <w:tcW w:w="540" w:type="dxa"/>
            <w:vAlign w:val="bottom"/>
          </w:tcPr>
          <w:p>
            <w:pPr>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Supporting Functions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Commercial &amp; Business Development</w:t>
            </w:r>
          </w:p>
        </w:tc>
        <w:tc>
          <w:tcPr>
            <w:tcW w:w="540" w:type="dxa"/>
            <w:vAlign w:val="bottom"/>
          </w:tcPr>
          <w:p>
            <w:pPr>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1,032</w:t>
            </w:r>
          </w:p>
        </w:tc>
        <w:tc>
          <w:tcPr>
            <w:tcW w:w="60" w:type="dxa"/>
            <w:vAlign w:val="bottom"/>
            <w:shd w:val="clear" w:color="auto" w:fill="CCEEFF"/>
          </w:tcPr>
          <w:p>
            <w:pPr>
              <w:spacing w:after="0"/>
              <w:rPr>
                <w:sz w:val="18"/>
                <w:szCs w:val="18"/>
                <w:color w:val="auto"/>
              </w:rPr>
            </w:pPr>
          </w:p>
        </w:tc>
      </w:tr>
      <w:tr>
        <w:trPr>
          <w:trHeight w:val="41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Region</w:t>
            </w:r>
          </w:p>
        </w:tc>
        <w:tc>
          <w:tcPr>
            <w:tcW w:w="6440" w:type="dxa"/>
            <w:vAlign w:val="bottom"/>
            <w:gridSpan w:val="2"/>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r>
      <w:tr>
        <w:trPr>
          <w:trHeight w:val="203"/>
        </w:trPr>
        <w:tc>
          <w:tcPr>
            <w:tcW w:w="6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Mainz (Headquarters)</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727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Munich and Martinsried</w:t>
            </w:r>
          </w:p>
        </w:tc>
        <w:tc>
          <w:tcPr>
            <w:tcW w:w="540" w:type="dxa"/>
            <w:vAlign w:val="bottom"/>
          </w:tcPr>
          <w:p>
            <w:pPr>
              <w:ind w:lef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Idar-Oberstein</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Berlin &amp; United States</w:t>
            </w:r>
          </w:p>
        </w:tc>
        <w:tc>
          <w:tcPr>
            <w:tcW w:w="540" w:type="dxa"/>
            <w:vAlign w:val="bottom"/>
          </w:tcPr>
          <w:p>
            <w:pPr>
              <w:ind w:left="6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7"/>
              </w:rPr>
              <w:t>1,032</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Since 2016, our workforce has grown by 121%, and we have plans to triple the size of our team at our Mainz manufacturing site over the next several years. Within the next several years, two further new production sites are planned to be built in Mainz and Idar-Oberstein.</w:t>
      </w:r>
    </w:p>
    <w:p>
      <w:pPr>
        <w:spacing w:after="0" w:line="146"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None of our employees has engaged in any labor strikes. We have no collective bargaining agreements with our employees. We have a workers’ council at our Idar-Oberstein site. However, we consider our relationship with our employees to be positive and have not experienced any major labor disputes.</w:t>
      </w:r>
    </w:p>
    <w:p>
      <w:pPr>
        <w:spacing w:after="0" w:line="328"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XIX.</w:t>
        <w:tab/>
        <w:t>Properties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headquarters are located in Mainz, Germany, where we occupy:</w:t>
      </w:r>
    </w:p>
    <w:p>
      <w:pPr>
        <w:spacing w:after="0" w:line="131" w:lineRule="exact"/>
        <w:rPr>
          <w:sz w:val="20"/>
          <w:szCs w:val="20"/>
          <w:color w:val="auto"/>
        </w:rPr>
      </w:pPr>
    </w:p>
    <w:p>
      <w:pPr>
        <w:jc w:val="both"/>
        <w:ind w:left="980" w:hanging="324"/>
        <w:spacing w:after="0" w:line="263" w:lineRule="auto"/>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Approximately 9,416 square meters (equivalent to approximately 101,353 square feet) of laboratory, GMP manufacturing, storage and office space under a lease for the entire building located at An der Goldgrube 12, 55131 Mainz under a lease that has an initial term that expires on October 30, 2027, but which we have the option to extend until April 30, 2039.</w:t>
      </w:r>
    </w:p>
    <w:p>
      <w:pPr>
        <w:spacing w:after="0" w:line="89" w:lineRule="exact"/>
        <w:rPr>
          <w:rFonts w:ascii="Arial" w:cs="Arial" w:eastAsia="Arial" w:hAnsi="Arial"/>
          <w:sz w:val="18"/>
          <w:szCs w:val="18"/>
          <w:color w:val="auto"/>
        </w:rPr>
      </w:pPr>
    </w:p>
    <w:p>
      <w:pPr>
        <w:ind w:left="980" w:right="100" w:hanging="324"/>
        <w:spacing w:after="0" w:line="308" w:lineRule="auto"/>
        <w:tabs>
          <w:tab w:leader="none" w:pos="9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Approximately 1,069 square meters (equivalent to approximately 11,507 square feet) of office and GMP manufacturing space under a lease for part of the building located at Kupferbergterrasse 15, 17019, 44116 Mainz under a lease that expires in March 31, 2022.</w:t>
      </w:r>
    </w:p>
    <w:p>
      <w:pPr>
        <w:spacing w:after="0" w:line="51" w:lineRule="exact"/>
        <w:rPr>
          <w:rFonts w:ascii="Arial" w:cs="Arial" w:eastAsia="Arial" w:hAnsi="Arial"/>
          <w:sz w:val="17"/>
          <w:szCs w:val="17"/>
          <w:color w:val="auto"/>
        </w:rPr>
      </w:pPr>
    </w:p>
    <w:p>
      <w:pPr>
        <w:ind w:left="980" w:right="60" w:hanging="324"/>
        <w:spacing w:after="0" w:line="301" w:lineRule="auto"/>
        <w:tabs>
          <w:tab w:leader="none" w:pos="9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Approximately 4,882 square meters (equivalent to approximately 52,549 square feet) of flexible use space under a lease for the entire building at Adam-Opel-Strasse 10, 55129 Mainz-Hechtsheim that has an initial term that expires on December 31, 2024, but which we have the option to extend until December 31, 2027. If the lease has not been terminated prior to December 31, 2024, and the option has not been exercised prior to this date, the lease will convert to an unlimited period terminable by either party on 12 months’ prior written notice.</w:t>
      </w:r>
    </w:p>
    <w:p>
      <w:pPr>
        <w:spacing w:after="0" w:line="62" w:lineRule="exact"/>
        <w:rPr>
          <w:rFonts w:ascii="Arial" w:cs="Arial" w:eastAsia="Arial" w:hAnsi="Arial"/>
          <w:sz w:val="16"/>
          <w:szCs w:val="16"/>
          <w:color w:val="auto"/>
        </w:rPr>
      </w:pPr>
    </w:p>
    <w:p>
      <w:pPr>
        <w:ind w:left="980" w:right="80" w:hanging="324"/>
        <w:spacing w:after="0" w:line="263" w:lineRule="auto"/>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Approximately 82,881 square meters (equivalent to approximately 892,124 square feet) of office space and a further area of land associated with this office space of approximately 12,600 square meters (equivalent to approximately 135,625 square feet), which is owned by BioNTech.</w:t>
      </w:r>
    </w:p>
    <w:p>
      <w:pPr>
        <w:spacing w:after="0" w:line="8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We have entered into an agreement to lease 4,025 square meters (equivalent to 43,324 square feet) of office space under a lease for the entire building at Hechtsheimer Strasse 2,55131 Mainz-Hechtsheim,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80"/>
        <w:spacing w:after="0" w:line="259" w:lineRule="auto"/>
        <w:rPr>
          <w:sz w:val="20"/>
          <w:szCs w:val="20"/>
          <w:color w:val="auto"/>
        </w:rPr>
      </w:pPr>
      <w:r>
        <w:rPr>
          <w:rFonts w:ascii="Arial" w:cs="Arial" w:eastAsia="Arial" w:hAnsi="Arial"/>
          <w:sz w:val="18"/>
          <w:szCs w:val="18"/>
          <w:color w:val="auto"/>
        </w:rPr>
        <w:t>which will commence on July 1, 2019. The initial term of the lease expires on June 30, 2029, which we have the option to extend until June 30, 2034 and again until June 30, 2039. The grant of the lease is also conditional upon the Company purchasing a 8,753 square meter (equivalent to 94,216 square feet) plot of land at Hechtsheimer Strasse, 55131 Mainz-Hechtsheim, and being entered as the owner of such land in the property register by September 30, 2019.</w:t>
      </w:r>
    </w:p>
    <w:p>
      <w:pPr>
        <w:spacing w:after="0" w:line="92" w:lineRule="exact"/>
        <w:rPr>
          <w:sz w:val="20"/>
          <w:szCs w:val="20"/>
          <w:color w:val="auto"/>
        </w:rPr>
      </w:pPr>
    </w:p>
    <w:p>
      <w:pPr>
        <w:ind w:left="980" w:right="280" w:hanging="324"/>
        <w:spacing w:after="0" w:line="286" w:lineRule="auto"/>
        <w:tabs>
          <w:tab w:leader="none" w:pos="98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We have entered into an agreement to purchase approximately 8,753 square meters (equivalent to 94,216 square feet) of land at Hechtsheimer Strasse, 55131 Mainz. Payment of the purchase price is conditional on a land charge to which the property is subject being removed by the seller. Our registration as owner of such land in the property register has not yet been completed.</w:t>
      </w:r>
    </w:p>
    <w:p>
      <w:pPr>
        <w:spacing w:after="0" w:line="16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In addition, our BioNTech IMFS facility in Idar-Oberstein, Germany, occupies approximately 2,800 square meters (equivalent to approximately 30,140 square feet). This includes 650 square meters (approximately 7,000 square feet) of clean room area, and 700 square meters (approximately 7,500 square feet) of development and quality control laboratories. We occupy approximately 575 square meters (equivalent to approximately 6,200 square feet) of this space, which is used primarily for storage, under a lease that has an initial expiry date of October 1, 2021, but which we have the right to extend by an additional five years. We occupy approximately 100 square meters (equivalent to approximately 1,075 square feet) of this space, which is used primarily for storage, under a lease that can be terminated by either party on six months’ written notice (but not earlier than May 1, 2020). We occupy approximately 80 square meters (equivalent to approximately 860 square feet) of this space, which is used as office space, under a lease that can be terminated by either party on three months’ written notice. The rest of this facility, including the GMP-certified manufacturing suites, is owned by BioNTech.</w:t>
      </w:r>
    </w:p>
    <w:p>
      <w:pPr>
        <w:spacing w:after="0" w:line="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At our JPT facility in Berlin, Germany, we occupy approximately 1,755 square meters (equivalent to approximately 18,890 square feet) of office, laboratory and other space. Approximately 250 square meters of that space (equivalent to approximately 2,690 square feet) is occupied under a lease which has an initial expiry date of December 31, 2019 and will continue for further six-month periods, unless terminated by either party on three months’ prior written notice. The remaining 1,505 square meters (equivalent to approximately 16,199 square feet) is occupied under a lease for an indeterminate period of time but which may be terminated by either party on 12 months’ prior written notice.</w:t>
      </w:r>
    </w:p>
    <w:p>
      <w:pPr>
        <w:spacing w:after="0" w:line="6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Martinsried, Germany, we occupy approximately 1,681 square meters (equivalent to approximately 18,100 square feet) under a lease that has an initial term that expires on December 31, 2020, but which we have the option to extend until December 31, 2022.</w:t>
      </w:r>
    </w:p>
    <w:p>
      <w:pPr>
        <w:spacing w:after="0" w:line="62"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In Neuried, Germany, we occupy approximately 725 square meters (equivalent to approximately 7,800 square feet) of laboratory and office space under a lease that expires on December 31, 2021, but which we have the option to extend until December 31, 2026. If the lease is not terminated before December 31, 2021 (where the option is not exercised) or December 31, 2026 (where the option is exercised) the lease will renew automatically for an additional one-year periods until terminated by either party on 12 months’ prior written notice.</w:t>
      </w:r>
    </w:p>
    <w:p>
      <w:pPr>
        <w:spacing w:after="0" w:line="17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San Diego, we occupy approximately 14,971 square feet of laboratory and office space under a lease to part of a building located at 11535 Sorrento Valley Road, San Diego, California, that expires on February 28, 2022.</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expand our capacity as follows:</w:t>
      </w:r>
    </w:p>
    <w:p>
      <w:pPr>
        <w:spacing w:after="0" w:line="131" w:lineRule="exact"/>
        <w:rPr>
          <w:sz w:val="20"/>
          <w:szCs w:val="20"/>
          <w:color w:val="auto"/>
        </w:rPr>
      </w:pPr>
    </w:p>
    <w:p>
      <w:pPr>
        <w:ind w:left="980" w:right="40" w:hanging="324"/>
        <w:spacing w:after="0" w:line="259" w:lineRule="auto"/>
        <w:tabs>
          <w:tab w:leader="none" w:pos="9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2020, we anticipate completing the construction of two new buildings at our BioNTech IMFS facility in Idar-Oberstein, Germany, which we will own, and as a result of which we will occupy an additional 780 square meters (equivalent to approximately 8,395 square feet) of clean room space, 550 square meters (equivalent to approximately 5,900 square feet) of laboratory space, and 650 square meters (equivalent to approximately 7,000 square feet) of office space.</w:t>
      </w:r>
    </w:p>
    <w:p>
      <w:pPr>
        <w:spacing w:after="0" w:line="92"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2022, we anticipate completing the construction of a new complex of building for our JPT business in Berlin, Germany, as a result of which we will occupy approximately 2,727 square meters (equivalent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40"/>
        <w:spacing w:after="0" w:line="342" w:lineRule="auto"/>
        <w:rPr>
          <w:sz w:val="20"/>
          <w:szCs w:val="20"/>
          <w:color w:val="auto"/>
        </w:rPr>
      </w:pPr>
      <w:r>
        <w:rPr>
          <w:rFonts w:ascii="Arial" w:cs="Arial" w:eastAsia="Arial" w:hAnsi="Arial"/>
          <w:sz w:val="16"/>
          <w:szCs w:val="16"/>
          <w:color w:val="auto"/>
        </w:rPr>
        <w:t>to approximately 29,353 square feet) of laboratory and office space and a total of approximately 5,000 square meters (equivalent to approximately 53,820 square feet) of useable floor space. Upon completion of the construction project we will own this new building.</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on these additions to our facilities, see “—XIII. Manufacturing—Future Manufacturing Outlook.”</w:t>
      </w:r>
    </w:p>
    <w:p>
      <w:pPr>
        <w:spacing w:after="0" w:line="370" w:lineRule="exact"/>
        <w:rPr>
          <w:sz w:val="20"/>
          <w:szCs w:val="20"/>
          <w:color w:val="auto"/>
        </w:rPr>
      </w:pPr>
    </w:p>
    <w:p>
      <w:pPr>
        <w:ind w:left="660" w:hanging="544"/>
        <w:spacing w:after="0"/>
        <w:tabs>
          <w:tab w:leader="none" w:pos="6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From time to time, we may be involved in legal proceedings in the ordinary course of business. We are currently not a party to any material legal or administrative proceedings. In addition, we are not aware of any material legal or administrative proceedings contemplated to be brought against us. Regardless of outcome, litigation can have an adverse impact on us because of defense and settlement costs, diversion of management resources and other factors.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0980"/>
          </w:cols>
          <w:pgMar w:left="320" w:top="459" w:right="5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Board and Supervisory Board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Management Board (</w:t>
      </w:r>
      <w:r>
        <w:rPr>
          <w:rFonts w:ascii="Arial" w:cs="Arial" w:eastAsia="Arial" w:hAnsi="Arial"/>
          <w:sz w:val="18"/>
          <w:szCs w:val="18"/>
          <w:b w:val="1"/>
          <w:bCs w:val="1"/>
          <w:i w:val="1"/>
          <w:iCs w:val="1"/>
          <w:color w:val="auto"/>
        </w:rPr>
        <w:t>Vorstand</w:t>
      </w:r>
      <w:r>
        <w:rPr>
          <w:rFonts w:ascii="Arial" w:cs="Arial" w:eastAsia="Arial" w:hAnsi="Arial"/>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names and functions of the current members of our Management Board, their ages and their terms: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20" w:type="dxa"/>
            <w:vAlign w:val="bottom"/>
            <w:gridSpan w:val="2"/>
          </w:tcPr>
          <w:p>
            <w:pPr>
              <w:ind w:left="1580"/>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16"/>
                <w:szCs w:val="16"/>
                <w:color w:val="auto"/>
              </w:rPr>
            </w:pPr>
          </w:p>
        </w:tc>
        <w:tc>
          <w:tcPr>
            <w:tcW w:w="6400" w:type="dxa"/>
            <w:vAlign w:val="bottom"/>
          </w:tcPr>
          <w:p>
            <w:pPr>
              <w:ind w:left="29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 Ugur Sahin, M.D.</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Sean Marett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Chief Business Officer and Chief Commercial Officer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Sierk Poetting, Ph.D.</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and Chief Operating Officer</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Dr. Özlem Türeci, M.D.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Chief Medical Officer</w:t>
            </w:r>
          </w:p>
        </w:tc>
      </w:tr>
    </w:tbl>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business address of the members of our Management Board is the same as our business address: An der Goldgrube 12, D-55131 Mainz, Germany.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brief summary of the business experience of the members of our Management Board:</w:t>
      </w:r>
    </w:p>
    <w:p>
      <w:pPr>
        <w:spacing w:after="0" w:line="221" w:lineRule="exact"/>
        <w:rPr>
          <w:sz w:val="20"/>
          <w:szCs w:val="20"/>
          <w:color w:val="auto"/>
        </w:rPr>
      </w:pPr>
    </w:p>
    <w:p>
      <w:pPr>
        <w:jc w:val="both"/>
        <w:ind w:left="120" w:right="160" w:firstLine="440"/>
        <w:spacing w:after="0" w:line="289" w:lineRule="auto"/>
        <w:rPr>
          <w:sz w:val="20"/>
          <w:szCs w:val="20"/>
          <w:color w:val="auto"/>
        </w:rPr>
      </w:pPr>
      <w:r>
        <w:rPr>
          <w:rFonts w:ascii="Arial" w:cs="Arial" w:eastAsia="Arial" w:hAnsi="Arial"/>
          <w:sz w:val="16"/>
          <w:szCs w:val="16"/>
          <w:b w:val="1"/>
          <w:bCs w:val="1"/>
          <w:color w:val="auto"/>
        </w:rPr>
        <w:t xml:space="preserve">Prof. Ugur Sahin, M.D. </w:t>
      </w:r>
      <w:r>
        <w:rPr>
          <w:rFonts w:ascii="Arial" w:cs="Arial" w:eastAsia="Arial" w:hAnsi="Arial"/>
          <w:sz w:val="16"/>
          <w:szCs w:val="16"/>
          <w:color w:val="auto"/>
        </w:rPr>
        <w:t>co-founded BioNTech in 2008 and has served as our Chief Executive Officer since that time. Prof. Sahin also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head of the Scientific Advisory Board and Chief Medical Officer of Ganymed Pharmaceuticals AG from 2008 until the company was acquired by Astellas Pharma Inc., or Astellas, in 2016. In 2010, Prof. Sahin co-founded TRON, and served as a Managing Director from 2010 until 2019. Prof.</w:t>
      </w:r>
    </w:p>
    <w:p>
      <w:pPr>
        <w:spacing w:after="0" w:line="2" w:lineRule="exact"/>
        <w:rPr>
          <w:sz w:val="20"/>
          <w:szCs w:val="20"/>
          <w:color w:val="auto"/>
        </w:rPr>
      </w:pPr>
    </w:p>
    <w:p>
      <w:pPr>
        <w:jc w:val="both"/>
        <w:ind w:left="120" w:right="100"/>
        <w:spacing w:after="0" w:line="255" w:lineRule="auto"/>
        <w:rPr>
          <w:sz w:val="20"/>
          <w:szCs w:val="20"/>
          <w:color w:val="auto"/>
        </w:rPr>
      </w:pPr>
      <w:r>
        <w:rPr>
          <w:rFonts w:ascii="Arial" w:cs="Arial" w:eastAsia="Arial" w:hAnsi="Arial"/>
          <w:sz w:val="18"/>
          <w:szCs w:val="18"/>
          <w:color w:val="auto"/>
        </w:rPr>
        <w:t>Sahin has also been a professor (W3) at the Mainz University Medical Center since 2014. Prof. Sahin co-founded the Ci3, the German Cluster Initiative of Individualized ImmunIntervention (Ci3), a non-profit organization. Prof. Sahin earned an M.D. in 1990 from the University of Cologne. Prof. Sahin is married to Dr. Özlem Türeci.</w:t>
      </w:r>
    </w:p>
    <w:p>
      <w:pPr>
        <w:spacing w:after="0" w:line="18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color w:val="auto"/>
        </w:rPr>
        <w:t xml:space="preserve">Sean Marett </w:t>
      </w:r>
      <w:r>
        <w:rPr>
          <w:rFonts w:ascii="Arial" w:cs="Arial" w:eastAsia="Arial" w:hAnsi="Arial"/>
          <w:sz w:val="17"/>
          <w:szCs w:val="17"/>
          <w:color w:val="auto"/>
        </w:rPr>
        <w:t>joined BioNTech in 2012. Prior to joining BioNTech, he worked in global strategic and regional marketing and sales roles at</w:t>
      </w:r>
      <w:r>
        <w:rPr>
          <w:rFonts w:ascii="Arial" w:cs="Arial" w:eastAsia="Arial" w:hAnsi="Arial"/>
          <w:sz w:val="17"/>
          <w:szCs w:val="17"/>
          <w:b w:val="1"/>
          <w:bCs w:val="1"/>
          <w:color w:val="auto"/>
        </w:rPr>
        <w:t xml:space="preserve"> </w:t>
      </w:r>
      <w:r>
        <w:rPr>
          <w:rFonts w:ascii="Arial" w:cs="Arial" w:eastAsia="Arial" w:hAnsi="Arial"/>
          <w:sz w:val="17"/>
          <w:szCs w:val="17"/>
          <w:color w:val="auto"/>
        </w:rPr>
        <w:t>GlaxoSmithKline in the United States and Pfizer in Europe before taking business development executive roles at Evotec and Lorantis, the latter of which he helped to successfully sell to Celldex Therapeutics, Inc. He has successfully executed complex licensing transactions with large pharmaceutical companies, negotiated M&amp;A transactions and raised finance from investors. Mr. Marett built and ran a contract clinical manufacturing organization with operations across Europe and the United States for over half a decade for the contract manufacturer, NextPharma. Mr. Marett has been Chairman of PHMR Ltd, a company specializing in market access and pharmaceutical reimbursement, since 2017. He previously held non-executive directorship of KWS BioTest Ltd (successfully sold to Charles River) from 2011 until 2018 and was a member of the investment committee of Mann BioInvest Ltd, a fund dedicated to biotechnology and pharmaceutical company investments from 2013 until 2016. He holds a BSc (Hons) in Biochemistry from Kings College London and an MBA from Manchester Business School.</w:t>
      </w:r>
    </w:p>
    <w:p>
      <w:pPr>
        <w:spacing w:after="0" w:line="173" w:lineRule="exact"/>
        <w:rPr>
          <w:sz w:val="20"/>
          <w:szCs w:val="20"/>
          <w:color w:val="auto"/>
        </w:rPr>
      </w:pPr>
    </w:p>
    <w:p>
      <w:pPr>
        <w:ind w:left="120" w:right="120" w:firstLine="440"/>
        <w:spacing w:after="0" w:line="281" w:lineRule="auto"/>
        <w:rPr>
          <w:sz w:val="20"/>
          <w:szCs w:val="20"/>
          <w:color w:val="auto"/>
        </w:rPr>
      </w:pPr>
      <w:r>
        <w:rPr>
          <w:rFonts w:ascii="Arial" w:cs="Arial" w:eastAsia="Arial" w:hAnsi="Arial"/>
          <w:sz w:val="17"/>
          <w:szCs w:val="17"/>
          <w:b w:val="1"/>
          <w:bCs w:val="1"/>
          <w:color w:val="auto"/>
        </w:rPr>
        <w:t xml:space="preserve">Dr. Sierk Poetting, Ph.D. </w:t>
      </w:r>
      <w:r>
        <w:rPr>
          <w:rFonts w:ascii="Arial" w:cs="Arial" w:eastAsia="Arial" w:hAnsi="Arial"/>
          <w:sz w:val="17"/>
          <w:szCs w:val="17"/>
          <w:color w:val="auto"/>
        </w:rPr>
        <w:t>is our Chief Financial Officer and Chief Operating Officer. Dr. Poetting joined BioNTech in September 2014 from</w:t>
      </w:r>
      <w:r>
        <w:rPr>
          <w:rFonts w:ascii="Arial" w:cs="Arial" w:eastAsia="Arial" w:hAnsi="Arial"/>
          <w:sz w:val="17"/>
          <w:szCs w:val="17"/>
          <w:b w:val="1"/>
          <w:bCs w:val="1"/>
          <w:color w:val="auto"/>
        </w:rPr>
        <w:t xml:space="preserve"> </w:t>
      </w:r>
      <w:r>
        <w:rPr>
          <w:rFonts w:ascii="Arial" w:cs="Arial" w:eastAsia="Arial" w:hAnsi="Arial"/>
          <w:sz w:val="17"/>
          <w:szCs w:val="17"/>
          <w:color w:val="auto"/>
        </w:rPr>
        <w:t>Novartis International AG, where he served from May 2012 to August 2014 as Vice President and Chief Financial Officer for the Sandoz Division in North America. Dr. Poetting started his career as a consultant with McKinsey &amp; Company. A German citizen, Dr. Poetting holds a Master of Science in Optical Sciences from the University of Arizona and a Ph.D. in Physics from the Ludwig-Maximilians University in Munich.</w:t>
      </w:r>
    </w:p>
    <w:p>
      <w:pPr>
        <w:spacing w:after="0" w:line="165" w:lineRule="exact"/>
        <w:rPr>
          <w:sz w:val="20"/>
          <w:szCs w:val="20"/>
          <w:color w:val="auto"/>
        </w:rPr>
      </w:pPr>
    </w:p>
    <w:p>
      <w:pPr>
        <w:jc w:val="both"/>
        <w:ind w:left="120" w:right="220" w:firstLine="440"/>
        <w:spacing w:after="0" w:line="258" w:lineRule="auto"/>
        <w:rPr>
          <w:sz w:val="20"/>
          <w:szCs w:val="20"/>
          <w:color w:val="auto"/>
        </w:rPr>
      </w:pPr>
      <w:r>
        <w:rPr>
          <w:rFonts w:ascii="Arial" w:cs="Arial" w:eastAsia="Arial" w:hAnsi="Arial"/>
          <w:sz w:val="18"/>
          <w:szCs w:val="18"/>
          <w:b w:val="1"/>
          <w:bCs w:val="1"/>
          <w:color w:val="auto"/>
        </w:rPr>
        <w:t xml:space="preserve">Dr. Özlem Türeci, M.D. </w:t>
      </w:r>
      <w:r>
        <w:rPr>
          <w:rFonts w:ascii="Arial" w:cs="Arial" w:eastAsia="Arial" w:hAnsi="Arial"/>
          <w:sz w:val="18"/>
          <w:szCs w:val="18"/>
          <w:color w:val="auto"/>
        </w:rPr>
        <w:t>is our Chief Medical Officer. Dr. Türeci joined BioNTech in 2008 as a clinical and scientific advisory board member,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becoming our Chief Medical Officer in 2018. Dr. Türeci co-founded Ganymed Pharmaceuticals, now a subsidiary of Astellas, in 2001 as Chief Scientific Officer and became its Chief Executive Officer in 2008. Dr. Türeci is chairman and co-initiator of Ci3. Dr. Türeci is also an executive board member of the Association for Cancer Immunotherapy (CIMT). Dr. Türeci earned her M.D. from Saarland University Faculty of Medicine, Homburg. Dr. Türeci is married to Prof. Ugur Sahin.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Supervisory Board (</w:t>
      </w:r>
      <w:r>
        <w:rPr>
          <w:rFonts w:ascii="Arial" w:cs="Arial" w:eastAsia="Arial" w:hAnsi="Arial"/>
          <w:sz w:val="18"/>
          <w:szCs w:val="18"/>
          <w:b w:val="1"/>
          <w:bCs w:val="1"/>
          <w:i w:val="1"/>
          <w:iCs w:val="1"/>
          <w:color w:val="auto"/>
        </w:rPr>
        <w:t>Aufsichtsrat</w:t>
      </w:r>
      <w:r>
        <w:rPr>
          <w:rFonts w:ascii="Arial" w:cs="Arial" w:eastAsia="Arial" w:hAnsi="Arial"/>
          <w:sz w:val="18"/>
          <w:szCs w:val="18"/>
          <w:b w:val="1"/>
          <w:bCs w:val="1"/>
          <w:color w:val="auto"/>
        </w:rPr>
        <w:t>)</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sets forth the names and functions of the current members of our Supervisory Board, their ages, their terms (which expire on the date of the relevant year’s general shareholders’ meeting) and their principal occupations outside of our Company: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3"/>
              </w:rPr>
              <w:t>Age</w:t>
            </w: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w:t>
            </w:r>
          </w:p>
        </w:tc>
        <w:tc>
          <w:tcPr>
            <w:tcW w:w="140" w:type="dxa"/>
            <w:vAlign w:val="bottom"/>
          </w:tcPr>
          <w:p>
            <w:pPr>
              <w:spacing w:after="0"/>
              <w:rPr>
                <w:sz w:val="14"/>
                <w:szCs w:val="14"/>
                <w:color w:val="auto"/>
              </w:rPr>
            </w:pPr>
          </w:p>
        </w:tc>
        <w:tc>
          <w:tcPr>
            <w:tcW w:w="610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Expires</w:t>
            </w:r>
          </w:p>
        </w:tc>
        <w:tc>
          <w:tcPr>
            <w:tcW w:w="140" w:type="dxa"/>
            <w:vAlign w:val="bottom"/>
          </w:tcPr>
          <w:p>
            <w:pPr>
              <w:spacing w:after="0"/>
              <w:rPr>
                <w:sz w:val="14"/>
                <w:szCs w:val="14"/>
                <w:color w:val="auto"/>
              </w:rPr>
            </w:pPr>
          </w:p>
        </w:tc>
        <w:tc>
          <w:tcPr>
            <w:tcW w:w="6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Helmut Jeggle</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Chief Executive Officer and Chief Operating Officer of ATHOS Service GmbH</w:t>
            </w:r>
          </w:p>
        </w:tc>
        <w:tc>
          <w:tcPr>
            <w:tcW w:w="0" w:type="dxa"/>
            <w:vAlign w:val="bottom"/>
          </w:tcPr>
          <w:p>
            <w:pPr>
              <w:spacing w:after="0"/>
              <w:rPr>
                <w:sz w:val="1"/>
                <w:szCs w:val="1"/>
                <w:color w:val="auto"/>
              </w:rPr>
            </w:pP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Michael Motschmann</w:t>
            </w:r>
          </w:p>
        </w:tc>
        <w:tc>
          <w:tcPr>
            <w:tcW w:w="5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62</w:t>
            </w:r>
          </w:p>
        </w:tc>
        <w:tc>
          <w:tcPr>
            <w:tcW w:w="6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2023</w:t>
            </w:r>
          </w:p>
        </w:tc>
        <w:tc>
          <w:tcPr>
            <w:tcW w:w="624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8"/>
              </w:rPr>
              <w:t>Member of the Board of Management and Head of Equity Investments of MIG</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Verwaltungs AG</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 Christoph Huber, M.D.</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2023</w:t>
            </w:r>
          </w:p>
        </w:tc>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Chairman Emeritus at the Johannes-Gutenberg University Mainz</w:t>
            </w: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Dr. Ulrich Wandschneider</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2023</w:t>
            </w: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Independent consultant to life sciences companies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business address of the members of our Supervisory Board is the same as our business address: An der Goldgrube 12, D-55131 Mainz, Germany.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brief summary of the prior business experience of the members of our Supervisory Board:</w:t>
      </w:r>
    </w:p>
    <w:p>
      <w:pPr>
        <w:spacing w:after="0" w:line="2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color w:val="auto"/>
        </w:rPr>
        <w:t xml:space="preserve">Helmut Jeggle </w:t>
      </w:r>
      <w:r>
        <w:rPr>
          <w:rFonts w:ascii="Arial" w:cs="Arial" w:eastAsia="Arial" w:hAnsi="Arial"/>
          <w:sz w:val="18"/>
          <w:szCs w:val="18"/>
          <w:color w:val="auto"/>
        </w:rPr>
        <w:t>has served as the Chairman of our Supervisory Board since 2008. Mr. Jeggle has served as the Chief Executive Officer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Officer of ATHOS Service GmbH since 2015. From 2007 until 2015, Mr. Jeggle served as the Head of Direct Investments of ATHOS Service GmbH. From 2002 until 2007, Mr. Jeggle held various positions with Hexal AG, including Head of Business Planning &amp; Analyses. Mr. Jeggle is currently the Chief Executive Officer of each of Salvia GmbH (since 2014), Neula Holding GmbH (since 2010) and AT-Gruppe (since 2008) and a manager of Santo Group (since 2011). Mr. Jeggle is a member of numerous supervisory boards, including 4SC AG. Mr. Jeggle has a degree in business administration from the University of Applied Sciences Neu-Ulm and earned his Master of Business Administration from the Stuttgart Institute of Management and Technology.</w:t>
      </w:r>
    </w:p>
    <w:p>
      <w:pPr>
        <w:spacing w:after="0" w:line="189"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b w:val="1"/>
          <w:bCs w:val="1"/>
          <w:color w:val="auto"/>
        </w:rPr>
        <w:t xml:space="preserve">Michael Motschmann </w:t>
      </w:r>
      <w:r>
        <w:rPr>
          <w:rFonts w:ascii="Arial" w:cs="Arial" w:eastAsia="Arial" w:hAnsi="Arial"/>
          <w:sz w:val="18"/>
          <w:szCs w:val="18"/>
          <w:color w:val="auto"/>
        </w:rPr>
        <w:t>has served as a member of our Supervisory Board since 2008. Mr. Motschmann co-founded MIG Verwaltungs AG, or</w:t>
      </w:r>
      <w:r>
        <w:rPr>
          <w:rFonts w:ascii="Arial" w:cs="Arial" w:eastAsia="Arial" w:hAnsi="Arial"/>
          <w:sz w:val="18"/>
          <w:szCs w:val="18"/>
          <w:b w:val="1"/>
          <w:bCs w:val="1"/>
          <w:color w:val="auto"/>
        </w:rPr>
        <w:t xml:space="preserve"> </w:t>
      </w:r>
      <w:r>
        <w:rPr>
          <w:rFonts w:ascii="Arial" w:cs="Arial" w:eastAsia="Arial" w:hAnsi="Arial"/>
          <w:sz w:val="18"/>
          <w:szCs w:val="18"/>
          <w:color w:val="auto"/>
        </w:rPr>
        <w:t>MIG, in 2004, where he serves on the Management Board and as Head of Equity Investments. In his role with MIG, Mr. Motschmann currently serves on the supervisory boards of several private portfolio companies.</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7"/>
          <w:szCs w:val="17"/>
          <w:b w:val="1"/>
          <w:bCs w:val="1"/>
          <w:color w:val="auto"/>
        </w:rPr>
        <w:t xml:space="preserve">Prof. Christoph Huber, M.D. </w:t>
      </w:r>
      <w:r>
        <w:rPr>
          <w:rFonts w:ascii="Arial" w:cs="Arial" w:eastAsia="Arial" w:hAnsi="Arial"/>
          <w:sz w:val="17"/>
          <w:szCs w:val="17"/>
          <w:color w:val="auto"/>
        </w:rPr>
        <w:t>is a co-founder of BioNTech and has served as a member of our Supervisory Board since 2008. Prof. Huber has</w:t>
      </w:r>
      <w:r>
        <w:rPr>
          <w:rFonts w:ascii="Arial" w:cs="Arial" w:eastAsia="Arial" w:hAnsi="Arial"/>
          <w:sz w:val="17"/>
          <w:szCs w:val="17"/>
          <w:b w:val="1"/>
          <w:bCs w:val="1"/>
          <w:color w:val="auto"/>
        </w:rPr>
        <w:t xml:space="preserve"> </w:t>
      </w:r>
      <w:r>
        <w:rPr>
          <w:rFonts w:ascii="Arial" w:cs="Arial" w:eastAsia="Arial" w:hAnsi="Arial"/>
          <w:sz w:val="17"/>
          <w:szCs w:val="17"/>
          <w:color w:val="auto"/>
        </w:rPr>
        <w:t>more than 50 years of professional experience in hematology, oncology and translational immunology. Prof. Huber has since 2014 served as Chairman Emeritus of the Department of Hematology and Oncology at the Johannes-Gutenberg University Mainz. Prof. Huber was a co-founder of Ganymed, now a subsidiary of Astellas Pharma Inc. He is President of CIMT and a board member of Ci3. From 2018 to April 2019, Prof. Huber served as a member of the supervisory board of TRON. Prof. Huber earned his M.D. at the University of Innsbruck.</w:t>
      </w:r>
    </w:p>
    <w:p>
      <w:pPr>
        <w:spacing w:after="0" w:line="168"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b w:val="1"/>
          <w:bCs w:val="1"/>
          <w:color w:val="auto"/>
        </w:rPr>
        <w:t xml:space="preserve">Dr. Ulrich Wandschneider, Ph.D. </w:t>
      </w:r>
      <w:r>
        <w:rPr>
          <w:rFonts w:ascii="Arial" w:cs="Arial" w:eastAsia="Arial" w:hAnsi="Arial"/>
          <w:sz w:val="16"/>
          <w:szCs w:val="16"/>
          <w:color w:val="auto"/>
        </w:rPr>
        <w:t>has served as a member of our Supervisory Board since 2018. Dr. Wandschneider has more than 20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healthcare sector as a manager in the operative business and as a member of boards and committees. From 2011 to 2016</w:t>
      </w:r>
    </w:p>
    <w:p>
      <w:pPr>
        <w:spacing w:after="0" w:line="1" w:lineRule="exact"/>
        <w:rPr>
          <w:sz w:val="20"/>
          <w:szCs w:val="20"/>
          <w:color w:val="auto"/>
        </w:rPr>
      </w:pPr>
    </w:p>
    <w:p>
      <w:pPr>
        <w:ind w:left="120" w:right="860"/>
        <w:spacing w:after="0" w:line="260" w:lineRule="auto"/>
        <w:rPr>
          <w:sz w:val="20"/>
          <w:szCs w:val="20"/>
          <w:color w:val="auto"/>
        </w:rPr>
      </w:pPr>
      <w:r>
        <w:rPr>
          <w:rFonts w:ascii="Arial" w:cs="Arial" w:eastAsia="Arial" w:hAnsi="Arial"/>
          <w:sz w:val="18"/>
          <w:szCs w:val="18"/>
          <w:color w:val="auto"/>
        </w:rPr>
        <w:t>Dr. Wandschneider served as Chief Executive Officer of Asklepios Kliniken GmbH &amp; Co. KGaA. Dr. Wandschneider currently serves on the supervisory board of Mediclin AG.</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Two-Tiered Board Structure</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 European public company with limited liability (</w:t>
      </w:r>
      <w:r>
        <w:rPr>
          <w:rFonts w:ascii="Arial" w:cs="Arial" w:eastAsia="Arial" w:hAnsi="Arial"/>
          <w:sz w:val="17"/>
          <w:szCs w:val="17"/>
          <w:i w:val="1"/>
          <w:iCs w:val="1"/>
          <w:color w:val="auto"/>
        </w:rPr>
        <w:t>Societas Europaea</w:t>
      </w:r>
      <w:r>
        <w:rPr>
          <w:rFonts w:ascii="Arial" w:cs="Arial" w:eastAsia="Arial" w:hAnsi="Arial"/>
          <w:sz w:val="17"/>
          <w:szCs w:val="17"/>
          <w:color w:val="auto"/>
        </w:rPr>
        <w:t xml:space="preserve"> or SE) (also referred to as European stock corporation, and in the official terminology of the European legislation referred to as European public limited-liability company), having its seat in Germany. We accordingly are subject to the European legislation on the </w:t>
      </w:r>
      <w:r>
        <w:rPr>
          <w:rFonts w:ascii="Arial" w:cs="Arial" w:eastAsia="Arial" w:hAnsi="Arial"/>
          <w:sz w:val="17"/>
          <w:szCs w:val="17"/>
          <w:i w:val="1"/>
          <w:iCs w:val="1"/>
          <w:color w:val="auto"/>
        </w:rPr>
        <w:t>Societas Europaea</w:t>
      </w:r>
      <w:r>
        <w:rPr>
          <w:rFonts w:ascii="Arial" w:cs="Arial" w:eastAsia="Arial" w:hAnsi="Arial"/>
          <w:sz w:val="17"/>
          <w:szCs w:val="17"/>
          <w:color w:val="auto"/>
        </w:rPr>
        <w:t>, namely the Council Regulation (EC) No 2157/2001 of October 8, 2001 on the Statute for a European company, or the SE Regulation; and the German Act on the Implementation of Council Regulation (EC) No 2157/2001 of October 8, 2001 on the Statute for a European company (SE) (</w:t>
      </w:r>
      <w:r>
        <w:rPr>
          <w:rFonts w:ascii="Arial" w:cs="Arial" w:eastAsia="Arial" w:hAnsi="Arial"/>
          <w:sz w:val="17"/>
          <w:szCs w:val="17"/>
          <w:i w:val="1"/>
          <w:iCs w:val="1"/>
          <w:color w:val="auto"/>
        </w:rPr>
        <w:t>Gesetz zur Ausführung der Verordnung</w:t>
      </w:r>
      <w:r>
        <w:rPr>
          <w:rFonts w:ascii="Arial" w:cs="Arial" w:eastAsia="Arial" w:hAnsi="Arial"/>
          <w:sz w:val="17"/>
          <w:szCs w:val="17"/>
          <w:color w:val="auto"/>
        </w:rPr>
        <w:t xml:space="preserve"> (EG) NR. 2157/2001 des Rates vom 8. Oktober 2001 über das Statut der Europäischen Gesellschaft (SE) (SE-</w:t>
      </w:r>
      <w:r>
        <w:rPr>
          <w:rFonts w:ascii="Arial" w:cs="Arial" w:eastAsia="Arial" w:hAnsi="Arial"/>
          <w:sz w:val="17"/>
          <w:szCs w:val="17"/>
          <w:i w:val="1"/>
          <w:iCs w:val="1"/>
          <w:color w:val="auto"/>
        </w:rPr>
        <w:t>Ausführungsgesetz</w:t>
      </w:r>
      <w:r>
        <w:rPr>
          <w:rFonts w:ascii="Arial" w:cs="Arial" w:eastAsia="Arial" w:hAnsi="Arial"/>
          <w:sz w:val="17"/>
          <w:szCs w:val="17"/>
          <w:color w:val="auto"/>
        </w:rPr>
        <w:t>—SEAG), as well as—insofar as applicable pursuant to the SE Regulation—to the German legislation on stock corporations, most importantly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In accordance with these statutes, we have chosen to have a two tiered structure. Hence, our corporate bodies are the Management Board (</w:t>
      </w:r>
      <w:r>
        <w:rPr>
          <w:rFonts w:ascii="Arial" w:cs="Arial" w:eastAsia="Arial" w:hAnsi="Arial"/>
          <w:sz w:val="17"/>
          <w:szCs w:val="17"/>
          <w:i w:val="1"/>
          <w:iCs w:val="1"/>
          <w:color w:val="auto"/>
        </w:rPr>
        <w:t>Vorstand</w:t>
      </w:r>
      <w:r>
        <w:rPr>
          <w:rFonts w:ascii="Arial" w:cs="Arial" w:eastAsia="Arial" w:hAnsi="Arial"/>
          <w:sz w:val="17"/>
          <w:szCs w:val="17"/>
          <w:color w:val="auto"/>
        </w:rPr>
        <w:t>), the Supervisory Board (</w:t>
      </w:r>
      <w:r>
        <w:rPr>
          <w:rFonts w:ascii="Arial" w:cs="Arial" w:eastAsia="Arial" w:hAnsi="Arial"/>
          <w:sz w:val="17"/>
          <w:szCs w:val="17"/>
          <w:i w:val="1"/>
          <w:iCs w:val="1"/>
          <w:color w:val="auto"/>
        </w:rPr>
        <w:t>Aufsichtsrat</w:t>
      </w:r>
      <w:r>
        <w:rPr>
          <w:rFonts w:ascii="Arial" w:cs="Arial" w:eastAsia="Arial" w:hAnsi="Arial"/>
          <w:sz w:val="17"/>
          <w:szCs w:val="17"/>
          <w:color w:val="auto"/>
        </w:rPr>
        <w:t>) and the shareholders’ meeting (</w:t>
      </w:r>
      <w:r>
        <w:rPr>
          <w:rFonts w:ascii="Arial" w:cs="Arial" w:eastAsia="Arial" w:hAnsi="Arial"/>
          <w:sz w:val="17"/>
          <w:szCs w:val="17"/>
          <w:i w:val="1"/>
          <w:iCs w:val="1"/>
          <w:color w:val="auto"/>
        </w:rPr>
        <w:t>Hauptversammlung</w:t>
      </w:r>
      <w:r>
        <w:rPr>
          <w:rFonts w:ascii="Arial" w:cs="Arial" w:eastAsia="Arial" w:hAnsi="Arial"/>
          <w:sz w:val="17"/>
          <w:szCs w:val="17"/>
          <w:color w:val="auto"/>
        </w:rPr>
        <w:t>). Our Management and Supervisory Boards are entirely separate, and, as a rule, no individual may simultaneously be a member of both boards.</w:t>
      </w:r>
    </w:p>
    <w:p>
      <w:pPr>
        <w:spacing w:after="0" w:line="185"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Our Management Board is responsible for the day-to-day management of our business in accordance with applicable laws,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and the Management Board’s internal rules of procedure (</w:t>
      </w:r>
      <w:r>
        <w:rPr>
          <w:rFonts w:ascii="Arial" w:cs="Arial" w:eastAsia="Arial" w:hAnsi="Arial"/>
          <w:sz w:val="18"/>
          <w:szCs w:val="18"/>
          <w:i w:val="1"/>
          <w:iCs w:val="1"/>
          <w:color w:val="auto"/>
        </w:rPr>
        <w:t>Geschäftsordnung</w:t>
      </w:r>
      <w:r>
        <w:rPr>
          <w:rFonts w:ascii="Arial" w:cs="Arial" w:eastAsia="Arial" w:hAnsi="Arial"/>
          <w:sz w:val="18"/>
          <w:szCs w:val="18"/>
          <w:color w:val="auto"/>
        </w:rPr>
        <w:t>). Our Management Board represents us in our dealings with third parties.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Our Management Board and our Supervisory Board are solely responsible for and manage their own areas of competency (</w:t>
      </w:r>
      <w:r>
        <w:rPr>
          <w:rFonts w:ascii="Arial" w:cs="Arial" w:eastAsia="Arial" w:hAnsi="Arial"/>
          <w:sz w:val="16"/>
          <w:szCs w:val="16"/>
          <w:i w:val="1"/>
          <w:iCs w:val="1"/>
          <w:color w:val="auto"/>
        </w:rPr>
        <w:t>Kompetenztrennung</w:t>
      </w:r>
      <w:r>
        <w:rPr>
          <w:rFonts w:ascii="Arial" w:cs="Arial" w:eastAsia="Arial" w:hAnsi="Arial"/>
          <w:sz w:val="16"/>
          <w:szCs w:val="16"/>
          <w:color w:val="auto"/>
        </w:rPr>
        <w:t>); therefore, neither board may make decisions that, pursuant to applicable law, our Articles of Association or the internal rules of procedure are the responsibility of the other board. Members of both boards owe a duty of loyalty and care to us. In carrying out their duties, they are required to exercise the standard of care of a prudent and diligent businessperson. If they fail to observe the appropriate standard of care, they may become liable to us.</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carrying out their duties, the members of both boards must take into account a broad range of considerations when making decisions, including our interests and the interests of our shareholders, employees, creditors and, to a limited extent, the general public, while respecting the rights of our shareholders to be treated on equal terms. Additionally, the Management Board is responsible for implementing an internal monitoring system for risk management purposes.</w:t>
      </w:r>
    </w:p>
    <w:p>
      <w:pPr>
        <w:spacing w:after="0" w:line="18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Our Supervisory Board has comprehensive monitoring responsibilities. To ensure that our Supervisory Board can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or any of its members is entitled to request special reports from the Management Board on all matters regarding the Company, our legal and business relations with affiliated companies and any business transactions and matters at such affiliated companies that may have a significant impact on our position at any time.</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Under German law, our shareholders have no direct recourse against the members of our Management Board or the members of our Supervisory Board in the event that they are believed to have breached their duty of loyalty and care to us. Apart from insolvency or other special circumstances, only we have the right to claim damages against the members of our two boards.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may waive these claims to damages or settle these claims only if at least three years have passed since a claim associated with any violation of a duty has arisen and only if our shareholders approve the waiver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00"/>
          </w:cols>
          <w:pgMar w:left="320" w:top="459"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settlement at a shareholders’ meeting with a simple majority of the votes cast, provided that no shareholders who in the aggregate hold one-tenth or more of our share capital oppose the waiver or settlement and have their opposition formally recorded in the meeting’s minutes maintained by a German civil law notary.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Supervisory Board</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German law requires that the Supervisory Board consists of at least three members, while a company’s articles of association may stipulate a certain higher number. Our Supervisory Board currently consists of four members.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we are not subject to co-determination, the members of our Supervisory Board are all elected by the shareholders’ meeting in accordance with the provisions of the SE Regulation and the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 German law does not require the majority of our Supervisory Board members to be independent and neither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nor the rules of procedure for our Supervisory Board provide otherwise. However, the rules of procedure for our Supervisory Board provide that the Supervisory Board shall, taken as a whole, comprise of, in its own estimation, an adequate number of independent members.</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Under European law, a member of a supervisory board of an SE may be elected for a maximum term to be specified in the articles of association, which must not exceed six years. Re-election, including repeated re-election, is permissible. The shareholders’ meeting may specify a term of office for individual members or all of the members of our Supervisory Board which is shorter than the standard term of office and, subject to statutory limits, may set different start and end dates for the terms of members of our Supervisory Board. Our Articles of Association provide for a term of approximately five years, depending on the date of the annual general shareholders’ meeting in the year in which the term of the relevant member is to expire.</w:t>
      </w:r>
    </w:p>
    <w:p>
      <w:pPr>
        <w:spacing w:after="0" w:line="16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shareholders’ meeting may, at the same time as it elects the members of the Supervisory Board, elect one or more substitute members. The substitute members replace members who cease to be members of our Supervisory Board and take their place for the remainder of their respective terms of office. Currently, no substitute members have been elected or have been proposed to be elected.</w:t>
      </w:r>
    </w:p>
    <w:p>
      <w:pPr>
        <w:spacing w:after="0" w:line="184"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Members of our Supervisory Board may be dismissed at any time during their term of office by a resolution of the shareholders’ meeting adopted by at least a simple majority of the votes cast. In addition, any member of our Supervisory Board may resign at any time by giving one month’s written notice—or, in the event of cause, giving written notice with immediate effect—of his or her resignation to the chairperson of our Supervisory Board (in case the chairperson resigns, such notice is to be given to the deputy chairperson) or to the Management Board.</w:t>
      </w:r>
    </w:p>
    <w:p>
      <w:pPr>
        <w:spacing w:after="0" w:line="171"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Our Supervisory Board elects a chairperson and a deputy chairperson from its members. The deputy chairperson exercises the chairperson’s rights and obligations whenever the chairperson is unable to do so. The members of our Supervisory Board have elected Mr. Helmut Jeggle as chairperson and Dr. Ulrich Wandschneider as deputy chairperson, each for the term of their respective membership on our Supervisory Board.</w:t>
      </w:r>
    </w:p>
    <w:p>
      <w:pPr>
        <w:spacing w:after="0" w:line="14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Supervisory Board meets at least twice each calendar half-year. Our Articles of Association provide that a quorum of the Supervisory Board members is present if at least three of its members participate in the vote. Members of our Supervisory Board are deemed present if they attend the meeting via telephone or other (electronic) means of communication (including via video conference) or submit their written vote through another member. Additionally, our Articles of Association allow for resolutions to be taken via telephone or other (electronic) means of communications (including via video conference).</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Resolutions of our Supervisory Board are passed by the vote of a simple majority of the votes cast unless otherwise required by law, our Articles of Association or the rules of procedure of our Supervisory Board.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event of a tie, the chairperson of the Supervisory Board has the casting vote. Our Supervisory Board is not permitted to make management decisions, but in accordance with European and German law and in addition to its statutory responsibilities, it has determined that certain matters require its prior consent, including:</w:t>
      </w:r>
    </w:p>
    <w:p>
      <w:pPr>
        <w:spacing w:after="0" w:line="89" w:lineRule="exact"/>
        <w:rPr>
          <w:sz w:val="20"/>
          <w:szCs w:val="20"/>
          <w:color w:val="auto"/>
        </w:rPr>
      </w:pPr>
    </w:p>
    <w:p>
      <w:pPr>
        <w:ind w:left="980" w:hanging="324"/>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conducting an initial public offering;</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entering into certain large transactions;</w:t>
      </w:r>
    </w:p>
    <w:p>
      <w:pPr>
        <w:spacing w:after="0" w:line="13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creating or holding any interest in businesses (except wholly-owned subsidiaries) or disposing of shares in businesses (except for a sale of JPT);</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issuing shares from authorized capital, unless the shares are issued pursuant to a redemption of stock appreciation rights;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acquiring treasury shares in return for valuable consideration.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Supervisory Board Practices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Decisions are generally made by our Supervisory Board as a whole, however decisions on certain matters may be delegated to committees of our Supervisory Board to the extent permitted by law. The chairperson, or if he or she is prevented from doing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 Our Supervisory Board may designate further types of actions as requiring its approval.</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each member of the Supervisory Board is obliged to carry out his or her duties and responsibilities personally, and such duties and responsibilities cannot be generally and permanently delegated to third parties. However, the Supervisory Board and its committees have the right to appoint independent experts for the review and analysis of specific circumstances in accordance with its control and supervision duties under applicable European and German law. We would bear the costs for any such independent experts that are retained by the Supervisory Board or any of its committees.</w:t>
      </w:r>
    </w:p>
    <w:p>
      <w:pPr>
        <w:spacing w:after="0" w:line="188"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Pursuant to Section 107 para. 3 of the German Stock Corporation Act (</w:t>
      </w:r>
      <w:r>
        <w:rPr>
          <w:rFonts w:ascii="Arial" w:cs="Arial" w:eastAsia="Arial" w:hAnsi="Arial"/>
          <w:sz w:val="16"/>
          <w:szCs w:val="16"/>
          <w:i w:val="1"/>
          <w:iCs w:val="1"/>
          <w:color w:val="auto"/>
        </w:rPr>
        <w:t>Aktiengesetz</w:t>
      </w:r>
      <w:r>
        <w:rPr>
          <w:rFonts w:ascii="Arial" w:cs="Arial" w:eastAsia="Arial" w:hAnsi="Arial"/>
          <w:sz w:val="16"/>
          <w:szCs w:val="16"/>
          <w:color w:val="auto"/>
        </w:rPr>
        <w:t>), the supervisory board may form committees from among its members and charge them with the performance of specific tasks. The committees’ tasks, authorizations and processes are determined by the supervisory board. Where permissible by law, important powers of the supervisory board may also be transferred to committees.</w:t>
      </w:r>
    </w:p>
    <w:p>
      <w:pPr>
        <w:spacing w:after="0" w:line="149"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By resolution, the Supervisory Board has established an Audit Committee and a Remuneration, Nominating and Governance Committee. Set forth in the table below are the current members of the Audit Committee and the Remuneration, Nominating and Corporate Governance Committee.</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28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b w:val="1"/>
                <w:bCs w:val="1"/>
                <w:color w:val="auto"/>
              </w:rPr>
              <w:t>Name of Committee</w:t>
            </w:r>
          </w:p>
        </w:tc>
        <w:tc>
          <w:tcPr>
            <w:tcW w:w="1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Current Members</w:t>
            </w:r>
          </w:p>
        </w:tc>
      </w:tr>
      <w:tr>
        <w:trPr>
          <w:trHeight w:val="195"/>
        </w:trPr>
        <w:tc>
          <w:tcPr>
            <w:tcW w:w="5280" w:type="dxa"/>
            <w:vAlign w:val="bottom"/>
          </w:tcPr>
          <w:p>
            <w:pPr>
              <w:jc w:val="right"/>
              <w:ind w:right="3934"/>
              <w:spacing w:after="0" w:line="195" w:lineRule="exact"/>
              <w:rPr>
                <w:sz w:val="20"/>
                <w:szCs w:val="20"/>
                <w:color w:val="auto"/>
              </w:rPr>
            </w:pPr>
            <w:r>
              <w:rPr>
                <w:rFonts w:ascii="Arial" w:cs="Arial" w:eastAsia="Arial" w:hAnsi="Arial"/>
                <w:sz w:val="18"/>
                <w:szCs w:val="18"/>
                <w:color w:val="auto"/>
                <w:w w:val="93"/>
              </w:rPr>
              <w:t>Audit Committee</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Dr. Ulrich Wandschneider</w:t>
            </w:r>
          </w:p>
        </w:tc>
      </w:tr>
      <w:tr>
        <w:trPr>
          <w:trHeight w:val="216"/>
        </w:trPr>
        <w:tc>
          <w:tcPr>
            <w:tcW w:w="5280" w:type="dxa"/>
            <w:vAlign w:val="bottom"/>
          </w:tcPr>
          <w:p>
            <w:pPr>
              <w:jc w:val="right"/>
              <w:ind w:right="394"/>
              <w:spacing w:after="0"/>
              <w:rPr>
                <w:sz w:val="20"/>
                <w:szCs w:val="20"/>
                <w:color w:val="auto"/>
              </w:rPr>
            </w:pPr>
            <w:r>
              <w:rPr>
                <w:rFonts w:ascii="Arial" w:cs="Arial" w:eastAsia="Arial" w:hAnsi="Arial"/>
                <w:sz w:val="18"/>
                <w:szCs w:val="18"/>
                <w:color w:val="auto"/>
                <w:w w:val="90"/>
              </w:rPr>
              <w:t>Remuneration, Nominating and Corporate Governance Committee</w:t>
            </w:r>
          </w:p>
        </w:tc>
        <w:tc>
          <w:tcPr>
            <w:tcW w:w="1540" w:type="dxa"/>
            <w:vAlign w:val="bottom"/>
          </w:tcPr>
          <w:p>
            <w:pPr>
              <w:spacing w:after="0"/>
              <w:rPr>
                <w:sz w:val="18"/>
                <w:szCs w:val="18"/>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w w:val="94"/>
              </w:rPr>
              <w:t>Michael Motschmann, Prof. Christopher Huber, M.D.</w:t>
            </w:r>
          </w:p>
        </w:tc>
      </w:tr>
      <w:tr>
        <w:trPr>
          <w:trHeight w:val="230"/>
        </w:trPr>
        <w:tc>
          <w:tcPr>
            <w:tcW w:w="5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and Dr. Ulrich Wandschneider</w:t>
            </w:r>
          </w:p>
        </w:tc>
      </w:tr>
      <w:tr>
        <w:trPr>
          <w:trHeight w:val="554"/>
        </w:trPr>
        <w:tc>
          <w:tcPr>
            <w:tcW w:w="5280" w:type="dxa"/>
            <w:vAlign w:val="bottom"/>
          </w:tcPr>
          <w:p>
            <w:pPr>
              <w:jc w:val="right"/>
              <w:ind w:right="3494"/>
              <w:spacing w:after="0"/>
              <w:rPr>
                <w:sz w:val="20"/>
                <w:szCs w:val="20"/>
                <w:color w:val="auto"/>
              </w:rPr>
            </w:pPr>
            <w:r>
              <w:rPr>
                <w:rFonts w:ascii="Arial" w:cs="Arial" w:eastAsia="Arial" w:hAnsi="Arial"/>
                <w:sz w:val="18"/>
                <w:szCs w:val="18"/>
                <w:b w:val="1"/>
                <w:bCs w:val="1"/>
                <w:i w:val="1"/>
                <w:iCs w:val="1"/>
                <w:color w:val="auto"/>
              </w:rPr>
              <w:t>Audit Committee</w:t>
            </w: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24"/>
        </w:trPr>
        <w:tc>
          <w:tcPr>
            <w:tcW w:w="5280" w:type="dxa"/>
            <w:vAlign w:val="bottom"/>
          </w:tcPr>
          <w:p>
            <w:pPr>
              <w:jc w:val="right"/>
              <w:ind w:right="414"/>
              <w:spacing w:after="0"/>
              <w:rPr>
                <w:sz w:val="20"/>
                <w:szCs w:val="20"/>
                <w:color w:val="auto"/>
              </w:rPr>
            </w:pPr>
            <w:r>
              <w:rPr>
                <w:rFonts w:ascii="Arial" w:cs="Arial" w:eastAsia="Arial" w:hAnsi="Arial"/>
                <w:sz w:val="18"/>
                <w:szCs w:val="18"/>
                <w:color w:val="auto"/>
              </w:rPr>
              <w:t>Our Audit Committee consists of Dr. Ulrich Wandschneider,</w:t>
            </w:r>
          </w:p>
        </w:tc>
        <w:tc>
          <w:tcPr>
            <w:tcW w:w="1540" w:type="dxa"/>
            <w:vAlign w:val="bottom"/>
          </w:tcPr>
          <w:p>
            <w:pPr>
              <w:ind w:left="500"/>
              <w:spacing w:after="0"/>
              <w:rPr>
                <w:sz w:val="20"/>
                <w:szCs w:val="20"/>
                <w:color w:val="auto"/>
              </w:rPr>
            </w:pPr>
            <w:r>
              <w:rPr>
                <w:rFonts w:ascii="Arial" w:cs="Arial" w:eastAsia="Arial" w:hAnsi="Arial"/>
                <w:sz w:val="18"/>
                <w:szCs w:val="18"/>
                <w:color w:val="auto"/>
              </w:rPr>
              <w:t>and</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w w:val="99"/>
              </w:rPr>
              <w:t>. Dr. Ulrich Wandschneider is the chair of the Audit</w:t>
            </w:r>
          </w:p>
        </w:tc>
      </w:tr>
    </w:tbl>
    <w:p>
      <w:pPr>
        <w:ind w:left="120" w:right="40"/>
        <w:spacing w:after="0" w:line="255" w:lineRule="auto"/>
        <w:rPr>
          <w:sz w:val="20"/>
          <w:szCs w:val="20"/>
          <w:color w:val="auto"/>
        </w:rPr>
      </w:pPr>
      <w:r>
        <w:rPr>
          <w:rFonts w:ascii="Arial" w:cs="Arial" w:eastAsia="Arial" w:hAnsi="Arial"/>
          <w:sz w:val="18"/>
          <w:szCs w:val="18"/>
          <w:color w:val="auto"/>
        </w:rPr>
        <w:t>Committee. The Audit Committee assists the Supervisory Board in overseeing the accuracy and integrity of our financial statements, our accounting and financial reporting processes and audits of our financial statements, the effective functioning of our internal control system, our risk management system, our compliance with legal and regulatory requirements, our independent auditor’s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qualifications and independence, the performance of the independent auditor and the effective functioning of our internal audit functions, and, subject to certain limitations, to adopt and implement pertinent decisions on behalf of the Supervisory Board. The Audit Committee’s duties and responsibilities to carry out its purpose, include, among others:</w:t>
      </w:r>
    </w:p>
    <w:p>
      <w:pPr>
        <w:spacing w:after="0" w:line="89" w:lineRule="exact"/>
        <w:rPr>
          <w:sz w:val="20"/>
          <w:szCs w:val="20"/>
          <w:color w:val="auto"/>
        </w:rPr>
      </w:pPr>
    </w:p>
    <w:p>
      <w:pPr>
        <w:ind w:left="980" w:hanging="324"/>
        <w:spacing w:after="0"/>
        <w:tabs>
          <w:tab w:leader="none" w:pos="9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considering the commissioning of the audit engagement, as well as the compensation, retention and oversight of the independent auditor;</w:t>
      </w:r>
    </w:p>
    <w:p>
      <w:pPr>
        <w:spacing w:after="0" w:line="153" w:lineRule="exact"/>
        <w:rPr>
          <w:rFonts w:ascii="Arial" w:cs="Arial" w:eastAsia="Arial" w:hAnsi="Arial"/>
          <w:sz w:val="16"/>
          <w:szCs w:val="16"/>
          <w:color w:val="auto"/>
        </w:rPr>
      </w:pPr>
    </w:p>
    <w:p>
      <w:pPr>
        <w:ind w:left="980" w:hanging="324"/>
        <w:spacing w:after="0"/>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the independent auditor;</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reviewing and pre-approving the audit and non-audit services to be performed by the independent auditor;</w:t>
      </w:r>
    </w:p>
    <w:p>
      <w:pPr>
        <w:spacing w:after="0" w:line="13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the annual audit plan, including critical accounting policies and practices to be used;</w:t>
      </w:r>
    </w:p>
    <w:p>
      <w:pPr>
        <w:spacing w:after="0" w:line="7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the adequacy and effectiveness of our internal accounting controls and critical accounting policies;</w:t>
      </w:r>
    </w:p>
    <w:p>
      <w:pPr>
        <w:spacing w:after="0" w:line="7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the results of our annual audit and the review of our quarterly unaudited financial statements;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any quarterly or annual earnings announcements;</w:t>
      </w:r>
    </w:p>
    <w:p>
      <w:pPr>
        <w:spacing w:after="0" w:line="13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reviewing and approving, as appropriate, any related party transactions and reviewing and monitoring potential conflict of interest situations on an ongoing basis for compliance with our policies and procedures;</w:t>
      </w:r>
    </w:p>
    <w:p>
      <w:pPr>
        <w:spacing w:after="0" w:line="7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overseeing procedures for the receipt, retention and treatment of complaints received regarding accounting, internal accounting controls or auditing matters; and</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reviewing and evaluating the performance of the Audit Committee and its members.</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Within the limits of applicable European and German law, the Audit Committee shall have the resources and authority appropriate to discharge its duties and responsibilities, including the authority to select, retain, terminate, and approve the fees and other engagement terms of special or independent counsel, accountants or other experts and advisors, as it deems necessary or appropriate for so discharging its duties and responsibilities, without seeking approval of the Management Board or Supervisory Board. The Audit Committee has legal power to enter into the contract on our behalf and we will be bound to these and will be obliged to discharge any obligations as the Audit Committee may incur on our behalf for these purposes.</w:t>
      </w:r>
    </w:p>
    <w:p>
      <w:pPr>
        <w:spacing w:after="0" w:line="16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Each member of the Audit Committee qualifies as an “independent director” as such term is defined in Rule 10A-3 under the Exchange Act and Nasdaq Rule 5605. Additionally, our Supervisory Board has determined that qualifies as an “audit committee financial expert” as that term is defined under the Exchange Act.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Remuneration, Nominating and Corporate Governance Committee</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Our Remuneration, Nominating and Corporate Governance Committee consists of Michael Motschmann, Prof. Christopher Huber, M.D. and Dr. Ulrich Wandschneider. Mr. Motschmann is the chair of the committee. The Remuneration, Nominating and Corporate Governance Committee’s duties and responsibilities to carry out its purpose include, among others:</w:t>
      </w:r>
    </w:p>
    <w:p>
      <w:pPr>
        <w:spacing w:after="0" w:line="89" w:lineRule="exact"/>
        <w:rPr>
          <w:sz w:val="20"/>
          <w:szCs w:val="20"/>
          <w:color w:val="auto"/>
        </w:rPr>
      </w:pPr>
    </w:p>
    <w:p>
      <w:pPr>
        <w:ind w:left="980" w:hanging="324"/>
        <w:spacing w:after="0"/>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preparing and discussing with management policies relating to the remuneration of the members of our Management Board;</w:t>
      </w:r>
    </w:p>
    <w:p>
      <w:pPr>
        <w:spacing w:after="0" w:line="130" w:lineRule="exact"/>
        <w:rPr>
          <w:rFonts w:ascii="Arial" w:cs="Arial" w:eastAsia="Arial" w:hAnsi="Arial"/>
          <w:sz w:val="18"/>
          <w:szCs w:val="18"/>
          <w:color w:val="auto"/>
        </w:rPr>
      </w:pPr>
    </w:p>
    <w:p>
      <w:pPr>
        <w:ind w:left="980" w:right="120" w:hanging="324"/>
        <w:spacing w:after="0" w:line="263" w:lineRule="auto"/>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reviewing and supervising corporate goals and objectives for the remuneration of the members of the Management Board, including evaluation of the performance of the members of the Management Board in light of these goals and proposals to the Supervisory Board for remuneration based on such evaluations;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280" w:hanging="324"/>
        <w:spacing w:after="0" w:line="277" w:lineRule="auto"/>
        <w:tabs>
          <w:tab w:leader="none" w:pos="9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reviewing all equity-based compensation plans and arrangements and making recommendations to the Supervisory Board regarding such plans;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assisting with identifying and recruiting candidates to fill positions on the Supervisory Board;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developing, recommending to the Supervisory Board and monitoring compliance with corporate governance policies;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delegated to it, overseeing the evaluation of the Supervisory Board and reporting on its performance and effectiveness;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reviewing and evaluating the performance of the Remuneration, Nominating and Corporate Governance Committee and its members.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of Supervisory Board Members</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Our Articles of Association provide for a fixed annual remuneration for each member of the Supervisory Board of €50,000 per year. However, the chairman is entitled to receive €150,000 per year and the vice chairman €75,000 per year. In addition, the chairman of the audit committee is entitled to be paid €20,000 per year. All members of the Supervisory Board are reimbursed for their expenses.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member of the Supervisory Board who serves for only a portion of a given fiscal year or who holds the position of chairman or vice chairman of the Supervisory Board or of chairman of the Audit Committee for only a portion of a given fiscal year shall only be remunerated pro rata. The same is true if the clause of the Articles of Association regarding the remuneration of the members of the Supervisory Board becomes ineffective (</w:t>
      </w:r>
      <w:r>
        <w:rPr>
          <w:rFonts w:ascii="Arial" w:cs="Arial" w:eastAsia="Arial" w:hAnsi="Arial"/>
          <w:sz w:val="18"/>
          <w:szCs w:val="18"/>
          <w:i w:val="1"/>
          <w:iCs w:val="1"/>
          <w:color w:val="auto"/>
        </w:rPr>
        <w:t>e.g</w:t>
      </w:r>
      <w:r>
        <w:rPr>
          <w:rFonts w:ascii="Arial" w:cs="Arial" w:eastAsia="Arial" w:hAnsi="Arial"/>
          <w:sz w:val="18"/>
          <w:szCs w:val="18"/>
          <w:color w:val="auto"/>
        </w:rPr>
        <w:t>., because it is repealed) during the course of a year.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case any remuneration or reimbursement of expenses is subject to value added tax, such amount shall be paid additionally by the Company.</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Board and Senior Management</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Pursuant to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our Management Board consists of at least two members. Our Supervisory Board determines the exact number of members of our Management Board. The Supervisory Board may also appoint a chairperson and a deputy chairperson of the Management Board. Prof. Ugur Sahin has been appointed chairman of the Management Board.</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members of our Management Board are appointed by our Supervisory Board for a term of up to five years. They are eligible for reappointment or extension, including repeated re-appointment and extension, after the completion of their term in office, in each case again for up to an additional five years. Under certain circumstances, such as a serious breach of duty or a vote of no confidence by the shareholders in a shareholders’ meeting, a member of the Management Board may be removed from office by our Supervisory Board prior to the expiration of his or her term.</w:t>
      </w:r>
    </w:p>
    <w:p>
      <w:pPr>
        <w:spacing w:after="0" w:line="157" w:lineRule="exact"/>
        <w:rPr>
          <w:sz w:val="20"/>
          <w:szCs w:val="20"/>
          <w:color w:val="auto"/>
        </w:rPr>
      </w:pPr>
    </w:p>
    <w:p>
      <w:pPr>
        <w:ind w:left="120" w:right="800" w:firstLine="440"/>
        <w:spacing w:after="0" w:line="259" w:lineRule="auto"/>
        <w:rPr>
          <w:sz w:val="20"/>
          <w:szCs w:val="20"/>
          <w:color w:val="auto"/>
        </w:rPr>
      </w:pPr>
      <w:r>
        <w:rPr>
          <w:rFonts w:ascii="Arial" w:cs="Arial" w:eastAsia="Arial" w:hAnsi="Arial"/>
          <w:sz w:val="18"/>
          <w:szCs w:val="18"/>
          <w:color w:val="auto"/>
        </w:rPr>
        <w:t>The members of our Management Board conduct the daily business of our company in accordance with applicable laws, our Articles of Association and the rules of procedure for the Management Board adopted by our Supervisory Board. They are generally responsible for the management of our company and for handling our daily business relations with third parties, the internal organization of our business and communications with our shareholders.</w:t>
      </w:r>
    </w:p>
    <w:p>
      <w:pPr>
        <w:spacing w:after="0" w:line="18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 member of the management board of an SE governed by German law may not deal with or vote on matters relating to proposals, arrangements or contractual agreements between himself or herself and our company, and a member of our Management Board may be liable to us if he or she has a material interest in any contractual agreement between our company and a third party which is not disclosed to and approved by our Supervisory Board.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rules of procedure for our Management Board provide that certain matters require a resolution of the entire Management Board, in addition to transactions for which a resolution adopted by the entire Management Board is required by law or required by our Articles of Association. In particular, the entire Management Board shall decide on, among others:</w:t>
      </w:r>
    </w:p>
    <w:p>
      <w:pPr>
        <w:spacing w:after="0" w:line="89" w:lineRule="exact"/>
        <w:rPr>
          <w:sz w:val="20"/>
          <w:szCs w:val="20"/>
          <w:color w:val="auto"/>
        </w:rPr>
      </w:pPr>
    </w:p>
    <w:p>
      <w:pPr>
        <w:ind w:left="980" w:right="340" w:hanging="324"/>
        <w:spacing w:after="0" w:line="277" w:lineRule="auto"/>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budget plan for the following year, which is to be presented by the Management Board to the Supervisory Board by November 15 of each year;</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reporting to the Supervisory Board;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measures and transactions that require the Supervisory Board’s approval;</w:t>
      </w:r>
    </w:p>
    <w:p>
      <w:pPr>
        <w:spacing w:after="0" w:line="13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measures and transactions relating to a business area that is of extraordinary importance to the us or involving an extraordinary economic risk;</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taking on new lines of business or discontinuing existing lines of business;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investments with a total value above €100,000;</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acquisitions or sales of interests or holdings;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our initial public offering;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certain large transactions.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Remuneration of the Members of Our Management Board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entered into agreements with all current members of our Management Board.</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believe that the agreements between us and the members of our Management Board provide for payments and benefits (including upon termination of employment) that are in line with customary market practice.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year ended December 31, 2018, the members of our Management Board received aggregate remuneration of €7.2 million.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Stock Ownership Plan</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November 15, 2018, we established a share option program under which we grant selected employees options to receive our shares. The program is designed as an Employee Stock Ownership Plan, or ESOP. We have offered the participants a certain number of rights by explicit acceptance of the participants. The exercise of the option rights in accordance with the agreement gives the participants the right to obtain shares against payment of the exercise price. The option rights vest over four years, can only be exercised if we have executed a public offering in the United States and when meeting the threshold amount. The threshold amount means the exercise price provided increases by eight percentage points on the first and then each subsequent anniversary of the allocation date (September 26, 2018). The option rights can be exercised at the latest eight years after the allocation date. If they have not been exercised by that date, they will forfeit without compensation.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German Corporate Governance Code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German Corporate Governance Code, or the Corporate Governance Code, was originally published by the German Federal Ministry of Justice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Bundesministerium der Justiz</w:t>
      </w:r>
      <w:r>
        <w:rPr>
          <w:rFonts w:ascii="Arial" w:cs="Arial" w:eastAsia="Arial" w:hAnsi="Arial"/>
          <w:sz w:val="17"/>
          <w:szCs w:val="17"/>
          <w:color w:val="auto"/>
        </w:rPr>
        <w:t>) in 2002 and was most recently amended on February 7, 2017 and published in the German Federal Gazette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Bundesanzeiger</w:t>
      </w:r>
      <w:r>
        <w:rPr>
          <w:rFonts w:ascii="Arial" w:cs="Arial" w:eastAsia="Arial" w:hAnsi="Arial"/>
          <w:sz w:val="17"/>
          <w:szCs w:val="17"/>
          <w:color w:val="auto"/>
        </w:rPr>
        <w:t>) on April 24, 2017. The Corporate Governance Code contains recommendations (</w:t>
      </w:r>
      <w:r>
        <w:rPr>
          <w:rFonts w:ascii="Arial" w:cs="Arial" w:eastAsia="Arial" w:hAnsi="Arial"/>
          <w:sz w:val="17"/>
          <w:szCs w:val="17"/>
          <w:i w:val="1"/>
          <w:iCs w:val="1"/>
          <w:color w:val="auto"/>
        </w:rPr>
        <w:t>Empfehlungen</w:t>
      </w:r>
      <w:r>
        <w:rPr>
          <w:rFonts w:ascii="Arial" w:cs="Arial" w:eastAsia="Arial" w:hAnsi="Arial"/>
          <w:sz w:val="17"/>
          <w:szCs w:val="17"/>
          <w:color w:val="auto"/>
        </w:rPr>
        <w:t>) and suggestions (</w:t>
      </w:r>
      <w:r>
        <w:rPr>
          <w:rFonts w:ascii="Arial" w:cs="Arial" w:eastAsia="Arial" w:hAnsi="Arial"/>
          <w:sz w:val="17"/>
          <w:szCs w:val="17"/>
          <w:i w:val="1"/>
          <w:iCs w:val="1"/>
          <w:color w:val="auto"/>
        </w:rPr>
        <w:t>Anregungen</w:t>
      </w:r>
      <w:r>
        <w:rPr>
          <w:rFonts w:ascii="Arial" w:cs="Arial" w:eastAsia="Arial" w:hAnsi="Arial"/>
          <w:sz w:val="17"/>
          <w:szCs w:val="17"/>
          <w:color w:val="auto"/>
        </w:rPr>
        <w: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relating to the management and supervision of German companies that are listed on a stock exchange. It follows internationally and nationally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recognized standards for good and responsible corporate governance. The purpose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 xml:space="preserve">of the Corporate Governance Code is to make the German system of corporate governance transparent for investors. The Corporate Governance Code includes corporate governance recommendations and suggestions with respect to shareholders and shareholders’ meetings, the management and supervisory boards, transparency, accounting policies and auditing. While the Corporate Governance Code was originally drafted with only the German stock corporation in mind, it is perceived to be also applicable to the two-tiered </w:t>
      </w:r>
      <w:r>
        <w:rPr>
          <w:rFonts w:ascii="Arial" w:cs="Arial" w:eastAsia="Arial" w:hAnsi="Arial"/>
          <w:sz w:val="17"/>
          <w:szCs w:val="17"/>
          <w:i w:val="1"/>
          <w:iCs w:val="1"/>
          <w:color w:val="auto"/>
        </w:rPr>
        <w:t>Societas Europaea</w:t>
      </w:r>
      <w:r>
        <w:rPr>
          <w:rFonts w:ascii="Arial" w:cs="Arial" w:eastAsia="Arial" w:hAnsi="Arial"/>
          <w:sz w:val="17"/>
          <w:szCs w:val="17"/>
          <w:color w:val="auto"/>
        </w:rPr>
        <w:t xml:space="preserve"> and hence to us.</w:t>
      </w:r>
    </w:p>
    <w:p>
      <w:pPr>
        <w:spacing w:after="0" w:line="17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There is no obligation to comply with the recommendations or suggestions of the Corporate Governance Code.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requires only that the management board and supervisory board of a German company listed on a trading facility (such as a stock exchange) regulated and supervised by government authorities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w:t>
      </w:r>
      <w:r>
        <w:rPr>
          <w:rFonts w:ascii="Arial" w:cs="Arial" w:eastAsia="Arial" w:hAnsi="Arial"/>
          <w:sz w:val="17"/>
          <w:szCs w:val="17"/>
          <w:i w:val="1"/>
          <w:iCs w:val="1"/>
          <w:color w:val="auto"/>
        </w:rPr>
        <w:t>Entsprechenserklärung</w:t>
      </w:r>
      <w:r>
        <w:rPr>
          <w:rFonts w:ascii="Arial" w:cs="Arial" w:eastAsia="Arial" w:hAnsi="Arial"/>
          <w:sz w:val="17"/>
          <w:szCs w:val="17"/>
          <w:color w:val="auto"/>
        </w:rPr>
        <w:t>). In addition, a listed company is also required to state in this annual declaration whether it intends to comply with the recommendations or list the recommendations it does not plan to comply with in the future. These declarations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8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While in our opinion it is doubtful whether the above legal requirements and hence the Corporate Governance Code will apply following our listing on the Nasdaq Global Select Market, we intend to issue the annual declaration described above on a voluntary basis. Therefore, our Management Board and Supervisory Board will comply with the Corporate Governance Code except for such provisions which are explicitly listed in the annual declaration and for which they provide an explanation of non-compliance.</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expect to deviate from certain recommendations and suggestions of the Corporate Governance Code. All deviations from the Corporate Governance Code recommendations will be published in the official annual declarations.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 and Conflicts of Interest Policy</w:t>
      </w:r>
    </w:p>
    <w:p>
      <w:pPr>
        <w:spacing w:after="0" w:line="121"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our affiliates and employees. The full text of the Code of Conduct is available on our website at https://www.biontech.de. The information and other content appearing on our website are not part of this prospectus and our website address is included in this prospectus as an inactive textual reference only. Any amendments or waivers from the provisions of the Code of Conduct for members of our Supervisory or Management Boards will be made only after approval by our Supervisory Board and will be disclosed on our website promptly following the date of such amendment or waiver.</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also adopted a Conflicts of Interest Policy which sets forth the procedures by which we manage potential and actual conflicts of interest. Under the Conflicts of Interest Policy, which applies to all of our Supervisory Board Members, Management Board members, directors of our subsidiaries and our affiliates and employees, an actual, potential or perceived conflict of interest must be disclosed as soon as a Board member, director or employee discovers the conflict. If the conflict is transactional in nature and involves a member of the Management Board or the Supervisory Board, the Management or Supervisory Board, as the case may be, with the abstention of the conflicted member, shall decide whether to approve the transaction.</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addition, we have implemented compliance policies that describe the compliance management systems that have been implemented for us and our subsidiaries. Our compliance policies are designed to ensure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080"/>
          </w:cols>
          <w:pgMar w:left="320" w:top="459"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compliance with applicable legal requirements, while at the same time implementing high ethical standards that are mandatory for both management and each employee. The overall responsibility for the compliance management system lies with the Management Board. The Audit Committee will receive regular reports on the operation of the compliance management system.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Private Issuer Exemptions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a “foreign private issuer,” as defined by the SEC, although we are permitted to follow certain corporate governance practices of the Federal Republic of Germany, instead of those otherwise required under the rules of the Nasdaq Stock Market LLC, or Nasdaq,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92" w:lineRule="exact"/>
        <w:rPr>
          <w:sz w:val="20"/>
          <w:szCs w:val="20"/>
          <w:color w:val="auto"/>
        </w:rPr>
      </w:pPr>
    </w:p>
    <w:p>
      <w:pPr>
        <w:ind w:left="980" w:right="180" w:hanging="324"/>
        <w:spacing w:after="0" w:line="277" w:lineRule="auto"/>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exemption from filing quarterly reports on Form 10-Q and providing current reports on Form 8-K disclosing significant events within four days of their occurrence (however, we intend to furnish quarterly financial information under cover of Form 6-K);</w:t>
      </w:r>
    </w:p>
    <w:p>
      <w:pPr>
        <w:spacing w:after="0" w:line="7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exemption from Section 16 rules regarding sales of ordinary shares by insiders, which will provide less data in this regard than the data provided to shareholders of U.S. companies that are subject to the Exchange Act; and</w:t>
      </w:r>
    </w:p>
    <w:p>
      <w:pPr>
        <w:spacing w:after="0" w:line="75" w:lineRule="exact"/>
        <w:rPr>
          <w:rFonts w:ascii="Arial" w:cs="Arial" w:eastAsia="Arial" w:hAnsi="Arial"/>
          <w:sz w:val="18"/>
          <w:szCs w:val="18"/>
          <w:color w:val="auto"/>
        </w:rPr>
      </w:pPr>
    </w:p>
    <w:p>
      <w:pPr>
        <w:ind w:left="980" w:right="40" w:hanging="324"/>
        <w:spacing w:after="0" w:line="311" w:lineRule="auto"/>
        <w:tabs>
          <w:tab w:leader="none" w:pos="9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14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Furthermore, Nasdaq Rule 5615(a)(3) provides that a foreign private issuer, such as we, may rely on home country corporate governance practices in lieu of certain of the rules in the Nasdaq Rule 5600 Series and Rule 5250(d), provided that we nevertheless comply with Nasdaq’s Notification of Noncompliance requirement (Rule 5625) and the Voting Rights requirement (Rule 5640) and that we have an audit committee that satisfies Rule 5605(c)</w:t>
      </w:r>
    </w:p>
    <w:p>
      <w:pPr>
        <w:spacing w:after="0" w:line="2"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8"/>
          <w:szCs w:val="18"/>
          <w:color w:val="auto"/>
        </w:rPr>
        <w:t>(3), consisting of committee members that meet the independence requirements of Rule 5605(c)(2)(A)(ii). Although we are permitted to follow certain corporate governance rules that conform to German requirements in lieu of many of the Nasdaq corporate governance rules, we intend to comply with the Nasdaq corporate governance rules applicable to foreign private issuers. We may utilize these exemptions for as long as we continue to qualify as a foreign private issuer.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TRON</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have a longstanding relationship with Translational Oncology at the University Medical Center of the Johannes Gutenberg University Mainz (Translationale Onkologie an der Universitätsmedizin der Johannes Gutenberg Universität Mainz gemeinnützige GmbH), or TRON. TRON is a non-profit limited liability company engaged in biopharmaceutical research. Prof. Ugur Sahin, our co-founder and Chief Executive Officer, co-founded TRON and serves as Managing Director for Science and Research at TRON. Additionally, Prof. Christoph Huber, a member of our Supervisory Board, served on TRON’s supervisory board until his resignation in April 2019.</w:t>
      </w:r>
    </w:p>
    <w:p>
      <w:pPr>
        <w:spacing w:after="0" w:line="176"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On January 1, 2015, we and certain of our subsidiaries entered into both a Master Agreement for Research Services and a License Agreement with TRON. During 2017 and 2018, we paid to TRON an aggregate of approximately €17.7 million pursuant to these agreements.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Santo Service GmbH</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have several agreements with Santo Service GmbH, or Santo Service, pursuant to which Santo Service provides us with certain real property and custodial services. Santo Service is wholly owned by AT Impf GmbH, our controlling shareholder. During 2017 and 2018, we paid to Santo Service an aggregate of €8.4 million pursuant to these agreements.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 Sale and Purchase Agreement</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On April 26, 2016, our wholly owned subsidiary, BioNTech Small Molecules GmbH, entered into an asset sale and purchase agreement with 4SC Discovery GmbH. 4SC Discovery GmbH is a wholly owned subsidiary of 4SC AG. Certain of our investors possess a 50% shareholding in 4SC AG. Pursuant to this agreement, BioNTech Small Molecules GmbH acquired the drug discovery business of 4SC Discovery GmbH for €650,000.</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February 2018 Financing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February 2018, we issued and sold an aggregate of 1,254,884 of our ordinary shares to certain new and existing shareholders at a price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$215.87 per share for aggregate proceeds of $270.9 million. The following table sets forth the aggregate number of ordinary shares that we issued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sold in this transaction to our related parties and the aggregate purchase price for such shares: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PARTICIPANTS</w:t>
            </w:r>
          </w:p>
        </w:tc>
        <w:tc>
          <w:tcPr>
            <w:tcW w:w="2020" w:type="dxa"/>
            <w:vAlign w:val="bottom"/>
            <w:gridSpan w:val="2"/>
          </w:tcPr>
          <w:p>
            <w:pPr>
              <w:ind w:left="320"/>
              <w:spacing w:after="0"/>
              <w:rPr>
                <w:sz w:val="20"/>
                <w:szCs w:val="20"/>
                <w:color w:val="auto"/>
              </w:rPr>
            </w:pPr>
            <w:r>
              <w:rPr>
                <w:rFonts w:ascii="Arial" w:cs="Arial" w:eastAsia="Arial" w:hAnsi="Arial"/>
                <w:sz w:val="14"/>
                <w:szCs w:val="14"/>
                <w:b w:val="1"/>
                <w:bCs w:val="1"/>
                <w:color w:val="auto"/>
              </w:rPr>
              <w:t>ORDINARY</w:t>
            </w:r>
          </w:p>
        </w:tc>
        <w:tc>
          <w:tcPr>
            <w:tcW w:w="1500" w:type="dxa"/>
            <w:vAlign w:val="bottom"/>
          </w:tcPr>
          <w:p>
            <w:pPr>
              <w:jc w:val="right"/>
              <w:ind w:right="202"/>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8"/>
        </w:trPr>
        <w:tc>
          <w:tcPr>
            <w:tcW w:w="7500" w:type="dxa"/>
            <w:vAlign w:val="bottom"/>
            <w:gridSpan w:val="2"/>
            <w:vMerge w:val="continue"/>
          </w:tcPr>
          <w:p>
            <w:pPr>
              <w:spacing w:after="0"/>
              <w:rPr>
                <w:sz w:val="13"/>
                <w:szCs w:val="13"/>
                <w:color w:val="auto"/>
              </w:rPr>
            </w:pPr>
          </w:p>
        </w:tc>
        <w:tc>
          <w:tcPr>
            <w:tcW w:w="2020" w:type="dxa"/>
            <w:vAlign w:val="bottom"/>
            <w:gridSpan w:val="2"/>
          </w:tcPr>
          <w:p>
            <w:pPr>
              <w:ind w:left="320"/>
              <w:spacing w:after="0" w:line="158" w:lineRule="exact"/>
              <w:rPr>
                <w:sz w:val="20"/>
                <w:szCs w:val="20"/>
                <w:color w:val="auto"/>
              </w:rPr>
            </w:pPr>
            <w:r>
              <w:rPr>
                <w:rFonts w:ascii="Arial" w:cs="Arial" w:eastAsia="Arial" w:hAnsi="Arial"/>
                <w:sz w:val="14"/>
                <w:szCs w:val="14"/>
                <w:b w:val="1"/>
                <w:bCs w:val="1"/>
                <w:color w:val="auto"/>
              </w:rPr>
              <w:t>SHARES (#)</w:t>
            </w:r>
          </w:p>
        </w:tc>
        <w:tc>
          <w:tcPr>
            <w:tcW w:w="15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 xml:space="preserve">PURCHASE PRICE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 Impf GmbH</w:t>
            </w:r>
            <w:r>
              <w:rPr>
                <w:rFonts w:ascii="Arial" w:cs="Arial" w:eastAsia="Arial" w:hAnsi="Arial"/>
                <w:sz w:val="15"/>
                <w:szCs w:val="15"/>
                <w:color w:val="auto"/>
              </w:rPr>
              <w:t>(1)</w:t>
            </w:r>
          </w:p>
        </w:tc>
        <w:tc>
          <w:tcPr>
            <w:tcW w:w="1440" w:type="dxa"/>
            <w:vAlign w:val="bottom"/>
            <w:shd w:val="clear" w:color="auto" w:fill="CCEEFF"/>
          </w:tcPr>
          <w:p>
            <w:pPr>
              <w:jc w:val="right"/>
              <w:ind w:right="322"/>
              <w:spacing w:after="0" w:line="203" w:lineRule="exact"/>
              <w:rPr>
                <w:sz w:val="20"/>
                <w:szCs w:val="20"/>
                <w:color w:val="auto"/>
              </w:rPr>
            </w:pPr>
            <w:r>
              <w:rPr>
                <w:rFonts w:ascii="Arial" w:cs="Arial" w:eastAsia="Arial" w:hAnsi="Arial"/>
                <w:sz w:val="18"/>
                <w:szCs w:val="18"/>
                <w:color w:val="auto"/>
              </w:rPr>
              <w:t>277,934</w:t>
            </w:r>
          </w:p>
        </w:tc>
        <w:tc>
          <w:tcPr>
            <w:tcW w:w="5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59,997,612.58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9" w:lineRule="exact"/>
        <w:rPr>
          <w:sz w:val="20"/>
          <w:szCs w:val="20"/>
          <w:color w:val="auto"/>
        </w:rPr>
      </w:pPr>
    </w:p>
    <w:p>
      <w:pPr>
        <w:ind w:left="440" w:hanging="324"/>
        <w:spacing w:after="0"/>
        <w:tabs>
          <w:tab w:leader="none" w:pos="4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See “Principal Shareholders” for additional information about shares held by this entity.</w:t>
      </w:r>
    </w:p>
    <w:p>
      <w:pPr>
        <w:spacing w:after="0" w:line="162"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241</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The following table presents information, as of June 14, 2019, regarding the beneficial ownership of our ordinary shares (i) prior to the consummation of this offering and (ii) as adjusted to reflect the sale of our ADSs in this offering, for:</w:t>
      </w:r>
    </w:p>
    <w:p>
      <w:pPr>
        <w:spacing w:after="0" w:line="76" w:lineRule="exact"/>
        <w:rPr>
          <w:sz w:val="20"/>
          <w:szCs w:val="20"/>
          <w:color w:val="auto"/>
        </w:rPr>
      </w:pPr>
    </w:p>
    <w:p>
      <w:pPr>
        <w:ind w:left="980" w:hanging="324"/>
        <w:spacing w:after="0"/>
        <w:tabs>
          <w:tab w:leader="none" w:pos="9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ordinary shares;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member of our Supervisory Board;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member of our Management Board;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members of our Supervisory Board and Management Board as a group.</w:t>
      </w:r>
    </w:p>
    <w:p>
      <w:pPr>
        <w:spacing w:after="0" w:line="225"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The number of ordinary shares beneficially owned by each entity, person, and member of our Supervisory Board and our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June 14, 2019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78"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The percentage of outstanding ordinary shares before this offering is computed on the basis of 11,129,000 ordinary shares outstanding as of June 14, 2019. The percentage of shares beneficially owned on an adjusted basis after this offering is based on shares to be outstanding after this offering after giving effect to the completion of this offering, assuming no exercise of the underwriters’ option to purchase additional ADSs from us, and shares to be outstanding after this offering after giving effect to the completion of this offering and assuming full exercise of the underwriters’ option to purchase additional ADSs from us. Ordinary shares that a person has the right to acquire within 60 days of June 14, 2019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our Management Board as a group. Unless otherwise indicated, the address for each beneficial owner is An der Goldgrube 12, D-55131 Mainz, Germany.</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Percent of Shares</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Assuming Full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gridSpan w:val="5"/>
            <w:vMerge w:val="restart"/>
          </w:tcPr>
          <w:p>
            <w:pPr>
              <w:jc w:val="right"/>
              <w:ind w:right="980"/>
              <w:spacing w:after="0"/>
              <w:rPr>
                <w:sz w:val="20"/>
                <w:szCs w:val="20"/>
                <w:color w:val="auto"/>
              </w:rPr>
            </w:pPr>
            <w:r>
              <w:rPr>
                <w:rFonts w:ascii="Arial" w:cs="Arial" w:eastAsia="Arial" w:hAnsi="Arial"/>
                <w:sz w:val="14"/>
                <w:szCs w:val="14"/>
                <w:b w:val="1"/>
                <w:bCs w:val="1"/>
                <w:color w:val="auto"/>
              </w:rPr>
              <w:t>Shares Beneficially Owned</w:t>
            </w:r>
          </w:p>
        </w:tc>
        <w:tc>
          <w:tcPr>
            <w:tcW w:w="2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60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 to</w:t>
            </w:r>
          </w:p>
        </w:tc>
        <w:tc>
          <w:tcPr>
            <w:tcW w:w="0" w:type="dxa"/>
            <w:vAlign w:val="bottom"/>
          </w:tcPr>
          <w:p>
            <w:pPr>
              <w:spacing w:after="0"/>
              <w:rPr>
                <w:sz w:val="1"/>
                <w:szCs w:val="1"/>
                <w:color w:val="auto"/>
              </w:rPr>
            </w:pPr>
          </w:p>
        </w:tc>
      </w:tr>
      <w:tr>
        <w:trPr>
          <w:trHeight w:val="148"/>
        </w:trPr>
        <w:tc>
          <w:tcPr>
            <w:tcW w:w="420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Shareholder</w:t>
            </w:r>
          </w:p>
        </w:tc>
        <w:tc>
          <w:tcPr>
            <w:tcW w:w="2860" w:type="dxa"/>
            <w:vAlign w:val="bottom"/>
            <w:gridSpan w:val="5"/>
            <w:vMerge w:val="continue"/>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286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before This Offering</w:t>
            </w: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after This Offering</w:t>
            </w:r>
          </w:p>
        </w:tc>
        <w:tc>
          <w:tcPr>
            <w:tcW w:w="60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Additional Shares</w:t>
            </w:r>
          </w:p>
        </w:tc>
        <w:tc>
          <w:tcPr>
            <w:tcW w:w="0" w:type="dxa"/>
            <w:vAlign w:val="bottom"/>
          </w:tcPr>
          <w:p>
            <w:pPr>
              <w:spacing w:after="0"/>
              <w:rPr>
                <w:sz w:val="1"/>
                <w:szCs w:val="1"/>
                <w:color w:val="auto"/>
              </w:rPr>
            </w:pPr>
          </w:p>
        </w:tc>
      </w:tr>
      <w:tr>
        <w:trPr>
          <w:trHeight w:val="142"/>
        </w:trPr>
        <w:tc>
          <w:tcPr>
            <w:tcW w:w="36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740" w:type="dxa"/>
            <w:vAlign w:val="bottom"/>
          </w:tcPr>
          <w:p>
            <w:pPr>
              <w:spacing w:after="0"/>
              <w:rPr>
                <w:sz w:val="12"/>
                <w:szCs w:val="12"/>
                <w:color w:val="auto"/>
              </w:rPr>
            </w:pPr>
          </w:p>
        </w:tc>
        <w:tc>
          <w:tcPr>
            <w:tcW w:w="13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Number</w:t>
            </w:r>
          </w:p>
        </w:tc>
        <w:tc>
          <w:tcPr>
            <w:tcW w:w="7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Percent</w:t>
            </w:r>
          </w:p>
        </w:tc>
        <w:tc>
          <w:tcPr>
            <w:tcW w:w="6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Shareholders</w:t>
            </w: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AT Impf GmbH</w:t>
            </w:r>
            <w:r>
              <w:rPr>
                <w:rFonts w:ascii="Arial" w:cs="Arial" w:eastAsia="Arial" w:hAnsi="Arial"/>
                <w:sz w:val="15"/>
                <w:szCs w:val="15"/>
                <w:color w:val="auto"/>
              </w:rPr>
              <w:t>(1)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6,093,566</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54.75%</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Medine GmbH</w:t>
            </w:r>
            <w:r>
              <w:rPr>
                <w:rFonts w:ascii="Arial" w:cs="Arial" w:eastAsia="Arial" w:hAnsi="Arial"/>
                <w:sz w:val="15"/>
                <w:szCs w:val="15"/>
                <w:color w:val="auto"/>
              </w:rPr>
              <w:t>(2)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2,316,165</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20.81%</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Entities affiliated with MIG GmbH &amp; Co.</w:t>
            </w:r>
            <w:r>
              <w:rPr>
                <w:rFonts w:ascii="Arial" w:cs="Arial" w:eastAsia="Arial" w:hAnsi="Arial"/>
                <w:sz w:val="15"/>
                <w:szCs w:val="15"/>
                <w:color w:val="auto"/>
              </w:rPr>
              <w:t>(3)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753,117</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6.77%</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Members of the Supervisory Board and the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Management Board</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Prof. Ugur Sahin, M.D.</w:t>
            </w:r>
            <w:r>
              <w:rPr>
                <w:rFonts w:ascii="Arial" w:cs="Arial" w:eastAsia="Arial" w:hAnsi="Arial"/>
                <w:sz w:val="15"/>
                <w:szCs w:val="15"/>
                <w:color w:val="auto"/>
              </w:rPr>
              <w:t>(4)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2,316,165</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20.81%</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Marett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60,639</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0.54%</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Dr. Sierk Poetting, Ph.D.</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39,546</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0.36%</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Özlem Türeci, M.D.</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Helmut Jeggle</w:t>
            </w:r>
            <w:r>
              <w:rPr>
                <w:rFonts w:ascii="Arial" w:cs="Arial" w:eastAsia="Arial" w:hAnsi="Arial"/>
                <w:sz w:val="15"/>
                <w:szCs w:val="15"/>
                <w:color w:val="auto"/>
              </w:rPr>
              <w:t>(5)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6,112,028</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54.92%</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Motschmann</w:t>
            </w:r>
            <w:r>
              <w:rPr>
                <w:rFonts w:ascii="Arial" w:cs="Arial" w:eastAsia="Arial" w:hAnsi="Arial"/>
                <w:sz w:val="15"/>
                <w:szCs w:val="15"/>
                <w:color w:val="auto"/>
              </w:rPr>
              <w:t>(6)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753,117</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6.77%</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Percent of Shares</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Assuming Full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gridSpan w:val="4"/>
            <w:vMerge w:val="restart"/>
          </w:tcPr>
          <w:p>
            <w:pPr>
              <w:jc w:val="right"/>
              <w:ind w:right="980"/>
              <w:spacing w:after="0"/>
              <w:rPr>
                <w:sz w:val="20"/>
                <w:szCs w:val="20"/>
                <w:color w:val="auto"/>
              </w:rPr>
            </w:pPr>
            <w:r>
              <w:rPr>
                <w:rFonts w:ascii="Arial" w:cs="Arial" w:eastAsia="Arial" w:hAnsi="Arial"/>
                <w:sz w:val="14"/>
                <w:szCs w:val="14"/>
                <w:b w:val="1"/>
                <w:bCs w:val="1"/>
                <w:color w:val="auto"/>
              </w:rPr>
              <w:t>Shares Beneficially Owned</w:t>
            </w:r>
          </w:p>
        </w:tc>
        <w:tc>
          <w:tcPr>
            <w:tcW w:w="2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60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 to</w:t>
            </w:r>
          </w:p>
        </w:tc>
        <w:tc>
          <w:tcPr>
            <w:tcW w:w="0" w:type="dxa"/>
            <w:vAlign w:val="bottom"/>
          </w:tcPr>
          <w:p>
            <w:pPr>
              <w:spacing w:after="0"/>
              <w:rPr>
                <w:sz w:val="1"/>
                <w:szCs w:val="1"/>
                <w:color w:val="auto"/>
              </w:rPr>
            </w:pPr>
          </w:p>
        </w:tc>
      </w:tr>
      <w:tr>
        <w:trPr>
          <w:trHeight w:val="148"/>
        </w:trPr>
        <w:tc>
          <w:tcPr>
            <w:tcW w:w="420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Shareholder</w:t>
            </w:r>
          </w:p>
        </w:tc>
        <w:tc>
          <w:tcPr>
            <w:tcW w:w="2860" w:type="dxa"/>
            <w:vAlign w:val="bottom"/>
            <w:gridSpan w:val="4"/>
            <w:vMerge w:val="continue"/>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286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before This Offering</w:t>
            </w: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after This Offering</w:t>
            </w:r>
          </w:p>
        </w:tc>
        <w:tc>
          <w:tcPr>
            <w:tcW w:w="60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Additional Shares</w:t>
            </w:r>
          </w:p>
        </w:tc>
        <w:tc>
          <w:tcPr>
            <w:tcW w:w="0" w:type="dxa"/>
            <w:vAlign w:val="bottom"/>
          </w:tcPr>
          <w:p>
            <w:pPr>
              <w:spacing w:after="0"/>
              <w:rPr>
                <w:sz w:val="1"/>
                <w:szCs w:val="1"/>
                <w:color w:val="auto"/>
              </w:rPr>
            </w:pPr>
          </w:p>
        </w:tc>
      </w:tr>
      <w:tr>
        <w:trPr>
          <w:trHeight w:val="142"/>
        </w:trPr>
        <w:tc>
          <w:tcPr>
            <w:tcW w:w="3640" w:type="dxa"/>
            <w:vAlign w:val="bottom"/>
            <w:tcBorders>
              <w:top w:val="single" w:sz="8" w:color="auto"/>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7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Percent</w:t>
            </w:r>
          </w:p>
        </w:tc>
        <w:tc>
          <w:tcPr>
            <w:tcW w:w="60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 Christoph Huber, M.D.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141,780</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1.27%</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Dr. Ulrich Wandschneider</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members of our Supervisory Board and</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Board, as a group</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9,423,275</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84.67%</w:t>
            </w:r>
          </w:p>
        </w:tc>
        <w:tc>
          <w:tcPr>
            <w:tcW w:w="7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9" w:lineRule="exact"/>
        <w:rPr>
          <w:sz w:val="20"/>
          <w:szCs w:val="20"/>
          <w:color w:val="auto"/>
        </w:rPr>
      </w:pPr>
    </w:p>
    <w:p>
      <w:pPr>
        <w:ind w:left="440" w:right="220" w:hanging="324"/>
        <w:spacing w:after="0" w:line="266" w:lineRule="auto"/>
        <w:tabs>
          <w:tab w:leader="none" w:pos="4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Consists of 6,093,566 ordinary shares held by AT Impf GmbH as of June 14, 2019. Members of the Strüngmann family wholly own AT Impf GmbH. Dr. Andreas Strüngmann and Dr. Thomas Strüngmann may be deemed to beneficially own any or all of these shares.</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Consists of 2,316,165 ordinary shares held by Medine GmbH as of June 14, 2019.</w:t>
      </w:r>
    </w:p>
    <w:p>
      <w:pPr>
        <w:spacing w:after="0" w:line="18" w:lineRule="exact"/>
        <w:rPr>
          <w:rFonts w:ascii="Arial" w:cs="Arial" w:eastAsia="Arial" w:hAnsi="Arial"/>
          <w:sz w:val="16"/>
          <w:szCs w:val="16"/>
          <w:color w:val="auto"/>
        </w:rPr>
      </w:pPr>
    </w:p>
    <w:p>
      <w:pPr>
        <w:ind w:left="440" w:right="480" w:hanging="324"/>
        <w:spacing w:after="0" w:line="264" w:lineRule="auto"/>
        <w:tabs>
          <w:tab w:leader="none" w:pos="4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Consists of (a) 305,286 ordinary shares held by MIG GmbH &amp; Co. Fonds 7 KG, Munich, (b) 98,889 ordinary shares held by MIG GmbH &amp; Co. Fonds 8 KG, Munich and (c) 348,942 ordinary shares held by MIG GmbH &amp; Co. Fonds 9 KG, Munich.</w:t>
      </w:r>
    </w:p>
    <w:p>
      <w:pPr>
        <w:ind w:left="440" w:hanging="324"/>
        <w:spacing w:after="0"/>
        <w:tabs>
          <w:tab w:leader="none" w:pos="4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Consists of the shares described in note 2 above. Prof. Sahin is the sole shareholder of Medine GmbH.</w:t>
      </w:r>
    </w:p>
    <w:p>
      <w:pPr>
        <w:spacing w:after="0" w:line="18" w:lineRule="exact"/>
        <w:rPr>
          <w:rFonts w:ascii="Arial" w:cs="Arial" w:eastAsia="Arial" w:hAnsi="Arial"/>
          <w:sz w:val="16"/>
          <w:szCs w:val="16"/>
          <w:color w:val="auto"/>
        </w:rPr>
      </w:pPr>
    </w:p>
    <w:p>
      <w:pPr>
        <w:ind w:left="440" w:right="200" w:hanging="324"/>
        <w:spacing w:after="0" w:line="281" w:lineRule="auto"/>
        <w:tabs>
          <w:tab w:leader="none" w:pos="4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Consists of (a) the shares described in note 1 above and (b) 18,462 ordinary shares held directly by Mr. Jeggle. Mr. Jeggle has no voting or dispositive power with regard to such shares described in note 1 above and disclaims beneficial ownership of such shares except to the extent of his pecuniary interest therein.</w:t>
      </w:r>
    </w:p>
    <w:p>
      <w:pPr>
        <w:spacing w:after="0" w:line="1" w:lineRule="exact"/>
        <w:rPr>
          <w:rFonts w:ascii="Arial" w:cs="Arial" w:eastAsia="Arial" w:hAnsi="Arial"/>
          <w:sz w:val="15"/>
          <w:szCs w:val="15"/>
          <w:color w:val="auto"/>
        </w:rPr>
      </w:pPr>
    </w:p>
    <w:p>
      <w:pPr>
        <w:ind w:left="440" w:right="60" w:hanging="324"/>
        <w:spacing w:after="0" w:line="288" w:lineRule="auto"/>
        <w:tabs>
          <w:tab w:leader="none" w:pos="4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Consists of the shares described in note 3 above. Mr. Motschmann has no voting or dispositive power with regard to such shares and disclaims beneficial ownership of such shares except to the extent of his pecuniary interest therein.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Holdings by U.S.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14, 2019, there were no issued and outstanding ordinary shares held by U.S. record holders.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 AND ARTICLES OF ASSOCIATION (</w:t>
      </w:r>
      <w:r>
        <w:rPr>
          <w:rFonts w:ascii="Arial" w:cs="Arial" w:eastAsia="Arial" w:hAnsi="Arial"/>
          <w:sz w:val="18"/>
          <w:szCs w:val="18"/>
          <w:b w:val="1"/>
          <w:bCs w:val="1"/>
          <w:i w:val="1"/>
          <w:iCs w:val="1"/>
          <w:color w:val="auto"/>
        </w:rPr>
        <w:t>SATZUNG</w:t>
      </w:r>
      <w:r>
        <w:rPr>
          <w:rFonts w:ascii="Arial" w:cs="Arial" w:eastAsia="Arial" w:hAnsi="Arial"/>
          <w:sz w:val="18"/>
          <w:szCs w:val="18"/>
          <w:b w:val="1"/>
          <w:bCs w:val="1"/>
          <w:color w:val="auto"/>
        </w:rPr>
        <w: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were incorporated as a German stock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with the legal name Petersberg 91. V V AG under the laws of the Federal Republic of Germany on June 2, 2008. We changed our name to BioNTech AG on December 11, 2008. Effective as of March 8, 2019, the date on which the change of legal form and company was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of the local court (</w:t>
      </w:r>
      <w:r>
        <w:rPr>
          <w:rFonts w:ascii="Arial" w:cs="Arial" w:eastAsia="Arial" w:hAnsi="Arial"/>
          <w:sz w:val="17"/>
          <w:szCs w:val="17"/>
          <w:i w:val="1"/>
          <w:iCs w:val="1"/>
          <w:color w:val="auto"/>
        </w:rPr>
        <w:t>Amtsgericht</w:t>
      </w:r>
      <w:r>
        <w:rPr>
          <w:rFonts w:ascii="Arial" w:cs="Arial" w:eastAsia="Arial" w:hAnsi="Arial"/>
          <w:sz w:val="17"/>
          <w:szCs w:val="17"/>
          <w:color w:val="auto"/>
        </w:rPr>
        <w:t xml:space="preserve">) of Mainz, Germany, we converted to a </w:t>
      </w:r>
      <w:r>
        <w:rPr>
          <w:rFonts w:ascii="Arial" w:cs="Arial" w:eastAsia="Arial" w:hAnsi="Arial"/>
          <w:sz w:val="17"/>
          <w:szCs w:val="17"/>
          <w:i w:val="1"/>
          <w:iCs w:val="1"/>
          <w:color w:val="auto"/>
        </w:rPr>
        <w:t>Societas Europaea</w:t>
      </w:r>
      <w:r>
        <w:rPr>
          <w:rFonts w:ascii="Arial" w:cs="Arial" w:eastAsia="Arial" w:hAnsi="Arial"/>
          <w:sz w:val="17"/>
          <w:szCs w:val="17"/>
          <w:color w:val="auto"/>
        </w:rPr>
        <w:t xml:space="preserve"> with the legal name BioNTech SE. The principal legislation under which we operate and our shares are issued are the Council Regulation (EC) No 2157/2001 of October 8, 2001 on the Statute for a European company (SE), the German Law on the Implementation of Council Regulation (EC) No 2157/2001 of October 8, 2001 on the Statute for a European company (SE) (</w:t>
      </w:r>
      <w:r>
        <w:rPr>
          <w:rFonts w:ascii="Arial" w:cs="Arial" w:eastAsia="Arial" w:hAnsi="Arial"/>
          <w:sz w:val="17"/>
          <w:szCs w:val="17"/>
          <w:i w:val="1"/>
          <w:iCs w:val="1"/>
          <w:color w:val="auto"/>
        </w:rPr>
        <w:t>Gesetz zur Ausführung</w:t>
      </w:r>
      <w:r>
        <w:rPr>
          <w:rFonts w:ascii="Arial" w:cs="Arial" w:eastAsia="Arial" w:hAnsi="Arial"/>
          <w:sz w:val="17"/>
          <w:szCs w:val="17"/>
          <w:color w:val="auto"/>
        </w:rPr>
        <w:t xml:space="preserve"> </w:t>
      </w:r>
      <w:r>
        <w:rPr>
          <w:rFonts w:ascii="Arial" w:cs="Arial" w:eastAsia="Arial" w:hAnsi="Arial"/>
          <w:sz w:val="17"/>
          <w:szCs w:val="17"/>
          <w:i w:val="1"/>
          <w:iCs w:val="1"/>
          <w:color w:val="auto"/>
        </w:rPr>
        <w:t>der Verordnung (EG) NR. 2157/2001 des Rates vom 8. Oktober 2001 über das Statut der Europäischen Gesellschaft (SE) (SE-Ausführungsgesetz—SEAG)</w:t>
      </w:r>
      <w:r>
        <w:rPr>
          <w:rFonts w:ascii="Arial" w:cs="Arial" w:eastAsia="Arial" w:hAnsi="Arial"/>
          <w:sz w:val="17"/>
          <w:szCs w:val="17"/>
          <w:color w:val="auto"/>
        </w:rPr>
        <w:t>) and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in each case as amended.</w:t>
      </w:r>
    </w:p>
    <w:p>
      <w:pPr>
        <w:spacing w:after="0" w:line="17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are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of the local court (</w:t>
      </w:r>
      <w:r>
        <w:rPr>
          <w:rFonts w:ascii="Arial" w:cs="Arial" w:eastAsia="Arial" w:hAnsi="Arial"/>
          <w:sz w:val="17"/>
          <w:szCs w:val="17"/>
          <w:i w:val="1"/>
          <w:iCs w:val="1"/>
          <w:color w:val="auto"/>
        </w:rPr>
        <w:t>Amtsgericht</w:t>
      </w:r>
      <w:r>
        <w:rPr>
          <w:rFonts w:ascii="Arial" w:cs="Arial" w:eastAsia="Arial" w:hAnsi="Arial"/>
          <w:sz w:val="17"/>
          <w:szCs w:val="17"/>
          <w:color w:val="auto"/>
        </w:rPr>
        <w:t>) in Mainz, Germany, under number HRB 48720. Our statutory seat is in Mainz, Germany, and our registered office is An der Goldgrube 12, 55131 Mainz, Germany. Copies of our Articles of Association will be publicly available from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at the local court of Mainz, Germany, electronically at www.unternehmensregister.de and as an exhibit to the registration statement of which this prospectus forms a part.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June 13, 2019, we have share capital registered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in the amount of €11,153,243, which is divided into 11,153,243 registered shares (</w:t>
      </w:r>
      <w:r>
        <w:rPr>
          <w:rFonts w:ascii="Arial" w:cs="Arial" w:eastAsia="Arial" w:hAnsi="Arial"/>
          <w:sz w:val="18"/>
          <w:szCs w:val="18"/>
          <w:i w:val="1"/>
          <w:iCs w:val="1"/>
          <w:color w:val="auto"/>
        </w:rPr>
        <w:t>Namensaktien</w:t>
      </w:r>
      <w:r>
        <w:rPr>
          <w:rFonts w:ascii="Arial" w:cs="Arial" w:eastAsia="Arial" w:hAnsi="Arial"/>
          <w:sz w:val="18"/>
          <w:szCs w:val="18"/>
          <w:color w:val="auto"/>
        </w:rPr>
        <w:t>). All shares are shares with no par value (</w:t>
      </w:r>
      <w:r>
        <w:rPr>
          <w:rFonts w:ascii="Arial" w:cs="Arial" w:eastAsia="Arial" w:hAnsi="Arial"/>
          <w:sz w:val="18"/>
          <w:szCs w:val="18"/>
          <w:i w:val="1"/>
          <w:iCs w:val="1"/>
          <w:color w:val="auto"/>
        </w:rPr>
        <w:t>Stückaktien ohne Nennbetrag</w:t>
      </w:r>
      <w:r>
        <w:rPr>
          <w:rFonts w:ascii="Arial" w:cs="Arial" w:eastAsia="Arial" w:hAnsi="Arial"/>
          <w:sz w:val="18"/>
          <w:szCs w:val="18"/>
          <w:color w:val="auto"/>
        </w:rPr>
        <w:t>) with a notional amount attributable to each ordinary share of €1. Each issued ordinary share is fully paid.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Certification and Transferability of Shares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form and contents of our share certificates, collective share certificates and global share certificates are determined by our Management Board with the approval of our Supervisory Board. A shareholder’s right to certification of its shares is excluded, to the extent permitted by law and to the extent that certification is not required by the stock exchange on which the shares are admitted to trading. We are permitted to issue collective share certificates and global share certificates that represent multiple or all of our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shares are freely transferable under German law.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Our Share Capital During the Last Three Fiscal Years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June 13, 2019, our share capital as registered with the commercial register amounted to 11,153,243. Since January 1, 2016, our share capital has changed as follows:</w:t>
      </w:r>
    </w:p>
    <w:p>
      <w:pPr>
        <w:spacing w:after="0" w:line="76" w:lineRule="exact"/>
        <w:rPr>
          <w:sz w:val="20"/>
          <w:szCs w:val="20"/>
          <w:color w:val="auto"/>
        </w:rPr>
      </w:pPr>
    </w:p>
    <w:p>
      <w:pPr>
        <w:ind w:left="980" w:hanging="324"/>
        <w:spacing w:after="0"/>
        <w:tabs>
          <w:tab w:leader="none" w:pos="98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On September 14, 2017, our share capital as registered with the commercial register was increased by issuing 9,083,000 shares;</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On February 1, 2018, our share capital as registered with the commercial register was increased by issuing 1,254,884 shares;</w:t>
      </w:r>
    </w:p>
    <w:p>
      <w:pPr>
        <w:spacing w:after="0" w:line="130" w:lineRule="exact"/>
        <w:rPr>
          <w:rFonts w:ascii="Arial" w:cs="Arial" w:eastAsia="Arial" w:hAnsi="Arial"/>
          <w:sz w:val="18"/>
          <w:szCs w:val="18"/>
          <w:color w:val="auto"/>
        </w:rPr>
      </w:pPr>
    </w:p>
    <w:p>
      <w:pPr>
        <w:jc w:val="center"/>
        <w:ind w:left="5480" w:right="1180" w:hanging="4824"/>
        <w:spacing w:after="0" w:line="449" w:lineRule="auto"/>
        <w:tabs>
          <w:tab w:leader="none" w:pos="97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On September 12, 2018, our share capital as registered with the commercial register was increased by issuing 32,373 shares; 244</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On October 18, 2018, our share capital as registered with the commercial register was increased by issuing 186,715 shares;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On January 29, 2019, our share capital as registered with the commercial register was increased by issuing 282,678 shares;</w:t>
      </w:r>
    </w:p>
    <w:p>
      <w:pPr>
        <w:spacing w:after="0" w:line="130" w:lineRule="exact"/>
        <w:rPr>
          <w:rFonts w:ascii="Arial" w:cs="Arial" w:eastAsia="Arial" w:hAnsi="Arial"/>
          <w:sz w:val="18"/>
          <w:szCs w:val="18"/>
          <w:color w:val="auto"/>
        </w:rPr>
      </w:pPr>
    </w:p>
    <w:p>
      <w:pPr>
        <w:ind w:left="980" w:right="980" w:hanging="324"/>
        <w:spacing w:after="0" w:line="308" w:lineRule="auto"/>
        <w:tabs>
          <w:tab w:leader="none" w:pos="98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On April 24, 2019, our share capital as registered with the commercial register was increased by issuing 131,933 shares against contributions in kind (swap of shares in our company against shares in one of our subsidiary companies).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 of Our Charter Documents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Articles of Association do not include any provisions that would have a direct effect of delaying, deferring or preventing a change of control. However, in the event of a hostile takeover, we could use our 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Changes to the 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relevant law, the general meeting of a European stock corporation (</w:t>
      </w:r>
      <w:r>
        <w:rPr>
          <w:rFonts w:ascii="Arial" w:cs="Arial" w:eastAsia="Arial" w:hAnsi="Arial"/>
          <w:sz w:val="16"/>
          <w:szCs w:val="16"/>
          <w:i w:val="1"/>
          <w:iCs w:val="1"/>
          <w:color w:val="auto"/>
        </w:rPr>
        <w:t>Societas Europaea</w:t>
      </w:r>
      <w:r>
        <w:rPr>
          <w:rFonts w:ascii="Arial" w:cs="Arial" w:eastAsia="Arial" w:hAnsi="Arial"/>
          <w:sz w:val="16"/>
          <w:szCs w:val="16"/>
          <w:color w:val="auto"/>
        </w:rPr>
        <w:t>) governed by German law can authorize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management board to, with the consent of the supervisory board, issue shares in a specified aggregate nominal amount of up to 50% of the issued share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capital of such company at the time the resolution becomes effective. The shareholders’ authorization becomes effective upon registration in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and may extend for a period of no more than five years thereafter. As of June 13, 2019, under § 4(6)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the Management Board is authorized to increase our share capital, on one or more occasions, by a total of up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€5,228,861 by issuing, on one or more occasions, up to 5,228,861 new, registered shares with no par value (</w:t>
      </w:r>
      <w:r>
        <w:rPr>
          <w:rFonts w:ascii="Arial" w:cs="Arial" w:eastAsia="Arial" w:hAnsi="Arial"/>
          <w:sz w:val="16"/>
          <w:szCs w:val="16"/>
          <w:i w:val="1"/>
          <w:iCs w:val="1"/>
          <w:color w:val="auto"/>
        </w:rPr>
        <w:t>Genehmigtes Kapital</w:t>
      </w:r>
      <w:r>
        <w:rPr>
          <w:rFonts w:ascii="Arial" w:cs="Arial" w:eastAsia="Arial" w:hAnsi="Arial"/>
          <w:sz w:val="16"/>
          <w:szCs w:val="16"/>
          <w:color w:val="auto"/>
        </w:rPr>
        <w:t>), in each case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consent of the Supervisory Board. This authorization expires on August 15, 2024.</w:t>
      </w:r>
    </w:p>
    <w:p>
      <w:pPr>
        <w:spacing w:after="0" w:line="21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Any new shares issued from the authorized capital will participate in the profits starting with the fiscal year in which they are issued. Further details of a capital increase from the authorized capital may be specified by the Management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Conditional Capital</w:t>
      </w:r>
    </w:p>
    <w:p>
      <w:pPr>
        <w:spacing w:after="0" w:line="11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Pursuant to § 4(7) of our Articles of Association, our share capital as of the date hereof is conditionally increased by up to €1,207,399 through issuance of new, registered shares with no par value (</w:t>
      </w:r>
      <w:r>
        <w:rPr>
          <w:rFonts w:ascii="Arial" w:cs="Arial" w:eastAsia="Arial" w:hAnsi="Arial"/>
          <w:sz w:val="17"/>
          <w:szCs w:val="17"/>
          <w:i w:val="1"/>
          <w:iCs w:val="1"/>
          <w:color w:val="auto"/>
        </w:rPr>
        <w:t>Bedingtes Kapital</w:t>
      </w:r>
      <w:r>
        <w:rPr>
          <w:rFonts w:ascii="Arial" w:cs="Arial" w:eastAsia="Arial" w:hAnsi="Arial"/>
          <w:sz w:val="17"/>
          <w:szCs w:val="17"/>
          <w:color w:val="auto"/>
        </w:rPr>
        <w:t>). The conditional capital may only be used to issue shares to the holders of option rights granted under our ESOP to members of our management board and to certain of our employees.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conditional capital increase will only be implemented to the extent that stock options under our ESOP are exercised and said stock options are not satisfied by our providing treasury shares or through cash payments. Any new shares issued under the conditional capital will participate in our profits starting with (i) the fiscal year preceding the fiscal year in which they are issued in case they are issued before annual general meeting of the fiscal year in which they are issued or else (ii) the fiscal year in which they are issued.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German law generally provides shareholders with preemptive rights when new shares are issued. This requirement, however, may also be satisfied by way of a credit institution subscribing for the shares and then offering them to the shareholders for purchase (</w:t>
      </w:r>
      <w:r>
        <w:rPr>
          <w:rFonts w:ascii="Arial" w:cs="Arial" w:eastAsia="Arial" w:hAnsi="Arial"/>
          <w:sz w:val="16"/>
          <w:szCs w:val="16"/>
          <w:i w:val="1"/>
          <w:iCs w:val="1"/>
          <w:color w:val="auto"/>
        </w:rPr>
        <w:t>mittelbares Bezugsrecht</w:t>
      </w:r>
      <w:r>
        <w:rPr>
          <w:rFonts w:ascii="Arial" w:cs="Arial" w:eastAsia="Arial" w:hAnsi="Arial"/>
          <w:sz w:val="16"/>
          <w:szCs w:val="16"/>
          <w:color w:val="auto"/>
        </w:rPr>
        <w:t>).</w:t>
      </w:r>
    </w:p>
    <w:p>
      <w:pPr>
        <w:spacing w:after="0" w:line="124"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 xml:space="preserve">Further, it is possible for a shareholder resolution approved by three-quarters of the share capital voting on the resolution to exclude preemptive rights both where the general meeting itself resolves that the new shares to be issued and in relation to the authorized capital, </w:t>
      </w:r>
      <w:r>
        <w:rPr>
          <w:rFonts w:ascii="Arial" w:cs="Arial" w:eastAsia="Arial" w:hAnsi="Arial"/>
          <w:sz w:val="16"/>
          <w:szCs w:val="16"/>
          <w:i w:val="1"/>
          <w:iCs w:val="1"/>
          <w:color w:val="auto"/>
        </w:rPr>
        <w:t>i.e.,</w:t>
      </w:r>
      <w:r>
        <w:rPr>
          <w:rFonts w:ascii="Arial" w:cs="Arial" w:eastAsia="Arial" w:hAnsi="Arial"/>
          <w:sz w:val="16"/>
          <w:szCs w:val="16"/>
          <w:color w:val="auto"/>
        </w:rPr>
        <w:t xml:space="preserve"> an authorization to the management board to, with the consent of the supervisory board, resolve on the issuance of new shares; provided, however, that in each case the exclusion or the authorization to so exclude preemptive rights, respectively, must be justified by specific facts, in accordance with established case law of the German Federal Court of Justice (</w:t>
      </w:r>
      <w:r>
        <w:rPr>
          <w:rFonts w:ascii="Arial" w:cs="Arial" w:eastAsia="Arial" w:hAnsi="Arial"/>
          <w:sz w:val="16"/>
          <w:szCs w:val="16"/>
          <w:i w:val="1"/>
          <w:iCs w:val="1"/>
          <w:color w:val="auto"/>
        </w:rPr>
        <w:t>BGH</w:t>
      </w:r>
      <w:r>
        <w:rPr>
          <w:rFonts w:ascii="Arial" w:cs="Arial" w:eastAsia="Arial" w:hAnsi="Arial"/>
          <w:sz w:val="16"/>
          <w:szCs w:val="16"/>
          <w:color w:val="auto"/>
        </w:rPr>
        <w:t>). The German Federal Court of Justice (</w:t>
      </w:r>
      <w:r>
        <w:rPr>
          <w:rFonts w:ascii="Arial" w:cs="Arial" w:eastAsia="Arial" w:hAnsi="Arial"/>
          <w:sz w:val="16"/>
          <w:szCs w:val="16"/>
          <w:i w:val="1"/>
          <w:iCs w:val="1"/>
          <w:color w:val="auto"/>
        </w:rPr>
        <w:t>BGH</w:t>
      </w:r>
      <w:r>
        <w:rPr>
          <w:rFonts w:ascii="Arial" w:cs="Arial" w:eastAsia="Arial" w:hAnsi="Arial"/>
          <w:sz w:val="16"/>
          <w:szCs w:val="16"/>
          <w:color w:val="auto"/>
        </w:rPr>
        <w:t>) considers the exclusion of subscription rights justified if it</w:t>
      </w:r>
    </w:p>
    <w:p>
      <w:pPr>
        <w:spacing w:after="0" w:line="2" w:lineRule="exact"/>
        <w:rPr>
          <w:sz w:val="20"/>
          <w:szCs w:val="20"/>
          <w:color w:val="auto"/>
        </w:rPr>
      </w:pPr>
    </w:p>
    <w:p>
      <w:pPr>
        <w:ind w:left="120" w:right="20" w:hanging="4"/>
        <w:spacing w:after="0" w:line="323" w:lineRule="auto"/>
        <w:tabs>
          <w:tab w:leader="none" w:pos="33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3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Accordingly, under our Articles of Association, the Management Board may, with the consent of the Supervisory Board, exclude such preemptive rights in a capital increase from the authorized capital in the following circumstances:</w:t>
      </w:r>
    </w:p>
    <w:p>
      <w:pPr>
        <w:spacing w:after="0" w:line="76" w:lineRule="exact"/>
        <w:rPr>
          <w:sz w:val="20"/>
          <w:szCs w:val="20"/>
          <w:color w:val="auto"/>
        </w:rPr>
      </w:pPr>
    </w:p>
    <w:p>
      <w:pPr>
        <w:ind w:left="980" w:hanging="324"/>
        <w:spacing w:after="0"/>
        <w:tabs>
          <w:tab w:leader="none" w:pos="9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balance out fractional amounts;</w:t>
      </w:r>
    </w:p>
    <w:p>
      <w:pPr>
        <w:spacing w:after="0" w:line="130" w:lineRule="exact"/>
        <w:rPr>
          <w:rFonts w:ascii="Arial" w:cs="Arial" w:eastAsia="Arial" w:hAnsi="Arial"/>
          <w:sz w:val="18"/>
          <w:szCs w:val="18"/>
          <w:color w:val="auto"/>
        </w:rPr>
      </w:pPr>
    </w:p>
    <w:p>
      <w:pPr>
        <w:ind w:left="980" w:right="20" w:hanging="324"/>
        <w:spacing w:after="0" w:line="270" w:lineRule="auto"/>
        <w:tabs>
          <w:tab w:leader="none" w:pos="98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in the case of a cash capital increase only if the issue price of the new shares is not substantially lower than the market price of our shares already listed on a stock exchange at the time the issue price is determined; however, this authorization is subject to the proviso that the total amount of shares issued under this authorization to exclude preemptive rights—including such shares previously issued thereunder—may not exceed 10% of our share capital, neither at the time of issuance nor at the time the authorization to exclude preemptive rights became effective. For the purpose of calculating whether or not such threshold of 10% is exceeded, all shares will be considered that (i) potentially are to be issued where such issuance would occur to satisfy conversion or option rights attaching to bonds which during the current term of the authorization to exclude preemptive rights have been issued in analogous application of sec. 186 para. 3 sentence 4 of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or (ii) that are treasury shares sold in (analogous) application of sec. 186 para. 3 sentence 4 of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w:t>
      </w:r>
    </w:p>
    <w:p>
      <w:pPr>
        <w:spacing w:after="0" w:line="86" w:lineRule="exact"/>
        <w:rPr>
          <w:rFonts w:ascii="Arial" w:cs="Arial" w:eastAsia="Arial" w:hAnsi="Arial"/>
          <w:sz w:val="17"/>
          <w:szCs w:val="17"/>
          <w:color w:val="auto"/>
        </w:rPr>
      </w:pPr>
    </w:p>
    <w:p>
      <w:pPr>
        <w:ind w:left="980" w:right="220" w:hanging="324"/>
        <w:spacing w:after="0" w:line="342" w:lineRule="auto"/>
        <w:tabs>
          <w:tab w:leader="none" w:pos="9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in case of a capital increase against contributions in kind, especially to offer the new shares to third parties in relation to the acquisition of businesses, parts of businesses or equity interests in businesses or in relation to the acquisition of licenses or property rights;</w:t>
      </w:r>
    </w:p>
    <w:p>
      <w:pPr>
        <w:spacing w:after="0" w:line="29" w:lineRule="exact"/>
        <w:rPr>
          <w:rFonts w:ascii="Arial" w:cs="Arial" w:eastAsia="Arial" w:hAnsi="Arial"/>
          <w:sz w:val="16"/>
          <w:szCs w:val="16"/>
          <w:color w:val="auto"/>
        </w:rPr>
      </w:pPr>
    </w:p>
    <w:p>
      <w:pPr>
        <w:ind w:left="980" w:right="280" w:hanging="324"/>
        <w:spacing w:after="0" w:line="263" w:lineRule="auto"/>
        <w:tabs>
          <w:tab w:leader="none" w:pos="9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the extent necessary to issues shares to holders of conversion or option rights on the basis of bonds issued by us or our domestic or foreign subsidiary companies in order to award such holders subscription rights in the same amount as they would be entitled to had they already exercised such conversion or option rights.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Purpose of our Company</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Our business objective, as described in § 2 of our articles of association, is the research and development of immunological drugs and test methods for the diagnosis, prevention and treatment of cancers and infectious diseases.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Meetings and Voting Rights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our Articles of Association, shareholders’ meetings may be held at our seat or in any municipality in Germany with more than 500,000 inhabitants. Generally, shareholders’ meetings are convened 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Invitations to shareholders’ meetings must be published in the German Federal Gazette (</w:t>
      </w:r>
      <w:r>
        <w:rPr>
          <w:rFonts w:ascii="Arial" w:cs="Arial" w:eastAsia="Arial" w:hAnsi="Arial"/>
          <w:sz w:val="16"/>
          <w:szCs w:val="16"/>
          <w:i w:val="1"/>
          <w:iCs w:val="1"/>
          <w:color w:val="auto"/>
        </w:rPr>
        <w:t>Bundesanzeiger</w:t>
      </w:r>
      <w:r>
        <w:rPr>
          <w:rFonts w:ascii="Arial" w:cs="Arial" w:eastAsia="Arial" w:hAnsi="Arial"/>
          <w:sz w:val="16"/>
          <w:szCs w:val="16"/>
          <w:color w:val="auto"/>
        </w:rPr>
        <w:t>) at least 36 days before the meeting.</w:t>
      </w:r>
    </w:p>
    <w:p>
      <w:pPr>
        <w:spacing w:after="0" w:line="24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Shareholders may participate in and vote in the shareholders’ meeting if they are registered as a shareholder with the Company’s share register. A shareholder who wishes to attend the shareholders’ meeting—either in person or by proxy, which may also be appointed by us (</w:t>
      </w:r>
      <w:r>
        <w:rPr>
          <w:rFonts w:ascii="Arial" w:cs="Arial" w:eastAsia="Arial" w:hAnsi="Arial"/>
          <w:sz w:val="18"/>
          <w:szCs w:val="18"/>
          <w:i w:val="1"/>
          <w:iCs w:val="1"/>
          <w:color w:val="auto"/>
        </w:rPr>
        <w:t>Stimmrechtsvertreter</w:t>
      </w:r>
      <w:r>
        <w:rPr>
          <w:rFonts w:ascii="Arial" w:cs="Arial" w:eastAsia="Arial" w:hAnsi="Arial"/>
          <w:sz w:val="18"/>
          <w:szCs w:val="18"/>
          <w:color w:val="auto"/>
        </w:rPr>
        <w:t>)— must register for the meeting, which registration must occur no later than six days before the meeting (or at a later date, if so determined by our Management Board).</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share carries one vote at a shareholders’ meeting. Resolutions are, in accordance with our Articles of Association,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Claims against Directors and Shareholders’ Derivative Actions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the company is unable to fulfill its third-party obligations, the company’s creditors may pursue the company’s damage claims against members of the management board for certain wrongdoings.</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certain circumstances, shareholders can bring forward damage claims of the company against its management on their own behalf. In order to bring forward such a claim one shareholder alone or together with other shareholders needs to hold at least 1%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articles of association.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Under German law, distributions of dividends on shares for a given fiscal year are generally determined by a process in which the management board and supervisory board submit a proposal to the company’s annual general shareholders’ meeting held in the subsequent fiscal year and such annual general shareholders’ meeting adopts a resolution.</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7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Squeeze-Out of Minority Shareholders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Arial" w:cs="Arial" w:eastAsia="Arial" w:hAnsi="Arial"/>
          <w:sz w:val="18"/>
          <w:szCs w:val="18"/>
          <w:i w:val="1"/>
          <w:iCs w:val="1"/>
          <w:color w:val="auto"/>
        </w:rPr>
        <w:t>Ausschluss von Minderheitsaktionären</w:t>
      </w:r>
      <w:r>
        <w:rPr>
          <w:rFonts w:ascii="Arial" w:cs="Arial" w:eastAsia="Arial" w:hAnsi="Arial"/>
          <w:sz w:val="18"/>
          <w:szCs w:val="18"/>
          <w:color w:val="auto"/>
        </w:rPr>
        <w:t>). This amount must take into account the full value of the company at the time of the resolution, which is generally determined using the future earnings value method (</w:t>
      </w:r>
      <w:r>
        <w:rPr>
          <w:rFonts w:ascii="Arial" w:cs="Arial" w:eastAsia="Arial" w:hAnsi="Arial"/>
          <w:sz w:val="18"/>
          <w:szCs w:val="18"/>
          <w:i w:val="1"/>
          <w:iCs w:val="1"/>
          <w:color w:val="auto"/>
        </w:rPr>
        <w:t>Ertragswertmethode</w:t>
      </w:r>
      <w:r>
        <w:rPr>
          <w:rFonts w:ascii="Arial" w:cs="Arial" w:eastAsia="Arial" w:hAnsi="Arial"/>
          <w:sz w:val="18"/>
          <w:szCs w:val="18"/>
          <w:color w:val="auto"/>
        </w:rPr>
        <w:t>).</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squeeze-out in the context of a merger (</w:t>
      </w:r>
      <w:r>
        <w:rPr>
          <w:rFonts w:ascii="Arial" w:cs="Arial" w:eastAsia="Arial" w:hAnsi="Arial"/>
          <w:sz w:val="18"/>
          <w:szCs w:val="18"/>
          <w:i w:val="1"/>
          <w:iCs w:val="1"/>
          <w:color w:val="auto"/>
        </w:rPr>
        <w:t>umwandlungsrechtlicher Squeeze-Out</w:t>
      </w:r>
      <w:r>
        <w:rPr>
          <w:rFonts w:ascii="Arial" w:cs="Arial" w:eastAsia="Arial" w:hAnsi="Arial"/>
          <w:sz w:val="18"/>
          <w:szCs w:val="18"/>
          <w:color w:val="auto"/>
        </w:rPr>
        <w:t>) only requires a majority shareholder to hold at least 90% of the share capital.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Apart from liquidation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applicable provisions of the SE Regulation in conjunction with the German Stock Corporation Act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080"/>
          </w:cols>
          <w:pgMar w:left="320" w:top="459" w:right="4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320" w:type="dxa"/>
            <w:vAlign w:val="bottom"/>
            <w:vMerge w:val="restart"/>
          </w:tcPr>
          <w:p>
            <w:pPr>
              <w:spacing w:after="0"/>
              <w:rPr>
                <w:sz w:val="20"/>
                <w:szCs w:val="20"/>
                <w:color w:val="auto"/>
              </w:rPr>
            </w:pPr>
            <w:r>
              <w:rPr>
                <w:rFonts w:ascii="Arial" w:cs="Arial" w:eastAsia="Arial" w:hAnsi="Arial"/>
                <w:sz w:val="18"/>
                <w:szCs w:val="18"/>
                <w:color w:val="auto"/>
              </w:rPr>
              <w:t>Board System</w:t>
            </w:r>
          </w:p>
        </w:tc>
        <w:tc>
          <w:tcPr>
            <w:tcW w:w="43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European Union / Federal Republic of Germany</w:t>
            </w:r>
          </w:p>
        </w:tc>
        <w:tc>
          <w:tcPr>
            <w:tcW w:w="0" w:type="dxa"/>
            <w:vAlign w:val="bottom"/>
          </w:tcPr>
          <w:p>
            <w:pPr>
              <w:spacing w:after="0"/>
              <w:rPr>
                <w:sz w:val="1"/>
                <w:szCs w:val="1"/>
                <w:color w:val="auto"/>
              </w:rPr>
            </w:pPr>
          </w:p>
        </w:tc>
      </w:tr>
      <w:tr>
        <w:trPr>
          <w:trHeight w:val="195"/>
        </w:trPr>
        <w:tc>
          <w:tcPr>
            <w:tcW w:w="2320" w:type="dxa"/>
            <w:vAlign w:val="bottom"/>
            <w:vMerge w:val="continue"/>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A European stock corporation may choose to have a</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8"/>
              </w:rPr>
              <w:t>two-tier board structure composed of the management</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board (</w:t>
            </w:r>
            <w:r>
              <w:rPr>
                <w:rFonts w:ascii="Arial" w:cs="Arial" w:eastAsia="Arial" w:hAnsi="Arial"/>
                <w:sz w:val="18"/>
                <w:szCs w:val="18"/>
                <w:i w:val="1"/>
                <w:iCs w:val="1"/>
                <w:color w:val="auto"/>
                <w:w w:val="92"/>
              </w:rPr>
              <w:t>Vorstand</w:t>
            </w:r>
            <w:r>
              <w:rPr>
                <w:rFonts w:ascii="Arial" w:cs="Arial" w:eastAsia="Arial" w:hAnsi="Arial"/>
                <w:sz w:val="18"/>
                <w:szCs w:val="18"/>
                <w:color w:val="auto"/>
                <w:w w:val="92"/>
              </w:rPr>
              <w:t>) and the supervisory board (</w:t>
            </w:r>
            <w:r>
              <w:rPr>
                <w:rFonts w:ascii="Arial" w:cs="Arial" w:eastAsia="Arial" w:hAnsi="Arial"/>
                <w:sz w:val="18"/>
                <w:szCs w:val="18"/>
                <w:i w:val="1"/>
                <w:iCs w:val="1"/>
                <w:color w:val="auto"/>
                <w:w w:val="92"/>
              </w:rPr>
              <w:t>Aufsichtsrat</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We have chosen this structure.</w:t>
            </w:r>
          </w:p>
        </w:tc>
        <w:tc>
          <w:tcPr>
            <w:tcW w:w="0" w:type="dxa"/>
            <w:vAlign w:val="bottom"/>
          </w:tcPr>
          <w:p>
            <w:pPr>
              <w:spacing w:after="0"/>
              <w:rPr>
                <w:sz w:val="1"/>
                <w:szCs w:val="1"/>
                <w:color w:val="auto"/>
              </w:rPr>
            </w:pPr>
          </w:p>
        </w:tc>
      </w:tr>
      <w:tr>
        <w:trPr>
          <w:trHeight w:val="445"/>
        </w:trPr>
        <w:tc>
          <w:tcPr>
            <w:tcW w:w="232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The management board is responsible for running the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company’s affairs and representing the company in</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dealings with third parties.</w:t>
            </w:r>
          </w:p>
        </w:tc>
        <w:tc>
          <w:tcPr>
            <w:tcW w:w="0" w:type="dxa"/>
            <w:vAlign w:val="bottom"/>
          </w:tcPr>
          <w:p>
            <w:pPr>
              <w:spacing w:after="0"/>
              <w:rPr>
                <w:sz w:val="1"/>
                <w:szCs w:val="1"/>
                <w:color w:val="auto"/>
              </w:rPr>
            </w:pPr>
          </w:p>
        </w:tc>
      </w:tr>
      <w:tr>
        <w:trPr>
          <w:trHeight w:val="445"/>
        </w:trPr>
        <w:tc>
          <w:tcPr>
            <w:tcW w:w="232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The supervisory board of a European stock corporation</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under German law has a control and supervisory function.</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The supervisory board does not actively manage the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89"/>
              </w:rPr>
              <w:t>company but certain management board actions require the</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approval of the supervisory board.</w:t>
            </w:r>
          </w:p>
        </w:tc>
        <w:tc>
          <w:tcPr>
            <w:tcW w:w="0" w:type="dxa"/>
            <w:vAlign w:val="bottom"/>
          </w:tcPr>
          <w:p>
            <w:pPr>
              <w:spacing w:after="0"/>
              <w:rPr>
                <w:sz w:val="1"/>
                <w:szCs w:val="1"/>
                <w:color w:val="auto"/>
              </w:rPr>
            </w:pPr>
          </w:p>
        </w:tc>
      </w:tr>
      <w:tr>
        <w:trPr>
          <w:trHeight w:val="431"/>
        </w:trPr>
        <w:tc>
          <w:tcPr>
            <w:tcW w:w="2320" w:type="dxa"/>
            <w:vAlign w:val="bottom"/>
          </w:tcPr>
          <w:p>
            <w:pPr>
              <w:spacing w:after="0"/>
              <w:rPr>
                <w:sz w:val="20"/>
                <w:szCs w:val="20"/>
                <w:color w:val="auto"/>
              </w:rPr>
            </w:pPr>
            <w:r>
              <w:rPr>
                <w:rFonts w:ascii="Arial" w:cs="Arial" w:eastAsia="Arial" w:hAnsi="Arial"/>
                <w:sz w:val="18"/>
                <w:szCs w:val="18"/>
                <w:color w:val="auto"/>
              </w:rPr>
              <w:t>Appointment and</w:t>
            </w:r>
          </w:p>
        </w:tc>
        <w:tc>
          <w:tcPr>
            <w:tcW w:w="4300" w:type="dxa"/>
            <w:vAlign w:val="bottom"/>
          </w:tcPr>
          <w:p>
            <w:pPr>
              <w:spacing w:after="0"/>
              <w:rPr>
                <w:sz w:val="20"/>
                <w:szCs w:val="20"/>
                <w:color w:val="auto"/>
              </w:rPr>
            </w:pPr>
            <w:r>
              <w:rPr>
                <w:rFonts w:ascii="Arial" w:cs="Arial" w:eastAsia="Arial" w:hAnsi="Arial"/>
                <w:sz w:val="18"/>
                <w:szCs w:val="18"/>
                <w:color w:val="auto"/>
                <w:w w:val="93"/>
              </w:rPr>
              <w:t>Under applicable European and German law, a European</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Number of Directors</w:t>
            </w:r>
          </w:p>
        </w:tc>
        <w:tc>
          <w:tcPr>
            <w:tcW w:w="4300" w:type="dxa"/>
            <w:vAlign w:val="bottom"/>
          </w:tcPr>
          <w:p>
            <w:pPr>
              <w:spacing w:after="0"/>
              <w:rPr>
                <w:sz w:val="20"/>
                <w:szCs w:val="20"/>
                <w:color w:val="auto"/>
              </w:rPr>
            </w:pPr>
            <w:r>
              <w:rPr>
                <w:rFonts w:ascii="Arial" w:cs="Arial" w:eastAsia="Arial" w:hAnsi="Arial"/>
                <w:sz w:val="18"/>
                <w:szCs w:val="18"/>
                <w:color w:val="auto"/>
                <w:w w:val="96"/>
              </w:rPr>
              <w:t>stock corporation governed by German law with a share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capital of at least €3 million must have at least two</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8"/>
              </w:rPr>
              <w:t>members on its management board and the number of</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0"/>
              </w:rPr>
              <w:t>members shall be determined by or in the manner provided</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 the company’s articles of association.</w:t>
            </w:r>
          </w:p>
        </w:tc>
        <w:tc>
          <w:tcPr>
            <w:tcW w:w="0" w:type="dxa"/>
            <w:vAlign w:val="bottom"/>
          </w:tcPr>
          <w:p>
            <w:pPr>
              <w:spacing w:after="0"/>
              <w:rPr>
                <w:sz w:val="1"/>
                <w:szCs w:val="1"/>
                <w:color w:val="auto"/>
              </w:rPr>
            </w:pPr>
          </w:p>
        </w:tc>
      </w:tr>
      <w:tr>
        <w:trPr>
          <w:trHeight w:val="445"/>
        </w:trPr>
        <w:tc>
          <w:tcPr>
            <w:tcW w:w="232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The supervisory board must consist of at least three but—</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depending on the share capital—no more than 21</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supervisory board members, whereby the number of</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6"/>
              </w:rPr>
              <w:t>supervisory board members must be divisible by three if</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this is necessary for the fulfilment of co-determination</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requirements. The articles of association of the company</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3"/>
              </w:rPr>
              <w:t>must specify if the supervisory board has more than three</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members.</w:t>
            </w:r>
          </w:p>
        </w:tc>
        <w:tc>
          <w:tcPr>
            <w:tcW w:w="0" w:type="dxa"/>
            <w:vAlign w:val="bottom"/>
          </w:tcPr>
          <w:p>
            <w:pPr>
              <w:spacing w:after="0"/>
              <w:rPr>
                <w:sz w:val="1"/>
                <w:szCs w:val="1"/>
                <w:color w:val="auto"/>
              </w:rPr>
            </w:pPr>
          </w:p>
        </w:tc>
      </w:tr>
      <w:tr>
        <w:trPr>
          <w:trHeight w:val="445"/>
        </w:trPr>
        <w:tc>
          <w:tcPr>
            <w:tcW w:w="232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6"/>
              </w:rPr>
              <w:t>Supervisory board members are either appointed by the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shareholders’ meeting or delegated by one or more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individual shareholders if so provided for in the company’s</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articles of association. If the supervisory board consists of</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fewer members than is required to meet the quorum for</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resolutions (either statutory or pursuant to the company’s</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8"/>
              </w:rPr>
              <w:t>articles of association), a competent court may appoint</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additional members as needed to</w:t>
            </w:r>
          </w:p>
        </w:tc>
        <w:tc>
          <w:tcPr>
            <w:tcW w:w="0" w:type="dxa"/>
            <w:vAlign w:val="bottom"/>
          </w:tcPr>
          <w:p>
            <w:pPr>
              <w:spacing w:after="0"/>
              <w:rPr>
                <w:sz w:val="1"/>
                <w:szCs w:val="1"/>
                <w:color w:val="auto"/>
              </w:rPr>
            </w:pPr>
          </w:p>
        </w:tc>
      </w:tr>
      <w:tr>
        <w:trPr>
          <w:trHeight w:val="378"/>
        </w:trPr>
        <w:tc>
          <w:tcPr>
            <w:tcW w:w="2320" w:type="dxa"/>
            <w:vAlign w:val="bottom"/>
          </w:tcPr>
          <w:p>
            <w:pPr>
              <w:spacing w:after="0"/>
              <w:rPr>
                <w:sz w:val="24"/>
                <w:szCs w:val="24"/>
                <w:color w:val="auto"/>
              </w:rPr>
            </w:pPr>
          </w:p>
        </w:tc>
        <w:tc>
          <w:tcPr>
            <w:tcW w:w="4300" w:type="dxa"/>
            <w:vAlign w:val="bottom"/>
          </w:tcPr>
          <w:p>
            <w:pPr>
              <w:ind w:left="30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65747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18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Management is responsible for running the corporation and overseeing its day-to-day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ectPr>
          <w:pgSz w:w="11900" w:h="16838" w:orient="portrait"/>
          <w:cols w:equalWidth="0" w:num="2">
            <w:col w:w="6740" w:space="200"/>
            <w:col w:w="4160"/>
          </w:cols>
          <w:pgMar w:left="320" w:top="459"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780"/>
        <w:spacing w:after="0"/>
        <w:tabs>
          <w:tab w:leader="none" w:pos="560" w:val="left"/>
        </w:tabs>
        <w:rPr>
          <w:sz w:val="20"/>
          <w:szCs w:val="20"/>
          <w:color w:val="auto"/>
        </w:rPr>
      </w:pPr>
      <w:r>
        <w:rPr>
          <w:rFonts w:ascii="Arial" w:cs="Arial" w:eastAsia="Arial" w:hAnsi="Arial"/>
          <w:sz w:val="14"/>
          <w:szCs w:val="14"/>
          <w:b w:val="1"/>
          <w:bCs w:val="1"/>
          <w:color w:val="auto"/>
        </w:rPr>
        <w:t>European Union / Federal Republic of Germany</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15240</wp:posOffset>
            </wp:positionV>
            <wp:extent cx="55206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meet the quorum. The provisions of German law in relation</w:t>
      </w:r>
    </w:p>
    <w:p>
      <w:pPr>
        <w:spacing w:after="0" w:line="2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to employees’ co-determination do not apply to the</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Company.</w:t>
      </w:r>
    </w:p>
    <w:p>
      <w:pPr>
        <w:sectPr>
          <w:pgSz w:w="11900" w:h="16838" w:orient="portrait"/>
          <w:cols w:equalWidth="0" w:num="1">
            <w:col w:w="11100"/>
          </w:cols>
          <w:pgMar w:left="320" w:top="459" w:right="479" w:bottom="1440" w:gutter="0" w:footer="0" w:header="0"/>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Vacancies on the Board of Directors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Members of the management board of a European stock corporation are appointed by the supervisory board for a maximum period of six years with an opportunity to be reelected. The articles of association may provide for a shorter term, which in our case is up to five years. The members of the management board may be reelected, even repeatedly. The supervisory board may remove a member of the management board prior to the expiration of his or her term only for cause, such as gross breach of duties (</w:t>
      </w:r>
      <w:r>
        <w:rPr>
          <w:rFonts w:ascii="Arial" w:cs="Arial" w:eastAsia="Arial" w:hAnsi="Arial"/>
          <w:sz w:val="16"/>
          <w:szCs w:val="16"/>
          <w:i w:val="1"/>
          <w:iCs w:val="1"/>
          <w:color w:val="auto"/>
        </w:rPr>
        <w:t>grobe Pflichtverletzung</w:t>
      </w:r>
      <w:r>
        <w:rPr>
          <w:rFonts w:ascii="Arial" w:cs="Arial" w:eastAsia="Arial" w:hAnsi="Arial"/>
          <w:sz w:val="16"/>
          <w:szCs w:val="16"/>
          <w:color w:val="auto"/>
        </w:rPr>
        <w:t>), the inability to manage the business properly (</w:t>
      </w:r>
      <w:r>
        <w:rPr>
          <w:rFonts w:ascii="Arial" w:cs="Arial" w:eastAsia="Arial" w:hAnsi="Arial"/>
          <w:sz w:val="16"/>
          <w:szCs w:val="16"/>
          <w:i w:val="1"/>
          <w:iCs w:val="1"/>
          <w:color w:val="auto"/>
        </w:rPr>
        <w:t>Unfähigkeit zur ordnungsgemäßen</w:t>
      </w:r>
      <w:r>
        <w:rPr>
          <w:rFonts w:ascii="Arial" w:cs="Arial" w:eastAsia="Arial" w:hAnsi="Arial"/>
          <w:sz w:val="16"/>
          <w:szCs w:val="16"/>
          <w:color w:val="auto"/>
        </w:rPr>
        <w:t xml:space="preserve"> </w:t>
      </w:r>
      <w:r>
        <w:rPr>
          <w:rFonts w:ascii="Arial" w:cs="Arial" w:eastAsia="Arial" w:hAnsi="Arial"/>
          <w:sz w:val="16"/>
          <w:szCs w:val="16"/>
          <w:i w:val="1"/>
          <w:iCs w:val="1"/>
          <w:color w:val="auto"/>
        </w:rPr>
        <w:t>Pflichtausübung</w:t>
      </w:r>
      <w:r>
        <w:rPr>
          <w:rFonts w:ascii="Arial" w:cs="Arial" w:eastAsia="Arial" w:hAnsi="Arial"/>
          <w:sz w:val="16"/>
          <w:szCs w:val="16"/>
          <w:color w:val="auto"/>
        </w:rPr>
        <w:t>) or a vote of no-confidence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meeting (</w:t>
      </w:r>
      <w:r>
        <w:rPr>
          <w:rFonts w:ascii="Arial" w:cs="Arial" w:eastAsia="Arial" w:hAnsi="Arial"/>
          <w:sz w:val="16"/>
          <w:szCs w:val="16"/>
          <w:i w:val="1"/>
          <w:iCs w:val="1"/>
          <w:color w:val="auto"/>
        </w:rPr>
        <w:t>Vertrauensentzug</w:t>
      </w:r>
      <w:r>
        <w:rPr>
          <w:rFonts w:ascii="Arial" w:cs="Arial" w:eastAsia="Arial" w:hAnsi="Arial"/>
          <w:sz w:val="16"/>
          <w:szCs w:val="16"/>
          <w:color w:val="auto"/>
        </w:rPr>
        <w:t>). The shareholders themselves are not entitled to appoint or dismiss the members of the management board.</w:t>
      </w:r>
    </w:p>
    <w:p>
      <w:pPr>
        <w:spacing w:after="0" w:line="1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European law, a member of the supervisory board of a company may be elected for a term of up to six years. The articles of association may provide for a shorter term. Our Supervisory Board members are, if the general meeting does not resolve on a shorter term, elected for a 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law, vacant positions on the management board are filled by the supervisory board in accordance with the general rules of appointment, which provide that vacancies are filled by the</w:t>
      </w:r>
    </w:p>
    <w:p>
      <w:pPr>
        <w:spacing w:after="0" w:line="11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w:t>
      </w:r>
    </w:p>
    <w:p>
      <w:pPr>
        <w:spacing w:after="0" w:line="2" w:lineRule="exact"/>
        <w:rPr>
          <w:sz w:val="20"/>
          <w:szCs w:val="20"/>
          <w:color w:val="auto"/>
        </w:rPr>
      </w:pPr>
    </w:p>
    <w:p>
      <w:pPr>
        <w:ind w:firstLine="7"/>
        <w:spacing w:after="0" w:line="288" w:lineRule="auto"/>
        <w:tabs>
          <w:tab w:leader="none" w:pos="26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 (i)</w:t>
      </w:r>
    </w:p>
    <w:p>
      <w:pPr>
        <w:sectPr>
          <w:pgSz w:w="11900" w:h="16838" w:orient="portrait"/>
          <w:cols w:equalWidth="0" w:num="3">
            <w:col w:w="2000" w:space="440"/>
            <w:col w:w="4280" w:space="220"/>
            <w:col w:w="4160"/>
          </w:cols>
          <w:pgMar w:left="320" w:top="459" w:right="479" w:bottom="1440" w:gutter="0" w:footer="0" w:header="0"/>
          <w:type w:val="continuous"/>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15240</wp:posOffset>
            </wp:positionV>
            <wp:extent cx="272605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 w:lineRule="exact"/>
        <w:rPr>
          <w:sz w:val="20"/>
          <w:szCs w:val="20"/>
          <w:color w:val="auto"/>
        </w:rPr>
      </w:pPr>
    </w:p>
    <w:p>
      <w:pPr>
        <w:ind w:left="2440"/>
        <w:spacing w:after="0" w:line="267" w:lineRule="auto"/>
        <w:rPr>
          <w:sz w:val="20"/>
          <w:szCs w:val="20"/>
          <w:color w:val="auto"/>
        </w:rPr>
      </w:pPr>
      <w:r>
        <w:rPr>
          <w:rFonts w:ascii="Arial" w:cs="Arial" w:eastAsia="Arial" w:hAnsi="Arial"/>
          <w:sz w:val="17"/>
          <w:szCs w:val="17"/>
          <w:color w:val="auto"/>
        </w:rPr>
        <w:t>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w:t>
      </w:r>
    </w:p>
    <w:p>
      <w:pPr>
        <w:spacing w:after="0" w:line="2" w:lineRule="exact"/>
        <w:rPr>
          <w:sz w:val="20"/>
          <w:szCs w:val="20"/>
          <w:color w:val="auto"/>
        </w:rPr>
      </w:pPr>
    </w:p>
    <w:p>
      <w:pPr>
        <w:ind w:left="2440" w:right="360"/>
        <w:spacing w:after="0" w:line="323" w:lineRule="auto"/>
        <w:rPr>
          <w:sz w:val="20"/>
          <w:szCs w:val="20"/>
          <w:color w:val="auto"/>
        </w:rPr>
      </w:pPr>
      <w:r>
        <w:rPr>
          <w:rFonts w:ascii="Arial" w:cs="Arial" w:eastAsia="Arial" w:hAnsi="Arial"/>
          <w:sz w:val="16"/>
          <w:szCs w:val="16"/>
          <w:color w:val="auto"/>
        </w:rPr>
        <w:t>Vacant positions on the supervisory board are filled in accordance with the general rules of appointment.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65747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823" w:lineRule="exact"/>
        <w:rPr>
          <w:sz w:val="20"/>
          <w:szCs w:val="20"/>
          <w:color w:val="auto"/>
        </w:rPr>
      </w:pPr>
    </w:p>
    <w:p>
      <w:pPr>
        <w:sectPr>
          <w:pgSz w:w="11900" w:h="16838" w:orient="portrait"/>
          <w:cols w:equalWidth="0" w:num="2">
            <w:col w:w="6680" w:space="260"/>
            <w:col w:w="4180"/>
          </w:cols>
          <w:pgMar w:left="320" w:top="459" w:right="459" w:bottom="1440" w:gutter="0" w:footer="0" w:header="0"/>
        </w:sectPr>
      </w:pPr>
    </w:p>
    <w:p>
      <w:pPr>
        <w:ind w:left="120"/>
        <w:spacing w:after="0"/>
        <w:tabs>
          <w:tab w:leader="none" w:pos="242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6"/>
          <w:szCs w:val="16"/>
          <w:color w:val="auto"/>
        </w:rPr>
        <w:t>A European stock corporation which is governed by</w:t>
      </w:r>
    </w:p>
    <w:p>
      <w:pPr>
        <w:spacing w:after="0" w:line="23" w:lineRule="exact"/>
        <w:rPr>
          <w:sz w:val="20"/>
          <w:szCs w:val="20"/>
          <w:color w:val="auto"/>
        </w:rPr>
      </w:pPr>
    </w:p>
    <w:p>
      <w:pPr>
        <w:ind w:left="2440"/>
        <w:spacing w:after="0" w:line="268" w:lineRule="auto"/>
        <w:rPr>
          <w:sz w:val="20"/>
          <w:szCs w:val="20"/>
          <w:color w:val="auto"/>
        </w:rPr>
      </w:pPr>
      <w:r>
        <w:rPr>
          <w:rFonts w:ascii="Arial" w:cs="Arial" w:eastAsia="Arial" w:hAnsi="Arial"/>
          <w:sz w:val="17"/>
          <w:szCs w:val="17"/>
          <w:color w:val="auto"/>
        </w:rPr>
        <w:t>German law must hold an annual shareholders’ meeting within six months of the end of its fiscal 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w:t>
      </w:r>
    </w:p>
    <w:p>
      <w:pPr>
        <w:spacing w:after="0" w:line="20" w:lineRule="exact"/>
        <w:rPr>
          <w:sz w:val="20"/>
          <w:szCs w:val="20"/>
          <w:color w:val="auto"/>
        </w:rPr>
      </w:pPr>
      <w:r>
        <w:rPr>
          <w:sz w:val="20"/>
          <w:szCs w:val="20"/>
          <w:color w:val="auto"/>
        </w:rPr>
        <w:br w:type="column"/>
      </w:r>
    </w:p>
    <w:p>
      <w:pPr>
        <w:ind w:right="40"/>
        <w:spacing w:after="0" w:line="257"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1051" w:lineRule="exact"/>
        <w:rPr>
          <w:sz w:val="20"/>
          <w:szCs w:val="20"/>
          <w:color w:val="auto"/>
        </w:rPr>
      </w:pPr>
    </w:p>
    <w:p>
      <w:pPr>
        <w:sectPr>
          <w:pgSz w:w="11900" w:h="16838" w:orient="portrait"/>
          <w:cols w:equalWidth="0" w:num="2">
            <w:col w:w="6580" w:space="360"/>
            <w:col w:w="4180"/>
          </w:cols>
          <w:pgMar w:left="320" w:top="459" w:right="459" w:bottom="1440" w:gutter="0" w:footer="0" w:header="0"/>
          <w:type w:val="continuous"/>
        </w:sectPr>
      </w:pPr>
    </w:p>
    <w:p>
      <w:pPr>
        <w:ind w:left="120"/>
        <w:spacing w:after="0"/>
        <w:tabs>
          <w:tab w:leader="none" w:pos="242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6"/>
          <w:szCs w:val="16"/>
          <w:color w:val="auto"/>
        </w:rPr>
        <w:t>Under the law, extraordinary shareholders’ meetings, in</w:t>
      </w:r>
    </w:p>
    <w:p>
      <w:pPr>
        <w:spacing w:after="0" w:line="23" w:lineRule="exact"/>
        <w:rPr>
          <w:sz w:val="20"/>
          <w:szCs w:val="20"/>
          <w:color w:val="auto"/>
        </w:rPr>
      </w:pPr>
    </w:p>
    <w:p>
      <w:pPr>
        <w:ind w:left="2440"/>
        <w:spacing w:after="0" w:line="251" w:lineRule="auto"/>
        <w:rPr>
          <w:sz w:val="20"/>
          <w:szCs w:val="20"/>
          <w:color w:val="auto"/>
        </w:rPr>
      </w:pPr>
      <w:r>
        <w:rPr>
          <w:rFonts w:ascii="Arial" w:cs="Arial" w:eastAsia="Arial" w:hAnsi="Arial"/>
          <w:sz w:val="18"/>
          <w:szCs w:val="18"/>
          <w:color w:val="auto"/>
        </w:rPr>
        <w:t>addition to the annual shareholders’ meetings, may be called by either the management board, or by the supervisory board. Shareholders holding at least 5% of the company’s share capital are entitled to request that an extraordinary shareholders’ meeting be convened. In the event that the meeting is not then so convened, the court may order that the meeting be convened or authorize the shareholders or their representative to convene the meeting themselves.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1482" w:lineRule="exact"/>
        <w:rPr>
          <w:sz w:val="20"/>
          <w:szCs w:val="20"/>
          <w:color w:val="auto"/>
        </w:rPr>
      </w:pPr>
    </w:p>
    <w:p>
      <w:pPr>
        <w:sectPr>
          <w:pgSz w:w="11900" w:h="16838" w:orient="portrait"/>
          <w:cols w:equalWidth="0" w:num="2">
            <w:col w:w="6680" w:space="260"/>
            <w:col w:w="4180"/>
          </w:cols>
          <w:pgMar w:left="320" w:top="459" w:right="459" w:bottom="1440" w:gutter="0" w:footer="0" w:header="0"/>
          <w:type w:val="continuous"/>
        </w:sectPr>
      </w:pPr>
    </w:p>
    <w:p>
      <w:pPr>
        <w:ind w:left="120"/>
        <w:spacing w:after="0"/>
        <w:tabs>
          <w:tab w:leader="none" w:pos="242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6"/>
          <w:szCs w:val="16"/>
          <w:color w:val="auto"/>
        </w:rPr>
        <w:t>Under applicable European and German law, unless a</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longer period is otherwise provided for in the articles of</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association or applies because of registration requirements</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stipulated in the articles of association, the shareholders</w:t>
      </w:r>
    </w:p>
    <w:p>
      <w:pPr>
        <w:spacing w:after="0" w:line="32"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must be given at least 30 days’ advance notice of the</w:t>
      </w:r>
    </w:p>
    <w:p>
      <w:pPr>
        <w:spacing w:after="0" w:line="21"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shareholders’ meeting. Such notices must at least specify</w:t>
      </w:r>
    </w:p>
    <w:p>
      <w:pPr>
        <w:spacing w:after="0" w:line="3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the name of the company, the statutory seat of the</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company, and the location, date and time</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br w:type="column"/>
      </w:r>
    </w:p>
    <w:p>
      <w:pPr>
        <w:ind w:right="100"/>
        <w:spacing w:after="0" w:line="272"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6640" w:space="300"/>
            <w:col w:w="4180"/>
          </w:cols>
          <w:pgMar w:left="320" w:top="459" w:right="459" w:bottom="1440" w:gutter="0" w:footer="0" w:header="0"/>
          <w:type w:val="continuous"/>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of the shareholders’ meeting. In addition, the invitation</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must contain the agenda items as well as the management</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board’s and the supervisory board’s voting proposal for</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each agenda item and, depending on the circumstances,</w:t>
            </w: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certain further information.</w:t>
            </w:r>
          </w:p>
        </w:tc>
      </w:tr>
      <w:tr>
        <w:trPr>
          <w:trHeight w:val="445"/>
        </w:trPr>
        <w:tc>
          <w:tcPr>
            <w:tcW w:w="232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If all shareholders entitled to attend the shareholders’</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0"/>
              </w:rPr>
              <w:t>meeting are present or represented and do not object to the</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5"/>
              </w:rPr>
              <w:t>meeting being held, the formalities of calling and holding</w:t>
            </w: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of a shareholders’ meeting do not apply.</w:t>
            </w:r>
          </w:p>
        </w:tc>
      </w:tr>
      <w:tr>
        <w:trPr>
          <w:trHeight w:val="431"/>
        </w:trPr>
        <w:tc>
          <w:tcPr>
            <w:tcW w:w="2320" w:type="dxa"/>
            <w:vAlign w:val="bottom"/>
          </w:tcPr>
          <w:p>
            <w:pPr>
              <w:spacing w:after="0"/>
              <w:rPr>
                <w:sz w:val="20"/>
                <w:szCs w:val="20"/>
                <w:color w:val="auto"/>
              </w:rPr>
            </w:pPr>
            <w:r>
              <w:rPr>
                <w:rFonts w:ascii="Arial" w:cs="Arial" w:eastAsia="Arial" w:hAnsi="Arial"/>
                <w:sz w:val="18"/>
                <w:szCs w:val="18"/>
                <w:color w:val="auto"/>
              </w:rPr>
              <w:t>Proxy</w:t>
            </w:r>
          </w:p>
        </w:tc>
        <w:tc>
          <w:tcPr>
            <w:tcW w:w="4300" w:type="dxa"/>
            <w:vAlign w:val="bottom"/>
          </w:tcPr>
          <w:p>
            <w:pPr>
              <w:spacing w:after="0"/>
              <w:rPr>
                <w:sz w:val="20"/>
                <w:szCs w:val="20"/>
                <w:color w:val="auto"/>
              </w:rPr>
            </w:pPr>
            <w:r>
              <w:rPr>
                <w:rFonts w:ascii="Arial" w:cs="Arial" w:eastAsia="Arial" w:hAnsi="Arial"/>
                <w:sz w:val="18"/>
                <w:szCs w:val="18"/>
                <w:color w:val="auto"/>
                <w:w w:val="97"/>
              </w:rPr>
              <w:t>A shareholder may designate another person to attend,</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speak and vote at a shareholders’ meeting of the company</w:t>
            </w: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on such shareholder’s behalf by proxy.</w:t>
            </w:r>
          </w:p>
        </w:tc>
      </w:tr>
      <w:tr>
        <w:trPr>
          <w:trHeight w:val="445"/>
        </w:trPr>
        <w:tc>
          <w:tcPr>
            <w:tcW w:w="232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With respect to management board meetings, a</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6"/>
              </w:rPr>
              <w:t>management board member may transmit its (written or</w:t>
            </w: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verbal) vote via another management board member.</w:t>
            </w:r>
          </w:p>
        </w:tc>
      </w:tr>
      <w:tr>
        <w:trPr>
          <w:trHeight w:val="445"/>
        </w:trPr>
        <w:tc>
          <w:tcPr>
            <w:tcW w:w="232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With respect to supervisory board meetings, a supervisory</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board member may participate in voting by issuing a</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written vote to another supervisory board member or any</w:t>
            </w: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third party entitled to attend the supervisory board meeting.</w:t>
            </w:r>
          </w:p>
        </w:tc>
      </w:tr>
      <w:tr>
        <w:trPr>
          <w:trHeight w:val="431"/>
        </w:trPr>
        <w:tc>
          <w:tcPr>
            <w:tcW w:w="2320" w:type="dxa"/>
            <w:vAlign w:val="bottom"/>
          </w:tcPr>
          <w:p>
            <w:pPr>
              <w:spacing w:after="0"/>
              <w:rPr>
                <w:sz w:val="20"/>
                <w:szCs w:val="20"/>
                <w:color w:val="auto"/>
              </w:rPr>
            </w:pPr>
            <w:r>
              <w:rPr>
                <w:rFonts w:ascii="Arial" w:cs="Arial" w:eastAsia="Arial" w:hAnsi="Arial"/>
                <w:sz w:val="18"/>
                <w:szCs w:val="18"/>
                <w:color w:val="auto"/>
              </w:rPr>
              <w:t>Preemptive Rights</w:t>
            </w:r>
          </w:p>
        </w:tc>
        <w:tc>
          <w:tcPr>
            <w:tcW w:w="4300" w:type="dxa"/>
            <w:vAlign w:val="bottom"/>
          </w:tcPr>
          <w:p>
            <w:pPr>
              <w:spacing w:after="0"/>
              <w:rPr>
                <w:sz w:val="20"/>
                <w:szCs w:val="20"/>
                <w:color w:val="auto"/>
              </w:rPr>
            </w:pPr>
            <w:r>
              <w:rPr>
                <w:rFonts w:ascii="Arial" w:cs="Arial" w:eastAsia="Arial" w:hAnsi="Arial"/>
                <w:sz w:val="18"/>
                <w:szCs w:val="18"/>
                <w:color w:val="auto"/>
                <w:w w:val="94"/>
              </w:rPr>
              <w:t>Under the law applicable to European stock corporations</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governed by German law, existing shareholders have a</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statutory subscription right for any additional issue of</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89"/>
              </w:rPr>
              <w:t>shares or any security convertible into shares pro rata to the</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nominal value of their respective holdings in the company,</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unless (i) shareholders representing three-quarters of the</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registered share capital present at the shareholders’</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meeting have resolved upon the whole or partial exclusion</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of the subscription right and (ii) there exists good and</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objective cause for such exclusion. No separate resolution</w:t>
            </w:r>
          </w:p>
        </w:tc>
      </w:tr>
      <w:tr>
        <w:trPr>
          <w:trHeight w:val="216"/>
        </w:trPr>
        <w:tc>
          <w:tcPr>
            <w:tcW w:w="23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on the exclusion of subscription rights is required if all</w:t>
            </w:r>
          </w:p>
        </w:tc>
      </w:tr>
      <w:tr>
        <w:trPr>
          <w:trHeight w:val="230"/>
        </w:trPr>
        <w:tc>
          <w:tcPr>
            <w:tcW w:w="23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shareholders waive their statutory subscription rights.</w:t>
            </w:r>
          </w:p>
        </w:tc>
      </w:tr>
      <w:tr>
        <w:trPr>
          <w:trHeight w:val="364"/>
        </w:trPr>
        <w:tc>
          <w:tcPr>
            <w:tcW w:w="2320" w:type="dxa"/>
            <w:vAlign w:val="bottom"/>
          </w:tcPr>
          <w:p>
            <w:pPr>
              <w:spacing w:after="0"/>
              <w:rPr>
                <w:sz w:val="24"/>
                <w:szCs w:val="24"/>
                <w:color w:val="auto"/>
              </w:rPr>
            </w:pPr>
          </w:p>
        </w:tc>
        <w:tc>
          <w:tcPr>
            <w:tcW w:w="4300" w:type="dxa"/>
            <w:vAlign w:val="bottom"/>
          </w:tcPr>
          <w:p>
            <w:pPr>
              <w:ind w:left="3040"/>
              <w:spacing w:after="0"/>
              <w:rPr>
                <w:sz w:val="20"/>
                <w:szCs w:val="20"/>
                <w:color w:val="auto"/>
              </w:rPr>
            </w:pPr>
            <w:r>
              <w:rPr>
                <w:rFonts w:ascii="Arial" w:cs="Arial" w:eastAsia="Arial" w:hAnsi="Arial"/>
                <w:sz w:val="18"/>
                <w:szCs w:val="18"/>
                <w:color w:val="auto"/>
              </w:rPr>
              <w:t>252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6574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6740" w:space="200"/>
            <w:col w:w="4140"/>
          </w:cols>
          <w:pgMar w:left="320" w:top="459" w:right="4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800"/>
        <w:spacing w:after="0"/>
        <w:tabs>
          <w:tab w:leader="none" w:pos="560" w:val="left"/>
        </w:tabs>
        <w:rPr>
          <w:sz w:val="20"/>
          <w:szCs w:val="20"/>
          <w:color w:val="auto"/>
        </w:rPr>
      </w:pPr>
      <w:r>
        <w:rPr>
          <w:rFonts w:ascii="Arial" w:cs="Arial" w:eastAsia="Arial" w:hAnsi="Arial"/>
          <w:sz w:val="14"/>
          <w:szCs w:val="14"/>
          <w:b w:val="1"/>
          <w:bCs w:val="1"/>
          <w:color w:val="auto"/>
        </w:rPr>
        <w:t>European Union / Federal Republic of Germany</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15240</wp:posOffset>
            </wp:positionV>
            <wp:extent cx="55206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25" w:lineRule="exact"/>
        <w:rPr>
          <w:sz w:val="20"/>
          <w:szCs w:val="20"/>
          <w:color w:val="auto"/>
        </w:rPr>
      </w:pPr>
    </w:p>
    <w:p>
      <w:pPr>
        <w:ind w:left="120"/>
        <w:spacing w:after="0"/>
        <w:tabs>
          <w:tab w:leader="none" w:pos="242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6"/>
          <w:szCs w:val="16"/>
          <w:color w:val="auto"/>
        </w:rPr>
        <w:t>Under applicable European and German law, the</w:t>
      </w:r>
    </w:p>
    <w:p>
      <w:pPr>
        <w:spacing w:after="0" w:line="23" w:lineRule="exact"/>
        <w:rPr>
          <w:sz w:val="20"/>
          <w:szCs w:val="20"/>
          <w:color w:val="auto"/>
        </w:rPr>
      </w:pPr>
    </w:p>
    <w:p>
      <w:pPr>
        <w:ind w:left="2440"/>
        <w:spacing w:after="0" w:line="288" w:lineRule="auto"/>
        <w:rPr>
          <w:sz w:val="20"/>
          <w:szCs w:val="20"/>
          <w:color w:val="auto"/>
        </w:rPr>
      </w:pPr>
      <w:r>
        <w:rPr>
          <w:rFonts w:ascii="Arial" w:cs="Arial" w:eastAsia="Arial" w:hAnsi="Arial"/>
          <w:sz w:val="16"/>
          <w:szCs w:val="16"/>
          <w:color w:val="auto"/>
        </w:rPr>
        <w:t>management board may not allot shares, grant rights to subscribe for or to convert any security into shares unless a shareholder resolution to that effect has been passed at the company’s shareholders’ meeting granting the management board with such authority—subject to the approval of the supervisory board—in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168" w:lineRule="exact"/>
        <w:rPr>
          <w:sz w:val="20"/>
          <w:szCs w:val="20"/>
          <w:color w:val="auto"/>
        </w:rPr>
      </w:pPr>
    </w:p>
    <w:p>
      <w:pPr>
        <w:sectPr>
          <w:pgSz w:w="11900" w:h="16838" w:orient="portrait"/>
          <w:cols w:equalWidth="0" w:num="2">
            <w:col w:w="6740" w:space="200"/>
            <w:col w:w="4180"/>
          </w:cols>
          <w:pgMar w:left="320" w:top="459" w:right="459" w:bottom="1440" w:gutter="0" w:footer="0" w:header="0"/>
          <w:type w:val="continuous"/>
        </w:sectPr>
      </w:pPr>
    </w:p>
    <w:p>
      <w:pPr>
        <w:ind w:left="120"/>
        <w:spacing w:after="0"/>
        <w:tabs>
          <w:tab w:leader="none" w:pos="2420" w:val="left"/>
        </w:tabs>
        <w:rPr>
          <w:sz w:val="20"/>
          <w:szCs w:val="20"/>
          <w:color w:val="auto"/>
        </w:rPr>
      </w:pPr>
      <w:r>
        <w:rPr>
          <w:rFonts w:ascii="Arial" w:cs="Arial" w:eastAsia="Arial" w:hAnsi="Arial"/>
          <w:sz w:val="18"/>
          <w:szCs w:val="18"/>
          <w:color w:val="auto"/>
        </w:rPr>
        <w:t>Liability of Directors and</w:t>
      </w:r>
      <w:r>
        <w:rPr>
          <w:sz w:val="20"/>
          <w:szCs w:val="20"/>
          <w:color w:val="auto"/>
        </w:rPr>
        <w:tab/>
      </w:r>
      <w:r>
        <w:rPr>
          <w:rFonts w:ascii="Arial" w:cs="Arial" w:eastAsia="Arial" w:hAnsi="Arial"/>
          <w:sz w:val="16"/>
          <w:szCs w:val="16"/>
          <w:color w:val="auto"/>
        </w:rPr>
        <w:t>Under German law, any provision, whether contained in</w:t>
      </w:r>
    </w:p>
    <w:p>
      <w:pPr>
        <w:spacing w:after="0" w:line="23" w:lineRule="exact"/>
        <w:rPr>
          <w:sz w:val="20"/>
          <w:szCs w:val="20"/>
          <w:color w:val="auto"/>
        </w:rPr>
      </w:pPr>
    </w:p>
    <w:p>
      <w:pPr>
        <w:ind w:left="120"/>
        <w:spacing w:after="0"/>
        <w:tabs>
          <w:tab w:leader="none" w:pos="2420" w:val="left"/>
        </w:tabs>
        <w:rPr>
          <w:sz w:val="20"/>
          <w:szCs w:val="20"/>
          <w:color w:val="auto"/>
        </w:rPr>
      </w:pPr>
      <w:r>
        <w:rPr>
          <w:rFonts w:ascii="Arial" w:cs="Arial" w:eastAsia="Arial" w:hAnsi="Arial"/>
          <w:sz w:val="17"/>
          <w:szCs w:val="17"/>
          <w:color w:val="auto"/>
        </w:rPr>
        <w:t>Officers</w:t>
      </w:r>
      <w:r>
        <w:rPr>
          <w:sz w:val="20"/>
          <w:szCs w:val="20"/>
          <w:color w:val="auto"/>
        </w:rPr>
        <w:tab/>
      </w:r>
      <w:r>
        <w:rPr>
          <w:rFonts w:ascii="Arial" w:cs="Arial" w:eastAsia="Arial" w:hAnsi="Arial"/>
          <w:sz w:val="17"/>
          <w:szCs w:val="17"/>
          <w:color w:val="auto"/>
        </w:rPr>
        <w:t>the company’s articles of association or any contract or</w:t>
      </w:r>
    </w:p>
    <w:p>
      <w:pPr>
        <w:spacing w:after="0" w:line="21" w:lineRule="exact"/>
        <w:rPr>
          <w:sz w:val="20"/>
          <w:szCs w:val="20"/>
          <w:color w:val="auto"/>
        </w:rPr>
      </w:pPr>
    </w:p>
    <w:p>
      <w:pPr>
        <w:ind w:left="2440"/>
        <w:spacing w:after="0" w:line="271" w:lineRule="auto"/>
        <w:rPr>
          <w:sz w:val="20"/>
          <w:szCs w:val="20"/>
          <w:color w:val="auto"/>
        </w:rPr>
      </w:pPr>
      <w:r>
        <w:rPr>
          <w:rFonts w:ascii="Arial" w:cs="Arial" w:eastAsia="Arial" w:hAnsi="Arial"/>
          <w:sz w:val="17"/>
          <w:szCs w:val="17"/>
          <w:color w:val="auto"/>
        </w:rPr>
        <w:t>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84" w:lineRule="exact"/>
        <w:rPr>
          <w:sz w:val="20"/>
          <w:szCs w:val="20"/>
          <w:color w:val="auto"/>
        </w:rPr>
      </w:pPr>
    </w:p>
    <w:p>
      <w:pPr>
        <w:ind w:left="2440" w:right="20"/>
        <w:spacing w:after="0" w:line="269" w:lineRule="auto"/>
        <w:rPr>
          <w:sz w:val="20"/>
          <w:szCs w:val="20"/>
          <w:color w:val="auto"/>
        </w:rPr>
      </w:pPr>
      <w:r>
        <w:rPr>
          <w:rFonts w:ascii="Arial" w:cs="Arial" w:eastAsia="Arial" w:hAnsi="Arial"/>
          <w:sz w:val="17"/>
          <w:szCs w:val="17"/>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claims for damages against a negligent management or supervisory board member only after the expiry of three years.</w:t>
      </w:r>
    </w:p>
    <w:p>
      <w:pPr>
        <w:spacing w:after="0" w:line="199" w:lineRule="exact"/>
        <w:rPr>
          <w:sz w:val="20"/>
          <w:szCs w:val="20"/>
          <w:color w:val="auto"/>
        </w:rPr>
      </w:pPr>
    </w:p>
    <w:p>
      <w:pPr>
        <w:ind w:left="120"/>
        <w:spacing w:after="0"/>
        <w:tabs>
          <w:tab w:leader="none" w:pos="242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5"/>
          <w:szCs w:val="15"/>
          <w:color w:val="auto"/>
        </w:rPr>
        <w:t>Under the relevant European and German law, each share,</w:t>
      </w:r>
    </w:p>
    <w:p>
      <w:pPr>
        <w:spacing w:after="0" w:line="23" w:lineRule="exact"/>
        <w:rPr>
          <w:sz w:val="20"/>
          <w:szCs w:val="20"/>
          <w:color w:val="auto"/>
        </w:rPr>
      </w:pPr>
    </w:p>
    <w:p>
      <w:pPr>
        <w:ind w:left="2440" w:right="40"/>
        <w:spacing w:after="0" w:line="252" w:lineRule="auto"/>
        <w:rPr>
          <w:sz w:val="20"/>
          <w:szCs w:val="20"/>
          <w:color w:val="auto"/>
        </w:rPr>
      </w:pPr>
      <w:r>
        <w:rPr>
          <w:rFonts w:ascii="Arial" w:cs="Arial" w:eastAsia="Arial" w:hAnsi="Arial"/>
          <w:sz w:val="18"/>
          <w:szCs w:val="18"/>
          <w:color w:val="auto"/>
        </w:rPr>
        <w:t>except for statutory non-voting preferred shares (</w:t>
      </w:r>
      <w:r>
        <w:rPr>
          <w:rFonts w:ascii="Arial" w:cs="Arial" w:eastAsia="Arial" w:hAnsi="Arial"/>
          <w:sz w:val="18"/>
          <w:szCs w:val="18"/>
          <w:i w:val="1"/>
          <w:iCs w:val="1"/>
          <w:color w:val="auto"/>
        </w:rPr>
        <w:t>nicht</w:t>
      </w:r>
      <w:r>
        <w:rPr>
          <w:rFonts w:ascii="Arial" w:cs="Arial" w:eastAsia="Arial" w:hAnsi="Arial"/>
          <w:sz w:val="18"/>
          <w:szCs w:val="18"/>
          <w:color w:val="auto"/>
        </w:rPr>
        <w:t xml:space="preserve"> </w:t>
      </w:r>
      <w:r>
        <w:rPr>
          <w:rFonts w:ascii="Arial" w:cs="Arial" w:eastAsia="Arial" w:hAnsi="Arial"/>
          <w:sz w:val="18"/>
          <w:szCs w:val="18"/>
          <w:i w:val="1"/>
          <w:iCs w:val="1"/>
          <w:color w:val="auto"/>
        </w:rPr>
        <w:t>stimmberechtigte Vorzugsaktien</w:t>
      </w:r>
      <w:r>
        <w:rPr>
          <w:rFonts w:ascii="Arial" w:cs="Arial" w:eastAsia="Arial" w:hAnsi="Arial"/>
          <w:sz w:val="18"/>
          <w:szCs w:val="18"/>
          <w:color w:val="auto"/>
        </w:rPr>
        <w:t>), entitles its holder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at the shareholders’ meeting with, in the case of no-par value shares, each share conferring one vote. While German law does not provide for a minimum attendance quorum for</w:t>
      </w:r>
    </w:p>
    <w:p>
      <w:pPr>
        <w:spacing w:after="0" w:line="1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7"/>
          <w:szCs w:val="17"/>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83" w:lineRule="exact"/>
        <w:rPr>
          <w:sz w:val="20"/>
          <w:szCs w:val="20"/>
          <w:color w:val="auto"/>
        </w:rPr>
      </w:pPr>
    </w:p>
    <w:p>
      <w:pPr>
        <w:ind w:left="720" w:right="200" w:hanging="263"/>
        <w:spacing w:after="0" w:line="308" w:lineRule="auto"/>
        <w:tabs>
          <w:tab w:leader="none" w:pos="704"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corporation or its stockholders;</w:t>
      </w:r>
    </w:p>
    <w:p>
      <w:pPr>
        <w:spacing w:after="0" w:line="51" w:lineRule="exact"/>
        <w:rPr>
          <w:rFonts w:ascii="Arial" w:cs="Arial" w:eastAsia="Arial" w:hAnsi="Arial"/>
          <w:sz w:val="17"/>
          <w:szCs w:val="17"/>
          <w:color w:val="auto"/>
        </w:rPr>
      </w:pPr>
    </w:p>
    <w:p>
      <w:pPr>
        <w:ind w:left="720" w:right="220" w:hanging="263"/>
        <w:spacing w:after="0" w:line="263" w:lineRule="auto"/>
        <w:tabs>
          <w:tab w:leader="none" w:pos="70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89" w:lineRule="exact"/>
        <w:rPr>
          <w:rFonts w:ascii="Arial" w:cs="Arial" w:eastAsia="Arial" w:hAnsi="Arial"/>
          <w:sz w:val="18"/>
          <w:szCs w:val="18"/>
          <w:color w:val="auto"/>
        </w:rPr>
      </w:pPr>
    </w:p>
    <w:p>
      <w:pPr>
        <w:ind w:left="720" w:hanging="263"/>
        <w:spacing w:after="0" w:line="342" w:lineRule="auto"/>
        <w:tabs>
          <w:tab w:leader="none" w:pos="70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29" w:lineRule="exact"/>
        <w:rPr>
          <w:rFonts w:ascii="Arial" w:cs="Arial" w:eastAsia="Arial" w:hAnsi="Arial"/>
          <w:sz w:val="16"/>
          <w:szCs w:val="16"/>
          <w:color w:val="auto"/>
        </w:rPr>
      </w:pPr>
    </w:p>
    <w:p>
      <w:pPr>
        <w:ind w:left="720" w:right="60" w:hanging="263"/>
        <w:spacing w:after="0" w:line="277" w:lineRule="auto"/>
        <w:tabs>
          <w:tab w:leader="none" w:pos="70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2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700" w:space="240"/>
            <w:col w:w="4180"/>
          </w:cols>
          <w:pgMar w:left="320" w:top="459" w:right="459" w:bottom="1440" w:gutter="0" w:footer="0" w:header="0"/>
          <w:type w:val="continuous"/>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800"/>
        <w:spacing w:after="0"/>
        <w:tabs>
          <w:tab w:leader="none" w:pos="560" w:val="left"/>
        </w:tabs>
        <w:rPr>
          <w:sz w:val="20"/>
          <w:szCs w:val="20"/>
          <w:color w:val="auto"/>
        </w:rPr>
      </w:pPr>
      <w:r>
        <w:rPr>
          <w:rFonts w:ascii="Arial" w:cs="Arial" w:eastAsia="Arial" w:hAnsi="Arial"/>
          <w:sz w:val="14"/>
          <w:szCs w:val="14"/>
          <w:b w:val="1"/>
          <w:bCs w:val="1"/>
          <w:color w:val="auto"/>
        </w:rPr>
        <w:t>European Union / Federal Republic of Germany</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15240</wp:posOffset>
            </wp:positionV>
            <wp:extent cx="55206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shareholders’ meetings, the company’s articles of</w:t>
      </w:r>
    </w:p>
    <w:p>
      <w:pPr>
        <w:spacing w:after="0" w:line="2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association may so provide. In general, resolutions adopted</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at a shareholders’ meeting may be passed by a simple</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majority of votes cast, unless a higher majority is required</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by law or under the company’s articles of association.</w:t>
      </w:r>
    </w:p>
    <w:p>
      <w:pPr>
        <w:sectPr>
          <w:pgSz w:w="11900" w:h="16838" w:orient="portrait"/>
          <w:cols w:equalWidth="0" w:num="1">
            <w:col w:w="11120"/>
          </w:cols>
          <w:pgMar w:left="320" w:top="459" w:right="459" w:bottom="1440" w:gutter="0" w:footer="0" w:header="0"/>
        </w:sectPr>
      </w:pPr>
    </w:p>
    <w:p>
      <w:pPr>
        <w:spacing w:after="0" w:line="211" w:lineRule="exact"/>
        <w:rPr>
          <w:sz w:val="20"/>
          <w:szCs w:val="20"/>
          <w:color w:val="auto"/>
        </w:rPr>
      </w:pPr>
    </w:p>
    <w:p>
      <w:pPr>
        <w:ind w:left="120"/>
        <w:spacing w:after="0"/>
        <w:tabs>
          <w:tab w:leader="none" w:pos="2420" w:val="left"/>
        </w:tabs>
        <w:rPr>
          <w:sz w:val="20"/>
          <w:szCs w:val="20"/>
          <w:color w:val="auto"/>
        </w:rPr>
      </w:pPr>
      <w:r>
        <w:rPr>
          <w:rFonts w:ascii="Arial" w:cs="Arial" w:eastAsia="Arial" w:hAnsi="Arial"/>
          <w:sz w:val="18"/>
          <w:szCs w:val="18"/>
          <w:color w:val="auto"/>
        </w:rPr>
        <w:t>Shareholder Vote on Certain</w:t>
      </w:r>
      <w:r>
        <w:rPr>
          <w:sz w:val="20"/>
          <w:szCs w:val="20"/>
          <w:color w:val="auto"/>
        </w:rPr>
        <w:tab/>
      </w:r>
      <w:r>
        <w:rPr>
          <w:rFonts w:ascii="Arial" w:cs="Arial" w:eastAsia="Arial" w:hAnsi="Arial"/>
          <w:sz w:val="16"/>
          <w:szCs w:val="16"/>
          <w:color w:val="auto"/>
        </w:rPr>
        <w:t>Under applicable European and German law, certain</w:t>
      </w:r>
    </w:p>
    <w:p>
      <w:pPr>
        <w:spacing w:after="0" w:line="23" w:lineRule="exact"/>
        <w:rPr>
          <w:sz w:val="20"/>
          <w:szCs w:val="20"/>
          <w:color w:val="auto"/>
        </w:rPr>
      </w:pPr>
    </w:p>
    <w:p>
      <w:pPr>
        <w:ind w:left="120"/>
        <w:spacing w:after="0"/>
        <w:tabs>
          <w:tab w:leader="none" w:pos="2420" w:val="left"/>
        </w:tabs>
        <w:rPr>
          <w:sz w:val="20"/>
          <w:szCs w:val="20"/>
          <w:color w:val="auto"/>
        </w:rPr>
      </w:pPr>
      <w:r>
        <w:rPr>
          <w:rFonts w:ascii="Arial" w:cs="Arial" w:eastAsia="Arial" w:hAnsi="Arial"/>
          <w:sz w:val="18"/>
          <w:szCs w:val="18"/>
          <w:color w:val="auto"/>
        </w:rPr>
        <w:t>Transactions</w:t>
      </w:r>
      <w:r>
        <w:rPr>
          <w:sz w:val="20"/>
          <w:szCs w:val="20"/>
          <w:color w:val="auto"/>
        </w:rPr>
        <w:tab/>
      </w:r>
      <w:r>
        <w:rPr>
          <w:rFonts w:ascii="Arial" w:cs="Arial" w:eastAsia="Arial" w:hAnsi="Arial"/>
          <w:sz w:val="18"/>
          <w:szCs w:val="18"/>
          <w:color w:val="auto"/>
        </w:rPr>
        <w:t>shareholders’ resolutions of fundamental importance</w:t>
      </w:r>
    </w:p>
    <w:p>
      <w:pPr>
        <w:spacing w:after="0" w:line="9" w:lineRule="exact"/>
        <w:rPr>
          <w:sz w:val="20"/>
          <w:szCs w:val="20"/>
          <w:color w:val="auto"/>
        </w:rPr>
      </w:pPr>
    </w:p>
    <w:p>
      <w:pPr>
        <w:ind w:left="2440" w:right="20"/>
        <w:spacing w:after="0" w:line="267" w:lineRule="auto"/>
        <w:rPr>
          <w:sz w:val="20"/>
          <w:szCs w:val="20"/>
          <w:color w:val="auto"/>
        </w:rPr>
      </w:pPr>
      <w:r>
        <w:rPr>
          <w:rFonts w:ascii="Arial" w:cs="Arial" w:eastAsia="Arial" w:hAnsi="Arial"/>
          <w:sz w:val="17"/>
          <w:szCs w:val="17"/>
          <w:color w:val="auto"/>
        </w:rPr>
        <w:t>require the vote of at least three-quarters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7"/>
          <w:szCs w:val="17"/>
          <w:i w:val="1"/>
          <w:iCs w:val="1"/>
          <w:color w:val="auto"/>
        </w:rPr>
        <w:t>Unternehmensverträge</w:t>
      </w:r>
      <w:r>
        <w:rPr>
          <w:rFonts w:ascii="Arial" w:cs="Arial" w:eastAsia="Arial" w:hAnsi="Arial"/>
          <w:sz w:val="17"/>
          <w:szCs w:val="17"/>
          <w:color w:val="auto"/>
        </w:rPr>
        <w:t>), in particular domination agreements (</w:t>
      </w:r>
      <w:r>
        <w:rPr>
          <w:rFonts w:ascii="Arial" w:cs="Arial" w:eastAsia="Arial" w:hAnsi="Arial"/>
          <w:sz w:val="17"/>
          <w:szCs w:val="17"/>
          <w:i w:val="1"/>
          <w:iCs w:val="1"/>
          <w:color w:val="auto"/>
        </w:rPr>
        <w:t>Beherrschungsverträge</w:t>
      </w:r>
      <w:r>
        <w:rPr>
          <w:rFonts w:ascii="Arial" w:cs="Arial" w:eastAsia="Arial" w:hAnsi="Arial"/>
          <w:sz w:val="17"/>
          <w:szCs w:val="17"/>
          <w:color w:val="auto"/>
        </w:rPr>
        <w:t>) and profit and loss transfer agreements (</w:t>
      </w:r>
      <w:r>
        <w:rPr>
          <w:rFonts w:ascii="Arial" w:cs="Arial" w:eastAsia="Arial" w:hAnsi="Arial"/>
          <w:sz w:val="17"/>
          <w:szCs w:val="17"/>
          <w:i w:val="1"/>
          <w:iCs w:val="1"/>
          <w:color w:val="auto"/>
        </w:rPr>
        <w:t>Ergebnisabführungsverträge</w:t>
      </w:r>
      <w:r>
        <w:rPr>
          <w:rFonts w:ascii="Arial" w:cs="Arial" w:eastAsia="Arial" w:hAnsi="Arial"/>
          <w:sz w:val="17"/>
          <w:szCs w:val="17"/>
          <w:color w:val="auto"/>
        </w:rPr>
        <w:t>).</w:t>
      </w:r>
    </w:p>
    <w:p>
      <w:pPr>
        <w:spacing w:after="0" w:line="184" w:lineRule="exact"/>
        <w:rPr>
          <w:sz w:val="20"/>
          <w:szCs w:val="20"/>
          <w:color w:val="auto"/>
        </w:rPr>
      </w:pPr>
    </w:p>
    <w:p>
      <w:pPr>
        <w:ind w:left="120"/>
        <w:spacing w:after="0"/>
        <w:tabs>
          <w:tab w:leader="none" w:pos="2420" w:val="left"/>
        </w:tabs>
        <w:rPr>
          <w:sz w:val="20"/>
          <w:szCs w:val="20"/>
          <w:color w:val="auto"/>
        </w:rPr>
      </w:pPr>
      <w:r>
        <w:rPr>
          <w:rFonts w:ascii="Arial" w:cs="Arial" w:eastAsia="Arial" w:hAnsi="Arial"/>
          <w:sz w:val="18"/>
          <w:szCs w:val="18"/>
          <w:color w:val="auto"/>
        </w:rPr>
        <w:t>Standard of Conduct for</w:t>
      </w:r>
      <w:r>
        <w:rPr>
          <w:sz w:val="20"/>
          <w:szCs w:val="20"/>
          <w:color w:val="auto"/>
        </w:rPr>
        <w:tab/>
      </w:r>
      <w:r>
        <w:rPr>
          <w:rFonts w:ascii="Arial" w:cs="Arial" w:eastAsia="Arial" w:hAnsi="Arial"/>
          <w:sz w:val="16"/>
          <w:szCs w:val="16"/>
          <w:color w:val="auto"/>
        </w:rPr>
        <w:t>Under applicable European and German law, both</w:t>
      </w:r>
    </w:p>
    <w:p>
      <w:pPr>
        <w:spacing w:after="0" w:line="23" w:lineRule="exact"/>
        <w:rPr>
          <w:sz w:val="20"/>
          <w:szCs w:val="20"/>
          <w:color w:val="auto"/>
        </w:rPr>
      </w:pPr>
    </w:p>
    <w:p>
      <w:pPr>
        <w:ind w:left="120"/>
        <w:spacing w:after="0"/>
        <w:tabs>
          <w:tab w:leader="none" w:pos="2420" w:val="left"/>
        </w:tabs>
        <w:rPr>
          <w:sz w:val="20"/>
          <w:szCs w:val="20"/>
          <w:color w:val="auto"/>
        </w:rPr>
      </w:pPr>
      <w:r>
        <w:rPr>
          <w:rFonts w:ascii="Arial" w:cs="Arial" w:eastAsia="Arial" w:hAnsi="Arial"/>
          <w:sz w:val="16"/>
          <w:szCs w:val="16"/>
          <w:color w:val="auto"/>
        </w:rPr>
        <w:t>Directors</w:t>
      </w:r>
      <w:r>
        <w:rPr>
          <w:sz w:val="20"/>
          <w:szCs w:val="20"/>
          <w:color w:val="auto"/>
        </w:rPr>
        <w:tab/>
      </w:r>
      <w:r>
        <w:rPr>
          <w:rFonts w:ascii="Arial" w:cs="Arial" w:eastAsia="Arial" w:hAnsi="Arial"/>
          <w:sz w:val="16"/>
          <w:szCs w:val="16"/>
          <w:color w:val="auto"/>
        </w:rPr>
        <w:t>management and supervisory board members must conduct</w:t>
      </w:r>
    </w:p>
    <w:p>
      <w:pPr>
        <w:spacing w:after="0" w:line="32" w:lineRule="exact"/>
        <w:rPr>
          <w:sz w:val="20"/>
          <w:szCs w:val="20"/>
          <w:color w:val="auto"/>
        </w:rPr>
      </w:pPr>
    </w:p>
    <w:p>
      <w:pPr>
        <w:ind w:left="2440" w:right="120"/>
        <w:spacing w:after="0" w:line="292" w:lineRule="auto"/>
        <w:rPr>
          <w:sz w:val="20"/>
          <w:szCs w:val="20"/>
          <w:color w:val="auto"/>
        </w:rPr>
      </w:pPr>
      <w:r>
        <w:rPr>
          <w:rFonts w:ascii="Arial" w:cs="Arial" w:eastAsia="Arial" w:hAnsi="Arial"/>
          <w:sz w:val="16"/>
          <w:szCs w:val="16"/>
          <w:color w:val="auto"/>
        </w:rPr>
        <w:t>their affairs with “the care and diligence of a prudent business man” and act in the best interest of the company. The scope of the fiduciary duties of management and supervisory board members is generally determined by European and German legislation and by the courts.</w:t>
      </w:r>
    </w:p>
    <w:p>
      <w:pPr>
        <w:spacing w:after="0" w:line="189" w:lineRule="exact"/>
        <w:rPr>
          <w:sz w:val="20"/>
          <w:szCs w:val="20"/>
          <w:color w:val="auto"/>
        </w:rPr>
      </w:pPr>
    </w:p>
    <w:p>
      <w:pPr>
        <w:ind w:left="2440" w:right="60"/>
        <w:spacing w:after="0" w:line="342" w:lineRule="auto"/>
        <w:rPr>
          <w:sz w:val="20"/>
          <w:szCs w:val="20"/>
          <w:color w:val="auto"/>
        </w:rPr>
      </w:pPr>
      <w:r>
        <w:rPr>
          <w:rFonts w:ascii="Arial" w:cs="Arial" w:eastAsia="Arial" w:hAnsi="Arial"/>
          <w:sz w:val="16"/>
          <w:szCs w:val="16"/>
          <w:color w:val="auto"/>
        </w:rPr>
        <w:t>Statutory and fiduciary duties of members of the management board to the company include, among others:</w:t>
      </w:r>
    </w:p>
    <w:p>
      <w:pPr>
        <w:spacing w:after="0" w:line="151" w:lineRule="exact"/>
        <w:rPr>
          <w:sz w:val="20"/>
          <w:szCs w:val="20"/>
          <w:color w:val="auto"/>
        </w:rPr>
      </w:pPr>
    </w:p>
    <w:p>
      <w:pPr>
        <w:ind w:left="2880"/>
        <w:spacing w:after="0"/>
        <w:tabs>
          <w:tab w:leader="none" w:pos="3120" w:val="left"/>
        </w:tabs>
        <w:rPr>
          <w:sz w:val="20"/>
          <w:szCs w:val="20"/>
          <w:color w:val="auto"/>
        </w:rPr>
      </w:pPr>
      <w:r>
        <w:rPr>
          <w:rFonts w:ascii="Arial" w:cs="Arial" w:eastAsia="Arial" w:hAnsi="Arial"/>
          <w:sz w:val="16"/>
          <w:szCs w:val="16"/>
          <w:color w:val="auto"/>
        </w:rPr>
        <w:t>•</w:t>
        <w:tab/>
        <w:t>to act in accordance with the law, the company’s</w:t>
      </w:r>
    </w:p>
    <w:p>
      <w:pPr>
        <w:spacing w:after="0" w:line="46"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articles of association and the rules of procedure</w:t>
      </w:r>
    </w:p>
    <w:p>
      <w:pPr>
        <w:spacing w:after="0" w:line="3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for the management board, if any;</w:t>
      </w:r>
    </w:p>
    <w:p>
      <w:pPr>
        <w:spacing w:after="0" w:line="116" w:lineRule="exact"/>
        <w:rPr>
          <w:sz w:val="20"/>
          <w:szCs w:val="20"/>
          <w:color w:val="auto"/>
        </w:rPr>
      </w:pPr>
    </w:p>
    <w:p>
      <w:pPr>
        <w:ind w:left="2880"/>
        <w:spacing w:after="0"/>
        <w:tabs>
          <w:tab w:leader="none" w:pos="3120" w:val="left"/>
        </w:tabs>
        <w:rPr>
          <w:sz w:val="20"/>
          <w:szCs w:val="20"/>
          <w:color w:val="auto"/>
        </w:rPr>
      </w:pPr>
      <w:r>
        <w:rPr>
          <w:rFonts w:ascii="Arial" w:cs="Arial" w:eastAsia="Arial" w:hAnsi="Arial"/>
          <w:sz w:val="17"/>
          <w:szCs w:val="17"/>
          <w:color w:val="auto"/>
        </w:rPr>
        <w:t>•</w:t>
        <w:tab/>
        <w:t>to report to the supervisory board on a regular</w:t>
      </w:r>
    </w:p>
    <w:p>
      <w:pPr>
        <w:spacing w:after="0" w:line="3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basis as well</w:t>
      </w:r>
    </w:p>
    <w:p>
      <w:pPr>
        <w:spacing w:after="0" w:line="1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88" w:lineRule="exact"/>
        <w:rPr>
          <w:sz w:val="20"/>
          <w:szCs w:val="20"/>
          <w:color w:val="auto"/>
        </w:rPr>
      </w:pPr>
    </w:p>
    <w:p>
      <w:pPr>
        <w:ind w:left="720" w:hanging="263"/>
        <w:spacing w:after="0"/>
        <w:tabs>
          <w:tab w:leader="none" w:pos="7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approval of the board of directors; and</w:t>
      </w:r>
    </w:p>
    <w:p>
      <w:pPr>
        <w:spacing w:after="0" w:line="130" w:lineRule="exact"/>
        <w:rPr>
          <w:rFonts w:ascii="Arial" w:cs="Arial" w:eastAsia="Arial" w:hAnsi="Arial"/>
          <w:sz w:val="18"/>
          <w:szCs w:val="18"/>
          <w:color w:val="auto"/>
        </w:rPr>
      </w:pPr>
    </w:p>
    <w:p>
      <w:pPr>
        <w:ind w:left="720" w:hanging="263"/>
        <w:spacing w:after="0" w:line="273" w:lineRule="auto"/>
        <w:tabs>
          <w:tab w:leader="none" w:pos="70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4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w:t>
      </w:r>
    </w:p>
    <w:p>
      <w:pPr>
        <w:sectPr>
          <w:pgSz w:w="11900" w:h="16838" w:orient="portrait"/>
          <w:cols w:equalWidth="0" w:num="2">
            <w:col w:w="6720" w:space="220"/>
            <w:col w:w="4180"/>
          </w:cols>
          <w:pgMar w:left="320" w:top="459" w:right="459" w:bottom="1440" w:gutter="0" w:footer="0" w:header="0"/>
          <w:type w:val="continuous"/>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15240</wp:posOffset>
            </wp:positionV>
            <wp:extent cx="27260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as on certain important occasions;</w:t>
      </w:r>
    </w:p>
    <w:p>
      <w:pPr>
        <w:spacing w:after="0" w:line="128" w:lineRule="exact"/>
        <w:rPr>
          <w:sz w:val="20"/>
          <w:szCs w:val="20"/>
          <w:color w:val="auto"/>
        </w:rPr>
      </w:pPr>
    </w:p>
    <w:p>
      <w:pPr>
        <w:ind w:left="3140" w:hanging="252"/>
        <w:spacing w:after="0"/>
        <w:tabs>
          <w:tab w:leader="none" w:pos="31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to exercise reasonable care, skill and diligence;</w:t>
      </w:r>
    </w:p>
    <w:p>
      <w:pPr>
        <w:spacing w:after="0" w:line="153" w:lineRule="exact"/>
        <w:rPr>
          <w:rFonts w:ascii="Arial" w:cs="Arial" w:eastAsia="Arial" w:hAnsi="Arial"/>
          <w:sz w:val="16"/>
          <w:szCs w:val="16"/>
          <w:color w:val="auto"/>
        </w:rPr>
      </w:pPr>
    </w:p>
    <w:p>
      <w:pPr>
        <w:ind w:left="3140" w:hanging="252"/>
        <w:spacing w:after="0"/>
        <w:tabs>
          <w:tab w:leader="none" w:pos="31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to maintain a proper accounting system;</w:t>
      </w:r>
    </w:p>
    <w:p>
      <w:pPr>
        <w:spacing w:after="0" w:line="130" w:lineRule="exact"/>
        <w:rPr>
          <w:rFonts w:ascii="Arial" w:cs="Arial" w:eastAsia="Arial" w:hAnsi="Arial"/>
          <w:sz w:val="18"/>
          <w:szCs w:val="18"/>
          <w:color w:val="auto"/>
        </w:rPr>
      </w:pPr>
    </w:p>
    <w:p>
      <w:pPr>
        <w:ind w:left="3160" w:right="80" w:hanging="272"/>
        <w:spacing w:after="0" w:line="263" w:lineRule="auto"/>
        <w:tabs>
          <w:tab w:leader="none" w:pos="31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to not compete, directly or indirectly, with the company without permission by the supervisory board; and</w:t>
      </w:r>
    </w:p>
    <w:p>
      <w:pPr>
        <w:spacing w:after="0" w:line="89" w:lineRule="exact"/>
        <w:rPr>
          <w:rFonts w:ascii="Arial" w:cs="Arial" w:eastAsia="Arial" w:hAnsi="Arial"/>
          <w:sz w:val="18"/>
          <w:szCs w:val="18"/>
          <w:color w:val="auto"/>
        </w:rPr>
      </w:pPr>
    </w:p>
    <w:p>
      <w:pPr>
        <w:ind w:left="3160" w:right="60" w:hanging="272"/>
        <w:spacing w:after="0" w:line="277" w:lineRule="auto"/>
        <w:tabs>
          <w:tab w:leader="none" w:pos="31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to secure that no further transactions are made in case of insolvency.</w:t>
      </w:r>
    </w:p>
    <w:p>
      <w:pPr>
        <w:spacing w:after="0" w:line="197" w:lineRule="exact"/>
        <w:rPr>
          <w:sz w:val="20"/>
          <w:szCs w:val="20"/>
          <w:color w:val="auto"/>
        </w:rPr>
      </w:pPr>
    </w:p>
    <w:p>
      <w:pPr>
        <w:ind w:left="2440" w:right="120"/>
        <w:spacing w:after="0" w:line="342" w:lineRule="auto"/>
        <w:rPr>
          <w:sz w:val="20"/>
          <w:szCs w:val="20"/>
          <w:color w:val="auto"/>
        </w:rPr>
      </w:pPr>
      <w:r>
        <w:rPr>
          <w:rFonts w:ascii="Arial" w:cs="Arial" w:eastAsia="Arial" w:hAnsi="Arial"/>
          <w:sz w:val="16"/>
          <w:szCs w:val="16"/>
          <w:color w:val="auto"/>
        </w:rPr>
        <w:t>Statutory and fiduciary duties of members of the supervisory board to the company include, among others:</w:t>
      </w:r>
    </w:p>
    <w:p>
      <w:pPr>
        <w:spacing w:after="0" w:line="29" w:lineRule="exact"/>
        <w:rPr>
          <w:sz w:val="20"/>
          <w:szCs w:val="20"/>
          <w:color w:val="auto"/>
        </w:rPr>
      </w:pPr>
    </w:p>
    <w:p>
      <w:pPr>
        <w:ind w:left="3160" w:right="80" w:hanging="272"/>
        <w:spacing w:after="0" w:line="277" w:lineRule="auto"/>
        <w:tabs>
          <w:tab w:leader="none" w:pos="314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to effectively supervise the management board’s handling of the company’s affairs;</w:t>
      </w:r>
    </w:p>
    <w:p>
      <w:pPr>
        <w:spacing w:after="0" w:line="75" w:lineRule="exact"/>
        <w:rPr>
          <w:rFonts w:ascii="Arial" w:cs="Arial" w:eastAsia="Arial" w:hAnsi="Arial"/>
          <w:sz w:val="18"/>
          <w:szCs w:val="18"/>
          <w:color w:val="auto"/>
        </w:rPr>
      </w:pPr>
    </w:p>
    <w:p>
      <w:pPr>
        <w:ind w:left="3160" w:right="40" w:hanging="272"/>
        <w:spacing w:after="0" w:line="259" w:lineRule="auto"/>
        <w:tabs>
          <w:tab w:leader="none" w:pos="314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to evaluate and issue a resolution on certain transactions which can only be conducted by the management board after approval of the supervisory board;</w:t>
      </w:r>
    </w:p>
    <w:p>
      <w:pPr>
        <w:spacing w:after="0" w:line="92" w:lineRule="exact"/>
        <w:rPr>
          <w:rFonts w:ascii="Arial" w:cs="Arial" w:eastAsia="Arial" w:hAnsi="Arial"/>
          <w:sz w:val="18"/>
          <w:szCs w:val="18"/>
          <w:color w:val="auto"/>
        </w:rPr>
      </w:pPr>
    </w:p>
    <w:p>
      <w:pPr>
        <w:ind w:left="3140" w:hanging="252"/>
        <w:spacing w:after="0"/>
        <w:tabs>
          <w:tab w:leader="none" w:pos="314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to approve the company’s financial statements;</w:t>
      </w:r>
    </w:p>
    <w:p>
      <w:pPr>
        <w:spacing w:after="0" w:line="142" w:lineRule="exact"/>
        <w:rPr>
          <w:rFonts w:ascii="Arial" w:cs="Arial" w:eastAsia="Arial" w:hAnsi="Arial"/>
          <w:sz w:val="17"/>
          <w:szCs w:val="17"/>
          <w:color w:val="auto"/>
        </w:rPr>
      </w:pPr>
    </w:p>
    <w:p>
      <w:pPr>
        <w:ind w:left="3160" w:hanging="272"/>
        <w:spacing w:after="0" w:line="259" w:lineRule="auto"/>
        <w:tabs>
          <w:tab w:leader="none" w:pos="314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to appoint the management board members and to represent the company in transactions between the company and members of the management board; and</w:t>
      </w:r>
    </w:p>
    <w:p>
      <w:pPr>
        <w:spacing w:after="0" w:line="92" w:lineRule="exact"/>
        <w:rPr>
          <w:rFonts w:ascii="Arial" w:cs="Arial" w:eastAsia="Arial" w:hAnsi="Arial"/>
          <w:sz w:val="18"/>
          <w:szCs w:val="18"/>
          <w:color w:val="auto"/>
        </w:rPr>
      </w:pPr>
    </w:p>
    <w:p>
      <w:pPr>
        <w:ind w:left="3160" w:right="120" w:hanging="272"/>
        <w:spacing w:after="0" w:line="263" w:lineRule="auto"/>
        <w:tabs>
          <w:tab w:leader="none" w:pos="314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to approve service contracts between individual members of the supervisory board and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65747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9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564" w:lineRule="exact"/>
        <w:rPr>
          <w:sz w:val="20"/>
          <w:szCs w:val="20"/>
          <w:color w:val="auto"/>
        </w:rPr>
      </w:pPr>
    </w:p>
    <w:p>
      <w:pPr>
        <w:sectPr>
          <w:pgSz w:w="11900" w:h="16838" w:orient="portrait"/>
          <w:cols w:equalWidth="0" w:num="2">
            <w:col w:w="6700" w:space="240"/>
            <w:col w:w="4160"/>
          </w:cols>
          <w:pgMar w:left="320" w:top="459" w:right="479" w:bottom="1440" w:gutter="0" w:footer="0" w:header="0"/>
        </w:sectPr>
      </w:pPr>
    </w:p>
    <w:p>
      <w:pPr>
        <w:ind w:left="120"/>
        <w:spacing w:after="0"/>
        <w:tabs>
          <w:tab w:leader="none" w:pos="2420" w:val="left"/>
        </w:tabs>
        <w:rPr>
          <w:sz w:val="20"/>
          <w:szCs w:val="20"/>
          <w:color w:val="auto"/>
        </w:rPr>
      </w:pPr>
      <w:r>
        <w:rPr>
          <w:rFonts w:ascii="Arial" w:cs="Arial" w:eastAsia="Arial" w:hAnsi="Arial"/>
          <w:sz w:val="18"/>
          <w:szCs w:val="18"/>
          <w:color w:val="auto"/>
        </w:rPr>
        <w:t>Stockholder Actions</w:t>
      </w:r>
      <w:r>
        <w:rPr>
          <w:sz w:val="20"/>
          <w:szCs w:val="20"/>
          <w:color w:val="auto"/>
        </w:rPr>
        <w:tab/>
      </w:r>
      <w:r>
        <w:rPr>
          <w:rFonts w:ascii="Arial" w:cs="Arial" w:eastAsia="Arial" w:hAnsi="Arial"/>
          <w:sz w:val="16"/>
          <w:szCs w:val="16"/>
          <w:color w:val="auto"/>
        </w:rPr>
        <w:t>Under German law, generally, the company, rather than its</w:t>
      </w:r>
    </w:p>
    <w:p>
      <w:pPr>
        <w:spacing w:after="0" w:line="23" w:lineRule="exact"/>
        <w:rPr>
          <w:sz w:val="20"/>
          <w:szCs w:val="20"/>
          <w:color w:val="auto"/>
        </w:rPr>
      </w:pPr>
    </w:p>
    <w:p>
      <w:pPr>
        <w:ind w:left="2440" w:right="120"/>
        <w:spacing w:after="0" w:line="295" w:lineRule="auto"/>
        <w:rPr>
          <w:sz w:val="20"/>
          <w:szCs w:val="20"/>
          <w:color w:val="auto"/>
        </w:rPr>
      </w:pPr>
      <w:r>
        <w:rPr>
          <w:rFonts w:ascii="Arial" w:cs="Arial" w:eastAsia="Arial" w:hAnsi="Arial"/>
          <w:sz w:val="16"/>
          <w:szCs w:val="16"/>
          <w:color w:val="auto"/>
        </w:rPr>
        <w:t>shareholders, is the proper claimant in an action with respect to a wrong committed against the company, or in cases where there is an irregularity in the company’s internal management or supervision. Therefore,</w:t>
      </w:r>
    </w:p>
    <w:p>
      <w:pPr>
        <w:spacing w:after="0" w:line="200" w:lineRule="exact"/>
        <w:rPr>
          <w:sz w:val="20"/>
          <w:szCs w:val="20"/>
          <w:color w:val="auto"/>
        </w:rPr>
      </w:pPr>
    </w:p>
    <w:p>
      <w:pPr>
        <w:spacing w:after="0" w:line="24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92" w:lineRule="exact"/>
        <w:rPr>
          <w:sz w:val="20"/>
          <w:szCs w:val="20"/>
          <w:color w:val="auto"/>
        </w:rPr>
      </w:pPr>
    </w:p>
    <w:p>
      <w:pPr>
        <w:ind w:left="720" w:right="140" w:hanging="263"/>
        <w:spacing w:after="0" w:line="277" w:lineRule="auto"/>
        <w:tabs>
          <w:tab w:leader="none" w:pos="70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state that the plaintiff was a stockholder at the time of the</w:t>
      </w:r>
    </w:p>
    <w:p>
      <w:pPr>
        <w:sectPr>
          <w:pgSz w:w="11900" w:h="16838" w:orient="portrait"/>
          <w:cols w:equalWidth="0" w:num="2">
            <w:col w:w="6640" w:space="300"/>
            <w:col w:w="4160"/>
          </w:cols>
          <w:pgMar w:left="320" w:top="459" w:right="479" w:bottom="1440" w:gutter="0" w:footer="0" w:header="0"/>
          <w:type w:val="continuous"/>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15240</wp:posOffset>
            </wp:positionV>
            <wp:extent cx="27260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 w:lineRule="exact"/>
        <w:rPr>
          <w:sz w:val="20"/>
          <w:szCs w:val="20"/>
          <w:color w:val="auto"/>
        </w:rPr>
      </w:pPr>
    </w:p>
    <w:p>
      <w:pPr>
        <w:ind w:left="2440" w:right="120"/>
        <w:spacing w:after="0" w:line="258" w:lineRule="auto"/>
        <w:rPr>
          <w:sz w:val="20"/>
          <w:szCs w:val="20"/>
          <w:color w:val="auto"/>
        </w:rPr>
      </w:pPr>
      <w:r>
        <w:rPr>
          <w:rFonts w:ascii="Arial" w:cs="Arial" w:eastAsia="Arial" w:hAnsi="Arial"/>
          <w:sz w:val="18"/>
          <w:szCs w:val="18"/>
          <w:color w:val="auto"/>
        </w:rPr>
        <w:t>such claims may only be raised by the company represented by its management board, or, in the case of a wrong committed by a member of the management board, by the supervisory board.</w:t>
      </w:r>
    </w:p>
    <w:p>
      <w:pPr>
        <w:spacing w:after="0" w:line="215" w:lineRule="exact"/>
        <w:rPr>
          <w:sz w:val="20"/>
          <w:szCs w:val="20"/>
          <w:color w:val="auto"/>
        </w:rPr>
      </w:pPr>
    </w:p>
    <w:p>
      <w:pPr>
        <w:ind w:left="2440"/>
        <w:spacing w:after="0" w:line="259" w:lineRule="auto"/>
        <w:rPr>
          <w:sz w:val="20"/>
          <w:szCs w:val="20"/>
          <w:color w:val="auto"/>
        </w:rPr>
      </w:pPr>
      <w:r>
        <w:rPr>
          <w:rFonts w:ascii="Arial" w:cs="Arial" w:eastAsia="Arial" w:hAnsi="Arial"/>
          <w:sz w:val="18"/>
          <w:szCs w:val="18"/>
          <w:color w:val="auto"/>
        </w:rPr>
        <w:t>Additionally, pursuant to German case law, the supervisory board is obliged to pursue the company’s claims against the management board, unless the interest of the company keeps them from doing so.</w:t>
      </w:r>
    </w:p>
    <w:p>
      <w:pPr>
        <w:spacing w:after="0" w:line="214" w:lineRule="exact"/>
        <w:rPr>
          <w:sz w:val="20"/>
          <w:szCs w:val="20"/>
          <w:color w:val="auto"/>
        </w:rPr>
      </w:pPr>
    </w:p>
    <w:p>
      <w:pPr>
        <w:ind w:left="2440" w:right="20"/>
        <w:spacing w:after="0" w:line="291" w:lineRule="auto"/>
        <w:rPr>
          <w:sz w:val="20"/>
          <w:szCs w:val="20"/>
          <w:color w:val="auto"/>
        </w:rPr>
      </w:pPr>
      <w:r>
        <w:rPr>
          <w:rFonts w:ascii="Arial" w:cs="Arial" w:eastAsia="Arial" w:hAnsi="Arial"/>
          <w:sz w:val="16"/>
          <w:szCs w:val="16"/>
          <w:color w:val="auto"/>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193" w:lineRule="exact"/>
        <w:rPr>
          <w:sz w:val="20"/>
          <w:szCs w:val="20"/>
          <w:color w:val="auto"/>
        </w:rPr>
      </w:pPr>
    </w:p>
    <w:p>
      <w:pPr>
        <w:ind w:left="2440" w:right="540"/>
        <w:spacing w:after="0" w:line="301" w:lineRule="auto"/>
        <w:rPr>
          <w:sz w:val="20"/>
          <w:szCs w:val="20"/>
          <w:color w:val="auto"/>
        </w:rPr>
      </w:pPr>
      <w:r>
        <w:rPr>
          <w:rFonts w:ascii="Arial" w:cs="Arial" w:eastAsia="Arial" w:hAnsi="Arial"/>
          <w:sz w:val="16"/>
          <w:szCs w:val="16"/>
          <w:color w:val="auto"/>
        </w:rPr>
        <w:t>If the company is unable to fulfill its third-party obligations, the company’s creditors may pursue the company’s damage claims against members of the management board for certain wrongdoings.</w:t>
      </w:r>
    </w:p>
    <w:p>
      <w:pPr>
        <w:spacing w:after="0" w:line="184" w:lineRule="exact"/>
        <w:rPr>
          <w:sz w:val="20"/>
          <w:szCs w:val="20"/>
          <w:color w:val="auto"/>
        </w:rPr>
      </w:pPr>
    </w:p>
    <w:p>
      <w:pPr>
        <w:ind w:left="2440" w:right="40"/>
        <w:spacing w:after="0" w:line="290" w:lineRule="auto"/>
        <w:rPr>
          <w:sz w:val="20"/>
          <w:szCs w:val="20"/>
          <w:color w:val="auto"/>
        </w:rPr>
      </w:pPr>
      <w:r>
        <w:rPr>
          <w:rFonts w:ascii="Arial" w:cs="Arial" w:eastAsia="Arial" w:hAnsi="Arial"/>
          <w:sz w:val="16"/>
          <w:szCs w:val="16"/>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 approval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65747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transaction of which the plaintiff complains or that the plaintiffs shares thereafter devolved on the plaintiff by operation of law; and</w:t>
      </w:r>
    </w:p>
    <w:p>
      <w:pPr>
        <w:spacing w:after="0" w:line="89" w:lineRule="exact"/>
        <w:rPr>
          <w:sz w:val="20"/>
          <w:szCs w:val="20"/>
          <w:color w:val="auto"/>
        </w:rPr>
      </w:pPr>
    </w:p>
    <w:p>
      <w:pPr>
        <w:ind w:left="720" w:right="180" w:hanging="263"/>
        <w:spacing w:after="0" w:line="273" w:lineRule="auto"/>
        <w:tabs>
          <w:tab w:leader="none" w:pos="70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pacing w:after="0" w:line="3852" w:lineRule="exact"/>
        <w:rPr>
          <w:sz w:val="20"/>
          <w:szCs w:val="20"/>
          <w:color w:val="auto"/>
        </w:rPr>
      </w:pPr>
    </w:p>
    <w:p>
      <w:pPr>
        <w:sectPr>
          <w:pgSz w:w="11900" w:h="16838" w:orient="portrait"/>
          <w:cols w:equalWidth="0" w:num="2">
            <w:col w:w="6740" w:space="200"/>
            <w:col w:w="4180"/>
          </w:cols>
          <w:pgMar w:left="320" w:top="459" w:right="459" w:bottom="1440" w:gutter="0" w:footer="0" w:header="0"/>
        </w:sectPr>
      </w:pP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applied to list the ADSs representing our ordinary shares on the Nasdaq Global Select Market under the symbol “BNTX.”</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type w:val="continuous"/>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Bank of New York Mellon, as depositary, will register and deliver the American Depositary Shares, or the ADSs. Each ADS will</w:t>
      </w:r>
    </w:p>
    <w:p>
      <w:pPr>
        <w:spacing w:after="0" w:line="2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represent shares (or a right to receive shares) deposited with , as custodian for the depositary in .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93"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European and German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jc w:val="both"/>
        <w:ind w:left="120" w:right="480" w:firstLine="440"/>
        <w:spacing w:after="0" w:line="34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Those documents are filed as exhibits to the registration statement of which this prospectus forms a part.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will ADS holders receive dividends and other distributions on the shares?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Before making a distribution, any withholding taxes, or other governmental charges that must be paid will be deducted. See “Taxation” included elsewhere in this prospectus. The depositary will distribute only whole U.S. dollars and cents and will round fractional cents to the nearest whole cent.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the exchange rates fluctuate during a time when the depositary cannot convert the foreign currency, you may lose some of the value of the distribution.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i w:val="1"/>
          <w:iCs w:val="1"/>
          <w:color w:val="auto"/>
        </w:rPr>
        <w:t xml:space="preserve">Rights to purchase additional shares.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b w:val="1"/>
          <w:bCs w:val="1"/>
          <w:color w:val="auto"/>
        </w:rPr>
        <w:t>In that case, you will receive no value for them.</w:t>
      </w:r>
      <w:r>
        <w:rPr>
          <w:rFonts w:ascii="Arial" w:cs="Arial" w:eastAsia="Arial" w:hAnsi="Arial"/>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7"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7"/>
          <w:szCs w:val="17"/>
          <w:b w:val="1"/>
          <w:bCs w:val="1"/>
          <w:color w:val="auto"/>
        </w:rPr>
        <w:t>This means that you may not receive the distributions we make on our shares</w:t>
      </w:r>
      <w:r>
        <w:rPr>
          <w:rFonts w:ascii="Arial" w:cs="Arial" w:eastAsia="Arial" w:hAnsi="Arial"/>
          <w:sz w:val="17"/>
          <w:szCs w:val="17"/>
          <w:color w:val="auto"/>
        </w:rPr>
        <w:t xml:space="preserve"> </w:t>
      </w:r>
      <w:r>
        <w:rPr>
          <w:rFonts w:ascii="Arial" w:cs="Arial" w:eastAsia="Arial" w:hAnsi="Arial"/>
          <w:sz w:val="17"/>
          <w:szCs w:val="17"/>
          <w:b w:val="1"/>
          <w:bCs w:val="1"/>
          <w:color w:val="auto"/>
        </w:rPr>
        <w:t>or any value for them if it is illegal or impractical for us to make them available to you.</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ADS holders vote?</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State of New York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3" w:lineRule="exact"/>
        <w:rPr>
          <w:sz w:val="20"/>
          <w:szCs w:val="20"/>
          <w:color w:val="auto"/>
        </w:rPr>
      </w:pPr>
    </w:p>
    <w:p>
      <w:pPr>
        <w:jc w:val="both"/>
        <w:ind w:left="120" w:right="80" w:firstLine="440"/>
        <w:spacing w:after="0" w:line="289" w:lineRule="auto"/>
        <w:rPr>
          <w:sz w:val="20"/>
          <w:szCs w:val="20"/>
          <w:color w:val="auto"/>
        </w:rPr>
      </w:pPr>
      <w:r>
        <w:rPr>
          <w:rFonts w:ascii="Arial" w:cs="Arial" w:eastAsia="Arial" w:hAnsi="Arial"/>
          <w:sz w:val="17"/>
          <w:szCs w:val="17"/>
          <w:b w:val="1"/>
          <w:b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7"/>
          <w:szCs w:val="17"/>
          <w:color w:val="auto"/>
        </w:rPr>
        <w:t>In any event, the depositary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exercise any discretion in voting deposited securities and it will only vote or attempt to vote as instructed.</w:t>
      </w:r>
    </w:p>
    <w:p>
      <w:pPr>
        <w:spacing w:after="0" w:line="1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w:t>
      </w:r>
    </w:p>
    <w:p>
      <w:pPr>
        <w:ind w:left="120" w:right="760"/>
        <w:spacing w:after="0" w:line="260" w:lineRule="auto"/>
        <w:rPr>
          <w:sz w:val="20"/>
          <w:szCs w:val="20"/>
          <w:color w:val="auto"/>
        </w:rPr>
      </w:pPr>
      <w:r>
        <w:rPr>
          <w:rFonts w:ascii="Arial" w:cs="Arial" w:eastAsia="Arial" w:hAnsi="Arial"/>
          <w:sz w:val="18"/>
          <w:szCs w:val="18"/>
          <w:b w:val="1"/>
          <w:bCs w:val="1"/>
          <w:color w:val="auto"/>
        </w:rPr>
        <w:t>This means that you may not be able to exercise voting rights and there may be nothing you can do if your shares are not voted as you requested.</w:t>
      </w:r>
    </w:p>
    <w:p>
      <w:pPr>
        <w:spacing w:after="0" w:line="18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ectPr>
          <w:pgSz w:w="11900" w:h="16838" w:orient="portrait"/>
          <w:cols w:equalWidth="0" w:num="1">
            <w:col w:w="11120"/>
          </w:cols>
          <w:pgMar w:left="320" w:top="459" w:right="459" w:bottom="1440" w:gutter="0" w:footer="0" w:header="0"/>
        </w:sect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256"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i w:val="1"/>
          <w:iCs w:val="1"/>
          <w:color w:val="auto"/>
        </w:rPr>
        <w:t>Persons depositing or withdrawing</w:t>
      </w:r>
    </w:p>
    <w:p>
      <w:pPr>
        <w:spacing w:after="0" w:line="2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i w:val="1"/>
          <w:iCs w:val="1"/>
          <w:color w:val="auto"/>
        </w:rPr>
        <w:t>shares or ADS holders must pay</w:t>
      </w:r>
      <w:r>
        <w:rPr>
          <w:rFonts w:ascii="Arial" w:cs="Arial" w:eastAsia="Arial" w:hAnsi="Arial"/>
          <w:sz w:val="18"/>
          <w:szCs w:val="18"/>
          <w:color w:val="auto"/>
        </w:rPr>
        <w: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$.05 (or less) per ADS</w:t>
      </w:r>
    </w:p>
    <w:p>
      <w:pPr>
        <w:spacing w:after="0" w:line="266" w:lineRule="exact"/>
        <w:rPr>
          <w:sz w:val="20"/>
          <w:szCs w:val="20"/>
          <w:color w:val="auto"/>
        </w:rPr>
      </w:pPr>
    </w:p>
    <w:p>
      <w:pPr>
        <w:ind w:left="120" w:right="120"/>
        <w:spacing w:after="0" w:line="381"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$.05 (or less) per ADS per calendar year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w:t>
      </w:r>
      <w:r>
        <w:rPr>
          <w:rFonts w:ascii="Arial" w:cs="Arial" w:eastAsia="Arial" w:hAnsi="Arial"/>
          <w:sz w:val="18"/>
          <w:szCs w:val="18"/>
          <w:color w:val="auto"/>
        </w:rPr>
        <w: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26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ectPr>
          <w:pgSz w:w="11900" w:h="16838" w:orient="portrait"/>
          <w:cols w:equalWidth="0" w:num="2">
            <w:col w:w="5760" w:space="200"/>
            <w:col w:w="5160"/>
          </w:cols>
          <w:pgMar w:left="320" w:top="459" w:right="459" w:bottom="1440" w:gutter="0" w:footer="0" w:header="0"/>
          <w:type w:val="continuous"/>
        </w:sectPr>
      </w:pPr>
    </w:p>
    <w:bookmarkStart w:id="263" w:name="page264"/>
    <w:bookmarkEnd w:id="263"/>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20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4420" w:type="dxa"/>
            <w:vAlign w:val="bottom"/>
          </w:tcPr>
          <w:p>
            <w:pPr>
              <w:jc w:val="center"/>
              <w:ind w:right="1190"/>
              <w:spacing w:after="0"/>
              <w:rPr>
                <w:sz w:val="20"/>
                <w:szCs w:val="20"/>
                <w:color w:val="auto"/>
              </w:rPr>
            </w:pPr>
            <w:r>
              <w:rPr>
                <w:rFonts w:ascii="Arial" w:cs="Arial" w:eastAsia="Arial" w:hAnsi="Arial"/>
                <w:sz w:val="18"/>
                <w:szCs w:val="18"/>
                <w:b w:val="1"/>
                <w:bCs w:val="1"/>
                <w:i w:val="1"/>
                <w:iCs w:val="1"/>
                <w:color w:val="auto"/>
                <w:w w:val="85"/>
              </w:rPr>
              <w:t>Persons depositing or withdrawing</w:t>
            </w:r>
          </w:p>
        </w:tc>
        <w:tc>
          <w:tcPr>
            <w:tcW w:w="5200" w:type="dxa"/>
            <w:vAlign w:val="bottom"/>
          </w:tcPr>
          <w:p>
            <w:pPr>
              <w:ind w:left="2600"/>
              <w:spacing w:after="0"/>
              <w:rPr>
                <w:sz w:val="20"/>
                <w:szCs w:val="20"/>
                <w:color w:val="auto"/>
              </w:rPr>
            </w:pPr>
            <w:r>
              <w:rPr>
                <w:rFonts w:ascii="Arial" w:cs="Arial" w:eastAsia="Arial" w:hAnsi="Arial"/>
                <w:sz w:val="18"/>
                <w:szCs w:val="18"/>
                <w:b w:val="1"/>
                <w:bCs w:val="1"/>
                <w:i w:val="1"/>
                <w:iCs w:val="1"/>
                <w:color w:val="auto"/>
              </w:rPr>
              <w:t>For</w:t>
            </w:r>
            <w:r>
              <w:rPr>
                <w:rFonts w:ascii="Arial" w:cs="Arial" w:eastAsia="Arial" w:hAnsi="Arial"/>
                <w:sz w:val="18"/>
                <w:szCs w:val="18"/>
                <w:color w:val="auto"/>
              </w:rPr>
              <w:t>:</w:t>
            </w:r>
          </w:p>
        </w:tc>
      </w:tr>
      <w:tr>
        <w:trPr>
          <w:trHeight w:val="216"/>
        </w:trPr>
        <w:tc>
          <w:tcPr>
            <w:tcW w:w="1360" w:type="dxa"/>
            <w:vAlign w:val="bottom"/>
          </w:tcPr>
          <w:p>
            <w:pPr>
              <w:spacing w:after="0"/>
              <w:rPr>
                <w:sz w:val="18"/>
                <w:szCs w:val="18"/>
                <w:color w:val="auto"/>
              </w:rPr>
            </w:pPr>
          </w:p>
        </w:tc>
        <w:tc>
          <w:tcPr>
            <w:tcW w:w="4420" w:type="dxa"/>
            <w:vAlign w:val="bottom"/>
          </w:tcPr>
          <w:p>
            <w:pPr>
              <w:jc w:val="center"/>
              <w:ind w:right="1190"/>
              <w:spacing w:after="0"/>
              <w:rPr>
                <w:sz w:val="20"/>
                <w:szCs w:val="20"/>
                <w:color w:val="auto"/>
              </w:rPr>
            </w:pPr>
            <w:r>
              <w:rPr>
                <w:rFonts w:ascii="Arial" w:cs="Arial" w:eastAsia="Arial" w:hAnsi="Arial"/>
                <w:sz w:val="18"/>
                <w:szCs w:val="18"/>
                <w:b w:val="1"/>
                <w:bCs w:val="1"/>
                <w:i w:val="1"/>
                <w:iCs w:val="1"/>
                <w:color w:val="auto"/>
                <w:w w:val="85"/>
              </w:rPr>
              <w:t>shares or ADS holders must pay</w:t>
            </w:r>
            <w:r>
              <w:rPr>
                <w:rFonts w:ascii="Arial" w:cs="Arial" w:eastAsia="Arial" w:hAnsi="Arial"/>
                <w:sz w:val="18"/>
                <w:szCs w:val="18"/>
                <w:color w:val="auto"/>
                <w:w w:val="85"/>
              </w:rPr>
              <w:t>:</w:t>
            </w:r>
          </w:p>
        </w:tc>
        <w:tc>
          <w:tcPr>
            <w:tcW w:w="5200" w:type="dxa"/>
            <w:vAlign w:val="bottom"/>
          </w:tcPr>
          <w:p>
            <w:pPr>
              <w:spacing w:after="0"/>
              <w:rPr>
                <w:sz w:val="18"/>
                <w:szCs w:val="18"/>
                <w:color w:val="auto"/>
              </w:rPr>
            </w:pPr>
          </w:p>
        </w:tc>
      </w:tr>
      <w:tr>
        <w:trPr>
          <w:trHeight w:val="216"/>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Registration or transfer fees</w:t>
            </w:r>
          </w:p>
        </w:tc>
        <w:tc>
          <w:tcPr>
            <w:tcW w:w="5200" w:type="dxa"/>
            <w:vAlign w:val="bottom"/>
          </w:tcPr>
          <w:p>
            <w:pPr>
              <w:ind w:left="180"/>
              <w:spacing w:after="0"/>
              <w:rPr>
                <w:sz w:val="20"/>
                <w:szCs w:val="20"/>
                <w:color w:val="auto"/>
              </w:rPr>
            </w:pPr>
            <w:r>
              <w:rPr>
                <w:rFonts w:ascii="Arial" w:cs="Arial" w:eastAsia="Arial" w:hAnsi="Arial"/>
                <w:sz w:val="18"/>
                <w:szCs w:val="18"/>
                <w:color w:val="auto"/>
                <w:w w:val="89"/>
              </w:rPr>
              <w:t>Transfer and registration of shares on our share register to or from the</w:t>
            </w:r>
          </w:p>
        </w:tc>
      </w:tr>
      <w:tr>
        <w:trPr>
          <w:trHeight w:val="216"/>
        </w:trPr>
        <w:tc>
          <w:tcPr>
            <w:tcW w:w="13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w w:val="96"/>
              </w:rPr>
              <w:t>name of the depositary or its agent when you deposit or withdraw</w:t>
            </w:r>
          </w:p>
        </w:tc>
      </w:tr>
      <w:tr>
        <w:trPr>
          <w:trHeight w:val="230"/>
        </w:trPr>
        <w:tc>
          <w:tcPr>
            <w:tcW w:w="13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shares</w:t>
            </w:r>
          </w:p>
        </w:tc>
      </w:tr>
      <w:tr>
        <w:trPr>
          <w:trHeight w:val="458"/>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Expenses of the depositary</w:t>
            </w:r>
          </w:p>
        </w:tc>
        <w:tc>
          <w:tcPr>
            <w:tcW w:w="5200" w:type="dxa"/>
            <w:vAlign w:val="bottom"/>
          </w:tcPr>
          <w:p>
            <w:pPr>
              <w:ind w:left="180"/>
              <w:spacing w:after="0"/>
              <w:rPr>
                <w:sz w:val="20"/>
                <w:szCs w:val="20"/>
                <w:color w:val="auto"/>
              </w:rPr>
            </w:pPr>
            <w:r>
              <w:rPr>
                <w:rFonts w:ascii="Arial" w:cs="Arial" w:eastAsia="Arial" w:hAnsi="Arial"/>
                <w:sz w:val="18"/>
                <w:szCs w:val="18"/>
                <w:color w:val="auto"/>
              </w:rPr>
              <w:t>Cable and facsimile transmissions (when expressly</w:t>
            </w:r>
          </w:p>
        </w:tc>
      </w:tr>
      <w:tr>
        <w:trPr>
          <w:trHeight w:val="230"/>
        </w:trPr>
        <w:tc>
          <w:tcPr>
            <w:tcW w:w="13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provided in the deposit agreement)</w:t>
            </w:r>
          </w:p>
        </w:tc>
      </w:tr>
      <w:tr>
        <w:trPr>
          <w:trHeight w:val="459"/>
        </w:trPr>
        <w:tc>
          <w:tcPr>
            <w:tcW w:w="13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Converting foreign currency to U.S. dollars</w:t>
            </w:r>
          </w:p>
        </w:tc>
      </w:tr>
      <w:tr>
        <w:trPr>
          <w:trHeight w:val="458"/>
        </w:trPr>
        <w:tc>
          <w:tcPr>
            <w:tcW w:w="5780" w:type="dxa"/>
            <w:vAlign w:val="bottom"/>
            <w:gridSpan w:val="2"/>
          </w:tcPr>
          <w:p>
            <w:pPr>
              <w:ind w:left="120"/>
              <w:spacing w:after="0"/>
              <w:rPr>
                <w:sz w:val="20"/>
                <w:szCs w:val="20"/>
                <w:color w:val="auto"/>
              </w:rPr>
            </w:pPr>
            <w:r>
              <w:rPr>
                <w:rFonts w:ascii="Arial" w:cs="Arial" w:eastAsia="Arial" w:hAnsi="Arial"/>
                <w:sz w:val="18"/>
                <w:szCs w:val="18"/>
                <w:color w:val="auto"/>
                <w:w w:val="91"/>
              </w:rPr>
              <w:t>Taxes and other governmental charges the depositary or the custodian has to</w:t>
            </w:r>
          </w:p>
        </w:tc>
        <w:tc>
          <w:tcPr>
            <w:tcW w:w="5200" w:type="dxa"/>
            <w:vAlign w:val="bottom"/>
          </w:tcPr>
          <w:p>
            <w:pPr>
              <w:ind w:left="180"/>
              <w:spacing w:after="0"/>
              <w:rPr>
                <w:sz w:val="20"/>
                <w:szCs w:val="20"/>
                <w:color w:val="auto"/>
              </w:rPr>
            </w:pPr>
            <w:r>
              <w:rPr>
                <w:rFonts w:ascii="Arial" w:cs="Arial" w:eastAsia="Arial" w:hAnsi="Arial"/>
                <w:sz w:val="18"/>
                <w:szCs w:val="18"/>
                <w:color w:val="auto"/>
              </w:rPr>
              <w:t>As necessary</w:t>
            </w:r>
          </w:p>
        </w:tc>
      </w:tr>
      <w:tr>
        <w:trPr>
          <w:trHeight w:val="216"/>
        </w:trPr>
        <w:tc>
          <w:tcPr>
            <w:tcW w:w="5780" w:type="dxa"/>
            <w:vAlign w:val="bottom"/>
            <w:gridSpan w:val="2"/>
          </w:tcPr>
          <w:p>
            <w:pPr>
              <w:ind w:left="120"/>
              <w:spacing w:after="0"/>
              <w:rPr>
                <w:sz w:val="20"/>
                <w:szCs w:val="20"/>
                <w:color w:val="auto"/>
              </w:rPr>
            </w:pPr>
            <w:r>
              <w:rPr>
                <w:rFonts w:ascii="Arial" w:cs="Arial" w:eastAsia="Arial" w:hAnsi="Arial"/>
                <w:sz w:val="18"/>
                <w:szCs w:val="18"/>
                <w:color w:val="auto"/>
                <w:w w:val="94"/>
              </w:rPr>
              <w:t>pay on any ADSs or shares underlying ADSs, such as stock transfer taxes,</w:t>
            </w:r>
          </w:p>
        </w:tc>
        <w:tc>
          <w:tcPr>
            <w:tcW w:w="5200" w:type="dxa"/>
            <w:vAlign w:val="bottom"/>
          </w:tcPr>
          <w:p>
            <w:pPr>
              <w:spacing w:after="0"/>
              <w:rPr>
                <w:sz w:val="18"/>
                <w:szCs w:val="18"/>
                <w:color w:val="auto"/>
              </w:rPr>
            </w:pPr>
          </w:p>
        </w:tc>
      </w:tr>
      <w:tr>
        <w:trPr>
          <w:trHeight w:val="230"/>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stamp duty or withholding taxes</w:t>
            </w:r>
          </w:p>
        </w:tc>
        <w:tc>
          <w:tcPr>
            <w:tcW w:w="5200" w:type="dxa"/>
            <w:vAlign w:val="bottom"/>
          </w:tcPr>
          <w:p>
            <w:pPr>
              <w:spacing w:after="0"/>
              <w:rPr>
                <w:sz w:val="20"/>
                <w:szCs w:val="20"/>
                <w:color w:val="auto"/>
              </w:rPr>
            </w:pPr>
          </w:p>
        </w:tc>
      </w:tr>
      <w:tr>
        <w:trPr>
          <w:trHeight w:val="458"/>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Any charges incurred by the depositary or its agents for servicing the</w:t>
            </w:r>
          </w:p>
        </w:tc>
        <w:tc>
          <w:tcPr>
            <w:tcW w:w="5200" w:type="dxa"/>
            <w:vAlign w:val="bottom"/>
          </w:tcPr>
          <w:p>
            <w:pPr>
              <w:ind w:left="180"/>
              <w:spacing w:after="0"/>
              <w:rPr>
                <w:sz w:val="20"/>
                <w:szCs w:val="20"/>
                <w:color w:val="auto"/>
              </w:rPr>
            </w:pPr>
            <w:r>
              <w:rPr>
                <w:rFonts w:ascii="Arial" w:cs="Arial" w:eastAsia="Arial" w:hAnsi="Arial"/>
                <w:sz w:val="18"/>
                <w:szCs w:val="18"/>
                <w:color w:val="auto"/>
              </w:rPr>
              <w:t>As necessary</w:t>
            </w:r>
          </w:p>
        </w:tc>
      </w:tr>
      <w:tr>
        <w:trPr>
          <w:trHeight w:val="230"/>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deposited securities</w:t>
            </w:r>
          </w:p>
        </w:tc>
        <w:tc>
          <w:tcPr>
            <w:tcW w:w="520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firstLine="440"/>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00"/>
          </w:cols>
          <w:pgMar w:left="320" w:top="446"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4"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6"/>
          <w:szCs w:val="16"/>
          <w:b w:val="1"/>
          <w:bCs w:val="1"/>
          <w:color w:val="auto"/>
        </w:rPr>
        <w:t>At the time an amendment becomes effective, you are considered, by continuing to hold your</w:t>
      </w:r>
      <w:r>
        <w:rPr>
          <w:rFonts w:ascii="Arial" w:cs="Arial" w:eastAsia="Arial" w:hAnsi="Arial"/>
          <w:sz w:val="16"/>
          <w:szCs w:val="16"/>
          <w:color w:val="auto"/>
        </w:rPr>
        <w:t xml:space="preserve"> </w:t>
      </w:r>
      <w:r>
        <w:rPr>
          <w:rFonts w:ascii="Arial" w:cs="Arial" w:eastAsia="Arial" w:hAnsi="Arial"/>
          <w:sz w:val="16"/>
          <w:szCs w:val="16"/>
          <w:b w:val="1"/>
          <w:bCs w:val="1"/>
          <w:color w:val="auto"/>
        </w:rPr>
        <w:t>ADSs, to agree to the amendment and to be bound by the ADRs and the deposit agreement as amended.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980" w:right="560" w:hanging="324"/>
        <w:spacing w:after="0" w:line="277" w:lineRule="auto"/>
        <w:tabs>
          <w:tab w:leader="none" w:pos="9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00"/>
          </w:cols>
          <w:pgMar w:left="320" w:top="459" w:right="4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360" w:hanging="324"/>
        <w:spacing w:after="0" w:line="277" w:lineRule="auto"/>
        <w:tabs>
          <w:tab w:leader="none" w:pos="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we delist our ordinary shares from an exchange outside the United States on which they were listed and do not list the shares on another exchange outside the United States;</w:t>
      </w:r>
    </w:p>
    <w:p>
      <w:pPr>
        <w:spacing w:after="0" w:line="7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980" w:right="140" w:hanging="324"/>
        <w:spacing w:after="0" w:line="277" w:lineRule="auto"/>
        <w:tabs>
          <w:tab w:leader="none" w:pos="9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7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control from performing our or its obligations under the deposit agreement;</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9"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980" w:right="480" w:hanging="324"/>
        <w:spacing w:after="0" w:line="277" w:lineRule="auto"/>
        <w:tabs>
          <w:tab w:leader="none" w:pos="9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980" w:right="60" w:hanging="324"/>
        <w:spacing w:after="0" w:line="277" w:lineRule="auto"/>
        <w:tabs>
          <w:tab w:leader="none" w:pos="9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2"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You will not, be agreeing to the terms of the deposit agreement, be deemed to have waived our or the depositary’s compliance with U.S. federal securities laws and the rules and regulations promulgated thereunder.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AND ADS</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ELIGIBLE FOR FUTURE SALE</w:t>
      </w:r>
    </w:p>
    <w:p>
      <w:pPr>
        <w:spacing w:after="0" w:line="22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Prior to this offering, there has been no market for our ordinary shares or ADSs. Future sales of substantial amounts of our ordinary shares or ADSs in the public market, or the perception that such sales may occur, could adversely affect prevailing market prices of our ordinary shares or ADSs.</w:t>
      </w:r>
    </w:p>
    <w:p>
      <w:pPr>
        <w:spacing w:after="0" w:line="124" w:lineRule="exact"/>
        <w:rPr>
          <w:sz w:val="20"/>
          <w:szCs w:val="20"/>
          <w:color w:val="auto"/>
        </w:rPr>
      </w:pPr>
    </w:p>
    <w:p>
      <w:pPr>
        <w:ind w:left="560"/>
        <w:spacing w:after="0"/>
        <w:tabs>
          <w:tab w:leader="none" w:pos="2240" w:val="left"/>
          <w:tab w:leader="none" w:pos="5740" w:val="left"/>
          <w:tab w:leader="none" w:pos="9000" w:val="left"/>
        </w:tabs>
        <w:rPr>
          <w:sz w:val="20"/>
          <w:szCs w:val="20"/>
          <w:color w:val="auto"/>
        </w:rPr>
      </w:pPr>
      <w:r>
        <w:rPr>
          <w:rFonts w:ascii="Arial" w:cs="Arial" w:eastAsia="Arial" w:hAnsi="Arial"/>
          <w:sz w:val="18"/>
          <w:szCs w:val="18"/>
          <w:color w:val="auto"/>
        </w:rPr>
        <w:t>Based on the</w:t>
      </w:r>
      <w:r>
        <w:rPr>
          <w:sz w:val="20"/>
          <w:szCs w:val="20"/>
          <w:color w:val="auto"/>
        </w:rPr>
        <w:tab/>
      </w:r>
      <w:r>
        <w:rPr>
          <w:rFonts w:ascii="Arial" w:cs="Arial" w:eastAsia="Arial" w:hAnsi="Arial"/>
          <w:sz w:val="18"/>
          <w:szCs w:val="18"/>
          <w:color w:val="auto"/>
        </w:rPr>
        <w:t>ordinary shares that were outstanding on</w:t>
      </w:r>
      <w:r>
        <w:rPr>
          <w:sz w:val="20"/>
          <w:szCs w:val="20"/>
          <w:color w:val="auto"/>
        </w:rPr>
        <w:tab/>
      </w:r>
      <w:r>
        <w:rPr>
          <w:rFonts w:ascii="Arial" w:cs="Arial" w:eastAsia="Arial" w:hAnsi="Arial"/>
          <w:sz w:val="18"/>
          <w:szCs w:val="18"/>
          <w:color w:val="auto"/>
        </w:rPr>
        <w:t>, upon the closing of this offering,</w:t>
      </w:r>
      <w:r>
        <w:rPr>
          <w:sz w:val="20"/>
          <w:szCs w:val="20"/>
          <w:color w:val="auto"/>
        </w:rPr>
        <w:tab/>
      </w:r>
      <w:r>
        <w:rPr>
          <w:rFonts w:ascii="Arial" w:cs="Arial" w:eastAsia="Arial" w:hAnsi="Arial"/>
          <w:sz w:val="15"/>
          <w:szCs w:val="15"/>
          <w:color w:val="auto"/>
        </w:rPr>
        <w:t>ordinary shares,</w:t>
      </w:r>
    </w:p>
    <w:p>
      <w:pPr>
        <w:spacing w:after="0" w:line="23" w:lineRule="exact"/>
        <w:rPr>
          <w:sz w:val="20"/>
          <w:szCs w:val="20"/>
          <w:color w:val="auto"/>
        </w:rPr>
      </w:pPr>
    </w:p>
    <w:p>
      <w:pPr>
        <w:ind w:left="120"/>
        <w:spacing w:after="0"/>
        <w:tabs>
          <w:tab w:leader="none" w:pos="940" w:val="left"/>
          <w:tab w:leader="none" w:pos="31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ADSs representing</w:t>
      </w:r>
      <w:r>
        <w:rPr>
          <w:sz w:val="20"/>
          <w:szCs w:val="20"/>
          <w:color w:val="auto"/>
        </w:rPr>
        <w:tab/>
      </w:r>
      <w:r>
        <w:rPr>
          <w:rFonts w:ascii="Arial" w:cs="Arial" w:eastAsia="Arial" w:hAnsi="Arial"/>
          <w:sz w:val="16"/>
          <w:szCs w:val="16"/>
          <w:color w:val="auto"/>
        </w:rPr>
        <w:t>ordinary shares, will be outstanding, assuming no exercise of the underwriters’ option to purchase additional</w:t>
      </w:r>
    </w:p>
    <w:p>
      <w:pPr>
        <w:spacing w:after="0" w:line="9"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18"/>
          <w:szCs w:val="18"/>
          <w:color w:val="auto"/>
        </w:rPr>
        <w:t>ADSs. The</w:t>
      </w:r>
      <w:r>
        <w:rPr>
          <w:sz w:val="20"/>
          <w:szCs w:val="20"/>
          <w:color w:val="auto"/>
        </w:rPr>
        <w:tab/>
      </w:r>
      <w:r>
        <w:rPr>
          <w:rFonts w:ascii="Arial" w:cs="Arial" w:eastAsia="Arial" w:hAnsi="Arial"/>
          <w:sz w:val="16"/>
          <w:szCs w:val="16"/>
          <w:color w:val="auto"/>
        </w:rPr>
        <w:t>ADSs sold in this offering will be freely tradable without restriction or further registration under the Securities Act of 1933, 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amended, or the Securities Act, except for any ADSs purchased by our “affiliates,” as that term is defined in Rule 144 under the Securities Act, or Rule</w:t>
      </w:r>
    </w:p>
    <w:p>
      <w:pPr>
        <w:spacing w:after="0" w:line="3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144, whose sales would be subject to the Rule 144 resale restrictions described below. The remaining ordinary shares will be held by our existing shareholders and will be deemed to be “restricted securities” under Rule 144, and we expect that substantially all of these restricted securities will be subject to the 180-day lock-up period under the lock-up agreements as described below. These restricted securities may only be sold in the public market upon release or waiver of any applicable lock-up agreements and only if registered or pursuant to an exemption from registration, such as Rule 144 or Rule 701 under the Securities Act, or Rule 701.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general, under Rule 144, beginning 90 days after the date of this prospectus, a person who is not an affiliate of ours and has held their ordinary shares for at least six months, including the holding period of any prior owner other than one of our affiliates, may sell those shares without restriction, subject to the availability of current public information about us. In addition, under Rule 144, any person who is not an affiliate of ours and has not been an affiliate of ours at any time during the preceding three months and has held their ordinary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8"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Beginning 90 days after the date of this prospectus, a person who is an affiliate of ours or who was an affiliate of ours at any time during the preceding three months and who has beneficially owned restricted securities for at least six months, including the holding period of any prior owner other than one of our affiliates, is entitled to sell within any three-month period only a number of securities that does not exceed the greater of either of:</w:t>
      </w:r>
    </w:p>
    <w:p>
      <w:pPr>
        <w:spacing w:after="0" w:line="54" w:lineRule="exact"/>
        <w:rPr>
          <w:sz w:val="20"/>
          <w:szCs w:val="20"/>
          <w:color w:val="auto"/>
        </w:rPr>
      </w:pPr>
    </w:p>
    <w:p>
      <w:pPr>
        <w:ind w:left="980" w:hanging="324"/>
        <w:spacing w:after="0"/>
        <w:tabs>
          <w:tab w:leader="none" w:pos="9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1% of the number of our ordinary shares then outstanding, including ordinary shares represented by ADSs, which will equal</w:t>
      </w:r>
    </w:p>
    <w:p>
      <w:pPr>
        <w:sectPr>
          <w:pgSz w:w="11900" w:h="16838" w:orient="portrait"/>
          <w:cols w:equalWidth="0" w:num="1">
            <w:col w:w="11120"/>
          </w:cols>
          <w:pgMar w:left="320" w:top="459" w:right="459" w:bottom="1440" w:gutter="0" w:footer="0" w:header="0"/>
        </w:sectPr>
      </w:pPr>
    </w:p>
    <w:p>
      <w:pPr>
        <w:spacing w:after="0" w:line="23" w:lineRule="exact"/>
        <w:rPr>
          <w:sz w:val="20"/>
          <w:szCs w:val="20"/>
          <w:color w:val="auto"/>
        </w:rPr>
      </w:pPr>
    </w:p>
    <w:p>
      <w:pPr>
        <w:ind w:left="980" w:right="560"/>
        <w:spacing w:after="0" w:line="260" w:lineRule="auto"/>
        <w:rPr>
          <w:sz w:val="20"/>
          <w:szCs w:val="20"/>
          <w:color w:val="auto"/>
        </w:rPr>
      </w:pPr>
      <w:r>
        <w:rPr>
          <w:rFonts w:ascii="Arial" w:cs="Arial" w:eastAsia="Arial" w:hAnsi="Arial"/>
          <w:sz w:val="18"/>
          <w:szCs w:val="18"/>
          <w:color w:val="auto"/>
        </w:rPr>
        <w:t>approximately ordinary shares immediately after this offering, assuming no exercise of the underwriters’ option to purchase additional ADSs; and</w:t>
      </w:r>
    </w:p>
    <w:p>
      <w:pPr>
        <w:sectPr>
          <w:pgSz w:w="11900" w:h="16838" w:orient="portrait"/>
          <w:cols w:equalWidth="0" w:num="1">
            <w:col w:w="11120"/>
          </w:cols>
          <w:pgMar w:left="320" w:top="459" w:right="459" w:bottom="1440" w:gutter="0" w:footer="0" w:header="0"/>
          <w:type w:val="continuous"/>
        </w:sectPr>
      </w:pPr>
    </w:p>
    <w:p>
      <w:pPr>
        <w:spacing w:after="0" w:line="91" w:lineRule="exact"/>
        <w:rPr>
          <w:sz w:val="20"/>
          <w:szCs w:val="20"/>
          <w:color w:val="auto"/>
        </w:rPr>
      </w:pPr>
    </w:p>
    <w:p>
      <w:pPr>
        <w:ind w:left="980" w:right="100" w:hanging="324"/>
        <w:spacing w:after="0" w:line="277" w:lineRule="auto"/>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Select Market during the four calendar weeks preceding the filing of a notice on Form 144 with respect to the sale.</w:t>
      </w:r>
    </w:p>
    <w:p>
      <w:pPr>
        <w:spacing w:after="0" w:line="17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Such sales both by affiliates and by non-affiliates must also comply with the manner-of-sale, current public information and notice provisions of Rule 144, to the extent applicable. Rule 144 also requires that affiliates relying on Rule 144 to sell securities that are not restricted securities must nonetheless comply with the same restrictions applicable to restricted securities, other than the holding period requirement.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Regulation S under the Securities Act provides that ordinary shares or ADSs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or ADSs may be sold outside the United States without registration in the United States being required.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120"/>
          </w:cols>
          <w:pgMar w:left="320" w:top="459" w:right="459" w:bottom="1440" w:gutter="0" w:footer="0" w:header="0"/>
          <w:type w:val="continuous"/>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general, under Rule 701, any of our employees, board members, executive management, consultants or advisors who purchased ordinary shares from us in connection with a compensatory share or option plan or other written agreement before the closing of this offering is entitled to resell such shares.</w:t>
      </w:r>
    </w:p>
    <w:p>
      <w:pPr>
        <w:spacing w:after="0" w:line="184"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Securities Exchange Act of 1934, as amended, along with the shares acquired upon exercise of such options, including exercises after the date of this prospectus. Securities issued in reliance on Rule 701 are restricted securities and, subject to the lock-up restrictions described below, may be sold beginning 90 days after the date of this prospectus in reliance on Rule 144 by:</w:t>
      </w:r>
    </w:p>
    <w:p>
      <w:pPr>
        <w:spacing w:after="0" w:line="77" w:lineRule="exact"/>
        <w:rPr>
          <w:sz w:val="20"/>
          <w:szCs w:val="20"/>
          <w:color w:val="auto"/>
        </w:rPr>
      </w:pPr>
    </w:p>
    <w:p>
      <w:pPr>
        <w:ind w:left="980" w:hanging="324"/>
        <w:spacing w:after="0"/>
        <w:tabs>
          <w:tab w:leader="none" w:pos="9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persons other than affiliates, without restriction, subject only to the manner-of-sale provisions of Rule 144; and</w:t>
      </w:r>
    </w:p>
    <w:p>
      <w:pPr>
        <w:spacing w:after="0" w:line="13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affiliates, subject to the manner-of-sale, current public information and filing requirements of Rule 144, in each case, without compliance with the six-month holding period requirement of Rule 144.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For a description of the lock-up arrangements that we, members of our Supervisory Board and Management Board and substantially all of our shareholders have entered into in connection with this offering, see “Underwriting.”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 and Form S-8 Registration Statement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2018, options to purchase a total of 658,109 ordinary shares were issued and outstanding. Of the total number of issued and</w:t>
      </w:r>
    </w:p>
    <w:p>
      <w:pPr>
        <w:spacing w:after="0" w:line="46" w:lineRule="exact"/>
        <w:rPr>
          <w:sz w:val="20"/>
          <w:szCs w:val="20"/>
          <w:color w:val="auto"/>
        </w:rPr>
      </w:pPr>
    </w:p>
    <w:p>
      <w:pPr>
        <w:ind w:left="120" w:right="700"/>
        <w:spacing w:after="0" w:line="260" w:lineRule="auto"/>
        <w:rPr>
          <w:sz w:val="20"/>
          <w:szCs w:val="20"/>
          <w:color w:val="auto"/>
        </w:rPr>
      </w:pPr>
      <w:r>
        <w:rPr>
          <w:rFonts w:ascii="Arial" w:cs="Arial" w:eastAsia="Arial" w:hAnsi="Arial"/>
          <w:sz w:val="18"/>
          <w:szCs w:val="18"/>
          <w:color w:val="auto"/>
        </w:rPr>
        <w:t>outstanding options, will be vested upon the closing of this offering. All of our ordinary shares issuable under these options are subject to contractual lock-up agreements with us or the underwriters.</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Following the completion of this offering, we intend to file a registration statement on Form S-8 under the Securities Act to register up to ordinary shares, in the aggregate, issued or reserved for issuance under the ESOP. The registration statement on Form S-8 will become effective automatically upon filing. Ordinary shares issued upon exercise of a share option and registered pursuant to the Form S-8 registration statement will, subject to vesting provisions and Rule 144 volume limitations applicable to our affiliates, be available for sale in the open market immediately unless they are subject to the 180-day lock-up period.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00"/>
          </w:cols>
          <w:pgMar w:left="320" w:top="459" w:right="4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EXCHANGE CONTROLS AND LIMITATIONS AFFECTING SHAREHOLDERS</w:t>
      </w:r>
    </w:p>
    <w:p>
      <w:pPr>
        <w:spacing w:after="0" w:line="121"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There are currently no legal restrictions in the Federal Republic of Germany on international capital movements and foreign exchange transactions, except in limited embargo circumstances (</w:t>
      </w:r>
      <w:r>
        <w:rPr>
          <w:rFonts w:ascii="Arial" w:cs="Arial" w:eastAsia="Arial" w:hAnsi="Arial"/>
          <w:sz w:val="16"/>
          <w:szCs w:val="16"/>
          <w:i w:val="1"/>
          <w:iCs w:val="1"/>
          <w:color w:val="auto"/>
        </w:rPr>
        <w:t>Teilembargo</w:t>
      </w:r>
      <w:r>
        <w:rPr>
          <w:rFonts w:ascii="Arial" w:cs="Arial" w:eastAsia="Arial" w:hAnsi="Arial"/>
          <w:sz w:val="16"/>
          <w:szCs w:val="16"/>
          <w:color w:val="auto"/>
        </w:rPr>
        <w:t>) relating to certain areas, entities or persons as a result of applicable resolutions adopted by the United Nations and the European Union. Restrictions currently exist with respect to, among others, Belarus, Congo, Egypt, Eritrea, Guinea, Guinea-Bissau, Iran, Iraq, Lebanon, Libya, North Korea, Somalia, South Sudan, Sudan, Syria, Tunisia and Zimbabwe.</w:t>
      </w:r>
    </w:p>
    <w:p>
      <w:pPr>
        <w:spacing w:after="0" w:line="1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statistical purposes, there are, however, limited notification requirements regarding transactions involving cross-border monetary transfers. With some exceptions, every corporation or individual residing in the Federal Republic of Germany must report to the German Central Bank (</w:t>
      </w:r>
      <w:r>
        <w:rPr>
          <w:rFonts w:ascii="Arial" w:cs="Arial" w:eastAsia="Arial" w:hAnsi="Arial"/>
          <w:sz w:val="16"/>
          <w:szCs w:val="16"/>
          <w:i w:val="1"/>
          <w:iCs w:val="1"/>
          <w:color w:val="auto"/>
        </w:rPr>
        <w:t>Deutsche</w:t>
      </w:r>
      <w:r>
        <w:rPr>
          <w:rFonts w:ascii="Arial" w:cs="Arial" w:eastAsia="Arial" w:hAnsi="Arial"/>
          <w:sz w:val="16"/>
          <w:szCs w:val="16"/>
          <w:color w:val="auto"/>
        </w:rPr>
        <w:t xml:space="preserve"> </w:t>
      </w:r>
      <w:r>
        <w:rPr>
          <w:rFonts w:ascii="Arial" w:cs="Arial" w:eastAsia="Arial" w:hAnsi="Arial"/>
          <w:sz w:val="16"/>
          <w:szCs w:val="16"/>
          <w:i w:val="1"/>
          <w:iCs w:val="1"/>
          <w:color w:val="auto"/>
        </w:rPr>
        <w:t>Bundesbank</w:t>
      </w:r>
      <w:r>
        <w:rPr>
          <w:rFonts w:ascii="Arial" w:cs="Arial" w:eastAsia="Arial" w:hAnsi="Arial"/>
          <w:sz w:val="16"/>
          <w:szCs w:val="16"/>
          <w:color w:val="auto"/>
        </w:rPr>
        <w:t>) (i) any payment received from, or made to, a non-resident corporation or individual that exceeds €12,500 (or the equivalent in a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020"/>
          </w:cols>
          <w:pgMar w:left="320" w:top="459" w:right="5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German Taxation</w:t>
      </w:r>
    </w:p>
    <w:p>
      <w:pPr>
        <w:spacing w:after="0" w:line="121"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following discussion addresses certain German tax consequences of acquiring, owning or disposing of the ADSs. With the exception of “— Taxation of Holders Tax Resident in Germany” below, which provides an overview of dividend taxation and of capital gains taxation with respect to holders that are residents of Germany, this discussion applies only to U.S. treaty beneficiaries (defined below) that acquire ADSs in the offering.</w:t>
      </w:r>
    </w:p>
    <w:p>
      <w:pPr>
        <w:spacing w:after="0" w:line="149"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This discussion is based on domestic German tax laws, including, but not limited to, circulars issued by German tax authorities, which are not binding on the German courts, and the Treaty (defined below). It is based upon tax laws in effect at the time of filing of this prospectus. These laws are subject to change, possibly with retroactive effect. For example, certain member states of the European Union are considering introducing a financial transaction tax (</w:t>
      </w:r>
      <w:r>
        <w:rPr>
          <w:rFonts w:ascii="Arial" w:cs="Arial" w:eastAsia="Arial" w:hAnsi="Arial"/>
          <w:sz w:val="18"/>
          <w:szCs w:val="18"/>
          <w:i w:val="1"/>
          <w:iCs w:val="1"/>
          <w:color w:val="auto"/>
        </w:rPr>
        <w:t>Finanztransaktionssteuer</w:t>
      </w:r>
      <w:r>
        <w:rPr>
          <w:rFonts w:ascii="Arial" w:cs="Arial" w:eastAsia="Arial" w:hAnsi="Arial"/>
          <w:sz w:val="18"/>
          <w:szCs w:val="18"/>
          <w:color w:val="auto"/>
        </w:rPr>
        <w:t>) which, if and when introduced, may also be applicable on sales and/or transfer of ADSs. In addition, in Germany, for example, there are currently ongoing discussions on the raise of the top tax rate, which may also have an effect on the German tax consequences of acquiring, owning and disposing of the ADSs. There is no assurance that German tax authorities will not challenge one or more of the tax consequences described in this discussion.</w:t>
      </w:r>
    </w:p>
    <w:p>
      <w:pPr>
        <w:spacing w:after="0" w:line="19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84"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tax information presented in this prospectus is not a substitute for tax advice. Prospective holders of ADSs should consult their own tax advisors regarding the German tax consequences of the purchase, ownership, disposition, donation or inheritance of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Arial" w:cs="Arial" w:eastAsia="Arial" w:hAnsi="Arial"/>
          <w:sz w:val="17"/>
          <w:szCs w:val="17"/>
          <w:i w:val="1"/>
          <w:iCs w:val="1"/>
          <w:color w:val="auto"/>
        </w:rPr>
        <w:t>Kapitalertragsteuer</w:t>
      </w:r>
      <w:r>
        <w:rPr>
          <w:rFonts w:ascii="Arial" w:cs="Arial" w:eastAsia="Arial" w:hAnsi="Arial"/>
          <w:sz w:val="17"/>
          <w:szCs w:val="17"/>
          <w:color w:val="auto"/>
        </w:rPr>
        <w:t>) withheld. Only an individual tax consultation can appropriately account for the particular tax situation of each investor.</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Based on the circular issued by the German Federal Ministry of Finance (</w:t>
      </w:r>
      <w:r>
        <w:rPr>
          <w:rFonts w:ascii="Arial" w:cs="Arial" w:eastAsia="Arial" w:hAnsi="Arial"/>
          <w:sz w:val="16"/>
          <w:szCs w:val="16"/>
          <w:i w:val="1"/>
          <w:iCs w:val="1"/>
          <w:color w:val="auto"/>
        </w:rPr>
        <w:t>BMF-Schreiben</w:t>
      </w:r>
      <w:r>
        <w:rPr>
          <w:rFonts w:ascii="Arial" w:cs="Arial" w:eastAsia="Arial" w:hAnsi="Arial"/>
          <w:sz w:val="16"/>
          <w:szCs w:val="16"/>
          <w:color w:val="auto"/>
        </w:rPr>
        <w:t>), dated May 24, 2013, reference number IV C 1-S2204/12/10003, in respect of the taxation of American Depositary Receipts, or ADRs, on domestic shares, or the ADR Tax Circular, for German tax purposes, the ADSs represent a beneficial ownership interest in the underlying shares of BioNTech and qualify as ADRs for the purpose of the ADR Tax Circular. If the ADSs qualify as ADRs under the ADR Tax Circular, dividends would accordingly be attributable to holders of the ADSs for German tax purposes, and not to the legal owner of the ordinary shares (</w:t>
      </w:r>
      <w:r>
        <w:rPr>
          <w:rFonts w:ascii="Arial" w:cs="Arial" w:eastAsia="Arial" w:hAnsi="Arial"/>
          <w:sz w:val="16"/>
          <w:szCs w:val="16"/>
          <w:i w:val="1"/>
          <w:iCs w:val="1"/>
          <w:color w:val="auto"/>
        </w:rPr>
        <w:t>i.e</w:t>
      </w:r>
      <w:r>
        <w:rPr>
          <w:rFonts w:ascii="Arial" w:cs="Arial" w:eastAsia="Arial" w:hAnsi="Arial"/>
          <w:sz w:val="16"/>
          <w:szCs w:val="16"/>
          <w:color w:val="auto"/>
        </w:rPr>
        <w:t>., the financial institution on behalf of which the ordinary shares are stored at a domestic depository for the ADS holders). Furthermore, holders of the ADSs should be treated as beneficial owners of the capital of BioNTech with respect to capital gains (see below in section “—German Taxation of Capital Gains of the U.S. Treaty Beneficiaries of the ADSs”). However, investors should note that circulars published by the German tax authorities (including the ADR Tax Circular) are not binding on German courts, including German tax courts, and it is unclear whether a German court would follow the ADR Tax Circular in determining the German tax treatment of the ADSs. For the purpose of this German tax section, it is assumed that the ADSs qualify as ADRs within the meaning of the ADR Tax Circular.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Holders Not Tax Resident in Germany</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discussion describes the material German tax consequences for a holder that is a U.S. treaty beneficiary of acquiring, owning and disposing of the ADSs. For purposes of this discussion, a “U.S. treaty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beneficiary” is a resident of the United States for purposes of the Agreement between the Federal Republic of Germany and United States of America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Avoidance of Double Taxation and the Prevention of Fiscal Evasion with respect to Taxes on Income and on Capital as of June 4, 2008</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Abkommen zwischen der Bundesrepublik Deutschland und den Vereinigten Staaten von Amerika zur Vermeidung der Doppelbesteuerung und zur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Verhinderung der Steuerverkürzung auf dem Gebiet der Steuern vom Einkommen und vom Vermögen und einiger anderer Steuern in der Fassung vom 4.</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Juni 2008</w:t>
      </w:r>
      <w:r>
        <w:rPr>
          <w:rFonts w:ascii="Arial" w:cs="Arial" w:eastAsia="Arial" w:hAnsi="Arial"/>
          <w:sz w:val="18"/>
          <w:szCs w:val="18"/>
          <w:color w:val="auto"/>
        </w:rPr>
        <w:t>), hereinafter referred to as the “Treaty,” who is fully eligible for benefits under the Treaty.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will be a U.S. treaty beneficiary entitled to full Treaty benefits in respect of the ADSs if it is, inter alia:</w:t>
      </w:r>
    </w:p>
    <w:p>
      <w:pPr>
        <w:spacing w:after="0" w:line="131" w:lineRule="exact"/>
        <w:rPr>
          <w:sz w:val="20"/>
          <w:szCs w:val="20"/>
          <w:color w:val="auto"/>
        </w:rPr>
      </w:pPr>
    </w:p>
    <w:p>
      <w:pPr>
        <w:ind w:left="980" w:hanging="324"/>
        <w:spacing w:after="0"/>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beneficial owner of the ADSs (and the dividends paid with respect thereto);</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U.S. holder;</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not also a resident of Germany for German tax purposes;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not subject to the limitation on benefits (</w:t>
      </w:r>
      <w:r>
        <w:rPr>
          <w:rFonts w:ascii="Arial" w:cs="Arial" w:eastAsia="Arial" w:hAnsi="Arial"/>
          <w:sz w:val="18"/>
          <w:szCs w:val="18"/>
          <w:i w:val="1"/>
          <w:iCs w:val="1"/>
          <w:color w:val="auto"/>
        </w:rPr>
        <w:t>i.e.</w:t>
      </w:r>
      <w:r>
        <w:rPr>
          <w:rFonts w:ascii="Arial" w:cs="Arial" w:eastAsia="Arial" w:hAnsi="Arial"/>
          <w:sz w:val="18"/>
          <w:szCs w:val="18"/>
          <w:color w:val="auto"/>
        </w:rPr>
        <w:t>, anti-treaty shopping) article of the Treaty that applies in limited circumstances.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to pension funds and certain other tax-exempt investors.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Rules for the Taxation of Holders Not Tax Resident in Germany</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Non-German resident holders of ADSs are subject to German taxation with respect to German source income (</w:t>
      </w:r>
      <w:r>
        <w:rPr>
          <w:rFonts w:ascii="Arial" w:cs="Arial" w:eastAsia="Arial" w:hAnsi="Arial"/>
          <w:sz w:val="18"/>
          <w:szCs w:val="18"/>
          <w:i w:val="1"/>
          <w:iCs w:val="1"/>
          <w:color w:val="auto"/>
        </w:rPr>
        <w:t>beschränkte Steuerpflicht</w:t>
      </w:r>
      <w:r>
        <w:rPr>
          <w:rFonts w:ascii="Arial" w:cs="Arial" w:eastAsia="Arial" w:hAnsi="Arial"/>
          <w:sz w:val="18"/>
          <w:szCs w:val="18"/>
          <w:color w:val="auto"/>
        </w:rPr>
        <w:t>). According to the ADR Tax Circular, income from the shares should be attributed to the holder of the ADSs for German tax purposes. As a consequence, income from the ADSs should be treated as German source income.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Withholding Taxation of Dividends of the U.S. Treaty Beneficiaries of the ADSs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Generally, the full amount of a dividend distributed by BioNTech to a non-German resident holder which does not maintain a permanent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establishment or other taxable presence in Germany is subject to (final) German withholding tax at an aggregate rate of 26.375%. German withholding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 is withheld and remitted to the German tax authorities by (i) the disbursing agent (</w:t>
      </w:r>
      <w:r>
        <w:rPr>
          <w:rFonts w:ascii="Arial" w:cs="Arial" w:eastAsia="Arial" w:hAnsi="Arial"/>
          <w:sz w:val="16"/>
          <w:szCs w:val="16"/>
          <w:i w:val="1"/>
          <w:iCs w:val="1"/>
          <w:color w:val="auto"/>
        </w:rPr>
        <w:t>i.e.</w:t>
      </w:r>
      <w:r>
        <w:rPr>
          <w:rFonts w:ascii="Arial" w:cs="Arial" w:eastAsia="Arial" w:hAnsi="Arial"/>
          <w:sz w:val="16"/>
          <w:szCs w:val="16"/>
          <w:color w:val="auto"/>
        </w:rPr>
        <w:t>, the German credit institution, financial services institution,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trading enterprise or securities trading bank (each as defined in the German Banking Act (</w:t>
      </w:r>
      <w:r>
        <w:rPr>
          <w:rFonts w:ascii="Arial" w:cs="Arial" w:eastAsia="Arial" w:hAnsi="Arial"/>
          <w:sz w:val="16"/>
          <w:szCs w:val="16"/>
          <w:i w:val="1"/>
          <w:iCs w:val="1"/>
          <w:color w:val="auto"/>
        </w:rPr>
        <w:t>Kreditwesengesetz</w:t>
      </w:r>
      <w:r>
        <w:rPr>
          <w:rFonts w:ascii="Arial" w:cs="Arial" w:eastAsia="Arial" w:hAnsi="Arial"/>
          <w:sz w:val="16"/>
          <w:szCs w:val="16"/>
          <w:color w:val="auto"/>
        </w:rPr>
        <w:t>) and in each case including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German branch of a foreign enterprise, but excluding a foreign branch of a German enterprise)) that holds or administers the underlying shares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custody and (a) disburses or credits the dividend income from the underlying shares, (b) disburses or credits the dividend income from the underlying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on delivery of the dividend coupons or (c) disburses such dividend income to a foreign agent; or (ii) the central securities depository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Wertpapiersammelbank</w:t>
      </w:r>
      <w:r>
        <w:rPr>
          <w:rFonts w:ascii="Arial" w:cs="Arial" w:eastAsia="Arial" w:hAnsi="Arial"/>
          <w:sz w:val="16"/>
          <w:szCs w:val="16"/>
          <w:color w:val="auto"/>
        </w:rPr>
        <w:t>) in terms of the German Depositary Act (</w:t>
      </w:r>
      <w:r>
        <w:rPr>
          <w:rFonts w:ascii="Arial" w:cs="Arial" w:eastAsia="Arial" w:hAnsi="Arial"/>
          <w:sz w:val="16"/>
          <w:szCs w:val="16"/>
          <w:i w:val="1"/>
          <w:iCs w:val="1"/>
          <w:color w:val="auto"/>
        </w:rPr>
        <w:t>Depotgesetz</w:t>
      </w:r>
      <w:r>
        <w:rPr>
          <w:rFonts w:ascii="Arial" w:cs="Arial" w:eastAsia="Arial" w:hAnsi="Arial"/>
          <w:sz w:val="16"/>
          <w:szCs w:val="16"/>
          <w:color w:val="auto"/>
        </w:rPr>
        <w:t>) holding the underlying shares in a collective deposit, if such central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securities depository disburses the dividend income from the underlying shares to a foreign agent, regardless of whether a holder must report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dividend for tax purposes and regardless of whether or not a holder is a resident of Germany (each such institution, a Withholding Agent). Dividend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payments, to the extent funded from BioNTech’s tax-recognized contribution account (</w:t>
      </w:r>
      <w:r>
        <w:rPr>
          <w:rFonts w:ascii="Arial" w:cs="Arial" w:eastAsia="Arial" w:hAnsi="Arial"/>
          <w:sz w:val="17"/>
          <w:szCs w:val="17"/>
          <w:i w:val="1"/>
          <w:iCs w:val="1"/>
          <w:color w:val="auto"/>
        </w:rPr>
        <w:t>steuerliches Einlagekonto</w:t>
      </w:r>
      <w:r>
        <w:rPr>
          <w:rFonts w:ascii="Arial" w:cs="Arial" w:eastAsia="Arial" w:hAnsi="Arial"/>
          <w:sz w:val="17"/>
          <w:szCs w:val="17"/>
          <w:color w:val="auto"/>
        </w:rPr>
        <w:t>), do not, subject to certain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prerequisites, form part of the taxable dividend income but lower the holder’s acquisition costs for the ADSs.</w:t>
      </w:r>
    </w:p>
    <w:p>
      <w:pPr>
        <w:spacing w:after="0" w:line="21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Pursuant to the Treaty, the German withholding tax may generally not exceed (i) 15% of the gross amount of the dividends received by a U.S. treaty beneficiary other than a company holding ADSs which represent 10%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or more of the voting shares in BioNTech, and (ii) 5% of the gross amount of the dividends received by a U.S. treaty beneficiary that is a company holding ADSs which represent 10% or more of the voting shares in BioNTech. The excess of the total withholding tax, including the solidarity surcharge, over the maximum rate of withholding tax permitted by the Treaty is refunded to U.S. treaty beneficiaries upon application. For example, for a declared dividend of 100, a U.S. treaty beneficiary initially receives 73.625 (100 minus the 26.375% withholding tax including solidarity surcharge). The U.S. treaty beneficiary is entitled to a partial refund from the German tax authorities in the amount of 11.375% of the gross dividend (of 100). As a result, the U.S. treaty beneficiary ultimately receives a total of 85 (85% of the declared dividend) following the refund of the excess withholding. However, investors should note that it is unclear how the German tax authorities will apply the refund process to dividends on the ADSs with respect to non-German resident holders of the ADSs. Further, such refund is subject to the German anti-avoidance treaty shopping rule (as described below in “— Withholding Tax Refund for U.S. Treaty Beneficiaries”).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Withholding Taxation of Capital Gains of the U.S. Treaty Beneficiaries of the ADSs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capital gains from the disposition of the ADSs realized by a non-German resident holder which does not maintain a permanent establishment or other taxable presence in Germany would be treated as German source income and be subject to German tax if the ADSs qualify as a Qualified Participation. A Qualified Participation is given if a holder at any time during the five years preceding the disposition, directly or indirectly, owned 1% or more of BioNTech’s share capital, irrespective of whether through the ADSs or shares of BioNTech. If such holder had acquired the ADSs without consideration, the previous owner’s holding period and quota would be taken into account.</w:t>
      </w:r>
    </w:p>
    <w:p>
      <w:pPr>
        <w:spacing w:after="0" w:line="1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Pursuant to the Treaty, capital gains from the disposition of a Qualified Participation realized by a U.S. treaty beneficiary are, however, generally exempt from German taxation. Pursuant to the Treaty, U.S. treaty beneficiaries are not subject to German tax in relation to capital gains from the disposition of a Qualified Participation even under the circumstances described in the preceding paragraph and therefore should not be subject to German taxation on capital gains from the disposition of the ADSs.</w:t>
      </w:r>
    </w:p>
    <w:p>
      <w:pPr>
        <w:spacing w:after="0" w:line="187"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German statutory law requires the Withholding Agent to levy withholding tax on capital gains from the sale of ADSs or other securities held in a custodial account in Germany.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However, a circular issued by the German Federal Ministry of Finance, dated January 18, 2016, reference number IV C 1-S2252/08/10004 :017, provides that taxes need not be withheld when the holder of the custody account is not a resident of Germany for tax purposes and the income is not subject to German taxation. The circular further states that there is no obligation to withhold such tax even if the non-resident holder owns 1% or more of the share capital of a German company. While circulars issued by the German Federal Ministry of Finance are only binding on the German tax authorities but not on the German courts, in practice, the disbursing agents nevertheless typically rely on guidance contained in such circulars. Therefore, a disbursing agent would only withhold tax at 26.375% on capital gains derived by a U.S. treaty beneficiary from the sale of ADSs held in a custodial account in Germany in the event that the disbursing agent did not follow the abovementioned guidance. In this case, the U.S. treaty beneficiary may be entitled to claim a refund of the withholding tax from the German tax authorities under the Treaty, as described below in “—Withholding Tax Refund for U.S. Treaty Beneficiaries.” A refund of taxes withheld on capital gains from the disposition of the ADSs which do not qualify as Qualified Participations may also be claimed based on German statutory domestic law.</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Withholding Tax Refund for U.S. Treaty Beneficiaries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U.S. treaty beneficiaries are generally eligible for treaty benefits under the Treaty, as described above in “—Taxation of Holders Not Tax Resident in Germany.” Accordingly, U.S. treaty beneficiaries are in general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entitled to claim a refund of (i) the portion of the otherwise applicable 26.375% German withholding tax (</w:t>
      </w:r>
      <w:r>
        <w:rPr>
          <w:rFonts w:ascii="Arial" w:cs="Arial" w:eastAsia="Arial" w:hAnsi="Arial"/>
          <w:sz w:val="16"/>
          <w:szCs w:val="16"/>
          <w:i w:val="1"/>
          <w:iCs w:val="1"/>
          <w:color w:val="auto"/>
        </w:rPr>
        <w:t>Kapitalertragsteuer</w:t>
      </w:r>
      <w:r>
        <w:rPr>
          <w:rFonts w:ascii="Arial" w:cs="Arial" w:eastAsia="Arial" w:hAnsi="Arial"/>
          <w:sz w:val="16"/>
          <w:szCs w:val="16"/>
          <w:color w:val="auto"/>
        </w:rPr>
        <w:t>) on dividends that exceeds the applicable Treaty rate and (ii) the full amount of German withholding tax (</w:t>
      </w:r>
      <w:r>
        <w:rPr>
          <w:rFonts w:ascii="Arial" w:cs="Arial" w:eastAsia="Arial" w:hAnsi="Arial"/>
          <w:sz w:val="16"/>
          <w:szCs w:val="16"/>
          <w:i w:val="1"/>
          <w:iCs w:val="1"/>
          <w:color w:val="auto"/>
        </w:rPr>
        <w:t>Kapitalertragsteuer</w:t>
      </w:r>
      <w:r>
        <w:rPr>
          <w:rFonts w:ascii="Arial" w:cs="Arial" w:eastAsia="Arial" w:hAnsi="Arial"/>
          <w:sz w:val="16"/>
          <w:szCs w:val="16"/>
          <w:color w:val="auto"/>
        </w:rPr>
        <w:t>) on capital gains from the disposition of ADSs. The application for such claim is generally to be filed with the Federal Central Office of Taxation (</w:t>
      </w:r>
      <w:r>
        <w:rPr>
          <w:rFonts w:ascii="Arial" w:cs="Arial" w:eastAsia="Arial" w:hAnsi="Arial"/>
          <w:sz w:val="16"/>
          <w:szCs w:val="16"/>
          <w:i w:val="1"/>
          <w:iCs w:val="1"/>
          <w:color w:val="auto"/>
        </w:rPr>
        <w:t>Bundeszentralamt für Steuern</w:t>
      </w:r>
      <w:r>
        <w:rPr>
          <w:rFonts w:ascii="Arial" w:cs="Arial" w:eastAsia="Arial" w:hAnsi="Arial"/>
          <w:sz w:val="16"/>
          <w:szCs w:val="16"/>
          <w:color w:val="auto"/>
        </w:rPr>
        <w:t>).</w:t>
      </w:r>
    </w:p>
    <w:p>
      <w:pPr>
        <w:spacing w:after="0" w:line="14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tax underlying the refund application is below a tax rate of 15% based on the gross amount of the dividends and (b) the holder does not directly own 10% or more of the shares of BioNTech and is subject to income taxes in its state of residence, without being tax-exempt.</w:t>
      </w:r>
    </w:p>
    <w:p>
      <w:pPr>
        <w:spacing w:after="0" w:line="18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general, as previously discussed, investors should note that it is unclear how the German tax administration will apply the refund process to dividends on the ADSs. Further, such refund is subject to the German anti-avoidance treaty shopping rule. Generally, this rule requires that the U.S. treaty beneficiary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or if the foreign company is subject to the provisions of the German Investment Tax Act (</w:t>
      </w:r>
      <w:r>
        <w:rPr>
          <w:rFonts w:ascii="Arial" w:cs="Arial" w:eastAsia="Arial" w:hAnsi="Arial"/>
          <w:sz w:val="16"/>
          <w:szCs w:val="16"/>
          <w:i w:val="1"/>
          <w:iCs w:val="1"/>
          <w:color w:val="auto"/>
        </w:rPr>
        <w:t>Investmentsteuergesetz</w:t>
      </w:r>
      <w:r>
        <w:rPr>
          <w:rFonts w:ascii="Arial" w:cs="Arial" w:eastAsia="Arial" w:hAnsi="Arial"/>
          <w:sz w:val="16"/>
          <w:szCs w:val="16"/>
          <w:color w:val="auto"/>
        </w:rPr>
        <w:t>). Whether or not and to which extent the anti-avoidance treaty shopping rule applies to the ADSs has to be analyzed on a case by case basis taking into account all relevant tests. In addition, the interpretation of these tests is disputed and to date no published decisions of the German Federal Finance Court exist in this regard.</w:t>
      </w:r>
    </w:p>
    <w:p>
      <w:pPr>
        <w:spacing w:after="0" w:line="17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Due to the legal structure of the ADSs, only limited guidance of the German tax authorities exists on the practical application of this procedure with respect to the ADSs.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Holders Tax Resident in Germany</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This subsection provides an overview of dividend taxation and of capital gains taxation with regard to the general principles applicable to ADS’s holders that are tax resident in Germany. A holder is a German tax resident if, in case of an individual, he or she maintains a domicile (</w:t>
      </w:r>
      <w:r>
        <w:rPr>
          <w:rFonts w:ascii="Arial" w:cs="Arial" w:eastAsia="Arial" w:hAnsi="Arial"/>
          <w:sz w:val="18"/>
          <w:szCs w:val="18"/>
          <w:i w:val="1"/>
          <w:iCs w:val="1"/>
          <w:color w:val="auto"/>
        </w:rPr>
        <w:t>Wohnsitz</w:t>
      </w:r>
      <w:r>
        <w:rPr>
          <w:rFonts w:ascii="Arial" w:cs="Arial" w:eastAsia="Arial" w:hAnsi="Arial"/>
          <w:sz w:val="18"/>
          <w:szCs w:val="18"/>
          <w:color w:val="auto"/>
        </w:rPr>
        <w:t>) or a usual residence (</w:t>
      </w:r>
      <w:r>
        <w:rPr>
          <w:rFonts w:ascii="Arial" w:cs="Arial" w:eastAsia="Arial" w:hAnsi="Arial"/>
          <w:sz w:val="18"/>
          <w:szCs w:val="18"/>
          <w:i w:val="1"/>
          <w:iCs w:val="1"/>
          <w:color w:val="auto"/>
        </w:rPr>
        <w:t>gewöhnlicher Aufenthalt</w:t>
      </w:r>
      <w:r>
        <w:rPr>
          <w:rFonts w:ascii="Arial" w:cs="Arial" w:eastAsia="Arial" w:hAnsi="Arial"/>
          <w:sz w:val="18"/>
          <w:szCs w:val="18"/>
          <w:color w:val="auto"/>
        </w:rPr>
        <w:t>) in Germany or if, in case of a corporation, it has its place of management (</w:t>
      </w:r>
      <w:r>
        <w:rPr>
          <w:rFonts w:ascii="Arial" w:cs="Arial" w:eastAsia="Arial" w:hAnsi="Arial"/>
          <w:sz w:val="18"/>
          <w:szCs w:val="18"/>
          <w:i w:val="1"/>
          <w:iCs w:val="1"/>
          <w:color w:val="auto"/>
        </w:rPr>
        <w:t>Geschäftsleitung</w:t>
      </w:r>
      <w:r>
        <w:rPr>
          <w:rFonts w:ascii="Arial" w:cs="Arial" w:eastAsia="Arial" w:hAnsi="Arial"/>
          <w:sz w:val="18"/>
          <w:szCs w:val="18"/>
          <w:color w:val="auto"/>
        </w:rPr>
        <w:t>) or registered office (Sitz) in Germany.</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German dividend and capital gains taxation rules applicable to German tax residents require a distinction between ADSs held as private assets (</w:t>
      </w:r>
      <w:r>
        <w:rPr>
          <w:rFonts w:ascii="Arial" w:cs="Arial" w:eastAsia="Arial" w:hAnsi="Arial"/>
          <w:sz w:val="18"/>
          <w:szCs w:val="18"/>
          <w:i w:val="1"/>
          <w:iCs w:val="1"/>
          <w:color w:val="auto"/>
        </w:rPr>
        <w:t>Privatvermögen</w:t>
      </w:r>
      <w:r>
        <w:rPr>
          <w:rFonts w:ascii="Arial" w:cs="Arial" w:eastAsia="Arial" w:hAnsi="Arial"/>
          <w:sz w:val="18"/>
          <w:szCs w:val="18"/>
          <w:color w:val="auto"/>
        </w:rPr>
        <w:t>) and ADSs held as business assets (</w:t>
      </w:r>
      <w:r>
        <w:rPr>
          <w:rFonts w:ascii="Arial" w:cs="Arial" w:eastAsia="Arial" w:hAnsi="Arial"/>
          <w:sz w:val="18"/>
          <w:szCs w:val="18"/>
          <w:i w:val="1"/>
          <w:iCs w:val="1"/>
          <w:color w:val="auto"/>
        </w:rPr>
        <w:t>Betriebsvermögen</w:t>
      </w:r>
      <w:r>
        <w:rPr>
          <w:rFonts w:ascii="Arial" w:cs="Arial" w:eastAsia="Arial" w:hAnsi="Arial"/>
          <w:sz w:val="18"/>
          <w:szCs w:val="18"/>
          <w:color w:val="auto"/>
        </w:rPr>
        <w: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 as Private Assets (Privatvermögen)</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If the ADSs are held as private assets by a German tax resident, dividends and capital gains (other than capital gains from the disposition of a Qualified Participation) are taxed as investment income and are principally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25% German flat income tax on capital income (</w:t>
      </w:r>
      <w:r>
        <w:rPr>
          <w:rFonts w:ascii="Arial" w:cs="Arial" w:eastAsia="Arial" w:hAnsi="Arial"/>
          <w:sz w:val="16"/>
          <w:szCs w:val="16"/>
          <w:i w:val="1"/>
          <w:iCs w:val="1"/>
          <w:color w:val="auto"/>
        </w:rPr>
        <w:t>Abgeltungsteuer</w:t>
      </w:r>
      <w:r>
        <w:rPr>
          <w:rFonts w:ascii="Arial" w:cs="Arial" w:eastAsia="Arial" w:hAnsi="Arial"/>
          <w:sz w:val="16"/>
          <w:szCs w:val="16"/>
          <w:color w:val="auto"/>
        </w:rPr>
        <w:t>) (plus a 5.5%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thereon, resulting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an aggregate rate of 26.375%), which is levied in the form of withholding tax (</w:t>
      </w:r>
      <w:r>
        <w:rPr>
          <w:rFonts w:ascii="Arial" w:cs="Arial" w:eastAsia="Arial" w:hAnsi="Arial"/>
          <w:sz w:val="17"/>
          <w:szCs w:val="17"/>
          <w:i w:val="1"/>
          <w:iCs w:val="1"/>
          <w:color w:val="auto"/>
        </w:rPr>
        <w:t>Kapitalertragsteuer</w:t>
      </w:r>
      <w:r>
        <w:rPr>
          <w:rFonts w:ascii="Arial" w:cs="Arial" w:eastAsia="Arial" w:hAnsi="Arial"/>
          <w:sz w:val="17"/>
          <w:szCs w:val="17"/>
          <w:color w:val="auto"/>
        </w:rPr>
        <w:t>). In other words, once deducted, the holder’s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income tax liability on the dividends will be settled. Dividend payments to the extent funded from BioNTech’s tax-recognized contribution account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steuerliches Einlagekonto</w:t>
      </w:r>
      <w:r>
        <w:rPr>
          <w:rFonts w:ascii="Arial" w:cs="Arial" w:eastAsia="Arial" w:hAnsi="Arial"/>
          <w:sz w:val="16"/>
          <w:szCs w:val="16"/>
          <w:color w:val="auto"/>
        </w:rPr>
        <w:t>), do not, subject to certain prerequisites, form part of the taxable dividend income but lower the holder’s acquisition costs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ADSs.</w:t>
      </w:r>
    </w:p>
    <w:p>
      <w:pPr>
        <w:spacing w:after="0" w:line="21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Holders of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ADSs), less the saver’s allowance of €801 for an individual or €1,602 for a married couple and a registered civil union (</w:t>
      </w:r>
      <w:r>
        <w:rPr>
          <w:rFonts w:ascii="Arial" w:cs="Arial" w:eastAsia="Arial" w:hAnsi="Arial"/>
          <w:sz w:val="17"/>
          <w:szCs w:val="17"/>
          <w:i w:val="1"/>
          <w:iCs w:val="1"/>
          <w:color w:val="auto"/>
        </w:rPr>
        <w:t>eingetragene Lebenspartnerschaft</w:t>
      </w:r>
      <w:r>
        <w:rPr>
          <w:rFonts w:ascii="Arial" w:cs="Arial" w:eastAsia="Arial" w:hAnsi="Arial"/>
          <w:sz w:val="17"/>
          <w:szCs w:val="17"/>
          <w:color w:val="auto"/>
        </w:rPr>
        <w:t>) filing taxes jointly. The deduction of expenses related to the investment income (including dividends or gains with respect to ADSs) is generally not possible for private investors.</w:t>
      </w:r>
    </w:p>
    <w:p>
      <w:pPr>
        <w:spacing w:after="0" w:line="176"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Losses resulting from the disposal of ADSs can only be offset against capital gains from the sale of any shares (</w:t>
      </w:r>
      <w:r>
        <w:rPr>
          <w:rFonts w:ascii="Arial" w:cs="Arial" w:eastAsia="Arial" w:hAnsi="Arial"/>
          <w:sz w:val="16"/>
          <w:szCs w:val="16"/>
          <w:i w:val="1"/>
          <w:iCs w:val="1"/>
          <w:color w:val="auto"/>
        </w:rPr>
        <w:t>Aktien</w:t>
      </w:r>
      <w:r>
        <w:rPr>
          <w:rFonts w:ascii="Arial" w:cs="Arial" w:eastAsia="Arial" w:hAnsi="Arial"/>
          <w:sz w:val="16"/>
          <w:szCs w:val="16"/>
          <w:color w:val="auto"/>
        </w:rPr>
        <w:t>) and other ADSs. If, however, a holder holds a Qualifying Participation, 60% of any capital gains resulting from the sale and transfer are taxable at the holder’s personal income tax rate (plus 5.5% solidarity surcharge thereon). Conversely, 60% of any capital losses are recognized for tax purposes.</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Church tax generally has to be withheld, if applicable, based on an automatic data access procedure, unless the holder of ADSs has filed a blocking notice (</w:t>
      </w:r>
      <w:r>
        <w:rPr>
          <w:rFonts w:ascii="Arial" w:cs="Arial" w:eastAsia="Arial" w:hAnsi="Arial"/>
          <w:sz w:val="18"/>
          <w:szCs w:val="18"/>
          <w:i w:val="1"/>
          <w:iCs w:val="1"/>
          <w:color w:val="auto"/>
        </w:rPr>
        <w:t>Sperrvermerk</w:t>
      </w:r>
      <w:r>
        <w:rPr>
          <w:rFonts w:ascii="Arial" w:cs="Arial" w:eastAsia="Arial" w:hAnsi="Arial"/>
          <w:sz w:val="18"/>
          <w:szCs w:val="18"/>
          <w:color w:val="auto"/>
        </w:rPr>
        <w:t>) with the Federal Central Tax Office. Where church tax is not levied by way of withholding, it is determined by means of income tax assessment.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 as Business Assets (Betriebsvermögen)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case the ADSs are held as business assets, the taxation depends on the legal form of the holder (</w:t>
      </w:r>
      <w:r>
        <w:rPr>
          <w:rFonts w:ascii="Arial" w:cs="Arial" w:eastAsia="Arial" w:hAnsi="Arial"/>
          <w:sz w:val="18"/>
          <w:szCs w:val="18"/>
          <w:i w:val="1"/>
          <w:iCs w:val="1"/>
          <w:color w:val="auto"/>
        </w:rPr>
        <w:t>i.e.</w:t>
      </w:r>
      <w:r>
        <w:rPr>
          <w:rFonts w:ascii="Arial" w:cs="Arial" w:eastAsia="Arial" w:hAnsi="Arial"/>
          <w:sz w:val="18"/>
          <w:szCs w:val="18"/>
          <w:color w:val="auto"/>
        </w:rPr>
        <w:t>, whether the holder is a corporation or an individual).</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Irrespective of the legal form of the holder, dividends are subject to the aggregate withholding tax rate of 26.375%.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occurring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upon receipt of the dividends.</w:t>
      </w:r>
    </w:p>
    <w:p>
      <w:pPr>
        <w:spacing w:after="0" w:line="17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To the extent the amount withheld exceeds the income tax liability, the withholding tax will be refunded, provided that certain requirements are met (including the aforementioned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Special rules apply to credit institutions (</w:t>
      </w:r>
      <w:r>
        <w:rPr>
          <w:rFonts w:ascii="Arial" w:cs="Arial" w:eastAsia="Arial" w:hAnsi="Arial"/>
          <w:sz w:val="18"/>
          <w:szCs w:val="18"/>
          <w:i w:val="1"/>
          <w:iCs w:val="1"/>
          <w:color w:val="auto"/>
        </w:rPr>
        <w:t>Kreditinstitute</w:t>
      </w:r>
      <w:r>
        <w:rPr>
          <w:rFonts w:ascii="Arial" w:cs="Arial" w:eastAsia="Arial" w:hAnsi="Arial"/>
          <w:sz w:val="18"/>
          <w:szCs w:val="18"/>
          <w:color w:val="auto"/>
        </w:rPr>
        <w:t>), financial services institutions (</w:t>
      </w:r>
      <w:r>
        <w:rPr>
          <w:rFonts w:ascii="Arial" w:cs="Arial" w:eastAsia="Arial" w:hAnsi="Arial"/>
          <w:sz w:val="18"/>
          <w:szCs w:val="18"/>
          <w:i w:val="1"/>
          <w:iCs w:val="1"/>
          <w:color w:val="auto"/>
        </w:rPr>
        <w:t>Finanzdienstleistungsinstitute</w:t>
      </w:r>
      <w:r>
        <w:rPr>
          <w:rFonts w:ascii="Arial" w:cs="Arial" w:eastAsia="Arial" w:hAnsi="Arial"/>
          <w:sz w:val="18"/>
          <w:szCs w:val="18"/>
          <w:color w:val="auto"/>
        </w:rPr>
        <w:t>), financial enterprises (</w:t>
      </w:r>
      <w:r>
        <w:rPr>
          <w:rFonts w:ascii="Arial" w:cs="Arial" w:eastAsia="Arial" w:hAnsi="Arial"/>
          <w:sz w:val="18"/>
          <w:szCs w:val="18"/>
          <w:i w:val="1"/>
          <w:iCs w:val="1"/>
          <w:color w:val="auto"/>
        </w:rPr>
        <w:t>Finanzunternehmen</w:t>
      </w:r>
      <w:r>
        <w:rPr>
          <w:rFonts w:ascii="Arial" w:cs="Arial" w:eastAsia="Arial" w:hAnsi="Arial"/>
          <w:sz w:val="18"/>
          <w:szCs w:val="18"/>
          <w:color w:val="auto"/>
        </w:rPr>
        <w:t>), life insurance and health insurance companies, and pension funds.</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With regard to holders in the legal form of a corporation, capital gains are in general effectively 95% tax exempt from corporate income tax (including solidarity surcharge). Dividends are also generally 95% tax exempt from corporate income tax (including solidarity surcharge), inter alia, if the holder held at least 10% of the registered share capital (</w:t>
      </w:r>
      <w:r>
        <w:rPr>
          <w:rFonts w:ascii="Arial" w:cs="Arial" w:eastAsia="Arial" w:hAnsi="Arial"/>
          <w:sz w:val="17"/>
          <w:szCs w:val="17"/>
          <w:i w:val="1"/>
          <w:iCs w:val="1"/>
          <w:color w:val="auto"/>
        </w:rPr>
        <w:t>Grundkapital oder Stammkapital</w:t>
      </w:r>
      <w:r>
        <w:rPr>
          <w:rFonts w:ascii="Arial" w:cs="Arial" w:eastAsia="Arial" w:hAnsi="Arial"/>
          <w:sz w:val="17"/>
          <w:szCs w:val="17"/>
          <w:color w:val="auto"/>
        </w:rPr>
        <w:t>) of BioNTech at the beginning of the calendar year (“Qualifying Dividends”). Five percent of the capital gains and five percent of the Qualifying Dividends are treated as non-deductible business expenses, respectively, and, as such, are subject to corporate income tax (including solidarity surcharge);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w:t>
      </w:r>
      <w:r>
        <w:rPr>
          <w:rFonts w:ascii="Arial" w:cs="Arial" w:eastAsia="Arial" w:hAnsi="Arial"/>
          <w:sz w:val="17"/>
          <w:szCs w:val="17"/>
          <w:i w:val="1"/>
          <w:iCs w:val="1"/>
          <w:color w:val="auto"/>
        </w:rPr>
        <w:t>Mitunternehmerschaften</w:t>
      </w:r>
      <w:r>
        <w:rPr>
          <w:rFonts w:ascii="Arial" w:cs="Arial" w:eastAsia="Arial" w:hAnsi="Arial"/>
          <w:sz w:val="17"/>
          <w:szCs w:val="17"/>
          <w:color w:val="auto"/>
        </w:rPr>
        <w:t>), are attributable to the respective partner only on a pro rata basis at the ratio of its entitlement to the profits of the partnership.</w:t>
      </w:r>
    </w:p>
    <w:p>
      <w:pPr>
        <w:spacing w:after="0" w:line="18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Further, capital gains and dividend income of a German tax resident corporation are generally subject to German trade tax. The aforementioned 95% exemption for capital gains generally applies also for trade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However, the amount of any dividends after deducting business expenses related to the dividends is not subject to trade tax if the corporation held at least 15% of BioNTech’s registered share capital at the beginning of the relevant tax assessment period. In the latter case, the aforementioned exemption of 95% of the dividend income also applies for trade tax purposes. Losses from the sale of ADSs are generally not tax deductible for corporate income tax and trade tax purposes.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With regard to individuals holding ADSs as business assets, 60% of dividends and capital gains are taxed at the individual’s personal income tax rate (plus 5.5% solidarity surcharge thereon). Correspondingly, only 60% of business expenses related to the dividends and capital gains as well as losses from the sale of ADSs are principally deductible for income tax purposes.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Inheritance and Gift Tax (Erbschaft- und Schenkungsteuer)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of ADSs to another person by inheritance or gift should be generally subject to German inheritance and gift tax only if:</w:t>
      </w:r>
    </w:p>
    <w:p>
      <w:pPr>
        <w:spacing w:after="0" w:line="131" w:lineRule="exact"/>
        <w:rPr>
          <w:sz w:val="20"/>
          <w:szCs w:val="20"/>
          <w:color w:val="auto"/>
        </w:rPr>
      </w:pPr>
    </w:p>
    <w:p>
      <w:pPr>
        <w:ind w:left="540" w:right="20" w:hanging="424"/>
        <w:spacing w:after="0" w:line="254" w:lineRule="auto"/>
        <w:tabs>
          <w:tab w:leader="none" w:pos="5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decedent or donor or heir, beneficiary or other transferee (a) maintained his or her domicile or a usual residence in Germany, (b) had its place of management or registered office in Germany at the time of the transfer, (c) is a German citizen who has spent no more than five consecutive years outside of Germany without maintaining a domicile in Germany or (d)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100"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at the time of the transfer, the ADSs are held by the decedent or donor as business assets forming part of a permanent establishment in Germany or for which a permanent representative in Germany has been appointed;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308" w:lineRule="auto"/>
        <w:tabs>
          <w:tab w:leader="none" w:pos="5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4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Agreement between the Federal Republic of Germany and the United States of America for the avoidance of double taxation with respect to taxes on inheritances and gifts as of December 21, 2000 (</w:t>
      </w:r>
      <w:r>
        <w:rPr>
          <w:rFonts w:ascii="Arial" w:cs="Arial" w:eastAsia="Arial" w:hAnsi="Arial"/>
          <w:sz w:val="18"/>
          <w:szCs w:val="18"/>
          <w:i w:val="1"/>
          <w:iCs w:val="1"/>
          <w:color w:val="auto"/>
        </w:rPr>
        <w:t>Abkommen zwischen der Bundesrepublik Deutschland und den Vereinigten Staaten von</w:t>
      </w:r>
      <w:r>
        <w:rPr>
          <w:rFonts w:ascii="Arial" w:cs="Arial" w:eastAsia="Arial" w:hAnsi="Arial"/>
          <w:sz w:val="18"/>
          <w:szCs w:val="18"/>
          <w:color w:val="auto"/>
        </w:rPr>
        <w:t xml:space="preserve"> </w:t>
      </w:r>
      <w:r>
        <w:rPr>
          <w:rFonts w:ascii="Arial" w:cs="Arial" w:eastAsia="Arial" w:hAnsi="Arial"/>
          <w:sz w:val="18"/>
          <w:szCs w:val="18"/>
          <w:i w:val="1"/>
          <w:iCs w:val="1"/>
          <w:color w:val="auto"/>
        </w:rPr>
        <w:t>Amerika zur Vermeidung der Doppelbesteuerung auf dem Gebiet der Nachlass-, Erbschaft- und Schenkungssteuern in der Fassung vom 21. Dezember 2000</w:t>
      </w:r>
      <w:r>
        <w:rPr>
          <w:rFonts w:ascii="Arial" w:cs="Arial" w:eastAsia="Arial" w:hAnsi="Arial"/>
          <w:sz w:val="18"/>
          <w:szCs w:val="18"/>
          <w:color w:val="auto"/>
        </w:rPr>
        <w:t>), hereinafter referred to as the “United States-Germany Inheritance and Gifts Tax Treaty,” provides that the German inheritance tax or gift tax can,</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 restrictions, only be levied in the cases of (i) and (ii) above. Special provisions apply to certain German citizens living outside of Germany and former German citizens.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Taxes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No German transfer tax, value-added tax, stamp duty or similar taxes are assessed on the purchase, sale or other transfer of ADSs. Provided that certain requirements are met, an entrepreneur may, however, opt for the payment of value-added tax on transactions that are otherwise tax-exempt. Net wealth tax (</w:t>
      </w:r>
      <w:r>
        <w:rPr>
          <w:rFonts w:ascii="Arial" w:cs="Arial" w:eastAsia="Arial" w:hAnsi="Arial"/>
          <w:sz w:val="18"/>
          <w:szCs w:val="18"/>
          <w:i w:val="1"/>
          <w:iCs w:val="1"/>
          <w:color w:val="auto"/>
        </w:rPr>
        <w:t>Vermögensteuer</w:t>
      </w:r>
      <w:r>
        <w:rPr>
          <w:rFonts w:ascii="Arial" w:cs="Arial" w:eastAsia="Arial" w:hAnsi="Arial"/>
          <w:sz w:val="18"/>
          <w:szCs w:val="18"/>
          <w:color w:val="auto"/>
        </w:rPr>
        <w:t>) is currently not imposed in Germany. Certain member states of the European Union and also Germany on a standalone basis are considering introducing a financial transaction tax (</w:t>
      </w:r>
      <w:r>
        <w:rPr>
          <w:rFonts w:ascii="Arial" w:cs="Arial" w:eastAsia="Arial" w:hAnsi="Arial"/>
          <w:sz w:val="18"/>
          <w:szCs w:val="18"/>
          <w:i w:val="1"/>
          <w:iCs w:val="1"/>
          <w:color w:val="auto"/>
        </w:rPr>
        <w:t>Finanztransaktionssteuer</w:t>
      </w:r>
      <w:r>
        <w:rPr>
          <w:rFonts w:ascii="Arial" w:cs="Arial" w:eastAsia="Arial" w:hAnsi="Arial"/>
          <w:sz w:val="18"/>
          <w:szCs w:val="18"/>
          <w:color w:val="auto"/>
        </w:rPr>
        <w:t>) which, if and when introduced, may also be applicable on sales and/or transfer of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following discussion describes material U.S. federal income tax considerations relating to the acquisition, ownership and disposition of ADSs by a U.S. Holder (as defined below) that acquires our ADSs and holds them as a capital asset. This discussion is based on the tax laws of the United States, including the Internal Revenue Code of 1986, as amended, or the Code, Treasury regulations promulgated or proposed thereunder, and administrative and judicial interpretations thereof, all as in effect on the date hereof. These tax laws are subject to change, possibly with retroactive effect, and subject to differing interpretations that could affect the tax consequences described herein. This section does not address the treatment of a non-U.S. holder, nor does it address the tax treatment under the laws of any state, local or foreign taxing jurisdiction.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this discussion, a “U.S. Holder” is a beneficial owner of our ADSs that, for U.S. federal income tax purposes, is:</w:t>
      </w:r>
    </w:p>
    <w:p>
      <w:pPr>
        <w:spacing w:after="0" w:line="131" w:lineRule="exact"/>
        <w:rPr>
          <w:sz w:val="20"/>
          <w:szCs w:val="20"/>
          <w:color w:val="auto"/>
        </w:rPr>
      </w:pPr>
    </w:p>
    <w:p>
      <w:pPr>
        <w:ind w:left="980" w:hanging="324"/>
        <w:spacing w:after="0"/>
        <w:tabs>
          <w:tab w:leader="none" w:pos="9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 domestic corporation (or other entity taxable as a corporation);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80" w:right="20" w:hanging="324"/>
        <w:spacing w:after="0" w:line="263" w:lineRule="auto"/>
        <w:tabs>
          <w:tab w:leader="none" w:pos="9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trust’s administration and one or more U.S. persons have the authority to control all substantial decisions of the trust or (ii) a valid election under the Treasury regulations is in effect for the trust to be treated as a U.S. person.</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discussion does not address all aspects of U.S. federal income taxation that may be applicable to U.S. Holders in light of their particular circumstances or status (including, for example, banks and other financial institutions, insurance companies, broker and dealers in securities or currencies, traders that have elected to mark securities to market, regulated investment companies, real estate investment trusts, partnerships or other pass-through entities, corporations that accumulate earnings to avoid U.S. federal income tax, tax-exempt organizations, pension plans, persons that hold our shares as part of a straddle, hedge or other integrated investment, persons subject to alternative minimum tax or whose “functional currency” is not the U.S. dollar).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our ADSs, the tax treatment of a person treated as a partner in the partnership for U.S. federal income tax purposes generally will depend on the status of the partner and the activities of the partnership. Partnerships (and other entities or arrangements so treated for U.S. federal income tax purposes) and their partners should consult their own tax advisors.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general, and taking into account the earlier assumptions, for U.S. federal income and German tax purposes, a holder of ADSs will be treated as the owner of the shares represented by those ADSs. Exchanges of shares for ADSs, and ADSs for shares, generally will not be subject to U.S. federal income or to German tax.</w:t>
      </w:r>
    </w:p>
    <w:p>
      <w:pPr>
        <w:spacing w:after="0" w:line="292"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auto"/>
        </w:rPr>
        <w:t>This discussion addresses only U.S. Holders and does not discuss any tax considerations other than U.S. federal income tax considerations. Prospective investors are urged to consult their own tax advisors regarding the U.S. federal, state and local, and foreign tax consequences of the purchase, ownership, and disposition of ADSs.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Under the U.S. federal income tax laws, and subject to the passive foreign investment company, or PFIC, rules discussed below, the gross amount of any dividend we pay out of our current or accumulated earnings and profits (as determined for U.S. federal income tax purposes) is includible in income for a U.S. Holder and subject to U.S. federal income taxation. Dividends paid to a noncorporate U.S. Holder that constitute qualified dividend income will be taxable at a preferential tax rate applicable to long-term capital gains, provided that the U.S. Holder holds the ADSs for more than 60 days during the 121-day period beginning 60 days before the ex-dividend date and meets other holding period requirements. Dividends we pay with respect to the ADSs generally will be qualified dividend income.</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 U.S. Holder must include any German tax withheld from the dividend payment, as described above under “—German Taxation—General Rules for the Taxation of Holders Not Tax Resident in Germany,” in the gross amount of dividend paid even though the holder does not in fact receive it. The dividend is taxable to the holder when the depositary receives the dividend, actually or constructively. Because we are not a U.S. corporation, the dividend will not be eligible for the dividends-received deduction generally allowed to U.S. corporations in respect of dividends received from other U.S. corporations. The amount of the dividend distribution includible in U.S. Holder’s income will be the U.S. dollar value of the Euro payments made, determined at the spot Euro/U.S. dollar rate on the date the dividend distribution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w:t>
      </w:r>
    </w:p>
    <w:p>
      <w:pPr>
        <w:spacing w:after="0" w:line="18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To the extent a distribution with respect to ADSs exceeds our current or accumulated earnings and profits, as determined under U.S. federal income tax principles, the distribution will be treated, first, as a tax-free return of the U.S. Holder’s investment, up to the holder’s adjusted tax basis in its ADSs, and, thereafter, as capital gain, which is subject to the tax treatment described below in “—Gain on Sale, Exchange or Other Taxable Disposition.”</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Subject to certain limitations, the German tax withheld in accordance with the Treaty and paid over to the German taxing authority will be creditable or deductible against a U.S. Holder’s U.S. federal income tax liability. To the extent a refund of the tax withheld is available to a U.S. Holder under German law or under the Treaty, the amount of tax withheld that is refundable will not be eligible for credit against a U.S. Holder’s U.S. federal income tax liability. See “—German Taxation—Withholding Tax Refund for U.S. Treaty Beneficiaries” above for the procedures for obtaining a tax refund.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100"/>
          </w:cols>
          <w:pgMar w:left="320" w:top="459" w:right="4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On Sale, Exchange or Other Taxable Disposition</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Subject to the PFIC rules described below under “—Passive Foreign Investment Company Considerations”, a U.S. Holder that sells, exchanges or otherwise disposes of ADSs in a taxable disposition generally will recognize capital gain or loss for U.S. federal income tax purposes equal to the difference between the U.S. dollar value of the amount realized and the holder’s tax basis, determined in U.S. dollars, in the ADSs. Gain or loss recognized on such a sale, exchange or other disposition of ADSs generally will be long-term capital gain if the U.S. Holder’s holding period in the ADSs exceeds one year. Long-term capital gains of non-corporate U.S. Holders are generally taxed at preferential rates. The gain or loss generally will be income or loss from sources within the United States for foreign tax credit limitation purposes. A U.S. Holder’s ability to deduct capital losses is subject to limitations.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We do not believe that we should be treated as, and do not expect to become, a PFIC. Because the determination of our PFIC status is made annually based on the factual tests described below, however, we cannot provide any assurances regarding our PFIC status for the current or future taxable years or that the IRS will agree with our conclusion regarding our PFIC status.</w:t>
      </w:r>
    </w:p>
    <w:p>
      <w:pPr>
        <w:spacing w:after="0" w:line="184"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If we were classified as a PFIC in any taxable year, a U.S. Holder would be subject to special rules with respect to distributions on and sales, exchanges and other dispositions of the ADSs. We will be treated as a PFIC for any taxable year in which at least 75 percent of our gross income is “passive income” or at least 50 percent of our gross assets during the taxable year (based on the average of the fair market values of the assets determined at the end of each quarterly period) are assets that produce or are held for the production of passive income.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are not considered passive income for purposes of the PFIC test. In determining whether we are a PFIC, a pro rata portion of the income and assets of each corporation in which we own, directly or indirectly, at least a 25% interest (by value) is taken into account.</w:t>
      </w:r>
    </w:p>
    <w:p>
      <w:pPr>
        <w:spacing w:after="0" w:line="165"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If we were a PFIC with respect to a U.S. Holder, then unless such U.S. Holder makes one of the elections described below, a special tax regime would apply to the U.S. Holder with respect to (i) any “excess distribution” (generally, aggregate distributions in any year that are greater than 125% of the average annual distribution received by the holder in the shorter of the three preceding years or the holder’s holding period for the ADSs) and</w:t>
      </w:r>
    </w:p>
    <w:p>
      <w:pPr>
        <w:spacing w:after="0" w:line="2" w:lineRule="exact"/>
        <w:rPr>
          <w:sz w:val="20"/>
          <w:szCs w:val="20"/>
          <w:color w:val="auto"/>
        </w:rPr>
      </w:pPr>
    </w:p>
    <w:p>
      <w:pPr>
        <w:ind w:left="120" w:hanging="4"/>
        <w:spacing w:after="0" w:line="268" w:lineRule="auto"/>
        <w:tabs>
          <w:tab w:leader="none" w:pos="38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gain realized on the sale or other disposition of the ADSs. Under this regime, any excess distribution and realized gain will be treated as ordinary income and will be subject to tax as if (a) the excess distribution or gain had been realized ratably over the U.S. Holder’s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If we were determined to be a PFIC, this tax treatment for U.S. Holders would apply also to indirect distributions and gains deemed realized by U.S. Holders in respect of stock of any of our subsidiaries determined to be PFICs. In addition, dividend distributions would not qualify for the lower rates of taxation applicable to long-term capital gains discussed above under “—Taxation of Dividends.”</w:t>
      </w:r>
    </w:p>
    <w:p>
      <w:pPr>
        <w:spacing w:after="0" w:line="18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 U.S. Holder that holds the ADSs at any time during a taxable year in which we are classified as a PFIC generally will continue to treat such ADSs as ADSs in a PFIC, even if we no longer satisfy the income and asset tests described above, unless the U.S. Holder elects to recognize gain, which will be taxed under the excess distribution rules as if such ADSs had been sold on the last day of the last taxable year for which we were a PFIC.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Certain elections by a U.S. Holder would alleviate some of the adverse consequences of PFIC status and would result in an alternative treatment of the ADSs, as described below.</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we were a PFIC, the rules above would not apply to a U.S. Holder that makes an election to treat ADSs as stock of a “qualified electing fund” or QEF. However, we do not expect that a U.S. Holder would be able to make this election because we do not intend to provide to U.S. Holders the required information to make a valid QEF election.</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If we were a PFIC, the rules above also would not apply to a U.S. Holder that makes a “mark-to-market” election with respect to the ADSs, but this election will be available with respect to the ADSs only if they meet certain minimum trading requirements to be considered “marketable stock” for purposes of the PFIC rules. Generally, shares of ADSs will be treated as marketable stock if they are “regularly traded” on a “qualified exchange” within the meaning of applicable U.S. Treasury Regulations. ADSs generally will be considered regularly traded during any calendar year during which they are traded, other than 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quantities, on at least 15 days during each calendar quarter. Any trades that have as their principal purpose meeting this requirement will be disregarded. Our ADSs will be marketable stock as long as they remain listed on the Nasdaq Global Select Market and are regularly traded.</w:t>
      </w:r>
    </w:p>
    <w:p>
      <w:pPr>
        <w:spacing w:after="0" w:line="19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 U.S. Holder that makes a valid mark-to-market election for the first tax year in which the holder holds (or is deemed to hold) ADSs and for which we are a PFIC will be required to include each year an amount equal to the excess, if any, of the fair market value of such ADSs the holder owns as of the close of the taxable year over the holder’s adjusted tax basis in such ADSs. The U.S. Holder will be entitled to a deduction for the excess, if any, of the holder’s adjusted tax basis in the ADSs over the fair market value of such ADSs as of the close of the taxable year, but only to the extent of any net mark-to-market gains with respect to such ADSs included by the U.S. Holder under the election for prior taxable years. The U.S. Holder’s basis in such ADSs will be adjusted to reflect the amounts included or deducted pursuant to the election. Amounts included in income pursuant to a mark-to-market election, as well as gain on the sale, exchange or other taxable disposition of such ADSs, will be treated as ordinary income. The deductible portion of any mark-to-market loss, as well as loss on a sale, exchange or other disposition of ADSs to the extent that the amount of such loss does not exceed net mark-to-market gains previously included in income, will be treated as ordinary loss.</w:t>
      </w:r>
    </w:p>
    <w:p>
      <w:pPr>
        <w:spacing w:after="0" w:line="18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mark-to-market election applies to the taxable year for which the election is made and all subsequent taxable years, unless the shares cease to be treated as marketable stock for purposes of the PFIC rules or the IRS consents to its revocation. The excess distribution rules described above generally will not apply to a U.S. Holder for tax years for which a mark-to-market election is in effect. However, if we were a PFIC for any year in which the U.S. Holder owns the ADSs but before a mark-to-market election is made, the interest charge rules described above would apply to any mark-to-market gain recognized in the year the election is made.</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 U.S. Holder of PFIC shares must generally file an annual information return on IRS Form 8621 (Information Return by a Shareholder of a Passive Foreign Investment Company or Qualified Electing Fund). The failure to file IRS Form 8621 could result in the imposition of penalties and the extension of the statute of limitations with respect to U.S. federal income tax.</w:t>
      </w:r>
    </w:p>
    <w:p>
      <w:pPr>
        <w:spacing w:after="0" w:line="292"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U.S. Holders are urged to consult their tax advisors as to our status as a PFIC, and the tax consequences to them if we were a PFIC, including the reporting requirements and the desirability of making, and the availability of, a QEF election or a mark-to-market election with respect to the ADSs.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Medicare Tax</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Non-corporate U.S. Holders that are individuals, estates or trusts and whose income exceeds certain thresholds generally are subject to a 3.8% tax on all or a portion of their net investment income, which may include their gross dividend income and net gains from the disposition of ADSs. A U.S. person that is an individual, estate or trust is encouraged to consult its tax advisors regarding the applicability of this Medicare tax to its income and gains in respect of any investment in ADSs.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with Respect to Foreign Financial Assets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Individual U.S. Holders may be subject to certain reporting obligations on IRS Form 8938 (Statement of Specified Foreign Financial Assets) with respect to the ADSs for any taxable year during which the U.S. Holder’s aggregate value of these and certain other “specified foreign financial assets” exceed a threshold amount that varies with the filing status of the individual. This reporting obligation also applies to domestic entities formed or availed of to hold, directly or indirectly, specified foreign financial assets, including the ADSs. Significant penalties can apply if U.S. Holders are required to make this disclosure and fail to do so.</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U.S. Holders who acquire ADSs for cash may be required to file IRS Form 926 (Return by a U.S. Transferor of Property to a Foreign Corporation) with the IRS and to supply certain additional information to the IRS if (i) immediately after the transfer, the U.S. Holder owns directly or indirectly (or by attribution) at least 10% of our total voting power or value or (ii) the amount of cash transferred to us in exchange for ADSs, when aggregated with all related transfers under applicable regulations, exceeds $100,000. Substantial penalties may be imposed on a U.S. Holder that fails to comply with this reporting requirement.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general, information reporting, on IRS Form 1099, will apply to dividends in respect of ADSs and the proceeds from the sale, exchange or redemption of ADSs that are paid to a holder of ADSs within the United States (and in certain cases, outside the United States), unless such holder is an exempt recipient such as a corporation. Backup withholding (currently at a 24% rate) may apply to such payments if a holder of ADSs fails to provide a taxpayer identification number (generally on an IRS Form W-9) or certification of other exempt status or fails to report in full dividend and interest income.</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Backup withholding is not an additional tax. A U.S. Holder generally may obtain a refund of any amounts withheld under the backup withholding rules that exceed the U.S. Holder’s income tax liability by filing a refund claim with the IRS.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are offering ordinary shares represented by ADSs described in this prospectus through a number of underwriters. J.P. Morgan Securities LLC, BofA Securities, Inc., UBS Securities LLC and SVB Leerink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7040" w:type="dxa"/>
            <w:vAlign w:val="bottom"/>
          </w:tcPr>
          <w:p>
            <w:pPr>
              <w:jc w:val="center"/>
              <w:ind w:left="63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7040" w:type="dxa"/>
            <w:vAlign w:val="bottom"/>
          </w:tcPr>
          <w:p>
            <w:pPr>
              <w:jc w:val="center"/>
              <w:ind w:left="6308"/>
              <w:spacing w:after="0" w:line="158" w:lineRule="exact"/>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0</wp:posOffset>
            </wp:positionV>
            <wp:extent cx="4749165" cy="1371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5715</wp:posOffset>
            </wp:positionV>
            <wp:extent cx="4457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631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59"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The underwriters are committed to purchase all the ADSs offered by us if they purchase any ADSs. The underwriting agreement also provides that if an underwriter defaults, the purchase commitments of non-defaulting underwriters may also be increased or the offering may be terminated.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propose to offer the ADSs directly to the public at the initial public offering price set forth on the cover page of this prospectus</w:t>
      </w:r>
    </w:p>
    <w:p>
      <w:pPr>
        <w:spacing w:after="0" w:line="46" w:lineRule="exact"/>
        <w:rPr>
          <w:sz w:val="20"/>
          <w:szCs w:val="20"/>
          <w:color w:val="auto"/>
        </w:rPr>
      </w:pPr>
    </w:p>
    <w:p>
      <w:pPr>
        <w:ind w:left="120"/>
        <w:spacing w:after="0"/>
        <w:tabs>
          <w:tab w:leader="none" w:pos="5500" w:val="left"/>
        </w:tabs>
        <w:rPr>
          <w:sz w:val="20"/>
          <w:szCs w:val="20"/>
          <w:color w:val="auto"/>
        </w:rPr>
      </w:pPr>
      <w:r>
        <w:rPr>
          <w:rFonts w:ascii="Arial" w:cs="Arial" w:eastAsia="Arial" w:hAnsi="Arial"/>
          <w:sz w:val="18"/>
          <w:szCs w:val="18"/>
          <w:color w:val="auto"/>
        </w:rPr>
        <w:t>and to certain dealers at that price less a concession not in excess of $</w:t>
      </w:r>
      <w:r>
        <w:rPr>
          <w:sz w:val="20"/>
          <w:szCs w:val="20"/>
          <w:color w:val="auto"/>
        </w:rPr>
        <w:tab/>
      </w:r>
      <w:r>
        <w:rPr>
          <w:rFonts w:ascii="Arial" w:cs="Arial" w:eastAsia="Arial" w:hAnsi="Arial"/>
          <w:sz w:val="16"/>
          <w:szCs w:val="16"/>
          <w:color w:val="auto"/>
        </w:rPr>
        <w:t>per ADS. Any such dealers may resell ADSs to certain other brokers or</w:t>
      </w:r>
    </w:p>
    <w:p>
      <w:pPr>
        <w:spacing w:after="0" w:line="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dealers at a discount of up to $ per ADS from the initial public offering price. After the initial offering of the ADSs to the public, if all of the ADSs are not sold at the initial public offering price, the underwriters may change the offering price and the other selling terms. Sales of ADSs made outside of the United States may be made by affiliates of the underwriters.</w:t>
      </w:r>
    </w:p>
    <w:p>
      <w:pPr>
        <w:spacing w:after="0" w:line="19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underwriters have an option to buy up to additional ADSs from us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For reasons of German law, will initially subscribe for all of the new ordinary shares represented by the ADSs on behalf of the underwriters, at an issue price of € per share. This issue price will be credited against the amount due from the underwriters at closing. If the underwriters exercise their option to purchase additional ADSs, will initially subscribe for the new ordinary shares representing such additional</w:t>
      </w:r>
    </w:p>
    <w:p>
      <w:pPr>
        <w:ind w:left="120"/>
        <w:spacing w:after="0"/>
        <w:rPr>
          <w:sz w:val="20"/>
          <w:szCs w:val="20"/>
          <w:color w:val="auto"/>
        </w:rPr>
      </w:pPr>
      <w:r>
        <w:rPr>
          <w:rFonts w:ascii="Arial" w:cs="Arial" w:eastAsia="Arial" w:hAnsi="Arial"/>
          <w:sz w:val="18"/>
          <w:szCs w:val="18"/>
          <w:color w:val="auto"/>
        </w:rPr>
        <w:t>ADSs at an issue price equal to the price to the public less underwriting discounts and commissions.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underwriting fee is equal to the public offering price per ADS less the amount paid by the underwriters to us per ADS. The underwriting fee is</w:t>
      </w:r>
    </w:p>
    <w:p>
      <w:pPr>
        <w:spacing w:after="0" w:line="46" w:lineRule="exact"/>
        <w:rPr>
          <w:sz w:val="20"/>
          <w:szCs w:val="20"/>
          <w:color w:val="auto"/>
        </w:rPr>
      </w:pPr>
    </w:p>
    <w:p>
      <w:pPr>
        <w:ind w:left="120" w:right="40" w:hanging="4"/>
        <w:spacing w:after="0" w:line="260" w:lineRule="auto"/>
        <w:tabs>
          <w:tab w:leader="none" w:pos="61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per ADS. The following table shows the per ADS and total underwriting discounts and commissions to be paid to the underwriters assuming both no exercise and full exercise of the underwriters’ option to purchase additional ADSs.</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1"/>
              </w:rPr>
              <w:t>Without exercise of</w:t>
            </w: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5"/>
              </w:rPr>
              <w:t>With full exercise of</w:t>
            </w:r>
          </w:p>
        </w:tc>
      </w:tr>
      <w:tr>
        <w:trPr>
          <w:trHeight w:val="149"/>
        </w:trPr>
        <w:tc>
          <w:tcPr>
            <w:tcW w:w="2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0"/>
              </w:rPr>
              <w:t>option to purchase</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 to purchase</w:t>
            </w:r>
          </w:p>
        </w:tc>
      </w:tr>
      <w:tr>
        <w:trPr>
          <w:trHeight w:val="171"/>
        </w:trPr>
        <w:tc>
          <w:tcPr>
            <w:tcW w:w="2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3"/>
              </w:rPr>
              <w:t>additional ADSs</w:t>
            </w: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additional ADSs</w:t>
            </w:r>
          </w:p>
        </w:tc>
      </w:tr>
      <w:tr>
        <w:trPr>
          <w:trHeight w:val="210"/>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24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28"/>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tcPr>
          <w:p>
            <w:pPr>
              <w:jc w:val="right"/>
              <w:ind w:right="1028"/>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350"/>
        </w:trPr>
        <w:tc>
          <w:tcPr>
            <w:tcW w:w="2340" w:type="dxa"/>
            <w:vAlign w:val="bottom"/>
          </w:tcPr>
          <w:p>
            <w:pPr>
              <w:spacing w:after="0"/>
              <w:rPr>
                <w:sz w:val="24"/>
                <w:szCs w:val="24"/>
                <w:color w:val="auto"/>
              </w:rPr>
            </w:pP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279</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 We have also agreed to reimburse the underwriters for certain of their expenses in an amount of up to $ .</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ordinary shares or ADSs or securities convertible into or exchangeable or exercisable for any of our ordinary shares or ADSs, or publicly disclose the intention to undertake any of the foregoing, or (ii) enter into any swap or other agreement that transfers, in whole or in part, any of the economic consequences of ownership of any ADSs, ordinary shares or any such other securities (regardless of whether any of the transactions described in clause (i) or (ii) above is to be settled by the delivery of ADSs, ordinary shares or such other securities, in cash or otherwise), without the prior written consent of J.P. Morgan Securities LLC and BofA Securities Inc. for a period of 180 days after the date of this prospectus, other than the ADSs to be sold hereunder and any of our ordinary shares or ADSs issued upon the exercise of options granted under our existing share-based compensation plans.</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directors and executive officers, and substantially all of our shareholders,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and BofA Securities, Inc., (1) offer, pledge,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(including, without limitation, ordinary shares, ADSs, restricted shares, share options or such other securities which may be deemed to be beneficially owned by such directors, executive officers, and shareholders in accordance with the rules and regulations of the SEC and securities which may be issued upon exercise of a stock option or warrant), or publicly disclose the intention to undertake any of the foregoing, (2) enter into any swap or other agreement that transfers, in whole or in part, any of the economic consequences of ownership of the ADSs, ordinary shares or such other securities, whether any such transaction described in clause (1) or (2) above is to be settled by delivery of ADSs, ordinary shares or such other securities, in cash or otherwise, or (3) make any demand for or exercise any right with respect to the registration of any of our ordinary shares or ADSs or any security convertible into or exercisable or exchangeable for ADSs or ordinary shares.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Notwithstanding the foregoing, the terms of the lock-up agreements do not apply to or prohibit, among others, the items described below:</w:t>
      </w:r>
    </w:p>
    <w:p>
      <w:pPr>
        <w:spacing w:after="0" w:line="142" w:lineRule="exact"/>
        <w:rPr>
          <w:sz w:val="20"/>
          <w:szCs w:val="20"/>
          <w:color w:val="auto"/>
        </w:rPr>
      </w:pPr>
    </w:p>
    <w:p>
      <w:pPr>
        <w:ind w:left="980" w:right="20" w:hanging="324"/>
        <w:spacing w:after="0" w:line="259" w:lineRule="auto"/>
        <w:tabs>
          <w:tab w:leader="none" w:pos="9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transactions relating to our ordinary shares or ADSs acquired in this initial public offering or open market transactions on or after the date of this prospectus, provided that no filing by any party (donor, donee, transferor or transferee) under the Exchange Act (or the equivalent thereof in non-U.S. jurisdictions) (other than a filing on a Schedule 13F or 13G) or other public announcement shall be required or shall be made voluntarily;</w:t>
      </w:r>
    </w:p>
    <w:p>
      <w:pPr>
        <w:spacing w:after="0" w:line="92"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exercise of a warrant or the exercise of a stock option granted under an existing or future stock incentive plan for our ordinary shares or ADSs through a “cashless” exercise;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80" w:hanging="324"/>
        <w:spacing w:after="0" w:line="255" w:lineRule="auto"/>
        <w:tabs>
          <w:tab w:leader="none" w:pos="9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transfers or dispositions of our ordinary shares or ADSs in connection with the conversion of any security convertible or exercisable into securities in accordance with their terms (including the settlement of restricted stock units), provided that any such ordinary shares or ADSs received by such party shall be subject to the lock-up restrictions, and provided, further, that no public announcement or voluntary filing shall be made and if a filing by any party (donor, donee, transferor or transferee) under the Exchange Act (or the equivalent thereof in non-U.S. jurisdictions) is required to be made, such filing shall indicate that any disposition of ordinary shares or ADSs was made solely to us in connection with a conversion;</w:t>
      </w:r>
    </w:p>
    <w:p>
      <w:pPr>
        <w:spacing w:after="0" w:line="97" w:lineRule="exact"/>
        <w:rPr>
          <w:rFonts w:ascii="Arial" w:cs="Arial" w:eastAsia="Arial" w:hAnsi="Arial"/>
          <w:sz w:val="18"/>
          <w:szCs w:val="18"/>
          <w:color w:val="auto"/>
        </w:rPr>
      </w:pPr>
    </w:p>
    <w:p>
      <w:pPr>
        <w:ind w:left="980" w:right="220" w:hanging="324"/>
        <w:spacing w:after="0" w:line="296" w:lineRule="auto"/>
        <w:tabs>
          <w:tab w:leader="none" w:pos="98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transfers or dispositions of our ordinary shares or ADSs pursuant to (i) any outstanding equity award or any current or future employee benefit plan or (ii) any contractual arrangement that provides for the repurchase of the party subject to the lock-up restrictions or a right of first refusal with respect to transfers of such ordinary shares or ADSs, provided that no public announcement or voluntary filing shall be made and if a filing by any party (donor, donee, transferor or transferee) under the Exchange Act (or the equivalent thereof in non-U.S. jurisdictions) is required to be made, such filing shall indicate that any disposition of ordinary shares or ADSs was made solely to us;</w:t>
      </w:r>
    </w:p>
    <w:p>
      <w:pPr>
        <w:spacing w:after="0" w:line="66" w:lineRule="exact"/>
        <w:rPr>
          <w:rFonts w:ascii="Arial" w:cs="Arial" w:eastAsia="Arial" w:hAnsi="Arial"/>
          <w:sz w:val="16"/>
          <w:szCs w:val="16"/>
          <w:color w:val="auto"/>
        </w:rPr>
      </w:pPr>
    </w:p>
    <w:p>
      <w:pPr>
        <w:ind w:left="980" w:right="40" w:hanging="324"/>
        <w:spacing w:after="0" w:line="259" w:lineRule="auto"/>
        <w:tabs>
          <w:tab w:leader="none" w:pos="9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ordinary shares or ADSs, provided that (i) such plan does not provide for the transfer of our ordinary shares and ADSs during the lock-up period and (ii) the entry into such plan is not publicly disclosed, included in any filings under the Exchange Act (or the equivalent thereof in non-U.S. jurisdictions) or otherwise, during the lock-up period; and</w:t>
      </w:r>
    </w:p>
    <w:p>
      <w:pPr>
        <w:spacing w:after="0" w:line="92" w:lineRule="exact"/>
        <w:rPr>
          <w:rFonts w:ascii="Arial" w:cs="Arial" w:eastAsia="Arial" w:hAnsi="Arial"/>
          <w:sz w:val="18"/>
          <w:szCs w:val="18"/>
          <w:color w:val="auto"/>
        </w:rPr>
      </w:pPr>
    </w:p>
    <w:p>
      <w:pPr>
        <w:ind w:left="980" w:hanging="324"/>
        <w:spacing w:after="0" w:line="293" w:lineRule="auto"/>
        <w:tabs>
          <w:tab w:leader="none" w:pos="98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pursuant to a bona fide third-party tender offer for all our outstanding ordinary shares or ADSs, merger, consolidation or other similar transaction approved by our Supervisory Board and made to all holders of our ordinary shares or ADSs involving a change of control (including, without limitation, the entering into of any lock-up, voting or similar agreement pursuant to which the party subject to the lock-up restrictions may agree to transfer, sell, tender or otherwise dispose of our ordinary shares or ADSs in connection with such transaction, or vote any ordinary shares or ADSs in favor of any such transaction), provided that in the event that such tender offer, merger, consolidation or other such transaction is not completed, such ordinary shares or ADSs shall remain subject to the lock-up restrictions.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have applied to have ADSs representing our ordinary shares approved for listing/quotation on the Nasdaq Global Select Market under the symbol “BNTX.”</w:t>
      </w:r>
    </w:p>
    <w:p>
      <w:pPr>
        <w:spacing w:after="0" w:line="17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the ADSs, which involves the sale by the underwriters of a greater number of ADSs than they are required to purchase in this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ADSs in the open market that could adversely affect investors who purchase in this offering. To the extent that the underwriters create a naked short position, they will purchase ADSs in the open market to cover the position.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ADSs, including the imposition of penalty bids. This means that if the representatives of the underwriters purchase ADSs in the open market in stabilizing transactions or to cover short sales, the representatives can require the underwriters that sold those shares as part of this offering to repay the underwriting discount received by them.</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the ADSs 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9" w:lineRule="exact"/>
        <w:rPr>
          <w:sz w:val="20"/>
          <w:szCs w:val="20"/>
          <w:color w:val="auto"/>
        </w:rPr>
      </w:pPr>
    </w:p>
    <w:p>
      <w:pPr>
        <w:ind w:left="980" w:hanging="324"/>
        <w:spacing w:after="0"/>
        <w:tabs>
          <w:tab w:leader="none" w:pos="9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in the United States for the ADSs, or that the ADSs will trade in the public market at or above the initial public offering price.</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No offer of ordinary shares or ADSs may be made to the public in any member state of the European Economic Area, or an EEA Member State, other than:</w:t>
      </w:r>
    </w:p>
    <w:p>
      <w:pPr>
        <w:spacing w:after="0" w:line="76" w:lineRule="exact"/>
        <w:rPr>
          <w:sz w:val="20"/>
          <w:szCs w:val="20"/>
          <w:color w:val="auto"/>
        </w:rPr>
      </w:pPr>
    </w:p>
    <w:p>
      <w:pPr>
        <w:ind w:left="1540" w:right="60" w:hanging="547"/>
        <w:spacing w:after="0" w:line="263" w:lineRule="auto"/>
        <w:tabs>
          <w:tab w:leader="none" w:pos="1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Regulation (EU) 2017/1129 on the prospectus to be published when securities are offered to the public or admitted to trading on a regulated market and repealing Directive 2003/71/EC, or the Prospectus Regulation;</w:t>
      </w:r>
    </w:p>
    <w:p>
      <w:pPr>
        <w:spacing w:after="0" w:line="89" w:lineRule="exact"/>
        <w:rPr>
          <w:rFonts w:ascii="Arial" w:cs="Arial" w:eastAsia="Arial" w:hAnsi="Arial"/>
          <w:sz w:val="18"/>
          <w:szCs w:val="18"/>
          <w:color w:val="auto"/>
        </w:rPr>
      </w:pPr>
    </w:p>
    <w:p>
      <w:pPr>
        <w:jc w:val="both"/>
        <w:ind w:left="1540" w:right="600" w:hanging="547"/>
        <w:spacing w:after="0" w:line="263" w:lineRule="auto"/>
        <w:tabs>
          <w:tab w:leader="none" w:pos="1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fewer than 150 natural or legal persons per EEA Member State (other than qualified investors as defined in the Prospectus Regulation), as permitted under the Prospectus Regulation, subject to obtaining the prior consent of the representatives of the underwriters for any such offer; or</w:t>
      </w:r>
    </w:p>
    <w:p>
      <w:pPr>
        <w:spacing w:after="0" w:line="89" w:lineRule="exact"/>
        <w:rPr>
          <w:rFonts w:ascii="Arial" w:cs="Arial" w:eastAsia="Arial" w:hAnsi="Arial"/>
          <w:sz w:val="18"/>
          <w:szCs w:val="18"/>
          <w:color w:val="auto"/>
        </w:rPr>
      </w:pPr>
    </w:p>
    <w:p>
      <w:pPr>
        <w:ind w:left="1540" w:hanging="547"/>
        <w:spacing w:after="0"/>
        <w:tabs>
          <w:tab w:leader="none" w:pos="1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provided that no such offer of ordinary shares or ADSs shall require the Company or the representatives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Each person in an EEA Member State who initially acquires any ADSs or to whom any offer is made will be deemed to have represented, acknowledged and agreed that it is a “qualified investor” as defined in Article 2(e) of the Prospectus Regulation. In the case of any ADSs being offered to a financial intermediary as that term is used in Article 5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an EEA Member State to qualified investors as so defined or in circumstances in which the prior consent of the representatives has been obtained to each such proposed offer or resale.</w:t>
      </w:r>
    </w:p>
    <w:p>
      <w:pPr>
        <w:spacing w:after="0" w:line="177"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This prospectus has been prepared on the basis that any offer of ordinary shares or ADSs in any EEA Member State will be made pursuant to an exemption under the Prospectus Regulation from the requirement to publish a prospectus for offers of securities. Accordingly any person making or intending to make an offer in an EEA Member State of ADSs which are the subject of the offering contemplated in this prospectus may only do so in circumstances in which no obligation arises for the Company or any of the underwriters to publish a prospectus pursuant to Article 3 of the Prospectus Regulation in relation to such offer. Neither the Company nor the underwriters have authorized, nor do they authorize, the making of any offer of ordinary shares or ADSs in circumstances in which an obligation arises for the Company or the underwriters to publish a prospectus for such offer.</w:t>
      </w:r>
    </w:p>
    <w:p>
      <w:pPr>
        <w:spacing w:after="0" w:line="164"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For the purpose of the above provisions, the expression “an offer to the public” in relation to any ordinary shares or ADSs in any EEA Member State means a communication to persons in any form and by any means, presenting sufficient information on the terms of the offer and the ordinary shares or ADSs to be offered, including any placing of ordinary shares or ADSs through financial intermediaries.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jc w:val="both"/>
        <w:ind w:left="120" w:right="100" w:firstLine="440"/>
        <w:spacing w:after="0" w:line="275"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this offering, may be publicly distributed or otherwise made publicly available in Switzerland. Neither this document nor any other offering or marketing material relating to this offering, the Company or the ADSs has been or will be filed with or approved by any Swiss regulatory authority. In particular, this document will not be filed with, and the offer of the ADSs will not be supervised by, the Swiss Financial Market Supervisory Authority, or FINMA, and the offer of the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ADSs may not be offered or sold by means of any document other than (i) in circumstances that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080"/>
          </w:cols>
          <w:pgMar w:left="320" w:top="459" w:right="49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under the laws of Hong Kong) other than with respect to ADSs that are or are intended to be disposed of only to persons outside Hong Kong or only to “professional investors” within the meaning of the Securities and Futures Ordinance (Cap. 571, Laws of Hong Kong) and any rules made thereunder.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in this prospectus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980" w:right="200" w:hanging="324"/>
        <w:spacing w:after="0" w:line="308" w:lineRule="auto"/>
        <w:tabs>
          <w:tab w:leader="none" w:pos="9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9" w:lineRule="exact"/>
        <w:rPr>
          <w:sz w:val="20"/>
          <w:szCs w:val="20"/>
          <w:color w:val="auto"/>
        </w:rPr>
      </w:pPr>
    </w:p>
    <w:p>
      <w:pPr>
        <w:ind w:left="980" w:right="120" w:hanging="324"/>
        <w:spacing w:after="0" w:line="277" w:lineRule="auto"/>
        <w:tabs>
          <w:tab w:leader="none" w:pos="9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060"/>
          </w:cols>
          <w:pgMar w:left="320" w:top="459" w:right="51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following table sets forth the total costs and expenses, other than underwriting discounts and commissions, that we expect to incur in connection with the offer and sale of our ADSs. With the exception of the SEC registration fee, the Nasdaq listing fee and the FINRA filing fee, all of these amounts are estimates: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40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Securities and Exchange Commission registration fee</w:t>
            </w:r>
          </w:p>
        </w:tc>
        <w:tc>
          <w:tcPr>
            <w:tcW w:w="5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5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  To be provided by amendment.</w:t>
            </w:r>
          </w:p>
        </w:tc>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00" w:type="dxa"/>
            <w:vAlign w:val="bottom"/>
            <w:gridSpan w:val="2"/>
            <w:vMerge w:val="continue"/>
          </w:tcPr>
          <w:p>
            <w:pPr>
              <w:spacing w:after="0"/>
              <w:rPr>
                <w:sz w:val="24"/>
                <w:szCs w:val="24"/>
                <w:color w:val="auto"/>
              </w:rPr>
            </w:pPr>
          </w:p>
        </w:tc>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580" w:type="dxa"/>
            <w:vAlign w:val="bottom"/>
          </w:tcPr>
          <w:p>
            <w:pPr>
              <w:jc w:val="right"/>
              <w:ind w:right="445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validity of the ADSs and certain other matters of German law will be passed upon for us by Freshfields Bruckhaus Deringer LLP, Hamburg, Germany. Certain matters of U.S. law will be passed upon for us by Covington &amp; Burling LLP, New York, New York. Legal counsel to the underwriters in connection with the offering are Skadden, Arps, Slate, Meagher &amp; Flom LLP, Frankfurt, Germany with respect to German law and Davis Polk &amp; Wardwell LLP, New York, New York with respect to U.S. law.</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consolidated financial statements of BioNTech SE as of December 31, 2018 and 2017 and for each of the years in the two-year period ended December 31, 2018 have been included herein in reliance upon the report of Ernst &amp; Young GmbH Wirtschaftsprüfungsgesellschaft, independent registered public accounting firm, as set forth in their report thereon appearing elsewhere herein, and are included in reliance upon such report given on the authority of said firm as experts in accounting and auditing. The registered business address of Ernst &amp; Young GmbH Wirtschaftsprüfungsgesellschaft is Börsenplatz 1, 50667 Cologne, Germany.</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are incorporated and currently existing under European laws and the laws of the Federal Republic of Germany. In addition, all of our directors and officers reside outside of the United States and our assets and those of our non-U.S. subsidiaries are located outside of the United States. As a result, it may not be possible for investors to effect service of process on us or those persons in the United States or to enforce in the United States judgments obtained in U.S. courts against us or those persons based on the civil liability or other provisions of the U.S. securities laws or other laws.</w:t>
      </w:r>
    </w:p>
    <w:p>
      <w:pPr>
        <w:spacing w:after="0" w:line="15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Awards of punitive damages in actions brought in the United States or elsewhere may be unenforceable in Germany. In addition, actions brought in a German court against BioNTech or the members of our supervisory board and management board, our senior management and the experts named herein to enforce liabilities based on U.S. federal securities laws may be subject to certain restrictions; in particular, German courts generally do not award punitive damages.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Litigation in the Federal Republic of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certain members of our management and supervisory boards and senior management and the experts named in this prospectus.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 Even if a judgment against our company, the members of our management board, supervisory board, senior management or the experts named in this prospectus based on the civil liability provisions of the U.S. federal securities laws is obtained, a U.S. investor may not be able to enforce it in U.S. or German courts.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filed with the SEC a registration statement on Form F-1 under the Securities Act relating to this offering of our ADSs. This prospectus, which constitutes part of the registration statement, does not include all of the information contained in the registration statement and the exhibits, schedules and amendments to the registration statement. For further information with respect to us and our ordinary shares and ADSs, we refer you to the registration statement and the exhibits and schedules to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 any of these documents as an exhibit to the registration statement, we refer you to the copy of the document that has been filed for a complete description of its terms. Each statement in this prospectus relating to a document filed as an exhibit is qualified in all respects by the filed exhibit.</w:t>
      </w:r>
    </w:p>
    <w:p>
      <w:pPr>
        <w:spacing w:after="0" w:line="17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Upon completion of this offering, we will become subject to the information reporting requirements of the Exchange Act that are applicable to foreign private issuers. Accordingly, we will be required to file reports and other information with the SEC, including annual reports on Form 20-F and reports on Form 6-K. Our filings with the SEC are available to the public through the SEC’s website at http://www.sec.gov.</w:t>
      </w:r>
    </w:p>
    <w:p>
      <w:pPr>
        <w:spacing w:after="0" w:line="16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5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71"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We maintain a corporate website at https://www.biontech.de. Information contained on, or that can be accessed through, our website does not constitute a part of this prospectus and our website address is included in this prospectus as an inactive textual reference only.</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080"/>
          </w:cols>
          <w:pgMar w:left="320" w:top="459" w:right="49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360" w:type="dxa"/>
            <w:vAlign w:val="bottom"/>
            <w:gridSpan w:val="7"/>
          </w:tcPr>
          <w:p>
            <w:pPr>
              <w:spacing w:after="0"/>
              <w:rPr>
                <w:sz w:val="17"/>
                <w:szCs w:val="17"/>
                <w:color w:val="auto"/>
              </w:rPr>
            </w:pPr>
          </w:p>
        </w:tc>
        <w:tc>
          <w:tcPr>
            <w:tcW w:w="3360" w:type="dxa"/>
            <w:vAlign w:val="bottom"/>
          </w:tcPr>
          <w:p>
            <w:pPr>
              <w:spacing w:after="0"/>
              <w:rPr>
                <w:sz w:val="17"/>
                <w:szCs w:val="17"/>
                <w:color w:val="auto"/>
              </w:rPr>
            </w:pPr>
          </w:p>
        </w:tc>
      </w:tr>
      <w:tr>
        <w:trPr>
          <w:trHeight w:val="534"/>
        </w:trPr>
        <w:tc>
          <w:tcPr>
            <w:tcW w:w="120" w:type="dxa"/>
            <w:vAlign w:val="bottom"/>
          </w:tcPr>
          <w:p>
            <w:pPr>
              <w:spacing w:after="0"/>
              <w:rPr>
                <w:sz w:val="24"/>
                <w:szCs w:val="24"/>
                <w:color w:val="auto"/>
              </w:rPr>
            </w:pPr>
          </w:p>
        </w:tc>
        <w:tc>
          <w:tcPr>
            <w:tcW w:w="7600" w:type="dxa"/>
            <w:vAlign w:val="bottom"/>
            <w:gridSpan w:val="8"/>
          </w:tcPr>
          <w:p>
            <w:pPr>
              <w:spacing w:after="0"/>
              <w:rPr>
                <w:sz w:val="20"/>
                <w:szCs w:val="20"/>
                <w:color w:val="auto"/>
              </w:rPr>
            </w:pPr>
            <w:r>
              <w:rPr>
                <w:rFonts w:ascii="Arial" w:cs="Arial" w:eastAsia="Arial" w:hAnsi="Arial"/>
                <w:sz w:val="18"/>
                <w:szCs w:val="18"/>
                <w:b w:val="1"/>
                <w:bCs w:val="1"/>
                <w:color w:val="auto"/>
              </w:rPr>
              <w:t>Index to Financial Statements</w:t>
            </w:r>
          </w:p>
        </w:tc>
        <w:tc>
          <w:tcPr>
            <w:tcW w:w="336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7600" w:type="dxa"/>
            <w:vAlign w:val="bottom"/>
            <w:gridSpan w:val="8"/>
          </w:tcPr>
          <w:p>
            <w:pPr>
              <w:spacing w:after="0"/>
              <w:rPr>
                <w:rFonts w:ascii="Arial" w:cs="Arial" w:eastAsia="Arial" w:hAnsi="Arial"/>
                <w:sz w:val="18"/>
                <w:szCs w:val="18"/>
                <w:b w:val="1"/>
                <w:bCs w:val="1"/>
                <w:color w:val="0000EE"/>
              </w:rPr>
            </w:pPr>
            <w:hyperlink w:anchor="page295">
              <w:r>
                <w:rPr>
                  <w:rFonts w:ascii="Arial" w:cs="Arial" w:eastAsia="Arial" w:hAnsi="Arial"/>
                  <w:sz w:val="18"/>
                  <w:szCs w:val="18"/>
                  <w:b w:val="1"/>
                  <w:bCs w:val="1"/>
                  <w:color w:val="0000EE"/>
                </w:rPr>
                <w:t>Report of Independent Registered Public Accounting Firm</w:t>
              </w:r>
            </w:hyperlink>
          </w:p>
        </w:tc>
        <w:tc>
          <w:tcPr>
            <w:tcW w:w="3360" w:type="dxa"/>
            <w:vAlign w:val="bottom"/>
          </w:tcPr>
          <w:p>
            <w:pPr>
              <w:ind w:left="3100"/>
              <w:spacing w:after="0"/>
              <w:rPr>
                <w:sz w:val="20"/>
                <w:szCs w:val="20"/>
                <w:color w:val="auto"/>
              </w:rPr>
            </w:pPr>
            <w:r>
              <w:rPr>
                <w:rFonts w:ascii="Arial" w:cs="Arial" w:eastAsia="Arial" w:hAnsi="Arial"/>
                <w:sz w:val="18"/>
                <w:szCs w:val="18"/>
                <w:b w:val="1"/>
                <w:bCs w:val="1"/>
                <w:color w:val="auto"/>
                <w:w w:val="88"/>
              </w:rPr>
              <w:t>F-2</w:t>
            </w:r>
          </w:p>
        </w:tc>
      </w:tr>
      <w:tr>
        <w:trPr>
          <w:trHeight w:val="304"/>
        </w:trPr>
        <w:tc>
          <w:tcPr>
            <w:tcW w:w="120" w:type="dxa"/>
            <w:vAlign w:val="bottom"/>
          </w:tcPr>
          <w:p>
            <w:pPr>
              <w:spacing w:after="0"/>
              <w:rPr>
                <w:sz w:val="24"/>
                <w:szCs w:val="24"/>
                <w:color w:val="auto"/>
              </w:rPr>
            </w:pPr>
          </w:p>
        </w:tc>
        <w:tc>
          <w:tcPr>
            <w:tcW w:w="29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7"/>
              </w:rPr>
            </w:pPr>
            <w:hyperlink w:anchor="page296">
              <w:r>
                <w:rPr>
                  <w:rFonts w:ascii="Arial" w:cs="Arial" w:eastAsia="Arial" w:hAnsi="Arial"/>
                  <w:sz w:val="18"/>
                  <w:szCs w:val="18"/>
                  <w:b w:val="1"/>
                  <w:bCs w:val="1"/>
                  <w:color w:val="0000EE"/>
                  <w:w w:val="87"/>
                </w:rPr>
                <w:t>Consolidated statements of operations</w:t>
              </w:r>
            </w:hyperlink>
          </w:p>
        </w:tc>
        <w:tc>
          <w:tcPr>
            <w:tcW w:w="1580" w:type="dxa"/>
            <w:vAlign w:val="bottom"/>
            <w:tcBorders>
              <w:top w:val="single" w:sz="8" w:color="0000EE"/>
            </w:tcBorders>
            <w:gridSpan w:val="3"/>
          </w:tcPr>
          <w:p>
            <w:pPr>
              <w:spacing w:after="0"/>
              <w:rPr>
                <w:sz w:val="24"/>
                <w:szCs w:val="24"/>
                <w:color w:val="auto"/>
              </w:rPr>
            </w:pPr>
          </w:p>
        </w:tc>
        <w:tc>
          <w:tcPr>
            <w:tcW w:w="3100" w:type="dxa"/>
            <w:vAlign w:val="bottom"/>
          </w:tcPr>
          <w:p>
            <w:pPr>
              <w:spacing w:after="0"/>
              <w:rPr>
                <w:sz w:val="24"/>
                <w:szCs w:val="24"/>
                <w:color w:val="auto"/>
              </w:rPr>
            </w:pPr>
          </w:p>
        </w:tc>
        <w:tc>
          <w:tcPr>
            <w:tcW w:w="3360" w:type="dxa"/>
            <w:vAlign w:val="bottom"/>
          </w:tcPr>
          <w:p>
            <w:pPr>
              <w:ind w:left="3100"/>
              <w:spacing w:after="0"/>
              <w:rPr>
                <w:sz w:val="20"/>
                <w:szCs w:val="20"/>
                <w:color w:val="auto"/>
              </w:rPr>
            </w:pPr>
            <w:r>
              <w:rPr>
                <w:rFonts w:ascii="Arial" w:cs="Arial" w:eastAsia="Arial" w:hAnsi="Arial"/>
                <w:sz w:val="18"/>
                <w:szCs w:val="18"/>
                <w:b w:val="1"/>
                <w:bCs w:val="1"/>
                <w:color w:val="auto"/>
                <w:w w:val="88"/>
              </w:rPr>
              <w:t>F-3</w:t>
            </w:r>
          </w:p>
        </w:tc>
      </w:tr>
      <w:tr>
        <w:trPr>
          <w:trHeight w:val="304"/>
        </w:trPr>
        <w:tc>
          <w:tcPr>
            <w:tcW w:w="120" w:type="dxa"/>
            <w:vAlign w:val="bottom"/>
          </w:tcPr>
          <w:p>
            <w:pPr>
              <w:spacing w:after="0"/>
              <w:rPr>
                <w:sz w:val="24"/>
                <w:szCs w:val="24"/>
                <w:color w:val="auto"/>
              </w:rPr>
            </w:pPr>
          </w:p>
        </w:tc>
        <w:tc>
          <w:tcPr>
            <w:tcW w:w="4300" w:type="dxa"/>
            <w:vAlign w:val="bottom"/>
            <w:tcBorders>
              <w:bottom w:val="single" w:sz="8" w:color="0000EE"/>
            </w:tcBorders>
            <w:gridSpan w:val="6"/>
          </w:tcPr>
          <w:p>
            <w:pPr>
              <w:spacing w:after="0"/>
              <w:rPr>
                <w:rFonts w:ascii="Arial" w:cs="Arial" w:eastAsia="Arial" w:hAnsi="Arial"/>
                <w:sz w:val="18"/>
                <w:szCs w:val="18"/>
                <w:b w:val="1"/>
                <w:bCs w:val="1"/>
                <w:color w:val="0000EE"/>
                <w:w w:val="86"/>
              </w:rPr>
            </w:pPr>
            <w:hyperlink w:anchor="page297">
              <w:r>
                <w:rPr>
                  <w:rFonts w:ascii="Arial" w:cs="Arial" w:eastAsia="Arial" w:hAnsi="Arial"/>
                  <w:sz w:val="18"/>
                  <w:szCs w:val="18"/>
                  <w:b w:val="1"/>
                  <w:bCs w:val="1"/>
                  <w:color w:val="0000EE"/>
                  <w:w w:val="86"/>
                </w:rPr>
                <w:t>Consolidated statements of comprehensive income (loss)</w:t>
              </w:r>
            </w:hyperlink>
          </w:p>
        </w:tc>
        <w:tc>
          <w:tcPr>
            <w:tcW w:w="3300" w:type="dxa"/>
            <w:vAlign w:val="bottom"/>
            <w:gridSpan w:val="2"/>
          </w:tcPr>
          <w:p>
            <w:pPr>
              <w:spacing w:after="0"/>
              <w:rPr>
                <w:sz w:val="24"/>
                <w:szCs w:val="24"/>
                <w:color w:val="auto"/>
              </w:rPr>
            </w:pPr>
          </w:p>
        </w:tc>
        <w:tc>
          <w:tcPr>
            <w:tcW w:w="3360" w:type="dxa"/>
            <w:vAlign w:val="bottom"/>
          </w:tcPr>
          <w:p>
            <w:pPr>
              <w:ind w:left="3100"/>
              <w:spacing w:after="0"/>
              <w:rPr>
                <w:sz w:val="20"/>
                <w:szCs w:val="20"/>
                <w:color w:val="auto"/>
              </w:rPr>
            </w:pPr>
            <w:r>
              <w:rPr>
                <w:rFonts w:ascii="Arial" w:cs="Arial" w:eastAsia="Arial" w:hAnsi="Arial"/>
                <w:sz w:val="18"/>
                <w:szCs w:val="18"/>
                <w:b w:val="1"/>
                <w:bCs w:val="1"/>
                <w:color w:val="auto"/>
                <w:w w:val="88"/>
              </w:rPr>
              <w:t>F-4</w:t>
            </w:r>
          </w:p>
        </w:tc>
      </w:tr>
      <w:tr>
        <w:trPr>
          <w:trHeight w:val="304"/>
        </w:trPr>
        <w:tc>
          <w:tcPr>
            <w:tcW w:w="120" w:type="dxa"/>
            <w:vAlign w:val="bottom"/>
          </w:tcPr>
          <w:p>
            <w:pPr>
              <w:spacing w:after="0"/>
              <w:rPr>
                <w:sz w:val="24"/>
                <w:szCs w:val="24"/>
                <w:color w:val="auto"/>
              </w:rPr>
            </w:pPr>
          </w:p>
        </w:tc>
        <w:tc>
          <w:tcPr>
            <w:tcW w:w="3440" w:type="dxa"/>
            <w:vAlign w:val="bottom"/>
            <w:tcBorders>
              <w:bottom w:val="single" w:sz="8" w:color="0000EE"/>
            </w:tcBorders>
            <w:gridSpan w:val="5"/>
          </w:tcPr>
          <w:p>
            <w:pPr>
              <w:spacing w:after="0"/>
              <w:rPr>
                <w:rFonts w:ascii="Arial" w:cs="Arial" w:eastAsia="Arial" w:hAnsi="Arial"/>
                <w:sz w:val="18"/>
                <w:szCs w:val="18"/>
                <w:b w:val="1"/>
                <w:bCs w:val="1"/>
                <w:color w:val="0000EE"/>
                <w:w w:val="87"/>
              </w:rPr>
            </w:pPr>
            <w:hyperlink w:anchor="page298">
              <w:r>
                <w:rPr>
                  <w:rFonts w:ascii="Arial" w:cs="Arial" w:eastAsia="Arial" w:hAnsi="Arial"/>
                  <w:sz w:val="18"/>
                  <w:szCs w:val="18"/>
                  <w:b w:val="1"/>
                  <w:bCs w:val="1"/>
                  <w:color w:val="0000EE"/>
                  <w:w w:val="87"/>
                </w:rPr>
                <w:t>Consolidated statements of financial position</w:t>
              </w:r>
            </w:hyperlink>
          </w:p>
        </w:tc>
        <w:tc>
          <w:tcPr>
            <w:tcW w:w="4160" w:type="dxa"/>
            <w:vAlign w:val="bottom"/>
            <w:gridSpan w:val="3"/>
          </w:tcPr>
          <w:p>
            <w:pPr>
              <w:spacing w:after="0"/>
              <w:rPr>
                <w:sz w:val="24"/>
                <w:szCs w:val="24"/>
                <w:color w:val="auto"/>
              </w:rPr>
            </w:pPr>
          </w:p>
        </w:tc>
        <w:tc>
          <w:tcPr>
            <w:tcW w:w="3360" w:type="dxa"/>
            <w:vAlign w:val="bottom"/>
          </w:tcPr>
          <w:p>
            <w:pPr>
              <w:ind w:left="3100"/>
              <w:spacing w:after="0"/>
              <w:rPr>
                <w:sz w:val="20"/>
                <w:szCs w:val="20"/>
                <w:color w:val="auto"/>
              </w:rPr>
            </w:pPr>
            <w:r>
              <w:rPr>
                <w:rFonts w:ascii="Arial" w:cs="Arial" w:eastAsia="Arial" w:hAnsi="Arial"/>
                <w:sz w:val="18"/>
                <w:szCs w:val="18"/>
                <w:b w:val="1"/>
                <w:bCs w:val="1"/>
                <w:color w:val="auto"/>
                <w:w w:val="88"/>
              </w:rPr>
              <w:t>F-5</w:t>
            </w:r>
          </w:p>
        </w:tc>
      </w:tr>
      <w:tr>
        <w:trPr>
          <w:trHeight w:val="304"/>
        </w:trPr>
        <w:tc>
          <w:tcPr>
            <w:tcW w:w="120" w:type="dxa"/>
            <w:vAlign w:val="bottom"/>
          </w:tcPr>
          <w:p>
            <w:pPr>
              <w:spacing w:after="0"/>
              <w:rPr>
                <w:sz w:val="24"/>
                <w:szCs w:val="24"/>
                <w:color w:val="auto"/>
              </w:rPr>
            </w:pPr>
          </w:p>
        </w:tc>
        <w:tc>
          <w:tcPr>
            <w:tcW w:w="3440" w:type="dxa"/>
            <w:vAlign w:val="bottom"/>
            <w:tcBorders>
              <w:bottom w:val="single" w:sz="8" w:color="0000EE"/>
            </w:tcBorders>
            <w:gridSpan w:val="5"/>
          </w:tcPr>
          <w:p>
            <w:pPr>
              <w:spacing w:after="0"/>
              <w:rPr>
                <w:rFonts w:ascii="Arial" w:cs="Arial" w:eastAsia="Arial" w:hAnsi="Arial"/>
                <w:sz w:val="18"/>
                <w:szCs w:val="18"/>
                <w:b w:val="1"/>
                <w:bCs w:val="1"/>
                <w:color w:val="0000EE"/>
                <w:w w:val="86"/>
              </w:rPr>
            </w:pPr>
            <w:hyperlink w:anchor="page299">
              <w:r>
                <w:rPr>
                  <w:rFonts w:ascii="Arial" w:cs="Arial" w:eastAsia="Arial" w:hAnsi="Arial"/>
                  <w:sz w:val="18"/>
                  <w:szCs w:val="18"/>
                  <w:b w:val="1"/>
                  <w:bCs w:val="1"/>
                  <w:color w:val="0000EE"/>
                  <w:w w:val="86"/>
                </w:rPr>
                <w:t>Consolidated statements of changes in equity</w:t>
              </w:r>
            </w:hyperlink>
          </w:p>
        </w:tc>
        <w:tc>
          <w:tcPr>
            <w:tcW w:w="4160" w:type="dxa"/>
            <w:vAlign w:val="bottom"/>
            <w:gridSpan w:val="3"/>
          </w:tcPr>
          <w:p>
            <w:pPr>
              <w:spacing w:after="0"/>
              <w:rPr>
                <w:sz w:val="24"/>
                <w:szCs w:val="24"/>
                <w:color w:val="auto"/>
              </w:rPr>
            </w:pPr>
          </w:p>
        </w:tc>
        <w:tc>
          <w:tcPr>
            <w:tcW w:w="3360" w:type="dxa"/>
            <w:vAlign w:val="bottom"/>
          </w:tcPr>
          <w:p>
            <w:pPr>
              <w:ind w:left="3100"/>
              <w:spacing w:after="0"/>
              <w:rPr>
                <w:sz w:val="20"/>
                <w:szCs w:val="20"/>
                <w:color w:val="auto"/>
              </w:rPr>
            </w:pPr>
            <w:r>
              <w:rPr>
                <w:rFonts w:ascii="Arial" w:cs="Arial" w:eastAsia="Arial" w:hAnsi="Arial"/>
                <w:sz w:val="18"/>
                <w:szCs w:val="18"/>
                <w:b w:val="1"/>
                <w:bCs w:val="1"/>
                <w:color w:val="auto"/>
                <w:w w:val="88"/>
              </w:rPr>
              <w:t>F-6</w:t>
            </w:r>
          </w:p>
        </w:tc>
      </w:tr>
      <w:tr>
        <w:trPr>
          <w:trHeight w:val="304"/>
        </w:trPr>
        <w:tc>
          <w:tcPr>
            <w:tcW w:w="120" w:type="dxa"/>
            <w:vAlign w:val="bottom"/>
          </w:tcPr>
          <w:p>
            <w:pPr>
              <w:spacing w:after="0"/>
              <w:rPr>
                <w:sz w:val="24"/>
                <w:szCs w:val="24"/>
                <w:color w:val="auto"/>
              </w:rPr>
            </w:pPr>
          </w:p>
        </w:tc>
        <w:tc>
          <w:tcPr>
            <w:tcW w:w="290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300">
              <w:r>
                <w:rPr>
                  <w:rFonts w:ascii="Arial" w:cs="Arial" w:eastAsia="Arial" w:hAnsi="Arial"/>
                  <w:sz w:val="18"/>
                  <w:szCs w:val="18"/>
                  <w:b w:val="1"/>
                  <w:bCs w:val="1"/>
                  <w:color w:val="0000EE"/>
                  <w:w w:val="86"/>
                </w:rPr>
                <w:t>Consolidated statements of cash flows</w:t>
              </w:r>
            </w:hyperlink>
          </w:p>
        </w:tc>
        <w:tc>
          <w:tcPr>
            <w:tcW w:w="4700" w:type="dxa"/>
            <w:vAlign w:val="bottom"/>
            <w:gridSpan w:val="5"/>
          </w:tcPr>
          <w:p>
            <w:pPr>
              <w:spacing w:after="0"/>
              <w:rPr>
                <w:sz w:val="24"/>
                <w:szCs w:val="24"/>
                <w:color w:val="auto"/>
              </w:rPr>
            </w:pPr>
          </w:p>
        </w:tc>
        <w:tc>
          <w:tcPr>
            <w:tcW w:w="3360" w:type="dxa"/>
            <w:vAlign w:val="bottom"/>
          </w:tcPr>
          <w:p>
            <w:pPr>
              <w:ind w:left="3100"/>
              <w:spacing w:after="0"/>
              <w:rPr>
                <w:sz w:val="20"/>
                <w:szCs w:val="20"/>
                <w:color w:val="auto"/>
              </w:rPr>
            </w:pPr>
            <w:r>
              <w:rPr>
                <w:rFonts w:ascii="Arial" w:cs="Arial" w:eastAsia="Arial" w:hAnsi="Arial"/>
                <w:sz w:val="18"/>
                <w:szCs w:val="18"/>
                <w:b w:val="1"/>
                <w:bCs w:val="1"/>
                <w:color w:val="auto"/>
                <w:w w:val="88"/>
              </w:rPr>
              <w:t>F-7</w:t>
            </w:r>
          </w:p>
        </w:tc>
      </w:tr>
      <w:tr>
        <w:trPr>
          <w:trHeight w:val="304"/>
        </w:trPr>
        <w:tc>
          <w:tcPr>
            <w:tcW w:w="120" w:type="dxa"/>
            <w:vAlign w:val="bottom"/>
          </w:tcPr>
          <w:p>
            <w:pPr>
              <w:spacing w:after="0"/>
              <w:rPr>
                <w:sz w:val="24"/>
                <w:szCs w:val="24"/>
                <w:color w:val="auto"/>
              </w:rPr>
            </w:pPr>
          </w:p>
        </w:tc>
        <w:tc>
          <w:tcPr>
            <w:tcW w:w="7600" w:type="dxa"/>
            <w:vAlign w:val="bottom"/>
            <w:gridSpan w:val="8"/>
          </w:tcPr>
          <w:p>
            <w:pPr>
              <w:spacing w:after="0"/>
              <w:rPr>
                <w:rFonts w:ascii="Arial" w:cs="Arial" w:eastAsia="Arial" w:hAnsi="Arial"/>
                <w:sz w:val="18"/>
                <w:szCs w:val="18"/>
                <w:b w:val="1"/>
                <w:bCs w:val="1"/>
                <w:color w:val="0000EE"/>
              </w:rPr>
            </w:pPr>
            <w:hyperlink w:anchor="page301">
              <w:r>
                <w:rPr>
                  <w:rFonts w:ascii="Arial" w:cs="Arial" w:eastAsia="Arial" w:hAnsi="Arial"/>
                  <w:sz w:val="18"/>
                  <w:szCs w:val="18"/>
                  <w:b w:val="1"/>
                  <w:bCs w:val="1"/>
                  <w:color w:val="0000EE"/>
                </w:rPr>
                <w:t>Notes to the financial statements</w:t>
              </w:r>
            </w:hyperlink>
          </w:p>
        </w:tc>
        <w:tc>
          <w:tcPr>
            <w:tcW w:w="3360" w:type="dxa"/>
            <w:vAlign w:val="bottom"/>
          </w:tcPr>
          <w:p>
            <w:pPr>
              <w:ind w:left="3100"/>
              <w:spacing w:after="0"/>
              <w:rPr>
                <w:sz w:val="20"/>
                <w:szCs w:val="20"/>
                <w:color w:val="auto"/>
              </w:rPr>
            </w:pPr>
            <w:r>
              <w:rPr>
                <w:rFonts w:ascii="Arial" w:cs="Arial" w:eastAsia="Arial" w:hAnsi="Arial"/>
                <w:sz w:val="18"/>
                <w:szCs w:val="18"/>
                <w:b w:val="1"/>
                <w:bCs w:val="1"/>
                <w:color w:val="auto"/>
                <w:w w:val="88"/>
              </w:rPr>
              <w:t>F-8</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Management and the Board of Directors of BioNTech SE (formerly BioNTech AG)</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BioNTech AG (the Company) as of December 31, 2018 and 2017 and as of January 1, 2017, the related consolidated statements of operations, comprehensive income (loss), changes in equity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as of January 1, 2017, and the results of its operations and its cash flows for each of the two years in the period ended December 31, 2018, in conformity with International Financial Reporting Standards as issued by the International Accounting Standard Board.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ectPr>
          <w:pgSz w:w="11900" w:h="16838" w:orient="portrait"/>
          <w:cols w:equalWidth="0" w:num="1">
            <w:col w:w="11100"/>
          </w:cols>
          <w:pgMar w:left="320" w:top="459" w:right="479" w:bottom="1440" w:gutter="0" w:footer="0" w:header="0"/>
        </w:sectPr>
      </w:pP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Titus Zwirner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(German Public Auditor)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Oliver Conrad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(German Public Auditor)</w:t>
      </w:r>
    </w:p>
    <w:p>
      <w:pPr>
        <w:spacing w:after="0" w:line="200" w:lineRule="exact"/>
        <w:rPr>
          <w:sz w:val="20"/>
          <w:szCs w:val="20"/>
          <w:color w:val="auto"/>
        </w:rPr>
      </w:pPr>
    </w:p>
    <w:p>
      <w:pPr>
        <w:sectPr>
          <w:pgSz w:w="11900" w:h="16838" w:orient="portrait"/>
          <w:cols w:equalWidth="0" w:num="2">
            <w:col w:w="4140" w:space="720"/>
            <w:col w:w="6240"/>
          </w:cols>
          <w:pgMar w:left="320" w:top="459" w:right="479" w:bottom="1440" w:gutter="0" w:footer="0" w:header="0"/>
          <w:type w:val="continuous"/>
        </w:sectPr>
      </w:pP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Ernst &amp; Young GmbH Wirtschaftsprüfungsgesellschaft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Cologne, Germany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18, 2019</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1100"/>
          </w:cols>
          <w:pgMar w:left="320" w:top="459" w:right="479" w:bottom="1440" w:gutter="0" w:footer="0" w:header="0"/>
          <w:type w:val="continuous"/>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4"/>
                <w:szCs w:val="14"/>
                <w:color w:val="auto"/>
              </w:rPr>
            </w:pPr>
          </w:p>
        </w:tc>
        <w:tc>
          <w:tcPr>
            <w:tcW w:w="1860" w:type="dxa"/>
            <w:vAlign w:val="bottom"/>
            <w:gridSpan w:val="7"/>
          </w:tcPr>
          <w:p>
            <w:pPr>
              <w:jc w:val="right"/>
              <w:ind w:right="54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127,575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61,598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(13,690)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113,885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8"/>
              </w:rPr>
              <w:t>52,280</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6.2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(143,040)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(85,496)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(26,334)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(23,520)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(53,854)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(61,277)</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Finance income</w:t>
            </w: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6.7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(26,007)</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(1,721)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equity method investees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(47,662)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(85,905)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(48,262</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(85,950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(48,019)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(85,653)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(48,262</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(85,950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Basic &amp; diluted, loss for the year attributable to ordinary equity holders of the parent</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(4.53)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520" w:type="dxa"/>
            <w:vAlign w:val="bottom"/>
          </w:tcPr>
          <w:p>
            <w:pPr>
              <w:spacing w:after="0"/>
              <w:rPr>
                <w:sz w:val="14"/>
                <w:szCs w:val="14"/>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Note</w:t>
            </w:r>
          </w:p>
        </w:tc>
        <w:tc>
          <w:tcPr>
            <w:tcW w:w="340" w:type="dxa"/>
            <w:vAlign w:val="bottom"/>
          </w:tcPr>
          <w:p>
            <w:pPr>
              <w:spacing w:after="0"/>
              <w:rPr>
                <w:sz w:val="14"/>
                <w:szCs w:val="14"/>
                <w:color w:val="auto"/>
              </w:rPr>
            </w:pPr>
          </w:p>
        </w:tc>
        <w:tc>
          <w:tcPr>
            <w:tcW w:w="186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(48,262</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(85,950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comprehensive income that may be reclassified to profit or loss in subsequent periods (net of tax)</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4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10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Net other comprehensive income/(loss) that may be reclassified to profit or loss in subsequent periods</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10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3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12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(48,252)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2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(48,009)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(85,677)</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(243)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(48,252)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 at</w:t>
            </w:r>
          </w:p>
        </w:tc>
        <w:tc>
          <w:tcPr>
            <w:tcW w:w="140" w:type="dxa"/>
            <w:vAlign w:val="bottom"/>
          </w:tcPr>
          <w:p>
            <w:pPr>
              <w:spacing w:after="0"/>
              <w:rPr>
                <w:sz w:val="14"/>
                <w:szCs w:val="14"/>
                <w:color w:val="auto"/>
              </w:rPr>
            </w:pPr>
          </w:p>
        </w:tc>
        <w:tc>
          <w:tcPr>
            <w:tcW w:w="98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As at</w:t>
            </w:r>
          </w:p>
        </w:tc>
        <w:tc>
          <w:tcPr>
            <w:tcW w:w="220" w:type="dxa"/>
            <w:vAlign w:val="bottom"/>
          </w:tcPr>
          <w:p>
            <w:pPr>
              <w:spacing w:after="0"/>
              <w:rPr>
                <w:sz w:val="14"/>
                <w:szCs w:val="14"/>
                <w:color w:val="auto"/>
              </w:rPr>
            </w:pPr>
          </w:p>
        </w:tc>
        <w:tc>
          <w:tcPr>
            <w:tcW w:w="11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1"/>
              </w:rPr>
              <w:t>As at January 1,</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78"/>
              </w:rPr>
              <w:t>Assets</w:t>
            </w:r>
          </w:p>
        </w:tc>
        <w:tc>
          <w:tcPr>
            <w:tcW w:w="5960" w:type="dxa"/>
            <w:vAlign w:val="bottom"/>
            <w:vMerge w:val="restart"/>
          </w:tcPr>
          <w:p>
            <w:pPr>
              <w:spacing w:after="0"/>
              <w:rPr>
                <w:sz w:val="12"/>
                <w:szCs w:val="12"/>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Note</w:t>
            </w:r>
          </w:p>
        </w:tc>
        <w:tc>
          <w:tcPr>
            <w:tcW w:w="4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1"/>
              <w:spacing w:after="0" w:line="158"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1"/>
              <w:spacing w:after="0" w:line="158"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1"/>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Non-current assets</w:t>
            </w:r>
          </w:p>
        </w:tc>
        <w:tc>
          <w:tcPr>
            <w:tcW w:w="4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Intangible assets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88,042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83,537</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11,184</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9, 18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115,966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101,521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60,506</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financial assets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204,025</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185,076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5,789</w:t>
            </w:r>
          </w:p>
        </w:tc>
        <w:tc>
          <w:tcPr>
            <w:tcW w:w="14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3,876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18,938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4,575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Contract assets</w:t>
            </w: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financial assets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9,164</w:t>
            </w:r>
          </w:p>
        </w:tc>
        <w:tc>
          <w:tcPr>
            <w:tcW w:w="14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6,227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assets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Deferred expense</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2,348</w:t>
            </w:r>
          </w:p>
        </w:tc>
        <w:tc>
          <w:tcPr>
            <w:tcW w:w="14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1,872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411,495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172,106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303,680</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448,961</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189,637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652,986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374,713</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389,959</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Share capital</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10,739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9,265</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reserve</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526,672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166,421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175,504</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Accumulated losses</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(245,771)</w:t>
            </w: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(197,753)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(112,100)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(25,487)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(27,229)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(33,115)</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Equity attributable to equity holders of the parent</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266,153</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(49,296</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267,000</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(48,206</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Financial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54,218</w:t>
            </w:r>
          </w:p>
        </w:tc>
        <w:tc>
          <w:tcPr>
            <w:tcW w:w="14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50,349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26,669</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205,647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214,026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273,414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259,865</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264,375</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301,466</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provisions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Provisions</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payables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41,721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52,538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66,027</w:t>
            </w:r>
          </w:p>
        </w:tc>
        <w:tc>
          <w:tcPr>
            <w:tcW w:w="14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77,346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33,466</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financial liabilities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8,266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3,771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12,765</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Other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126,121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158,544</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56,636</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385,986</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422,920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equity and liabilities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652,986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374,713</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389,959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12"/>
          </w:tcPr>
          <w:p>
            <w:pPr>
              <w:ind w:left="40"/>
              <w:spacing w:after="0"/>
              <w:rPr>
                <w:sz w:val="20"/>
                <w:szCs w:val="20"/>
                <w:color w:val="auto"/>
              </w:rPr>
            </w:pPr>
            <w:r>
              <w:rPr>
                <w:rFonts w:ascii="Arial" w:cs="Arial" w:eastAsia="Arial" w:hAnsi="Arial"/>
                <w:sz w:val="14"/>
                <w:szCs w:val="14"/>
                <w:b w:val="1"/>
                <w:bCs w:val="1"/>
                <w:color w:val="auto"/>
              </w:rPr>
              <w:t>Attributable to the equity holders of the parent</w:t>
            </w:r>
          </w:p>
        </w:tc>
        <w:tc>
          <w:tcPr>
            <w:tcW w:w="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40" w:type="dxa"/>
            <w:vAlign w:val="bottom"/>
            <w:gridSpan w:val="2"/>
            <w:vMerge w:val="restart"/>
          </w:tcPr>
          <w:p>
            <w:pPr>
              <w:jc w:val="center"/>
              <w:ind w:right="260"/>
              <w:spacing w:after="0" w:line="113" w:lineRule="exact"/>
              <w:rPr>
                <w:sz w:val="20"/>
                <w:szCs w:val="20"/>
                <w:color w:val="auto"/>
              </w:rPr>
            </w:pPr>
            <w:r>
              <w:rPr>
                <w:rFonts w:ascii="Arial" w:cs="Arial" w:eastAsia="Arial" w:hAnsi="Arial"/>
                <w:sz w:val="13"/>
                <w:szCs w:val="13"/>
                <w:b w:val="1"/>
                <w:bCs w:val="1"/>
                <w:color w:val="auto"/>
                <w:w w:val="98"/>
              </w:rPr>
              <w:t>currency</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6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Issued</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6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restart"/>
          </w:tcPr>
          <w:p>
            <w:pPr>
              <w:jc w:val="center"/>
              <w:ind w:right="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4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9"/>
              </w:rPr>
              <w:t>Note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800" w:type="dxa"/>
            <w:vAlign w:val="bottom"/>
            <w:gridSpan w:val="2"/>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ind w:left="10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reserve</w:t>
            </w:r>
          </w:p>
        </w:tc>
        <w:tc>
          <w:tcPr>
            <w:tcW w:w="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780" w:type="dxa"/>
            <w:vAlign w:val="bottom"/>
            <w:gridSpan w:val="2"/>
          </w:tcPr>
          <w:p>
            <w:pPr>
              <w:jc w:val="right"/>
              <w:ind w:right="178"/>
              <w:spacing w:after="0"/>
              <w:rPr>
                <w:sz w:val="20"/>
                <w:szCs w:val="20"/>
                <w:color w:val="auto"/>
              </w:rPr>
            </w:pPr>
            <w:r>
              <w:rPr>
                <w:rFonts w:ascii="Arial" w:cs="Arial" w:eastAsia="Arial" w:hAnsi="Arial"/>
                <w:sz w:val="14"/>
                <w:szCs w:val="14"/>
                <w:b w:val="1"/>
                <w:bCs w:val="1"/>
                <w:color w:val="auto"/>
                <w:w w:val="86"/>
              </w:rPr>
              <w:t>reserves</w:t>
            </w:r>
          </w:p>
        </w:tc>
        <w:tc>
          <w:tcPr>
            <w:tcW w:w="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74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2018</w:t>
            </w: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9,265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166,421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(197,753)</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(27,206</w:t>
            </w:r>
          </w:p>
        </w:tc>
        <w:tc>
          <w:tcPr>
            <w:tcW w:w="200" w:type="dxa"/>
            <w:vAlign w:val="bottom"/>
            <w:tcBorders>
              <w:top w:val="single" w:sz="8" w:color="CCEEFF"/>
              <w:left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bottom w:val="single" w:sz="8" w:color="auto"/>
              <w:right w:val="single" w:sz="8" w:color="CCEEFF"/>
            </w:tcBorders>
            <w:gridSpan w:val="2"/>
            <w:shd w:val="clear" w:color="auto" w:fill="CCEEFF"/>
          </w:tcPr>
          <w:p>
            <w:pPr>
              <w:jc w:val="center"/>
              <w:ind w:left="293"/>
              <w:spacing w:after="0"/>
              <w:rPr>
                <w:sz w:val="20"/>
                <w:szCs w:val="20"/>
                <w:color w:val="auto"/>
              </w:rPr>
            </w:pPr>
            <w:r>
              <w:rPr>
                <w:rFonts w:ascii="Arial" w:cs="Arial" w:eastAsia="Arial" w:hAnsi="Arial"/>
                <w:sz w:val="18"/>
                <w:szCs w:val="18"/>
                <w:b w:val="1"/>
                <w:bCs w:val="1"/>
                <w:color w:val="auto"/>
                <w:w w:val="74"/>
              </w:rPr>
              <w:t>(23)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(49,296)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(48,206)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Loss for the year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(48,019)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(48,019)</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(48,262)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10</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(48,019)</w:t>
            </w:r>
          </w:p>
        </w:tc>
        <w:tc>
          <w:tcPr>
            <w:tcW w:w="1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w w:val="99"/>
              </w:rPr>
              <w:t>10</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(48,009)</w:t>
            </w:r>
          </w:p>
        </w:tc>
        <w:tc>
          <w:tcPr>
            <w:tcW w:w="18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(243)</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(48,252)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 capital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1,442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354,374</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355,816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5"/>
              </w:rPr>
              <w:t>355,816</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Share-based payments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7,641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41"/>
              <w:spacing w:after="0"/>
              <w:rPr>
                <w:sz w:val="20"/>
                <w:szCs w:val="20"/>
                <w:color w:val="auto"/>
              </w:rPr>
            </w:pPr>
            <w:r>
              <w:rPr>
                <w:rFonts w:ascii="Arial" w:cs="Arial" w:eastAsia="Arial" w:hAnsi="Arial"/>
                <w:sz w:val="18"/>
                <w:szCs w:val="18"/>
                <w:b w:val="1"/>
                <w:bCs w:val="1"/>
                <w:color w:val="auto"/>
              </w:rPr>
              <w:t>7,641</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share-based payment plan</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5,877</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(5,909)</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10,739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526,672</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(245,771)</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(25,474</w:t>
            </w:r>
          </w:p>
        </w:tc>
        <w:tc>
          <w:tcPr>
            <w:tcW w:w="200" w:type="dxa"/>
            <w:vAlign w:val="bottom"/>
          </w:tcPr>
          <w:p>
            <w:pPr>
              <w:jc w:val="right"/>
              <w:ind w:right="58"/>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bottom w:val="single" w:sz="8" w:color="auto"/>
            </w:tcBorders>
            <w:gridSpan w:val="2"/>
          </w:tcPr>
          <w:p>
            <w:pPr>
              <w:jc w:val="center"/>
              <w:ind w:left="293"/>
              <w:spacing w:after="0"/>
              <w:rPr>
                <w:sz w:val="20"/>
                <w:szCs w:val="20"/>
                <w:color w:val="auto"/>
              </w:rPr>
            </w:pPr>
            <w:r>
              <w:rPr>
                <w:rFonts w:ascii="Arial" w:cs="Arial" w:eastAsia="Arial" w:hAnsi="Arial"/>
                <w:sz w:val="18"/>
                <w:szCs w:val="18"/>
                <w:b w:val="1"/>
                <w:bCs w:val="1"/>
                <w:color w:val="auto"/>
                <w:w w:val="74"/>
              </w:rPr>
              <w:t>(13)</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266,153</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847</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270,000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gridSpan w:val="11"/>
          </w:tcPr>
          <w:p>
            <w:pPr>
              <w:jc w:val="right"/>
              <w:ind w:right="198"/>
              <w:spacing w:after="0"/>
              <w:rPr>
                <w:sz w:val="20"/>
                <w:szCs w:val="20"/>
                <w:color w:val="auto"/>
              </w:rPr>
            </w:pPr>
            <w:r>
              <w:rPr>
                <w:rFonts w:ascii="Arial" w:cs="Arial" w:eastAsia="Arial" w:hAnsi="Arial"/>
                <w:sz w:val="14"/>
                <w:szCs w:val="14"/>
                <w:b w:val="1"/>
                <w:bCs w:val="1"/>
                <w:color w:val="auto"/>
                <w:w w:val="93"/>
              </w:rPr>
              <w:t>Attributable to the equity holders of the parent</w:t>
            </w:r>
          </w:p>
        </w:tc>
        <w:tc>
          <w:tcPr>
            <w:tcW w:w="60" w:type="dxa"/>
            <w:vAlign w:val="bottom"/>
          </w:tcPr>
          <w:p>
            <w:pPr>
              <w:spacing w:after="0"/>
              <w:rPr>
                <w:sz w:val="24"/>
                <w:szCs w:val="2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restart"/>
          </w:tcPr>
          <w:p>
            <w:pPr>
              <w:jc w:val="center"/>
              <w:ind w:right="160"/>
              <w:spacing w:after="0" w:line="113" w:lineRule="exact"/>
              <w:rPr>
                <w:sz w:val="20"/>
                <w:szCs w:val="20"/>
                <w:color w:val="auto"/>
              </w:rPr>
            </w:pPr>
            <w:r>
              <w:rPr>
                <w:rFonts w:ascii="Arial" w:cs="Arial" w:eastAsia="Arial" w:hAnsi="Arial"/>
                <w:sz w:val="13"/>
                <w:szCs w:val="13"/>
                <w:b w:val="1"/>
                <w:bCs w:val="1"/>
                <w:color w:val="auto"/>
              </w:rPr>
              <w:t>currency</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vMerge w:val="restart"/>
          </w:tcPr>
          <w:p>
            <w:pPr>
              <w:jc w:val="center"/>
              <w:ind w:right="200"/>
              <w:spacing w:after="0" w:line="113"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Issued</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5"/>
                <w:szCs w:val="5"/>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5"/>
                <w:szCs w:val="5"/>
                <w:color w:val="auto"/>
              </w:rPr>
            </w:pPr>
          </w:p>
        </w:tc>
        <w:tc>
          <w:tcPr>
            <w:tcW w:w="780" w:type="dxa"/>
            <w:vAlign w:val="bottom"/>
            <w:gridSpan w:val="2"/>
            <w:vMerge w:val="restart"/>
          </w:tcPr>
          <w:p>
            <w:pPr>
              <w:jc w:val="right"/>
              <w:ind w:right="198"/>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restart"/>
          </w:tcPr>
          <w:p>
            <w:pPr>
              <w:jc w:val="center"/>
              <w:ind w:right="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60" w:type="dxa"/>
            <w:vAlign w:val="bottom"/>
          </w:tcPr>
          <w:p>
            <w:pPr>
              <w:spacing w:after="0"/>
              <w:rPr>
                <w:sz w:val="12"/>
                <w:szCs w:val="12"/>
                <w:color w:val="auto"/>
              </w:rPr>
            </w:pPr>
          </w:p>
        </w:tc>
        <w:tc>
          <w:tcPr>
            <w:tcW w:w="80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2"/>
              </w:rPr>
              <w:t>Notes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ind w:left="4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reserve</w:t>
            </w:r>
          </w:p>
        </w:tc>
        <w:tc>
          <w:tcPr>
            <w:tcW w:w="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reserves</w:t>
            </w:r>
          </w:p>
        </w:tc>
        <w:tc>
          <w:tcPr>
            <w:tcW w:w="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reserve</w:t>
            </w: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interests</w:t>
            </w:r>
          </w:p>
        </w:tc>
        <w:tc>
          <w:tcPr>
            <w:tcW w:w="20" w:type="dxa"/>
            <w:vAlign w:val="bottom"/>
          </w:tcPr>
          <w:p>
            <w:pPr>
              <w:spacing w:after="0"/>
              <w:rPr>
                <w:sz w:val="14"/>
                <w:szCs w:val="14"/>
                <w:color w:val="auto"/>
              </w:rPr>
            </w:pPr>
          </w:p>
        </w:tc>
        <w:tc>
          <w:tcPr>
            <w:tcW w:w="7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2017</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182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175,504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(112,100)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75"/>
              </w:rPr>
              <w:t>(33,115</w:t>
            </w:r>
          </w:p>
        </w:tc>
        <w:tc>
          <w:tcPr>
            <w:tcW w:w="200" w:type="dxa"/>
            <w:vAlign w:val="bottom"/>
            <w:tcBorders>
              <w:top w:val="single" w:sz="8" w:color="CCEEFF"/>
              <w:left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center"/>
              <w:ind w:left="219"/>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30,471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right w:val="single" w:sz="8" w:color="CCEEFF"/>
            </w:tcBorders>
            <w:shd w:val="clear" w:color="auto" w:fill="CCEEFF"/>
          </w:tcPr>
          <w:p>
            <w:pPr>
              <w:jc w:val="center"/>
              <w:ind w:left="177"/>
              <w:spacing w:after="0"/>
              <w:rPr>
                <w:sz w:val="20"/>
                <w:szCs w:val="20"/>
                <w:color w:val="auto"/>
              </w:rPr>
            </w:pPr>
            <w:r>
              <w:rPr>
                <w:rFonts w:ascii="Arial" w:cs="Arial" w:eastAsia="Arial" w:hAnsi="Arial"/>
                <w:sz w:val="18"/>
                <w:szCs w:val="18"/>
                <w:b w:val="1"/>
                <w:bCs w:val="1"/>
                <w:color w:val="auto"/>
                <w:w w:val="88"/>
              </w:rPr>
              <w:t>1,387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Loss for the year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(85,653)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center"/>
              <w:ind w:left="219"/>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(85,653)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jc w:val="center"/>
              <w:ind w:left="257"/>
              <w:spacing w:after="0"/>
              <w:rPr>
                <w:sz w:val="20"/>
                <w:szCs w:val="20"/>
                <w:color w:val="auto"/>
              </w:rPr>
            </w:pPr>
            <w:r>
              <w:rPr>
                <w:rFonts w:ascii="Arial" w:cs="Arial" w:eastAsia="Arial" w:hAnsi="Arial"/>
                <w:sz w:val="18"/>
                <w:szCs w:val="18"/>
                <w:color w:val="auto"/>
                <w:w w:val="76"/>
              </w:rPr>
              <w:t>(297)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(85,950)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(23)</w:t>
            </w:r>
          </w:p>
        </w:tc>
        <w:tc>
          <w:tcPr>
            <w:tcW w:w="8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(23)</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(85,653)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6"/>
                <w:szCs w:val="16"/>
                <w:b w:val="1"/>
                <w:bCs w:val="1"/>
                <w:color w:val="auto"/>
                <w:w w:val="70"/>
              </w:rPr>
              <w:t>(23)</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(85,676</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center"/>
              <w:ind w:left="257"/>
              <w:spacing w:after="0"/>
              <w:rPr>
                <w:sz w:val="20"/>
                <w:szCs w:val="20"/>
                <w:color w:val="auto"/>
              </w:rPr>
            </w:pPr>
            <w:r>
              <w:rPr>
                <w:rFonts w:ascii="Arial" w:cs="Arial" w:eastAsia="Arial" w:hAnsi="Arial"/>
                <w:sz w:val="18"/>
                <w:szCs w:val="18"/>
                <w:b w:val="1"/>
                <w:bCs w:val="1"/>
                <w:color w:val="auto"/>
                <w:w w:val="76"/>
              </w:rPr>
              <w:t>(297)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(85,973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 capital</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9,083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(9,083)</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Share-based payments</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5,909</w:t>
            </w:r>
          </w:p>
        </w:tc>
        <w:tc>
          <w:tcPr>
            <w:tcW w:w="60" w:type="dxa"/>
            <w:vAlign w:val="bottom"/>
          </w:tcPr>
          <w:p>
            <w:pPr>
              <w:spacing w:after="0"/>
              <w:rPr>
                <w:sz w:val="18"/>
                <w:szCs w:val="18"/>
                <w:color w:val="auto"/>
              </w:rPr>
            </w:pPr>
          </w:p>
        </w:tc>
        <w:tc>
          <w:tcPr>
            <w:tcW w:w="840" w:type="dxa"/>
            <w:vAlign w:val="bottom"/>
            <w:gridSpan w:val="2"/>
          </w:tcPr>
          <w:p>
            <w:pPr>
              <w:jc w:val="center"/>
              <w:ind w:left="59"/>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101"/>
              <w:spacing w:after="0"/>
              <w:rPr>
                <w:sz w:val="20"/>
                <w:szCs w:val="20"/>
                <w:color w:val="auto"/>
              </w:rPr>
            </w:pPr>
            <w:r>
              <w:rPr>
                <w:rFonts w:ascii="Arial" w:cs="Arial" w:eastAsia="Arial" w:hAnsi="Arial"/>
                <w:sz w:val="18"/>
                <w:szCs w:val="18"/>
                <w:b w:val="1"/>
                <w:bCs w:val="1"/>
                <w:color w:val="auto"/>
              </w:rPr>
              <w:t>5,909</w:t>
            </w:r>
          </w:p>
        </w:tc>
        <w:tc>
          <w:tcPr>
            <w:tcW w:w="40" w:type="dxa"/>
            <w:vAlign w:val="bottom"/>
          </w:tcPr>
          <w:p>
            <w:pPr>
              <w:spacing w:after="0"/>
              <w:rPr>
                <w:sz w:val="18"/>
                <w:szCs w:val="18"/>
                <w:color w:val="auto"/>
              </w:rPr>
            </w:pPr>
          </w:p>
        </w:tc>
        <w:tc>
          <w:tcPr>
            <w:tcW w:w="860" w:type="dxa"/>
            <w:vAlign w:val="bottom"/>
            <w:gridSpan w:val="2"/>
          </w:tcPr>
          <w:p>
            <w:pPr>
              <w:jc w:val="center"/>
              <w:ind w:left="37"/>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41"/>
              <w:spacing w:after="0"/>
              <w:rPr>
                <w:sz w:val="20"/>
                <w:szCs w:val="20"/>
                <w:color w:val="auto"/>
              </w:rPr>
            </w:pPr>
            <w:r>
              <w:rPr>
                <w:rFonts w:ascii="Arial" w:cs="Arial" w:eastAsia="Arial" w:hAnsi="Arial"/>
                <w:sz w:val="18"/>
                <w:szCs w:val="18"/>
                <w:b w:val="1"/>
                <w:bCs w:val="1"/>
                <w:color w:val="auto"/>
              </w:rPr>
              <w:t>5,909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9,265</w:t>
            </w:r>
          </w:p>
        </w:tc>
        <w:tc>
          <w:tcPr>
            <w:tcW w:w="16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166,421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(197,753)</w:t>
            </w:r>
          </w:p>
        </w:tc>
        <w:tc>
          <w:tcPr>
            <w:tcW w:w="82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(27,206)</w:t>
            </w: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(23)</w:t>
            </w:r>
          </w:p>
        </w:tc>
        <w:tc>
          <w:tcPr>
            <w:tcW w:w="8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(49,296)</w:t>
            </w:r>
          </w:p>
        </w:tc>
        <w:tc>
          <w:tcPr>
            <w:tcW w:w="900" w:type="dxa"/>
            <w:vAlign w:val="bottom"/>
            <w:gridSpan w:val="3"/>
            <w:shd w:val="clear" w:color="auto" w:fill="CCEEFF"/>
          </w:tcPr>
          <w:p>
            <w:pPr>
              <w:jc w:val="center"/>
              <w:ind w:left="13"/>
              <w:spacing w:after="0"/>
              <w:rPr>
                <w:sz w:val="20"/>
                <w:szCs w:val="20"/>
                <w:color w:val="auto"/>
              </w:rPr>
            </w:pPr>
            <w:r>
              <w:rPr>
                <w:rFonts w:ascii="Arial" w:cs="Arial" w:eastAsia="Arial" w:hAnsi="Arial"/>
                <w:sz w:val="18"/>
                <w:szCs w:val="18"/>
                <w:b w:val="1"/>
                <w:bCs w:val="1"/>
                <w:color w:val="auto"/>
                <w:w w:val="88"/>
              </w:rPr>
              <w:t>1,090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(48,206)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Year ended</w:t>
      </w:r>
    </w:p>
    <w:p>
      <w:pPr>
        <w:jc w:val="center"/>
        <w:ind w:left="89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0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Loss for the year</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 (48,262)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(85,950)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Loss before tax</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(47,662</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(85,905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plant and equipment and intangible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21,984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10,529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 expense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Net foreign exchange differences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on disposal of property, plant and equipment</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Finance income</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(1,996)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lease liability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Finance expense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of an associate and a joint venture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Movements in provisions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Decrease/(Increase) in trade receivable and contract assets</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(18,732)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Decrease/(Increase) in inventories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(Decrease)/Increase in trade and other payables, contract liabilities and refund liabilities</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(20,976)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Interest paid</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(1,769)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(58,180</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(52,562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(30,598)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(37,256)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 (67,148)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(52,549)</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 capital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Proceeds from loans and borrowings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b w:val="1"/>
                <w:bCs w:val="1"/>
                <w:color w:val="auto"/>
              </w:rPr>
              <w:t>Net cash flows from/(used in) financing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365,177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(106,753)</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Change in cash resulting from exchange rate differences</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1 January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303,680</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b w:val="1"/>
                <w:bCs w:val="1"/>
                <w:color w:val="auto"/>
              </w:rPr>
              <w:t>Cash and cash equivalents at 31 December</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 xml:space="preserve"> 411,495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172,106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financial statements</w:t>
      </w:r>
    </w:p>
    <w:p>
      <w:pPr>
        <w:spacing w:after="0" w:line="112" w:lineRule="exact"/>
        <w:rPr>
          <w:sz w:val="20"/>
          <w:szCs w:val="20"/>
          <w:color w:val="auto"/>
        </w:rPr>
      </w:pPr>
    </w:p>
    <w:p>
      <w:pPr>
        <w:ind w:left="760" w:hanging="644"/>
        <w:spacing w:after="0"/>
        <w:tabs>
          <w:tab w:leader="none" w:pos="7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BioNTech AG is a limited company incorporated and domiciled in Germany. Its shares are not publicly traded. The registered office is located in Mainz, An der Goldgrube 12, 55131 Germany. The accompanying International Financial Reporting Standards (IFRS) consolidated financial statements present the financial position and the results of operation of BioNTech AG and its subsidiaries, hereinafter also referred to as “BioNTech” or the “Group”. Effective March 8, 2019, BioNTech AG changed its name and legal form to BioNTech SE. The Group is principally engaged in developing innovative immunotherapies for the individualized treatment of cancer and other infectious diseases.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Information on the Group’s structure is provided in Note 5. Information on other related party relationships of the Group is provided in Note 26.</w:t>
      </w:r>
    </w:p>
    <w:p>
      <w:pPr>
        <w:spacing w:after="0" w:line="24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consolidated financial statements of the Group for the year ended December 31, 2018 were authorized for issue in accordance with a resolution of the directors on June 18, 2019.</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BioNTech prepares and publishes its consolidated financial statements in Euros. Unless otherwise stated, the numbers are rounded to thousands of Euros.</w:t>
      </w:r>
    </w:p>
    <w:p>
      <w:pPr>
        <w:spacing w:after="0" w:line="315" w:lineRule="exact"/>
        <w:rPr>
          <w:sz w:val="20"/>
          <w:szCs w:val="20"/>
          <w:color w:val="auto"/>
        </w:rPr>
      </w:pPr>
    </w:p>
    <w:p>
      <w:pPr>
        <w:ind w:left="760" w:hanging="644"/>
        <w:spacing w:after="0"/>
        <w:tabs>
          <w:tab w:leader="none" w:pos="7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30"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Basis of preparation</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consolidated financial statements have been prepared on a going concern basis in accordance with the IFRS as issued by the International Accounting Standards Board (IASB).</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BioNTech adopted IFRS for the first time on January 1, 2017 and therefore, an additional statement of financial position as of January 1, 2017 is presented in these consolidated financial statements due to the first-time adoption of IFRS.</w:t>
      </w:r>
    </w:p>
    <w:p>
      <w:pPr>
        <w:spacing w:after="0" w:line="31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Basis of consolidation</w:t>
      </w:r>
    </w:p>
    <w:p>
      <w:pPr>
        <w:spacing w:after="0" w:line="12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The consolidated financial statements comprise the financial statements of the Company and its controlled investees (subsidiaries) as at December 31,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controls an investee if, and only if, the Group has</w:t>
      </w:r>
    </w:p>
    <w:p>
      <w:pPr>
        <w:spacing w:after="0" w:line="131" w:lineRule="exact"/>
        <w:rPr>
          <w:sz w:val="20"/>
          <w:szCs w:val="20"/>
          <w:color w:val="auto"/>
        </w:rPr>
      </w:pPr>
    </w:p>
    <w:p>
      <w:pPr>
        <w:ind w:left="980" w:hanging="324"/>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power over the investee (</w:t>
      </w:r>
      <w:r>
        <w:rPr>
          <w:rFonts w:ascii="Arial" w:cs="Arial" w:eastAsia="Arial" w:hAnsi="Arial"/>
          <w:sz w:val="18"/>
          <w:szCs w:val="18"/>
          <w:i w:val="1"/>
          <w:iCs w:val="1"/>
          <w:color w:val="auto"/>
        </w:rPr>
        <w:t>i.e.</w:t>
      </w:r>
      <w:r>
        <w:rPr>
          <w:rFonts w:ascii="Arial" w:cs="Arial" w:eastAsia="Arial" w:hAnsi="Arial"/>
          <w:sz w:val="18"/>
          <w:szCs w:val="18"/>
          <w:color w:val="auto"/>
        </w:rPr>
        <w:t>, existing rights that give it the current ability to direct the relevant activities of the investee);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exposure, or rights, to variable returns from its involvement with the investee;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ability to use its power over the investee to affect its returns.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Generally, there is a presumption that a majority of voting rights results in control.</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Group re-assesses whether it controls an investee if facts and circumstances indicate that there are changes to one or more of the three elements of control. Consolidation of a subsidiary begins when the Group obtains control over the subsidiary and ceases when the Group loses control of the subsidiary. Assets, liabilities, income and expenses of a subsidiary acquired or disposed of during the year are included in the consolidated financial statements from the date the Group gains control of the subsidiary until the date the Group ceases to control the subsidiary.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statement of profit or loss and each component of other comprehensive income are attributed to the equity holders of the parent of the Group and to the non-controlling interests, even if this results in the non-controlling interests having a deficit balance. When necessary, adjustments are made to the financial statements of subsidiaries to bring their accounting policies in line with the Group’s accounting policies. All intra-group assets and liabilities, equity, income, expenses and cash flows relating to transactions between members of the Group are eliminated in full on consolidation.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change in the ownership interest of a subsidiary, without a loss of control, is accounted for as an equity transaction.</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the Group loses control over a subsidiary, it derecognizes the related assets (including goodwill), liabilities, non-controlling interests and other components of equity, while any resultant gain or loss is recognized in the statement of profit or loss. Any investment retained is recognized at fair value.</w:t>
      </w:r>
    </w:p>
    <w:p>
      <w:pPr>
        <w:spacing w:after="0" w:line="328"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31"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5"/>
          <w:szCs w:val="15"/>
          <w:b w:val="1"/>
          <w:bCs w:val="1"/>
          <w:color w:val="auto"/>
        </w:rPr>
        <w:t>Business combinations and goodwill</w:t>
      </w:r>
    </w:p>
    <w:p>
      <w:pPr>
        <w:spacing w:after="0" w:line="121" w:lineRule="exact"/>
        <w:rPr>
          <w:sz w:val="20"/>
          <w:szCs w:val="20"/>
          <w:color w:val="auto"/>
        </w:rPr>
      </w:pPr>
    </w:p>
    <w:p>
      <w:pPr>
        <w:jc w:val="both"/>
        <w:ind w:left="120" w:right="980" w:firstLine="440"/>
        <w:spacing w:after="0" w:line="342" w:lineRule="auto"/>
        <w:rPr>
          <w:sz w:val="20"/>
          <w:szCs w:val="20"/>
          <w:color w:val="auto"/>
        </w:rPr>
      </w:pPr>
      <w:r>
        <w:rPr>
          <w:rFonts w:ascii="Arial" w:cs="Arial" w:eastAsia="Arial" w:hAnsi="Arial"/>
          <w:sz w:val="16"/>
          <w:szCs w:val="16"/>
          <w:color w:val="auto"/>
        </w:rPr>
        <w:t>Business combinations are accounted for using the acquisition method. The cost of an acquisition is measured as the aggregate of the consideration transferred, which is measured at acquisition date fair value, and the amount of any non-controlling interests in the acquiree.</w:t>
      </w:r>
    </w:p>
    <w:p>
      <w:pPr>
        <w:spacing w:after="0" w:line="124" w:lineRule="exact"/>
        <w:rPr>
          <w:sz w:val="20"/>
          <w:szCs w:val="20"/>
          <w:color w:val="auto"/>
        </w:rPr>
      </w:pPr>
    </w:p>
    <w:p>
      <w:pPr>
        <w:ind w:left="120" w:right="1160" w:firstLine="440"/>
        <w:spacing w:after="0" w:line="342" w:lineRule="auto"/>
        <w:rPr>
          <w:sz w:val="20"/>
          <w:szCs w:val="20"/>
          <w:color w:val="auto"/>
        </w:rPr>
      </w:pPr>
      <w:r>
        <w:rPr>
          <w:rFonts w:ascii="Arial" w:cs="Arial" w:eastAsia="Arial" w:hAnsi="Arial"/>
          <w:sz w:val="16"/>
          <w:szCs w:val="16"/>
          <w:color w:val="auto"/>
        </w:rPr>
        <w:t>Goodwill is initially measured at cost as the excess of the aggregate of the consideration transferred and the amount recognized for non-controlling interests and any previous interest held over the net identifiable assets acquired and liabilities assumed.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initial recognition, goodwill is tested at least annually or when there is an indication for impairment. See Note 2.3.13.</w:t>
      </w:r>
    </w:p>
    <w:p>
      <w:pPr>
        <w:spacing w:after="0" w:line="37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Current versus non-current classifications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Group presents assets and liabilities in the consolidated statements of financial position based on current or non-current classification. An asset is current when it is either: (i) expected to be realized within 12 months after the reporting period or (ii) cash or cash equivalents, unless it is restricted from being exchanged or used to settle a liability for at least 12 months after the reporting period. All other assets are classified as non-current. A liability is current when it is due to be settled within 12 months after the reporting period. The Group classifies all other liabilities as non-current.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tax assets and liabilities are classified as non-current assets and liabilities, respectively.</w:t>
      </w:r>
    </w:p>
    <w:p>
      <w:pPr>
        <w:spacing w:after="0" w:line="37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Fair value measurement</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w:t>
      </w:r>
    </w:p>
    <w:p>
      <w:pPr>
        <w:spacing w:after="0" w:line="92" w:lineRule="exact"/>
        <w:rPr>
          <w:sz w:val="20"/>
          <w:szCs w:val="20"/>
          <w:color w:val="auto"/>
        </w:rPr>
      </w:pPr>
    </w:p>
    <w:p>
      <w:pPr>
        <w:ind w:left="980" w:hanging="324"/>
        <w:spacing w:after="0"/>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Level 1 contains the use of quoted prices in active markets for identical assets or liabilities.</w:t>
      </w:r>
    </w:p>
    <w:p>
      <w:pPr>
        <w:spacing w:after="0" w:line="13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Level 3 inputs are unobservable.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Within this hierarchy, estimated values are made by management based on reasonable assumptions, including other fair value methods.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assets and liabilities that are recognized in the financial statements at fair value on a recurring basis, the Group determines whether transfers have occurred between levels in the fair value hierarchy by re-assessing categorization (based on the lowest level input that is significant to the fair value measurement as a whole) at the end of each reporting period.</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the purpose of fair value disclosures, the Group has determined classes of assets and liabilities on the basis of the nature, characteristics and risks of the asset or liability and the level of the fair value hierarchy, as explained above.</w:t>
      </w:r>
    </w:p>
    <w:p>
      <w:pPr>
        <w:spacing w:after="0" w:line="31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5"/>
          <w:szCs w:val="15"/>
          <w:b w:val="1"/>
          <w:bCs w:val="1"/>
          <w:color w:val="auto"/>
        </w:rPr>
        <w:t>Revenue from contracts with customers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IFRS 15</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applying IFRS 15 effective January 1, 2017, the Group has used the following practical expedients permitted by the standard:</w:t>
      </w:r>
    </w:p>
    <w:p>
      <w:pPr>
        <w:spacing w:after="0" w:line="131" w:lineRule="exact"/>
        <w:rPr>
          <w:sz w:val="20"/>
          <w:szCs w:val="20"/>
          <w:color w:val="auto"/>
        </w:rPr>
      </w:pPr>
    </w:p>
    <w:p>
      <w:pPr>
        <w:ind w:left="980" w:right="180" w:hanging="324"/>
        <w:spacing w:after="0" w:line="277" w:lineRule="auto"/>
        <w:tabs>
          <w:tab w:leader="none" w:pos="9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for completed contracts that have variable consideration, the transaction price at the date the contract was completed was used rather than estimating variable consideration amounts; and</w:t>
      </w:r>
    </w:p>
    <w:p>
      <w:pPr>
        <w:spacing w:after="0" w:line="7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for contracts that were modified before the beginning of the earliest period presented, the aggregate effect of all of the modifications that occurred before the beginning of the earliest period presented were reflected.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Revenue from contracts with customers is recognized when control of the goods or services are transferred to the customer at an amount that reflects the consideration to which BioNTech expects to be entitled in exchange for those goods or services. If a contract with a customer contains more than one performance obligation, the transaction price is allocated to each performance obligation on a relative-stand-alone selling price basis. BioNTech has generally concluded that it acts as the principal in its revenue arrangements because it typically controls the goods or services before transferring them to the customer. The following is a description of these activities.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from collaboration and license agreements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BioNTech generates revenues from collaboration and license agreements under which BioNTech grants licenses to use, research, develop, manufacture and commercialize product candidates and products. If the grant of a license is bundled together with the rendering of services, it is assessed whether these agreements are comprised of more than one performance obligation. A performance obligation is only accounted for as the grant of a license if the grant of a license is the sole or the predominant promise of the performance obligation. For each promise to grant a license that is a separate performance obligation, it is considered whether control is transferred to a licensee either at a point in time or over time. Under the terms of its licensing arrangements, BioNTech provides the licensee with a right to access BioNTech’s intellectual property as it exists throughout the license period (as BioNTech’s intellectual property is still subject to further research). Therefore, the promise to grant a license is accounted for as a performance obligation satisfied over time, as the licensee simultaneously receives and consumes the benefits of BioNTech’s performance.</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If the consideration in an agreement includes a variable amount, BioNTech estimates the amount of consideration to which BioNTech will be entitled in exchange for transferring the goods to the customer. At contract inception, the variable consideration is estimated based on the most likely amount of consideration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9" w:right="51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86" w:lineRule="auto"/>
        <w:rPr>
          <w:sz w:val="20"/>
          <w:szCs w:val="20"/>
          <w:color w:val="auto"/>
        </w:rPr>
      </w:pPr>
      <w:r>
        <w:rPr>
          <w:rFonts w:ascii="Arial" w:cs="Arial" w:eastAsia="Arial" w:hAnsi="Arial"/>
          <w:sz w:val="17"/>
          <w:szCs w:val="17"/>
          <w:color w:val="auto"/>
        </w:rPr>
        <w:t>expected from the transaction and constrained until it is highly probable that a significant revenue reversal in the amount of cumulative revenue recognized will not occur when the associated uncertainty with respect the variable consideration is subsequently resolved. The estimated deferred revenue is updated at each reporting date to reflect the current facts and circumstances.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Rendering of services</w:t>
      </w:r>
    </w:p>
    <w:p>
      <w:pPr>
        <w:spacing w:after="0" w:line="121" w:lineRule="exact"/>
        <w:rPr>
          <w:sz w:val="20"/>
          <w:szCs w:val="20"/>
          <w:color w:val="auto"/>
        </w:rPr>
      </w:pPr>
    </w:p>
    <w:p>
      <w:pPr>
        <w:ind w:left="120" w:right="380" w:firstLine="440"/>
        <w:spacing w:after="0" w:line="296" w:lineRule="auto"/>
        <w:rPr>
          <w:sz w:val="20"/>
          <w:szCs w:val="20"/>
          <w:color w:val="auto"/>
        </w:rPr>
      </w:pPr>
      <w:r>
        <w:rPr>
          <w:rFonts w:ascii="Arial" w:cs="Arial" w:eastAsia="Arial" w:hAnsi="Arial"/>
          <w:sz w:val="16"/>
          <w:szCs w:val="16"/>
          <w:color w:val="auto"/>
        </w:rPr>
        <w:t>BioNTech provides development and manufacturing services to customers and recognizes revenue over time using an input-based method to measure progress toward complete satisfaction of the services because the customer simultaneously receives and consumes the benefits provided by BioNTech. If BioNTech has a right to consideration from a customer in the amount that corresponds directly with the value to the customer of BioNTech’s performance completed to date (for example, service contracts in which BioNTech bills a fixed amount for each hour or day of service provided), BioNTech recognizes revenue in the amount for which BioNTech has a right to invoice the customer.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products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Revenue from the sale of medical products (</w:t>
      </w:r>
      <w:r>
        <w:rPr>
          <w:rFonts w:ascii="Arial" w:cs="Arial" w:eastAsia="Arial" w:hAnsi="Arial"/>
          <w:sz w:val="16"/>
          <w:szCs w:val="16"/>
          <w:i w:val="1"/>
          <w:iCs w:val="1"/>
          <w:color w:val="auto"/>
        </w:rPr>
        <w:t>e.g</w:t>
      </w:r>
      <w:r>
        <w:rPr>
          <w:rFonts w:ascii="Arial" w:cs="Arial" w:eastAsia="Arial" w:hAnsi="Arial"/>
          <w:sz w:val="16"/>
          <w:szCs w:val="16"/>
          <w:color w:val="auto"/>
        </w:rPr>
        <w:t>., peptides and retroviral vectors for clinical supply) is recognized when BioNTech transfers control of the product to the customer. Control of the product normally transfers when the customer gains physical possession and BioNTech has not retained any significant risks of ownership or future obligations with respect to the product. A receivable is recognized, as the consideration is unconditional and only the passage of time is required before payment is due. The transaction price is quoted in the relevant price lists in force at the date of customer placing the respective order for such products. Payments from customers are due within 20 days (Europe) or 30 days (non-Europe) after invoice.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balances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assets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 contract asset is the right to consideration in exchange for goods or services transferred to the customer. If BioNTech performs by transferring goods or services to a customer before the customer pays consideration or before payment is due, a contract asset is recognized for the earned consideration that is conditional.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 receivables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 receivable represents BioNTech’s right to an amount of consideration that is unconditional (</w:t>
      </w:r>
      <w:r>
        <w:rPr>
          <w:rFonts w:ascii="Arial" w:cs="Arial" w:eastAsia="Arial" w:hAnsi="Arial"/>
          <w:sz w:val="18"/>
          <w:szCs w:val="18"/>
          <w:i w:val="1"/>
          <w:iCs w:val="1"/>
          <w:color w:val="auto"/>
        </w:rPr>
        <w:t>i.e</w:t>
      </w:r>
      <w:r>
        <w:rPr>
          <w:rFonts w:ascii="Arial" w:cs="Arial" w:eastAsia="Arial" w:hAnsi="Arial"/>
          <w:sz w:val="18"/>
          <w:szCs w:val="18"/>
          <w:color w:val="auto"/>
        </w:rPr>
        <w:t>., only the passage of time is required before payment of the consideration is due).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liabilities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contract liability is the obligation to transfer goods or services to a customer for which BioNTech has received consideration (or an amount of consideration is due) from the customer. If a customer pays consideration before BioNTech transfers goods or services to the customer, a contract liability is recognized when the payment is made or when the payment is due (whichever is earlier). Contract liabilities are recognized as revenue when BioNTech performs under the contract.</w:t>
      </w:r>
    </w:p>
    <w:p>
      <w:pPr>
        <w:spacing w:after="0" w:line="331"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Government grants</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Government grants are recognized where there is reasonable assurance that the grant will be received and all attached conditions will be complied with. When the grant relates to an expense item, it is recognized as income on a systematic basis over the periods that the related costs, for which the grant is intended to compensate, are expensed. When the grant relates to an asset, it is recognized as deduction in calculating the carrying amount of the asset and thus in the statement of profit or loss over the life of the depreciable asset as a reduced depreciation expense.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5"/>
          <w:szCs w:val="15"/>
          <w:b w:val="1"/>
          <w:bCs w:val="1"/>
          <w:color w:val="auto"/>
        </w:rPr>
        <w:t>Taxes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income tax</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Management periodically evaluates positions taken in the tax returns with respect to situations in which applicable tax regulations are subject to interpretation and establishes provisions where appropriate.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tax</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tax liabilities are recognized for all taxable temporary differences, except:</w:t>
      </w:r>
    </w:p>
    <w:p>
      <w:pPr>
        <w:spacing w:after="0" w:line="131" w:lineRule="exact"/>
        <w:rPr>
          <w:sz w:val="20"/>
          <w:szCs w:val="20"/>
          <w:color w:val="auto"/>
        </w:rPr>
      </w:pPr>
    </w:p>
    <w:p>
      <w:pPr>
        <w:ind w:left="980" w:right="380" w:hanging="324"/>
        <w:spacing w:after="0" w:line="277" w:lineRule="auto"/>
        <w:tabs>
          <w:tab w:leader="none" w:pos="9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or</w:t>
      </w:r>
    </w:p>
    <w:p>
      <w:pPr>
        <w:spacing w:after="0" w:line="75" w:lineRule="exact"/>
        <w:rPr>
          <w:rFonts w:ascii="Arial" w:cs="Arial" w:eastAsia="Arial" w:hAnsi="Arial"/>
          <w:sz w:val="18"/>
          <w:szCs w:val="18"/>
          <w:color w:val="auto"/>
        </w:rPr>
      </w:pPr>
    </w:p>
    <w:p>
      <w:pPr>
        <w:jc w:val="both"/>
        <w:ind w:left="980" w:right="140" w:hanging="324"/>
        <w:spacing w:after="0" w:line="263" w:lineRule="auto"/>
        <w:tabs>
          <w:tab w:leader="none" w:pos="9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respect of taxable temporary differences associated with investments in subsidiaries, associates and interests in joint arrangements, when the timing of the reversal of the temporary differences can be controlled and it is probable that the temporary differences will not reverse in the foreseeable future.</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Deferred tax assets are recognized for all deductible temporary differences, the carry forward of unused tax credits and any unused tax losses. Deferred tax assets are recognized to the extent that it is probable that taxable profit will be available against which the deductible temporary differences, the carry forward of unused tax credits and unused tax losses can be utilized, except:</w:t>
      </w:r>
    </w:p>
    <w:p>
      <w:pPr>
        <w:spacing w:after="0" w:line="89" w:lineRule="exact"/>
        <w:rPr>
          <w:sz w:val="20"/>
          <w:szCs w:val="20"/>
          <w:color w:val="auto"/>
        </w:rPr>
      </w:pPr>
    </w:p>
    <w:p>
      <w:pPr>
        <w:ind w:left="980" w:right="300" w:hanging="324"/>
        <w:spacing w:after="0" w:line="263" w:lineRule="auto"/>
        <w:tabs>
          <w:tab w:leader="none" w:pos="9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89" w:lineRule="exact"/>
        <w:rPr>
          <w:rFonts w:ascii="Arial" w:cs="Arial" w:eastAsia="Arial" w:hAnsi="Arial"/>
          <w:sz w:val="18"/>
          <w:szCs w:val="18"/>
          <w:color w:val="auto"/>
        </w:rPr>
      </w:pPr>
    </w:p>
    <w:p>
      <w:pPr>
        <w:ind w:left="980" w:right="260" w:hanging="324"/>
        <w:spacing w:after="0" w:line="263" w:lineRule="auto"/>
        <w:tabs>
          <w:tab w:leader="none" w:pos="9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 respect of deductible temporary differences associated with investments in subsidiaries, associates and interests in joint arrangements, deferred tax assets are recognized only to the extent that it is probable that the temporary differences will reverse in the foreseeable future and taxable profit will be available against which the temporary differences can be utilized.</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Deferred tax assets and liabilities are measured at the tax rates that are expected to apply in the year in which the asset is realized, or the liability is settled, based on tax rates (and tax laws) that have been enacted or substantively enacted at the reporting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tax items are recognized in relation to the underlying transaction either in other comprehensive income or directly in equity.</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Group offsets deferred tax assets and deferred tax liabilities only if it has a legally enforceable right to set off current tax assets and current tax liabilities and the deferred tax assets and deferred tax liabilities relate to income taxes levied by the same taxation authority on either (i) the same taxable entity or (ii)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tax</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Expenses and assets are recognized net of sales tax, except when the sales tax incurred on a purchase of assets or services is not recoverable from the taxation authority.</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net amount of sales tax recoverable from, or payable to, the taxation authority is included as part of receivables or payables in the statement of financial position.</w:t>
      </w:r>
    </w:p>
    <w:p>
      <w:pPr>
        <w:spacing w:after="0" w:line="31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5"/>
          <w:szCs w:val="15"/>
          <w:b w:val="1"/>
          <w:bCs w:val="1"/>
          <w:color w:val="auto"/>
        </w:rPr>
        <w:t>Foreign currencies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Group’s consolidated financial statements are presented in Euros, which is also the parent company’s functional currency. For each entity, the Group determines the functional currency, and items included in the financial statements of such entity are measured using that functional currency. The Group uses the direct method of consolidation and on disposal of a foreign operation, the gain or loss that is reclassified to the statement of profit or loss reflects the amount that arises from using this method.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and balances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Transactions in foreign currencies are initially recorded by the Group’s entities at their respective functional currency spot rates at the date the transaction first qualifies for recognition.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Non-monetary items that are measured in terms of historical cost in a foreign currency are translated using the exchange rates at the dates of the initial transactions.</w:t>
      </w:r>
    </w:p>
    <w:p>
      <w:pPr>
        <w:spacing w:after="0" w:line="170"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In determining the spot exchange rate to use on initial recognition of the related asset, expense or income (or part of it) on the derecognition of a non-monetary asset or non-monetary liability relating to advance consideration, the date of the transaction is the date on which the Group initially recognizes the non-monetary asset or non-monetary liability arising from the advance consideration. If there are multiple payments or receipts in advance, the Group determines the transaction date for each payment or receipt of advance consideration.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consolidation, the assets and liabilities of foreign operations are translated into Euros at the rate of exchange prevailing at the reporting date and their statements of profit or loss are translated at exchange rates prevailing at the dates of the transactions.</w:t>
      </w:r>
    </w:p>
    <w:p>
      <w:pPr>
        <w:spacing w:after="0" w:line="170"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The exchange differences arising on translation for consolidation are recognized in other comprehensive income. On disposal of a foreign operation, the component of other comprehensive income relating to that particular foreign operation is reclassified to profit or loss.</w:t>
      </w:r>
    </w:p>
    <w:p>
      <w:pPr>
        <w:spacing w:after="0" w:line="124"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Any goodwill arising on the acquisition of a foreign operation and any fair value adjustments to the carrying amounts of assets and liabilities arising upon the acquisition are treated as assets and liabilities of the foreign operation and translated at the spot rate of exchange at the reporting date.</w:t>
      </w:r>
    </w:p>
    <w:p>
      <w:pPr>
        <w:spacing w:after="0" w:line="268"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6"/>
          <w:szCs w:val="16"/>
          <w:b w:val="1"/>
          <w:bCs w:val="1"/>
          <w:color w:val="auto"/>
        </w:rPr>
        <w:t>Property, plant and equipment</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Construction in progress is stated at cost, net of accumulated impairment losses, if any. Property, plant and equipment are stated at cost, net of accumulated depreciation and accumulated impairment losses, if any. Such cost includes the cost of replacing part of the property, plant and equipment if the recognition criteria are met. All other repair and maintenance costs are expensed as incurred.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92"/>
              </w:rPr>
              <w:t>Property, plant and equipment</w:t>
            </w:r>
          </w:p>
        </w:tc>
        <w:tc>
          <w:tcPr>
            <w:tcW w:w="4960" w:type="dxa"/>
            <w:vAlign w:val="bottom"/>
            <w:vMerge w:val="restart"/>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auto"/>
            </w:tcBorders>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7-33</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Equipment, tools and installations</w:t>
            </w: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An item of property, plant and equipment initially recognized is derecognized upon disposal (</w:t>
      </w:r>
      <w:r>
        <w:rPr>
          <w:rFonts w:ascii="Arial" w:cs="Arial" w:eastAsia="Arial" w:hAnsi="Arial"/>
          <w:sz w:val="16"/>
          <w:szCs w:val="16"/>
          <w:i w:val="1"/>
          <w:iCs w:val="1"/>
          <w:color w:val="auto"/>
        </w:rPr>
        <w:t>i.e</w:t>
      </w:r>
      <w:r>
        <w:rPr>
          <w:rFonts w:ascii="Arial" w:cs="Arial" w:eastAsia="Arial" w:hAnsi="Arial"/>
          <w:sz w:val="16"/>
          <w:szCs w:val="16"/>
          <w:color w:val="auto"/>
        </w:rPr>
        <w:t>., at the date the recipient obtains control) or when no future economic benefits are expected from its use or disposal. Any gain or loss arising on derecognition of the asset (calculated as the difference between the net disposal proceeds and the carrying amount of the asset) is included in the statement of profit or loss when the asset is derecognized.</w:t>
      </w:r>
    </w:p>
    <w:p>
      <w:pPr>
        <w:spacing w:after="0" w:line="14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31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adopted IFRS 16 Leases for annual periods beginning on January 1, 2017.</w:t>
      </w:r>
    </w:p>
    <w:p>
      <w:pPr>
        <w:spacing w:after="0" w:line="22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At the inception of a contract, the Group assesses whether the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the Group assesses whether:</w:t>
      </w:r>
    </w:p>
    <w:p>
      <w:pPr>
        <w:spacing w:after="0" w:line="89" w:lineRule="exact"/>
        <w:rPr>
          <w:sz w:val="20"/>
          <w:szCs w:val="20"/>
          <w:color w:val="auto"/>
        </w:rPr>
      </w:pPr>
    </w:p>
    <w:p>
      <w:pPr>
        <w:ind w:left="980" w:hanging="324"/>
        <w:spacing w:after="0" w:line="263"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contract involves the use of an identified asset—this may be specified explicitly or implicitly and should be physically distinct or represent substantially all of the capacity of a physically distinct asset. If the supplier has a substantive substitution right, then the asset is not identified;</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Group has the right to obtain substantially all of the economic benefits from use of the asset throughout the period of use; and</w:t>
      </w:r>
    </w:p>
    <w:p>
      <w:pPr>
        <w:spacing w:after="0" w:line="142" w:lineRule="exact"/>
        <w:rPr>
          <w:rFonts w:ascii="Arial" w:cs="Arial" w:eastAsia="Arial" w:hAnsi="Arial"/>
          <w:sz w:val="17"/>
          <w:szCs w:val="17"/>
          <w:color w:val="auto"/>
        </w:rPr>
      </w:pPr>
    </w:p>
    <w:p>
      <w:pPr>
        <w:ind w:left="980" w:right="60" w:hanging="324"/>
        <w:spacing w:after="0" w:line="263"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Group has the right to direct the use of the asset. The Group has this right when it has the decision-making rights that are most relevant to changing how and for what purpose the asset is used. In rare cases where the decision about how and for what purpose the asset is used is predetermined, the Group has the right to direct the use of the asset if either:</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Group has the right to operate the asset;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Group designed the asset in a way that predetermines how and for what purpose it will be used.</w:t>
      </w:r>
    </w:p>
    <w:p>
      <w:pPr>
        <w:spacing w:after="0" w:line="225"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At inception or on reassessment of a contract that contains a lease component, the Group allocates the consideration in the contract to each lease component on the basis of their relative stand-alone prices. However, for the leases of land and buildings in which it is a lessee, the Group has elected not to separate non-lease components, and instead accounts for the lease and non-lease components as a single lease component.</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the costs to dismantle and remove the underlying asset or to restore the underlying asset or the site on which it is located, less any lease incentives received by the Group.</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right-of-use asset is subsequently depreciated using the straight-line method from the commencement date to the earlier of the end of the useful life of the right-of-use asset and the end of the lease term. The estimated useful lives of right-of-use assets are determined on the same basis as those of property and equipment. In addition, the right-of-use asset is periodically reduced by impairment losses, if any, and adjusted for certain remeasurements of the lease liability.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Lease payments included in the measurement of the lease liability comprise the following:</w:t>
      </w:r>
    </w:p>
    <w:p>
      <w:pPr>
        <w:spacing w:after="0" w:line="131" w:lineRule="exact"/>
        <w:rPr>
          <w:sz w:val="20"/>
          <w:szCs w:val="20"/>
          <w:color w:val="auto"/>
        </w:rPr>
      </w:pPr>
    </w:p>
    <w:p>
      <w:pPr>
        <w:ind w:left="980" w:hanging="324"/>
        <w:spacing w:after="0"/>
        <w:tabs>
          <w:tab w:leader="none" w:pos="9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fixed payments, including in-substance fixed payments;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variable lease payments that depend on an index or a rate, initially measured using the index or rate as of the commencement date;</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amounts expected to be payable under a residual value guarantee; and</w:t>
      </w:r>
    </w:p>
    <w:p>
      <w:pPr>
        <w:spacing w:after="0" w:line="130"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exercise price under a purchase option that the Group is reasonably certain to exercise, lease payments in an optional renewal period if the Group is reasonably certain to exercise an extension option, and penalties for early termination of a lease unless the Group is reasonably certain not to terminate early.</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lease liability is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a corresponding adjustment is made to the carrying amount of the right-of-use asset or is recorded in the statement of profit or loss if the carrying amount of the right-of-use asset has been reduced to zero.</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Group presents right-of-use assets in ‘property, plant and equipment’ and lease liabilities in ‘financial liabilities’ in the statement of financial position.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or shorter lease term,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87"/>
              </w:rPr>
              <w:t>Right-of-use assets</w:t>
            </w:r>
          </w:p>
        </w:tc>
        <w:tc>
          <w:tcPr>
            <w:tcW w:w="5700" w:type="dxa"/>
            <w:vAlign w:val="bottom"/>
            <w:vMerge w:val="restart"/>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1-25</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Equipment, tools and installations</w:t>
            </w: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Automobiles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Short-term leases and leases of low-value assets</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Group has elected not to recognize right-of-use assets and lease liabilities for short-term leases of machinery that have a lease term of 12 months or less or leases of low-value assets. The Group recognizes the lease payments associated with these leases as an expense in the statement of profit or loss on a straight-line basis over the lease term.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IFRS 16</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right-of-use assets are measured at the amount equal to the lease liability, adjusted by the amount of any prepaid or accrued lease payments relating to that lease.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applying IFRS 16 for the first time on January 1, 2017, the Group has used the following practical expedients permitted by the standard:</w:t>
      </w:r>
    </w:p>
    <w:p>
      <w:pPr>
        <w:spacing w:after="0" w:line="142" w:lineRule="exact"/>
        <w:rPr>
          <w:sz w:val="20"/>
          <w:szCs w:val="20"/>
          <w:color w:val="auto"/>
        </w:rPr>
      </w:pPr>
    </w:p>
    <w:p>
      <w:pPr>
        <w:ind w:left="5460" w:right="3200" w:hanging="4804"/>
        <w:spacing w:after="0" w:line="449" w:lineRule="auto"/>
        <w:tabs>
          <w:tab w:leader="none" w:pos="98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use of a single discount rate for a portfolio of leases with reasonably similar characteristics; F-15</w:t>
      </w:r>
    </w:p>
    <w:p>
      <w:pPr>
        <w:sectPr>
          <w:pgSz w:w="11900" w:h="16838" w:orient="portrait"/>
          <w:cols w:equalWidth="0" w:num="1">
            <w:col w:w="11040"/>
          </w:cols>
          <w:pgMar w:left="320" w:top="459" w:right="5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accounting for operating leases with a remaining lease term of less than 12 months as at January 1, 2017 as short-term leases;</w:t>
      </w:r>
    </w:p>
    <w:p>
      <w:pPr>
        <w:spacing w:after="0" w:line="142" w:lineRule="exact"/>
        <w:rPr>
          <w:rFonts w:ascii="Arial" w:cs="Arial" w:eastAsia="Arial" w:hAnsi="Arial"/>
          <w:sz w:val="17"/>
          <w:szCs w:val="17"/>
          <w:color w:val="auto"/>
        </w:rPr>
      </w:pPr>
    </w:p>
    <w:p>
      <w:pPr>
        <w:ind w:left="980" w:hanging="324"/>
        <w:spacing w:after="0"/>
        <w:tabs>
          <w:tab w:leader="none" w:pos="9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exclusion of initial direct costs for the measurement of the right-of-use asset at the date of initial application;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use of hindsight in determining the lease term where the contract contains options to extend or terminate the lease.</w:t>
      </w:r>
    </w:p>
    <w:p>
      <w:pPr>
        <w:spacing w:after="0" w:line="37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2.3.10</w:t>
      </w:r>
      <w:r>
        <w:rPr>
          <w:sz w:val="20"/>
          <w:szCs w:val="20"/>
          <w:color w:val="auto"/>
        </w:rPr>
        <w:tab/>
      </w:r>
      <w:r>
        <w:rPr>
          <w:rFonts w:ascii="Arial" w:cs="Arial" w:eastAsia="Arial" w:hAnsi="Arial"/>
          <w:sz w:val="15"/>
          <w:szCs w:val="15"/>
          <w:b w:val="1"/>
          <w:bCs w:val="1"/>
          <w:color w:val="auto"/>
        </w:rPr>
        <w:t>Intangible assets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Intangible assets acquired separately are measured on initial recognition at cost. The cost of intangible assets acquired in a business combination is their fair value at the date of acquisition. Following initial recognition, intangible assets are carried at cost less any accumulated amortization and accumulated impairment losses.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useful lives of intangible assets are assessed as either finite or indefinite.</w:t>
      </w:r>
    </w:p>
    <w:p>
      <w:pPr>
        <w:spacing w:after="0" w:line="225"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Intangible assets with finite lives are amortized generally on a straight-line basis over the useful economic life and assessed for impairment whenever there is an indication that the intangible asset may be impaired. The amortization period and the amortization method for an intangible asset with a finite useful life are at least reviewed at the end of each reporting period. The amortization expense on intangible assets with finite lives is recognized in the statement of profit or loss in the expense category that is consistent with the function of the intangible assets.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useful lives applied to the Group’s intangible assets is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89"/>
              </w:rPr>
              <w:t>Intangible assets</w:t>
            </w:r>
          </w:p>
        </w:tc>
        <w:tc>
          <w:tcPr>
            <w:tcW w:w="5820" w:type="dxa"/>
            <w:vAlign w:val="bottom"/>
            <w:vMerge w:val="restart"/>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Industrial property rights</w:t>
            </w:r>
          </w:p>
        </w:tc>
        <w:tc>
          <w:tcPr>
            <w:tcW w:w="62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Licenses</w:t>
            </w:r>
          </w:p>
        </w:tc>
        <w:tc>
          <w:tcPr>
            <w:tcW w:w="620" w:type="dxa"/>
            <w:vAlign w:val="bottom"/>
          </w:tcPr>
          <w:p>
            <w:pPr>
              <w:jc w:val="right"/>
              <w:ind w:right="59"/>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Intangible assets with indefinite useful lives are not amortized, but are tested for impairment annually, either individually or at the level of a cash-generating unit. The assessment of indefinite life is reviewed annually to determine whether the indefinite life continues to be supportable. If not, the change in useful life from indefinite to finite is made on a prospective basis.</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group has classified advanced payments on intangible assets as intangible assets with an indefinite useful live. Advanced payments on intangible assets are tested for impairment on an annual basis.</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An intangible asset is derecognized upon disposal (</w:t>
      </w:r>
      <w:r>
        <w:rPr>
          <w:rFonts w:ascii="Arial" w:cs="Arial" w:eastAsia="Arial" w:hAnsi="Arial"/>
          <w:sz w:val="18"/>
          <w:szCs w:val="18"/>
          <w:i w:val="1"/>
          <w:iCs w:val="1"/>
          <w:color w:val="auto"/>
        </w:rPr>
        <w:t>i.e</w:t>
      </w:r>
      <w:r>
        <w:rPr>
          <w:rFonts w:ascii="Arial" w:cs="Arial" w:eastAsia="Arial" w:hAnsi="Arial"/>
          <w:sz w:val="18"/>
          <w:szCs w:val="18"/>
          <w:color w:val="auto"/>
        </w:rPr>
        <w:t>.,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statement of profit or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Research costs are expensed as incurred. Development expenditures on an individual project are recognized as an intangible asset when the Group can demonstrate:</w:t>
      </w:r>
    </w:p>
    <w:p>
      <w:pPr>
        <w:spacing w:after="0" w:line="76" w:lineRule="exact"/>
        <w:rPr>
          <w:sz w:val="20"/>
          <w:szCs w:val="20"/>
          <w:color w:val="auto"/>
        </w:rPr>
      </w:pPr>
    </w:p>
    <w:p>
      <w:pPr>
        <w:ind w:left="980" w:hanging="324"/>
        <w:spacing w:after="0"/>
        <w:tabs>
          <w:tab w:leader="none" w:pos="9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technical feasibility of completing the intangible asset so that the asset will be available for use or sale;</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its intention to complete and its ability and intention to use or sell the asset;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how the asset will generate future economic benefits;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availability of resources to complete the asset;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ability to reliably measure the expenditure during development.</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Group has not capitalized any development expenditures. The related expenditure is reflected in the statement of profit or loss in the period in which the expenditure is incurred.</w:t>
      </w:r>
    </w:p>
    <w:p>
      <w:pPr>
        <w:spacing w:after="0" w:line="31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2.3.11</w:t>
      </w:r>
      <w:r>
        <w:rPr>
          <w:sz w:val="20"/>
          <w:szCs w:val="20"/>
          <w:color w:val="auto"/>
        </w:rPr>
        <w:tab/>
      </w:r>
      <w:r>
        <w:rPr>
          <w:rFonts w:ascii="Arial" w:cs="Arial" w:eastAsia="Arial" w:hAnsi="Arial"/>
          <w:sz w:val="16"/>
          <w:szCs w:val="16"/>
          <w:b w:val="1"/>
          <w:bCs w:val="1"/>
          <w:color w:val="auto"/>
        </w:rPr>
        <w:t>Financial instruments – initial recognition and subsequent measurement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financial instrument is any contract that gives rise to a financial asset of one entity and a financial liability or equity instrument of another entity.</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 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Financial assets are initially measured at fair value, after the initial measurement the financial assets are subsequently classified as either measured at amortized cost, fair value through other comprehensive income, or fair value through profit or loss.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With the exception of trade receivables that do not contain a significant financing component or for which the Group has applied the practical expedient, the Group initially measures a financial asset at its fair value plus, in the case of a financial asset not at fair value through profit or loss, transaction costs. Trade receivables that do not contain a significant financing component or for which the Group has applied the practical expedient are measured at the transaction price determined under IFRS 15. Refer to the accounting policies in Note 2.3.4.</w:t>
      </w:r>
    </w:p>
    <w:p>
      <w:pPr>
        <w:spacing w:after="0" w:line="16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In order for a financial asset to be classified and measured at amortized cost or fair value through OCI, it needs to give rise to cash flows that are ‘solely payments of principal and interest (SPPI)’ on the principal amount outstanding. This assessment is referred to as the SPPI test and is performed at an instrument level.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Subsequent measurement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subsequent measurement, financial assets are classified into four categories:</w:t>
      </w:r>
    </w:p>
    <w:p>
      <w:pPr>
        <w:spacing w:after="0" w:line="131" w:lineRule="exact"/>
        <w:rPr>
          <w:sz w:val="20"/>
          <w:szCs w:val="20"/>
          <w:color w:val="auto"/>
        </w:rPr>
      </w:pPr>
    </w:p>
    <w:p>
      <w:pPr>
        <w:ind w:left="980" w:hanging="324"/>
        <w:spacing w:after="0"/>
        <w:tabs>
          <w:tab w:leader="none" w:pos="9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financial assets at amortized cost (debt instruments);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financial assets at fair value through other comprehensive income with recycling of cumulative gains and losses (debt instruments);</w:t>
      </w:r>
    </w:p>
    <w:p>
      <w:pPr>
        <w:spacing w:after="0" w:line="142" w:lineRule="exact"/>
        <w:rPr>
          <w:rFonts w:ascii="Arial" w:cs="Arial" w:eastAsia="Arial" w:hAnsi="Arial"/>
          <w:sz w:val="17"/>
          <w:szCs w:val="17"/>
          <w:color w:val="auto"/>
        </w:rPr>
      </w:pPr>
    </w:p>
    <w:p>
      <w:pPr>
        <w:ind w:left="980" w:right="660" w:hanging="324"/>
        <w:spacing w:after="0" w:line="277" w:lineRule="auto"/>
        <w:tabs>
          <w:tab w:leader="none" w:pos="9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financial assets designated at fair value through other comprehensive income with no recycling of cumulative gains and losses upon derecognition (equity instruments); or</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assets at amortized cost (debt instruments)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measures financial assets at amortized cost if both of the following conditions are met:</w:t>
      </w:r>
    </w:p>
    <w:p>
      <w:pPr>
        <w:spacing w:after="0" w:line="131" w:lineRule="exact"/>
        <w:rPr>
          <w:sz w:val="20"/>
          <w:szCs w:val="20"/>
          <w:color w:val="auto"/>
        </w:rPr>
      </w:pPr>
    </w:p>
    <w:p>
      <w:pPr>
        <w:ind w:left="980" w:hanging="324"/>
        <w:spacing w:after="0"/>
        <w:tabs>
          <w:tab w:leader="none" w:pos="98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financial asset is held within a business model with the objective to hold financial assets in order to collect contractual cash flows; and</w:t>
      </w:r>
    </w:p>
    <w:p>
      <w:pPr>
        <w:spacing w:after="0" w:line="153" w:lineRule="exact"/>
        <w:rPr>
          <w:rFonts w:ascii="Arial" w:cs="Arial" w:eastAsia="Arial" w:hAnsi="Arial"/>
          <w:sz w:val="16"/>
          <w:szCs w:val="16"/>
          <w:color w:val="auto"/>
        </w:rPr>
      </w:pPr>
    </w:p>
    <w:p>
      <w:pPr>
        <w:ind w:left="980" w:right="100" w:hanging="324"/>
        <w:spacing w:after="0" w:line="277" w:lineRule="auto"/>
        <w:tabs>
          <w:tab w:leader="none" w:pos="9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contractual terms of the financial asset give rise on specified dates to cash flows that are solely payments of principal and interest on the principal amount outstanding.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Financial assets at amortized cost are subsequently measured using the effective interest (EIR) method, and are subject to impairment. Gains and losses are recognized in the statement of profit or loss when the asset is derecognized, modified or impaired.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Derecognition</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primarily derecognized (</w:t>
      </w:r>
      <w:r>
        <w:rPr>
          <w:rFonts w:ascii="Arial" w:cs="Arial" w:eastAsia="Arial" w:hAnsi="Arial"/>
          <w:sz w:val="18"/>
          <w:szCs w:val="18"/>
          <w:i w:val="1"/>
          <w:iCs w:val="1"/>
          <w:color w:val="auto"/>
        </w:rPr>
        <w:t>i.e.</w:t>
      </w:r>
      <w:r>
        <w:rPr>
          <w:rFonts w:ascii="Arial" w:cs="Arial" w:eastAsia="Arial" w:hAnsi="Arial"/>
          <w:sz w:val="18"/>
          <w:szCs w:val="18"/>
          <w:color w:val="auto"/>
        </w:rPr>
        <w:t>, removed from the Group’s consolidated statement of financial position) when:</w:t>
      </w:r>
    </w:p>
    <w:p>
      <w:pPr>
        <w:spacing w:after="0" w:line="76" w:lineRule="exact"/>
        <w:rPr>
          <w:sz w:val="20"/>
          <w:szCs w:val="20"/>
          <w:color w:val="auto"/>
        </w:rPr>
      </w:pPr>
    </w:p>
    <w:p>
      <w:pPr>
        <w:ind w:left="980" w:hanging="324"/>
        <w:spacing w:after="0"/>
        <w:tabs>
          <w:tab w:leader="none" w:pos="9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 or</w:t>
      </w:r>
    </w:p>
    <w:p>
      <w:pPr>
        <w:spacing w:after="0" w:line="130" w:lineRule="exact"/>
        <w:rPr>
          <w:rFonts w:ascii="Arial" w:cs="Arial" w:eastAsia="Arial" w:hAnsi="Arial"/>
          <w:sz w:val="18"/>
          <w:szCs w:val="18"/>
          <w:color w:val="auto"/>
        </w:rPr>
      </w:pPr>
    </w:p>
    <w:p>
      <w:pPr>
        <w:ind w:left="980" w:right="40" w:hanging="324"/>
        <w:spacing w:after="0" w:line="259" w:lineRule="auto"/>
        <w:tabs>
          <w:tab w:leader="none" w:pos="9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Group has transferred its rights to receive cash flows from the asset or has assumed an obligation to pay the received cash flows in full without material delay to a third party under a ‘pass-through’ arrangement; and either (i) the Group has transferred substantially all the risks and rewards of the asset, or (ii) the Group has neither transferred nor retained substantially all the risks and rewards of the asset, but has transferred control of the asset.</w:t>
      </w:r>
    </w:p>
    <w:p>
      <w:pPr>
        <w:spacing w:after="0" w:line="18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When the Group has transferred its rights to receive cash flows from an asset it evaluates if, and to what extent, it has retained the risks and rewards of ownership. When it has neither transferred nor retained substantially all of the risks and rewards of the asset, nor transferred control of the asset, the Group continues to recognize the transferred asset to the extent of its continuing involvement. In that case, the Group also recognizes an associated liability. The transferred asset and the associated liability are measured on a basis that reflects the rights and obligations that the Group has retained.</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Continuing involvement that takes the form of a guarantee over the transferred asset is measured at the lower of the original carrying amount of the asset and the maximum amount of consideration that the Group could be required to repay.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of financial assets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 allowance for expected credit losses (ECLs) should be recognized for all debt instruments not held at fair value through profit or loss. ECLs are based on the difference between the contractual cash flows due in accordance with the contract and all of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8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For trade receivables and contract assets, the Group applies a simplified approach in calculating ECLs. Therefore,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Group considers a financial asset in default when contractual payments are 180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ii) Financial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Financial liabilities are classified, at initial recognition, as financial liabilities at fair value through profit or loss, loans and borrowings or as payables.</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All financial liabilities are recognized initially at fair value and, in the case of loans and borrowings and payables, net of directly attributable transaction costs.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Group’s financial liabilities include trade payables and other financial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Subsequent measurement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measurement of financial liabilities depends on their classification, as described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 at fair value through profit or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has no financial liabilities measured at fair value through profit or loss.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borrowings, trade payables and other financial liabilities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After initial recognition, interest-bearing loans and borrowings, trade payables and other financial liabilities are subsequently measured at amortized cost using the EIR method. Gains and losses are recognized in the statement of profit or loss when the liabilities are derecognized as well as through the EIR amortization process.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Amortized cost is calculated by taking into account any discount or premium on acquisition and fees or costs that are an integral part of the EIR.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EIR amortization is included as finance costs in the statement of profit or loss.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category generally applies to interest-bearing loans and borrowings.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Derecognition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difference in the respective carrying amounts is recognized in the statement of profit or loss.</w:t>
      </w:r>
    </w:p>
    <w:p>
      <w:pPr>
        <w:spacing w:after="0" w:line="331"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2.3.12</w:t>
      </w:r>
      <w:r>
        <w:rPr>
          <w:sz w:val="20"/>
          <w:szCs w:val="20"/>
          <w:color w:val="auto"/>
        </w:rPr>
        <w:tab/>
      </w:r>
      <w:r>
        <w:rPr>
          <w:rFonts w:ascii="Arial" w:cs="Arial" w:eastAsia="Arial" w:hAnsi="Arial"/>
          <w:sz w:val="16"/>
          <w:szCs w:val="16"/>
          <w:b w:val="1"/>
          <w:bCs w:val="1"/>
          <w:color w:val="auto"/>
        </w:rPr>
        <w:t>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are valued at the lower of cost and net realizable value.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Costs incurred in bringing each product to its present location and condition are accounted for as follows:</w:t>
      </w:r>
    </w:p>
    <w:p>
      <w:pPr>
        <w:spacing w:after="0" w:line="131" w:lineRule="exact"/>
        <w:rPr>
          <w:sz w:val="20"/>
          <w:szCs w:val="20"/>
          <w:color w:val="auto"/>
        </w:rPr>
      </w:pPr>
    </w:p>
    <w:p>
      <w:pPr>
        <w:ind w:left="980" w:hanging="324"/>
        <w:spacing w:after="0"/>
        <w:tabs>
          <w:tab w:leader="none" w:pos="9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raw materials and supplies: purchase cost on a first-in/first-out basis; or</w:t>
      </w:r>
    </w:p>
    <w:p>
      <w:pPr>
        <w:spacing w:after="0" w:line="130"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unfinished goods and services and finished goods and services: cost of direct materials and labor and a proportion of manufacturing overheads based on the normal operating capacity, but excluding borrowing costs.</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Net realizable value is the estimated selling price in the ordinary course of business, less estimated costs of completion and the estimated costs necessary to make the sale.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9" w:right="49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2.3.13</w:t>
      </w:r>
      <w:r>
        <w:rPr>
          <w:sz w:val="20"/>
          <w:szCs w:val="20"/>
          <w:color w:val="auto"/>
        </w:rPr>
        <w:tab/>
      </w:r>
      <w:r>
        <w:rPr>
          <w:rFonts w:ascii="Arial" w:cs="Arial" w:eastAsia="Arial" w:hAnsi="Arial"/>
          <w:sz w:val="16"/>
          <w:szCs w:val="16"/>
          <w:b w:val="1"/>
          <w:bCs w:val="1"/>
          <w:color w:val="auto"/>
        </w:rPr>
        <w:t>Impairment of non-financial assets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 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cash generating unit exceeds its recoverable amount, the asset is considered impaired and is written down to its recoverable amount.</w:t>
      </w:r>
    </w:p>
    <w:p>
      <w:pPr>
        <w:spacing w:after="0" w:line="16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Group bases its impairment calculation on detailed budgets and forecast calculations, which are prepared separately for each of the Group’s cash generating units to which the individual assets are allocated. These budgets and forecast calculations generally cover a period of five years. A long-term growth rate is calculated and applied to project future cash flows after the fifth year.</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Impairment losses of continuing operations are recognized in the statement of profit or loss in expense categories consistent with the function of the impaired asset.</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For assets excluding goodwill, an assessment is made at each reporting date to determine whether there is an indication that previously recognized impairment losses no longer exist or have decreased. If such indication exists, the Group estimates the asset’s or cash generating unit’s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profit or loss unless the asset is carried at a revalued amount, in which case, the reversal is treated as a revaluation increase.</w:t>
      </w:r>
    </w:p>
    <w:p>
      <w:pPr>
        <w:spacing w:after="0" w:line="322"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2.3.14</w:t>
      </w:r>
      <w:r>
        <w:rPr>
          <w:sz w:val="20"/>
          <w:szCs w:val="20"/>
          <w:color w:val="auto"/>
        </w:rPr>
        <w:tab/>
      </w:r>
      <w:r>
        <w:rPr>
          <w:rFonts w:ascii="Arial" w:cs="Arial" w:eastAsia="Arial" w:hAnsi="Arial"/>
          <w:sz w:val="15"/>
          <w:szCs w:val="15"/>
          <w:b w:val="1"/>
          <w:bCs w:val="1"/>
          <w:color w:val="auto"/>
        </w:rPr>
        <w:t>Cash and cash equivalents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Cash and cash equivalents comprise cash in banks and on hand and short-term deposits with an original maturity of three months or less, which are subject to an insignificant risk of changes in value.</w:t>
      </w:r>
    </w:p>
    <w:p>
      <w:pPr>
        <w:spacing w:after="0" w:line="31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2.3.15</w:t>
      </w:r>
      <w:r>
        <w:rPr>
          <w:sz w:val="20"/>
          <w:szCs w:val="20"/>
          <w:color w:val="auto"/>
        </w:rPr>
        <w:tab/>
      </w:r>
      <w:r>
        <w:rPr>
          <w:rFonts w:ascii="Arial" w:cs="Arial" w:eastAsia="Arial" w:hAnsi="Arial"/>
          <w:sz w:val="15"/>
          <w:szCs w:val="15"/>
          <w:b w:val="1"/>
          <w:bCs w:val="1"/>
          <w:color w:val="auto"/>
        </w:rPr>
        <w:t>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profit or loss net of any reimbursement.</w:t>
      </w:r>
    </w:p>
    <w:p>
      <w:pPr>
        <w:spacing w:after="0" w:line="332"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2.3.16</w:t>
      </w:r>
      <w:r>
        <w:rPr>
          <w:sz w:val="20"/>
          <w:szCs w:val="20"/>
          <w:color w:val="auto"/>
        </w:rPr>
        <w:tab/>
      </w:r>
      <w:r>
        <w:rPr>
          <w:rFonts w:ascii="Arial" w:cs="Arial" w:eastAsia="Arial" w:hAnsi="Arial"/>
          <w:sz w:val="15"/>
          <w:szCs w:val="15"/>
          <w:b w:val="1"/>
          <w:bCs w:val="1"/>
          <w:color w:val="auto"/>
        </w:rPr>
        <w:t>Share-based payments</w:t>
      </w:r>
    </w:p>
    <w:p>
      <w:pPr>
        <w:spacing w:after="0" w:line="12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Employees (and others providing similar services) receive remuneration in the form of share-based payments. Furthermore, employees and others providing similar services to the group are granted share appreciation rights, which are settled in cash (cash-settled transactions).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Equity-settled transactions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cost of equity-settled transactions is determined by the fair value at the date when the grant is made using an appropriate valuation model, further details of which are given in Note 16.</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These costs are recognized in Research and development expenses, Sales and marketing expenses or General and administrative expenses, together with a corresponding increase in equity (other capital reserves), over the period in which the service is provided (the vesting period).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Cash-settled transactions</w:t>
      </w:r>
    </w:p>
    <w:p>
      <w:pPr>
        <w:spacing w:after="0" w:line="121"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A liability is recognized for the fair value of cash-settled transactions. The fair value is measured initially and at each reporting date up to and including the settlement date, with changes in fair value recognized in Research and development expenses, Sales and marketing expenses or General and administrative expenses. The fair value is expensed over the period until the vesting date with recognition of a corresponding liability.</w:t>
      </w:r>
    </w:p>
    <w:p>
      <w:pPr>
        <w:spacing w:after="0" w:line="293"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First-time adoption of IFRS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These financial statements, for the year ended December 31, 2018, are the first the Group has prepared in accordance with IFRS. For periods up to and including the year ended December 31, 2017, the Group prepared its financial statements in accordance with German GAAP as local generally accepted accounting principles.</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Accordingly, the Group has prepared financial statements that comply with IFRS applicable as at December 31, 2018 and the early adoption of IFRS 16 Leases, together with the comparative period data for the year ended December 31, 2017, as described in the summary of significant accounting policies. In preparing the financial statements, the Group’s opening statement of financial position was prepared as at 1 January 2017, the Group’s date of transition to IFRS. The principal adjustments made by the Group in restating its German GAAP financial statements, including the statement of financial position as at 1 January 2017 and the financial statements for the year ended December 31, 2017 as described below.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Exemptions applied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IFRS 1 allows first-time adopters certain exemptions from the retrospective application of certain requirements under IFRS.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has applied the following exemptions:</w:t>
      </w:r>
    </w:p>
    <w:p>
      <w:pPr>
        <w:spacing w:after="0" w:line="131" w:lineRule="exact"/>
        <w:rPr>
          <w:sz w:val="20"/>
          <w:szCs w:val="20"/>
          <w:color w:val="auto"/>
        </w:rPr>
      </w:pPr>
    </w:p>
    <w:p>
      <w:pPr>
        <w:ind w:left="980" w:right="100" w:hanging="324"/>
        <w:spacing w:after="0" w:line="273" w:lineRule="auto"/>
        <w:tabs>
          <w:tab w:leader="none" w:pos="9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IFRS 3 Business Combinations has not been applied to either acquisitions of subsidiaries that are considered businesses under IFRS, or acquisitions of interests in associates and joint ventures that occurred before January 1, 2017. Use of this exemption means that the German GAAP carrying amounts of assets and liabilities, which are required to be recognized under IFRS, is their deemed cost at the date of the acquisition. After the date of the acquisition, measurement is in accordance with IFRS. Assets and liabilities that do not qualify for recognition under IFRS are excluded from the opening IFRS statement of financial position. The Group did not recognize or exclude any previously recognized amounts as a result of IFRS recognition requirements.</w:t>
      </w:r>
    </w:p>
    <w:p>
      <w:pPr>
        <w:spacing w:after="0" w:line="83" w:lineRule="exact"/>
        <w:rPr>
          <w:rFonts w:ascii="Arial" w:cs="Arial" w:eastAsia="Arial" w:hAnsi="Arial"/>
          <w:sz w:val="17"/>
          <w:szCs w:val="17"/>
          <w:color w:val="auto"/>
        </w:rPr>
      </w:pPr>
    </w:p>
    <w:p>
      <w:pPr>
        <w:jc w:val="both"/>
        <w:ind w:left="980" w:right="80" w:hanging="324"/>
        <w:spacing w:after="0" w:line="311" w:lineRule="auto"/>
        <w:tabs>
          <w:tab w:leader="none" w:pos="9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IFRS 1 also requires that the German GAAP carrying amount of goodwill is used in the opening IFRS statement of financial position (apart from adjustments for goodwill impairment and recognition or derecognition of intangible assets). In accordance with IFRS 1, the Group has tested goodwill for impairment at the date of transition to IFRS. No goodwill impairment was deemed necessary at January 1, 2017.</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line="271" w:lineRule="auto"/>
        <w:tabs>
          <w:tab w:leader="none" w:pos="98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BioNTech measures the lease liability under IFRS 16 for all leases at the date of transition to IFRS. The lease liability is measured at the present value of the remaining lease payments, discounted using BioNTech’s incremental borrowing rate at the date of transition to IFRS. The right-of-use asset is measured at cost, which consists of the present value of the unpaid lease payments, adjusted for any initial direct costs, prepaid payments or dismantling costs. The Group applies a single discount rate to a portfolio of leases with reasonably similar characteristics. The Group elects not to apply the requirements for lease liabilities and right-of-use assets as described above to leases for which the lease term ends within 12 months of the transition to IFRSs, and BioNTech elects to exclude initial direct costs from measurement of the right-of-use asset at the date of transition to IFRSs and the use of hindsight, in determining the lease term if the contract contains options to extend or terminate the lease.</w:t>
      </w:r>
    </w:p>
    <w:p>
      <w:pPr>
        <w:spacing w:after="0" w:line="83" w:lineRule="exact"/>
        <w:rPr>
          <w:rFonts w:ascii="Arial" w:cs="Arial" w:eastAsia="Arial" w:hAnsi="Arial"/>
          <w:sz w:val="17"/>
          <w:szCs w:val="17"/>
          <w:color w:val="auto"/>
        </w:rPr>
      </w:pPr>
    </w:p>
    <w:p>
      <w:pPr>
        <w:ind w:left="980" w:hanging="324"/>
        <w:spacing w:after="0"/>
        <w:tabs>
          <w:tab w:leader="none" w:pos="9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Cumulative currency translation differences for all foreign operations are deemed to be zero as at January 1, 2017.</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Estimates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estimates at January 1, 2017 and at December 31, 2017 are consistent with those made for the same dates in accordance with German GAAP (after adjustments to reflect any differences in accounting policies).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differences between German GAAP and IFRS as of January 1, 2017 were as follows: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w w:val="98"/>
              </w:rPr>
              <w:t>German GAAP</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rPr>
              <w:t>IFRS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61"/>
              <w:spacing w:after="0" w:line="149" w:lineRule="exact"/>
              <w:rPr>
                <w:sz w:val="20"/>
                <w:szCs w:val="20"/>
                <w:color w:val="auto"/>
              </w:rPr>
            </w:pPr>
            <w:r>
              <w:rPr>
                <w:rFonts w:ascii="Arial" w:cs="Arial" w:eastAsia="Arial" w:hAnsi="Arial"/>
                <w:sz w:val="14"/>
                <w:szCs w:val="14"/>
                <w:b w:val="1"/>
                <w:bCs w:val="1"/>
                <w:color w:val="auto"/>
                <w:w w:val="90"/>
              </w:rPr>
              <w:t>Year 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Note</w:t>
            </w:r>
          </w:p>
        </w:tc>
        <w:tc>
          <w:tcPr>
            <w:tcW w:w="1280" w:type="dxa"/>
            <w:vAlign w:val="bottom"/>
            <w:gridSpan w:val="3"/>
          </w:tcPr>
          <w:p>
            <w:pPr>
              <w:jc w:val="center"/>
              <w:ind w:right="2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260" w:type="dxa"/>
            <w:vAlign w:val="bottom"/>
          </w:tcPr>
          <w:p>
            <w:pPr>
              <w:spacing w:after="0"/>
              <w:rPr>
                <w:sz w:val="12"/>
                <w:szCs w:val="12"/>
                <w:color w:val="auto"/>
              </w:rPr>
            </w:pPr>
          </w:p>
        </w:tc>
        <w:tc>
          <w:tcPr>
            <w:tcW w:w="94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G, F</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87,741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(26,143)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tcPr>
          <w:p>
            <w:pPr>
              <w:spacing w:after="0"/>
              <w:rPr>
                <w:sz w:val="18"/>
                <w:szCs w:val="18"/>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8"/>
                <w:szCs w:val="18"/>
                <w:color w:val="auto"/>
              </w:rPr>
              <w:t>I</w:t>
            </w:r>
          </w:p>
        </w:tc>
        <w:tc>
          <w:tcPr>
            <w:tcW w:w="1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(11,472)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1"/>
              <w:spacing w:after="0"/>
              <w:rPr>
                <w:sz w:val="20"/>
                <w:szCs w:val="20"/>
                <w:color w:val="auto"/>
              </w:rPr>
            </w:pPr>
            <w:r>
              <w:rPr>
                <w:rFonts w:ascii="Arial" w:cs="Arial" w:eastAsia="Arial" w:hAnsi="Arial"/>
                <w:sz w:val="18"/>
                <w:szCs w:val="18"/>
                <w:color w:val="auto"/>
              </w:rPr>
              <w:t>2,154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76,269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w w:val="95"/>
              </w:rPr>
              <w:t>(23,989)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52,280</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spacing w:after="0"/>
              <w:rPr>
                <w:sz w:val="19"/>
                <w:szCs w:val="19"/>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J</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(91,342)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(85,496)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B, K</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(12,355)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5,752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Pr>
          <w:p>
            <w:pPr>
              <w:spacing w:after="0"/>
              <w:rPr>
                <w:sz w:val="18"/>
                <w:szCs w:val="18"/>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B, K</w:t>
            </w:r>
          </w:p>
        </w:tc>
        <w:tc>
          <w:tcPr>
            <w:tcW w:w="1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(18,176)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(5,344)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6"/>
              </w:rPr>
              <w:t>H, 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4,508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(2,160)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380" w:type="dxa"/>
            <w:vAlign w:val="bottom"/>
          </w:tcPr>
          <w:p>
            <w:pPr>
              <w:spacing w:after="0"/>
              <w:rPr>
                <w:sz w:val="18"/>
                <w:szCs w:val="18"/>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8"/>
                <w:szCs w:val="18"/>
                <w:color w:val="auto"/>
              </w:rPr>
              <w:t>L</w:t>
            </w:r>
          </w:p>
        </w:tc>
        <w:tc>
          <w:tcPr>
            <w:tcW w:w="1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(26,384)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1"/>
              <w:spacing w:after="0"/>
              <w:rPr>
                <w:sz w:val="20"/>
                <w:szCs w:val="20"/>
                <w:color w:val="auto"/>
              </w:rPr>
            </w:pPr>
            <w:r>
              <w:rPr>
                <w:rFonts w:ascii="Arial" w:cs="Arial" w:eastAsia="Arial" w:hAnsi="Arial"/>
                <w:sz w:val="18"/>
                <w:szCs w:val="18"/>
                <w:color w:val="auto"/>
              </w:rPr>
              <w:t>26,096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(67,479)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6,202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(61,277)</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rPr>
              <w:t>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5"/>
              </w:rPr>
              <w:t>(25,954)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1380" w:type="dxa"/>
            <w:vAlign w:val="bottom"/>
          </w:tcPr>
          <w:p>
            <w:pPr>
              <w:spacing w:after="0"/>
              <w:rPr>
                <w:sz w:val="18"/>
                <w:szCs w:val="18"/>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B</w:t>
            </w:r>
          </w:p>
        </w:tc>
        <w:tc>
          <w:tcPr>
            <w:tcW w:w="120" w:type="dxa"/>
            <w:vAlign w:val="bottom"/>
          </w:tcPr>
          <w:p>
            <w:pPr>
              <w:spacing w:after="0"/>
              <w:rPr>
                <w:sz w:val="18"/>
                <w:szCs w:val="18"/>
                <w:color w:val="auto"/>
              </w:rPr>
            </w:pPr>
          </w:p>
        </w:tc>
        <w:tc>
          <w:tcPr>
            <w:tcW w:w="116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equity method investees</w:t>
            </w: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(65,477)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(20,428)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(85,905)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Loss for the year</w:t>
            </w: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(65,501</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(20,449</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(85,950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(65,204)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w w:val="95"/>
              </w:rPr>
              <w:t>(20,449)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(65,501)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(20,449)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(85,950)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0" w:type="dxa"/>
            <w:vAlign w:val="bottom"/>
            <w:gridSpan w:val="3"/>
          </w:tcPr>
          <w:p>
            <w:pPr>
              <w:ind w:left="940"/>
              <w:spacing w:after="0"/>
              <w:rPr>
                <w:sz w:val="20"/>
                <w:szCs w:val="20"/>
                <w:color w:val="auto"/>
              </w:rPr>
            </w:pPr>
            <w:r>
              <w:rPr>
                <w:rFonts w:ascii="Arial" w:cs="Arial" w:eastAsia="Arial" w:hAnsi="Arial"/>
                <w:sz w:val="18"/>
                <w:szCs w:val="18"/>
                <w:color w:val="auto"/>
              </w:rPr>
              <w:t>F-22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w w:val="98"/>
              </w:rPr>
              <w:t>German GAAP</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rPr>
              <w:t>IFRS</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61"/>
              <w:spacing w:after="0" w:line="149" w:lineRule="exact"/>
              <w:rPr>
                <w:sz w:val="20"/>
                <w:szCs w:val="20"/>
                <w:color w:val="auto"/>
              </w:rPr>
            </w:pPr>
            <w:r>
              <w:rPr>
                <w:rFonts w:ascii="Arial" w:cs="Arial" w:eastAsia="Arial" w:hAnsi="Arial"/>
                <w:sz w:val="14"/>
                <w:szCs w:val="14"/>
                <w:b w:val="1"/>
                <w:bCs w:val="1"/>
                <w:color w:val="auto"/>
                <w:w w:val="90"/>
              </w:rPr>
              <w:t>Year ended</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3"/>
              </w:rPr>
              <w:t>Note</w:t>
            </w:r>
          </w:p>
        </w:tc>
        <w:tc>
          <w:tcPr>
            <w:tcW w:w="520" w:type="dxa"/>
            <w:vAlign w:val="bottom"/>
          </w:tcPr>
          <w:p>
            <w:pPr>
              <w:spacing w:after="0"/>
              <w:rPr>
                <w:sz w:val="12"/>
                <w:szCs w:val="12"/>
                <w:color w:val="auto"/>
              </w:rPr>
            </w:pPr>
          </w:p>
        </w:tc>
        <w:tc>
          <w:tcPr>
            <w:tcW w:w="1280" w:type="dxa"/>
            <w:vAlign w:val="bottom"/>
            <w:gridSpan w:val="3"/>
          </w:tcPr>
          <w:p>
            <w:pPr>
              <w:jc w:val="center"/>
              <w:ind w:right="2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2"/>
                <w:szCs w:val="12"/>
                <w:color w:val="auto"/>
              </w:rPr>
            </w:pPr>
          </w:p>
        </w:tc>
        <w:tc>
          <w:tcPr>
            <w:tcW w:w="1300" w:type="dxa"/>
            <w:vAlign w:val="bottom"/>
            <w:gridSpan w:val="2"/>
            <w:vMerge w:val="restart"/>
          </w:tcPr>
          <w:p>
            <w:pPr>
              <w:jc w:val="right"/>
              <w:ind w:right="501"/>
              <w:spacing w:after="0"/>
              <w:rPr>
                <w:sz w:val="20"/>
                <w:szCs w:val="20"/>
                <w:color w:val="auto"/>
              </w:rPr>
            </w:pPr>
            <w:r>
              <w:rPr>
                <w:rFonts w:ascii="Arial" w:cs="Arial" w:eastAsia="Arial" w:hAnsi="Arial"/>
                <w:sz w:val="14"/>
                <w:szCs w:val="14"/>
                <w:b w:val="1"/>
                <w:bCs w:val="1"/>
                <w:color w:val="auto"/>
                <w:w w:val="90"/>
              </w:rPr>
              <w:t>Adjustment</w:t>
            </w:r>
          </w:p>
        </w:tc>
        <w:tc>
          <w:tcPr>
            <w:tcW w:w="960" w:type="dxa"/>
            <w:vAlign w:val="bottom"/>
            <w:gridSpan w:val="2"/>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(65,501</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(20,449</w:t>
            </w:r>
          </w:p>
        </w:tc>
        <w:tc>
          <w:tcPr>
            <w:tcW w:w="580" w:type="dxa"/>
            <w:vAlign w:val="bottom"/>
            <w:tcBorders>
              <w:top w:val="single" w:sz="8" w:color="CCEEFF"/>
            </w:tcBorders>
            <w:shd w:val="clear" w:color="auto" w:fill="CCEEFF"/>
          </w:tcPr>
          <w:p>
            <w:pPr>
              <w:jc w:val="right"/>
              <w:ind w:right="441"/>
              <w:spacing w:after="0"/>
              <w:rPr>
                <w:sz w:val="20"/>
                <w:szCs w:val="20"/>
                <w:color w:val="auto"/>
              </w:rPr>
            </w:pPr>
            <w:r>
              <w:rPr>
                <w:rFonts w:ascii="Arial" w:cs="Arial" w:eastAsia="Arial" w:hAnsi="Arial"/>
                <w:sz w:val="16"/>
                <w:szCs w:val="16"/>
                <w:b w:val="1"/>
                <w:bCs w:val="1"/>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(85,950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w:t>
            </w: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Other comprehensive income that may be reclassified to profit or loss in</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subsequent periods (net of tax)</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41"/>
              <w:spacing w:after="0"/>
              <w:rPr>
                <w:sz w:val="20"/>
                <w:szCs w:val="20"/>
                <w:color w:val="auto"/>
              </w:rPr>
            </w:pPr>
            <w:r>
              <w:rPr>
                <w:rFonts w:ascii="Arial" w:cs="Arial" w:eastAsia="Arial" w:hAnsi="Arial"/>
                <w:sz w:val="18"/>
                <w:szCs w:val="18"/>
                <w:color w:val="auto"/>
              </w:rPr>
              <w:t>(23)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8"/>
        </w:trPr>
        <w:tc>
          <w:tcPr>
            <w:tcW w:w="67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other comprehensive income/(loss) that may be reclassified to profit or</w:t>
            </w:r>
          </w:p>
        </w:tc>
        <w:tc>
          <w:tcPr>
            <w:tcW w:w="5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loss in subsequent periods</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41"/>
              <w:spacing w:after="0"/>
              <w:rPr>
                <w:sz w:val="20"/>
                <w:szCs w:val="20"/>
                <w:color w:val="auto"/>
              </w:rPr>
            </w:pPr>
            <w:r>
              <w:rPr>
                <w:rFonts w:ascii="Arial" w:cs="Arial" w:eastAsia="Arial" w:hAnsi="Arial"/>
                <w:sz w:val="18"/>
                <w:szCs w:val="18"/>
                <w:b w:val="1"/>
                <w:bCs w:val="1"/>
                <w:color w:val="auto"/>
              </w:rPr>
              <w:t>(23)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5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(65,501)</w:t>
            </w:r>
          </w:p>
        </w:tc>
        <w:tc>
          <w:tcPr>
            <w:tcW w:w="1560" w:type="dxa"/>
            <w:vAlign w:val="bottom"/>
            <w:gridSpan w:val="3"/>
            <w:shd w:val="clear" w:color="auto" w:fill="CCEEFF"/>
          </w:tcPr>
          <w:p>
            <w:pPr>
              <w:jc w:val="right"/>
              <w:ind w:right="441"/>
              <w:spacing w:after="0"/>
              <w:rPr>
                <w:sz w:val="20"/>
                <w:szCs w:val="20"/>
                <w:color w:val="auto"/>
              </w:rPr>
            </w:pPr>
            <w:r>
              <w:rPr>
                <w:rFonts w:ascii="Arial" w:cs="Arial" w:eastAsia="Arial" w:hAnsi="Arial"/>
                <w:sz w:val="18"/>
                <w:szCs w:val="18"/>
                <w:b w:val="1"/>
                <w:bCs w:val="1"/>
                <w:color w:val="auto"/>
              </w:rPr>
              <w:t>(20,473)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Attributable to:</w:t>
            </w: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(65,204)</w:t>
            </w:r>
          </w:p>
        </w:tc>
        <w:tc>
          <w:tcPr>
            <w:tcW w:w="1560" w:type="dxa"/>
            <w:vAlign w:val="bottom"/>
            <w:gridSpan w:val="3"/>
            <w:shd w:val="clear" w:color="auto" w:fill="CCEEFF"/>
          </w:tcPr>
          <w:p>
            <w:pPr>
              <w:jc w:val="right"/>
              <w:ind w:right="441"/>
              <w:spacing w:after="0"/>
              <w:rPr>
                <w:sz w:val="20"/>
                <w:szCs w:val="20"/>
                <w:color w:val="auto"/>
              </w:rPr>
            </w:pPr>
            <w:r>
              <w:rPr>
                <w:rFonts w:ascii="Arial" w:cs="Arial" w:eastAsia="Arial" w:hAnsi="Arial"/>
                <w:sz w:val="18"/>
                <w:szCs w:val="18"/>
                <w:color w:val="auto"/>
              </w:rPr>
              <w:t>(20,473)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(85,677)</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(65,501)</w:t>
            </w:r>
          </w:p>
        </w:tc>
        <w:tc>
          <w:tcPr>
            <w:tcW w:w="1560" w:type="dxa"/>
            <w:vAlign w:val="bottom"/>
            <w:gridSpan w:val="3"/>
            <w:shd w:val="clear" w:color="auto" w:fill="CCEEFF"/>
          </w:tcPr>
          <w:p>
            <w:pPr>
              <w:jc w:val="right"/>
              <w:ind w:right="441"/>
              <w:spacing w:after="0"/>
              <w:rPr>
                <w:sz w:val="20"/>
                <w:szCs w:val="20"/>
                <w:color w:val="auto"/>
              </w:rPr>
            </w:pPr>
            <w:r>
              <w:rPr>
                <w:rFonts w:ascii="Arial" w:cs="Arial" w:eastAsia="Arial" w:hAnsi="Arial"/>
                <w:sz w:val="18"/>
                <w:szCs w:val="18"/>
                <w:b w:val="1"/>
                <w:bCs w:val="1"/>
                <w:color w:val="auto"/>
              </w:rPr>
              <w:t>(20,473)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ind w:left="5340"/>
              <w:spacing w:after="0"/>
              <w:rPr>
                <w:sz w:val="20"/>
                <w:szCs w:val="20"/>
                <w:color w:val="auto"/>
              </w:rPr>
            </w:pPr>
            <w:r>
              <w:rPr>
                <w:rFonts w:ascii="Arial" w:cs="Arial" w:eastAsia="Arial" w:hAnsi="Arial"/>
                <w:sz w:val="18"/>
                <w:szCs w:val="18"/>
                <w:color w:val="auto"/>
              </w:rPr>
              <w:t>F-23</w:t>
            </w: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German</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IFRS as at</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GAAP as at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78"/>
              </w:rPr>
              <w:t>Assets</w:t>
            </w:r>
          </w:p>
        </w:tc>
        <w:tc>
          <w:tcPr>
            <w:tcW w:w="42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January 1,</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276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1"/>
              <w:spacing w:after="0" w:line="158"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1"/>
              <w:spacing w:after="0" w:line="158"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Non-current assets</w:t>
            </w:r>
          </w:p>
        </w:tc>
        <w:tc>
          <w:tcPr>
            <w:tcW w:w="27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Intangible assets</w:t>
            </w:r>
          </w:p>
        </w:tc>
        <w:tc>
          <w:tcPr>
            <w:tcW w:w="2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C, D</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11,098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86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11,184</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2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 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31,118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29,388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60,506</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financial assets</w:t>
            </w:r>
          </w:p>
        </w:tc>
        <w:tc>
          <w:tcPr>
            <w:tcW w:w="2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42,372</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2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E</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6,928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(3,662)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Contract assets</w:t>
            </w:r>
          </w:p>
        </w:tc>
        <w:tc>
          <w:tcPr>
            <w:tcW w:w="2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financial assets</w:t>
            </w:r>
          </w:p>
        </w:tc>
        <w:tc>
          <w:tcPr>
            <w:tcW w:w="2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B, 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3,855</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assets</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Deferred expense</w:t>
            </w:r>
          </w:p>
        </w:tc>
        <w:tc>
          <w:tcPr>
            <w:tcW w:w="2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8,910</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(7,758)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303,680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303,680</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326,672</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(8,547</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318,125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369,044</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20,915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389,959</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Share capital</w:t>
            </w: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reserve</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175,504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175,504</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Accumulated losses</w:t>
            </w: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(112,100)</w:t>
            </w:r>
          </w:p>
        </w:tc>
        <w:tc>
          <w:tcPr>
            <w:tcW w:w="8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(112,100)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2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(33,115)</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Equity attributable to equity holders of the parent</w:t>
            </w: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63,616</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(33,145</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65,002</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(33,145</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Financial liabilities</w:t>
            </w:r>
          </w:p>
        </w:tc>
        <w:tc>
          <w:tcPr>
            <w:tcW w:w="2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26,669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26,669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Contract liabilities</w:t>
            </w:r>
          </w:p>
        </w:tc>
        <w:tc>
          <w:tcPr>
            <w:tcW w:w="2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273,414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273,414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299,509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301,466</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Provisions</w:t>
            </w:r>
          </w:p>
        </w:tc>
        <w:tc>
          <w:tcPr>
            <w:tcW w:w="2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13,790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Trade payables</w:t>
            </w: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6,218</w:t>
            </w:r>
          </w:p>
        </w:tc>
        <w:tc>
          <w:tcPr>
            <w:tcW w:w="8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2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33,466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33,466</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Other financial liabilities</w:t>
            </w:r>
          </w:p>
        </w:tc>
        <w:tc>
          <w:tcPr>
            <w:tcW w:w="2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E, 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14,256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14,344</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38,394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(35,906)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Deferred income and accrued expenses</w:t>
            </w: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243,595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90"/>
              </w:rPr>
              <w:t>(243,595)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302,085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0"/>
              </w:rPr>
              <w:t>(245,450)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56,636</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304,042</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54,060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358,102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369,044</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20,915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389,959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300" w:type="dxa"/>
            <w:vAlign w:val="bottom"/>
            <w:gridSpan w:val="3"/>
            <w:vMerge w:val="restart"/>
          </w:tcPr>
          <w:p>
            <w:pPr>
              <w:ind w:left="740"/>
              <w:spacing w:after="0"/>
              <w:rPr>
                <w:sz w:val="20"/>
                <w:szCs w:val="20"/>
                <w:color w:val="auto"/>
              </w:rPr>
            </w:pPr>
            <w:r>
              <w:rPr>
                <w:rFonts w:ascii="Arial" w:cs="Arial" w:eastAsia="Arial" w:hAnsi="Arial"/>
                <w:sz w:val="18"/>
                <w:szCs w:val="18"/>
                <w:color w:val="auto"/>
              </w:rPr>
              <w:t>F-24</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3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8"/>
              </w:rPr>
              <w:t>German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w w:val="91"/>
              </w:rPr>
              <w:t>IFRS as at</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GAAP as at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78"/>
              </w:rPr>
              <w:t>Assets</w:t>
            </w:r>
          </w:p>
        </w:tc>
        <w:tc>
          <w:tcPr>
            <w:tcW w:w="424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Notes</w:t>
            </w:r>
          </w:p>
        </w:tc>
        <w:tc>
          <w:tcPr>
            <w:tcW w:w="1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160" w:type="dxa"/>
            <w:vAlign w:val="bottom"/>
            <w:gridSpan w:val="3"/>
            <w:vMerge w:val="restart"/>
          </w:tcPr>
          <w:p>
            <w:pPr>
              <w:jc w:val="right"/>
              <w:ind w:right="361"/>
              <w:spacing w:after="0"/>
              <w:rPr>
                <w:sz w:val="20"/>
                <w:szCs w:val="20"/>
                <w:color w:val="auto"/>
              </w:rPr>
            </w:pPr>
            <w:r>
              <w:rPr>
                <w:rFonts w:ascii="Arial" w:cs="Arial" w:eastAsia="Arial" w:hAnsi="Arial"/>
                <w:sz w:val="14"/>
                <w:szCs w:val="14"/>
                <w:b w:val="1"/>
                <w:bCs w:val="1"/>
                <w:color w:val="auto"/>
                <w:w w:val="90"/>
              </w:rPr>
              <w:t>Adjustment</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1"/>
              <w:spacing w:after="0" w:line="158"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1"/>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Non-current assets</w:t>
            </w:r>
          </w:p>
        </w:tc>
        <w:tc>
          <w:tcPr>
            <w:tcW w:w="2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Intangible assets</w:t>
            </w:r>
          </w:p>
        </w:tc>
        <w:tc>
          <w:tcPr>
            <w:tcW w:w="2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C</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81,691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1"/>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83,537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2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 B</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44,313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57,208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101,521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Other financial assets</w:t>
            </w:r>
          </w:p>
        </w:tc>
        <w:tc>
          <w:tcPr>
            <w:tcW w:w="2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B</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126,036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59,040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185,076</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E</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5,248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Trade receivables</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4,575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financial assets</w:t>
            </w:r>
          </w:p>
        </w:tc>
        <w:tc>
          <w:tcPr>
            <w:tcW w:w="2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B, 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5,462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assets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Deferred expense</w:t>
            </w:r>
          </w:p>
        </w:tc>
        <w:tc>
          <w:tcPr>
            <w:tcW w:w="2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9,090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(7,218)</w:t>
            </w: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172,106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172,106</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197,368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(7,730</w:t>
            </w:r>
          </w:p>
        </w:tc>
        <w:tc>
          <w:tcPr>
            <w:tcW w:w="420" w:type="dxa"/>
            <w:vAlign w:val="bottom"/>
          </w:tcPr>
          <w:p>
            <w:pPr>
              <w:jc w:val="right"/>
              <w:ind w:right="2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323,403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51,310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374,713</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Share capital</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9,265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9,265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reserve</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166,421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166,421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Accumulated losses</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w w:val="98"/>
              </w:rPr>
              <w:t>(177,325)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(20,427)</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(197,753)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(27,236)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(27,229)</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Equity attributable to equity holders of the partent</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(1,633</w:t>
            </w:r>
          </w:p>
        </w:tc>
        <w:tc>
          <w:tcPr>
            <w:tcW w:w="240" w:type="dxa"/>
            <w:vAlign w:val="bottom"/>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(47,663</w:t>
            </w:r>
          </w:p>
        </w:tc>
        <w:tc>
          <w:tcPr>
            <w:tcW w:w="420" w:type="dxa"/>
            <w:vAlign w:val="bottom"/>
          </w:tcPr>
          <w:p>
            <w:pPr>
              <w:jc w:val="right"/>
              <w:ind w:right="2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(49,296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(47,663</w:t>
            </w:r>
          </w:p>
        </w:tc>
        <w:tc>
          <w:tcPr>
            <w:tcW w:w="420" w:type="dxa"/>
            <w:vAlign w:val="bottom"/>
          </w:tcPr>
          <w:p>
            <w:pPr>
              <w:jc w:val="right"/>
              <w:ind w:right="2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(48,206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Financial liabilities</w:t>
            </w:r>
          </w:p>
        </w:tc>
        <w:tc>
          <w:tcPr>
            <w:tcW w:w="2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E</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41,634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1"/>
              <w:spacing w:after="0"/>
              <w:rPr>
                <w:sz w:val="20"/>
                <w:szCs w:val="20"/>
                <w:color w:val="auto"/>
              </w:rPr>
            </w:pPr>
            <w:r>
              <w:rPr>
                <w:rFonts w:ascii="Arial" w:cs="Arial" w:eastAsia="Arial" w:hAnsi="Arial"/>
                <w:sz w:val="18"/>
                <w:szCs w:val="18"/>
                <w:color w:val="auto"/>
              </w:rPr>
              <w:t>8,715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50,349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2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98"/>
              </w:rPr>
              <w:t>214,026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214,026</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222,741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264,375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Provisions</w:t>
            </w:r>
          </w:p>
        </w:tc>
        <w:tc>
          <w:tcPr>
            <w:tcW w:w="2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F</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7,059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(6,941)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payables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12,460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12,460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Contract liabilities</w:t>
            </w:r>
          </w:p>
        </w:tc>
        <w:tc>
          <w:tcPr>
            <w:tcW w:w="2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8"/>
                <w:szCs w:val="18"/>
                <w:color w:val="auto"/>
              </w:rPr>
              <w:t>77,346</w:t>
            </w: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77,346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financial liabilities</w:t>
            </w:r>
          </w:p>
        </w:tc>
        <w:tc>
          <w:tcPr>
            <w:tcW w:w="2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E, F</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7,968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45,484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53,452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Other liabilities</w:t>
            </w:r>
          </w:p>
        </w:tc>
        <w:tc>
          <w:tcPr>
            <w:tcW w:w="2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12,923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15,168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and accrued expenses</w:t>
            </w:r>
          </w:p>
        </w:tc>
        <w:tc>
          <w:tcPr>
            <w:tcW w:w="2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F, 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241,902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90"/>
              </w:rPr>
              <w:t>(241,902)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282,312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(123,768</w:t>
            </w:r>
          </w:p>
        </w:tc>
        <w:tc>
          <w:tcPr>
            <w:tcW w:w="420" w:type="dxa"/>
            <w:vAlign w:val="bottom"/>
          </w:tcPr>
          <w:p>
            <w:pPr>
              <w:jc w:val="right"/>
              <w:ind w:right="2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158,544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323,946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98,973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422,920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2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323,403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51,310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20" w:type="dxa"/>
            <w:vAlign w:val="bottom"/>
            <w:gridSpan w:val="3"/>
            <w:vMerge w:val="restart"/>
          </w:tcPr>
          <w:p>
            <w:pPr>
              <w:jc w:val="right"/>
              <w:ind w:right="1760"/>
              <w:spacing w:after="0"/>
              <w:rPr>
                <w:sz w:val="20"/>
                <w:szCs w:val="20"/>
                <w:color w:val="auto"/>
              </w:rPr>
            </w:pPr>
            <w:r>
              <w:rPr>
                <w:rFonts w:ascii="Arial" w:cs="Arial" w:eastAsia="Arial" w:hAnsi="Arial"/>
                <w:sz w:val="18"/>
                <w:szCs w:val="18"/>
                <w:color w:val="auto"/>
              </w:rPr>
              <w:t>F-25</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8"/>
              </w:rPr>
              <w:t>German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181"/>
              <w:spacing w:after="0"/>
              <w:rPr>
                <w:sz w:val="20"/>
                <w:szCs w:val="20"/>
                <w:color w:val="auto"/>
              </w:rPr>
            </w:pPr>
            <w:r>
              <w:rPr>
                <w:rFonts w:ascii="Arial" w:cs="Arial" w:eastAsia="Arial" w:hAnsi="Arial"/>
                <w:sz w:val="14"/>
                <w:szCs w:val="14"/>
                <w:b w:val="1"/>
                <w:bCs w:val="1"/>
                <w:color w:val="auto"/>
              </w:rPr>
              <w:t>IFRS</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41"/>
              <w:spacing w:after="0" w:line="149" w:lineRule="exact"/>
              <w:rPr>
                <w:sz w:val="20"/>
                <w:szCs w:val="20"/>
                <w:color w:val="auto"/>
              </w:rPr>
            </w:pPr>
            <w:r>
              <w:rPr>
                <w:rFonts w:ascii="Arial" w:cs="Arial" w:eastAsia="Arial" w:hAnsi="Arial"/>
                <w:sz w:val="14"/>
                <w:szCs w:val="14"/>
                <w:b w:val="1"/>
                <w:bCs w:val="1"/>
                <w:color w:val="auto"/>
                <w:w w:val="98"/>
              </w:rPr>
              <w:t>GAAP</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Year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1380" w:type="dxa"/>
            <w:vAlign w:val="bottom"/>
            <w:gridSpan w:val="3"/>
            <w:vMerge w:val="restart"/>
          </w:tcPr>
          <w:p>
            <w:pPr>
              <w:jc w:val="right"/>
              <w:ind w:right="501"/>
              <w:spacing w:after="0"/>
              <w:rPr>
                <w:sz w:val="20"/>
                <w:szCs w:val="20"/>
                <w:color w:val="auto"/>
              </w:rPr>
            </w:pPr>
            <w:r>
              <w:rPr>
                <w:rFonts w:ascii="Arial" w:cs="Arial" w:eastAsia="Arial" w:hAnsi="Arial"/>
                <w:sz w:val="14"/>
                <w:szCs w:val="14"/>
                <w:b w:val="1"/>
                <w:bCs w:val="1"/>
                <w:color w:val="auto"/>
              </w:rPr>
              <w:t>Adjustment</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i w:val="1"/>
                <w:iCs w:val="1"/>
                <w:color w:val="auto"/>
                <w:w w:val="83"/>
              </w:rPr>
              <w:t>Note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Loss for the year</w:t>
            </w:r>
          </w:p>
        </w:tc>
        <w:tc>
          <w:tcPr>
            <w:tcW w:w="28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(65,522)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1"/>
              <w:spacing w:after="0"/>
              <w:rPr>
                <w:sz w:val="20"/>
                <w:szCs w:val="20"/>
                <w:color w:val="auto"/>
              </w:rPr>
            </w:pPr>
            <w:r>
              <w:rPr>
                <w:rFonts w:ascii="Arial" w:cs="Arial" w:eastAsia="Arial" w:hAnsi="Arial"/>
                <w:sz w:val="18"/>
                <w:szCs w:val="18"/>
                <w:color w:val="auto"/>
              </w:rPr>
              <w:t>(20,428)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(85,950)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Loss before tax</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(65,498</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(20,407</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(85,905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Depreciation of property, plant and equipment and intangible assets</w:t>
            </w:r>
          </w:p>
        </w:tc>
        <w:tc>
          <w:tcPr>
            <w:tcW w:w="280" w:type="dxa"/>
            <w:vAlign w:val="bottom"/>
          </w:tcPr>
          <w:p>
            <w:pPr>
              <w:ind w:left="120"/>
              <w:spacing w:after="0"/>
              <w:rPr>
                <w:sz w:val="20"/>
                <w:szCs w:val="20"/>
                <w:color w:val="auto"/>
              </w:rPr>
            </w:pPr>
            <w:r>
              <w:rPr>
                <w:rFonts w:ascii="Arial" w:cs="Arial" w:eastAsia="Arial" w:hAnsi="Arial"/>
                <w:sz w:val="18"/>
                <w:szCs w:val="18"/>
                <w:color w:val="auto"/>
              </w:rPr>
              <w:t>B</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10,298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1"/>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10,529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 expense</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9,087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Net foreign exchange differences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24,707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1"/>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property, plant and equipment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Finance income</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(2,133)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lease liability</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Finance expense</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of an associate and a joint venture</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Movements in provisions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(6,731)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1"/>
              <w:spacing w:after="0"/>
              <w:rPr>
                <w:sz w:val="20"/>
                <w:szCs w:val="20"/>
                <w:color w:val="auto"/>
              </w:rPr>
            </w:pPr>
            <w:r>
              <w:rPr>
                <w:rFonts w:ascii="Arial" w:cs="Arial" w:eastAsia="Arial" w:hAnsi="Arial"/>
                <w:sz w:val="18"/>
                <w:szCs w:val="18"/>
                <w:color w:val="auto"/>
              </w:rPr>
              <w:t>6,729</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Decrease/(Increase) in trade receivable, contract assets and further positions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61"/>
              <w:spacing w:after="0"/>
              <w:rPr>
                <w:sz w:val="20"/>
                <w:szCs w:val="20"/>
                <w:color w:val="auto"/>
              </w:rPr>
            </w:pPr>
            <w:r>
              <w:rPr>
                <w:rFonts w:ascii="Arial" w:cs="Arial" w:eastAsia="Arial" w:hAnsi="Arial"/>
                <w:sz w:val="18"/>
                <w:szCs w:val="18"/>
                <w:color w:val="auto"/>
              </w:rPr>
              <w:t>(1,804)</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Decrease/(Increase) in inventories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2"/>
        </w:trPr>
        <w:tc>
          <w:tcPr>
            <w:tcW w:w="6580" w:type="dxa"/>
            <w:vAlign w:val="bottom"/>
          </w:tcPr>
          <w:p>
            <w:pPr>
              <w:ind w:left="360"/>
              <w:spacing w:after="0" w:line="201" w:lineRule="exact"/>
              <w:rPr>
                <w:sz w:val="20"/>
                <w:szCs w:val="20"/>
                <w:color w:val="auto"/>
              </w:rPr>
            </w:pPr>
            <w:r>
              <w:rPr>
                <w:rFonts w:ascii="Arial" w:cs="Arial" w:eastAsia="Arial" w:hAnsi="Arial"/>
                <w:sz w:val="18"/>
                <w:szCs w:val="18"/>
                <w:color w:val="auto"/>
                <w:w w:val="99"/>
              </w:rPr>
              <w:t>(Decrease)/Increase in trade and other payables, contract liabilities and refund</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54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26,633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61"/>
              <w:spacing w:after="0"/>
              <w:rPr>
                <w:sz w:val="20"/>
                <w:szCs w:val="20"/>
                <w:color w:val="auto"/>
              </w:rPr>
            </w:pPr>
            <w:r>
              <w:rPr>
                <w:rFonts w:ascii="Arial" w:cs="Arial" w:eastAsia="Arial" w:hAnsi="Arial"/>
                <w:sz w:val="18"/>
                <w:szCs w:val="18"/>
                <w:color w:val="auto"/>
              </w:rPr>
              <w:t>(34,383)</w:t>
            </w: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2,133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Interest paid</w:t>
            </w:r>
          </w:p>
        </w:tc>
        <w:tc>
          <w:tcPr>
            <w:tcW w:w="280" w:type="dxa"/>
            <w:vAlign w:val="bottom"/>
          </w:tcPr>
          <w:p>
            <w:pPr>
              <w:ind w:left="120"/>
              <w:spacing w:after="0"/>
              <w:rPr>
                <w:sz w:val="20"/>
                <w:szCs w:val="20"/>
                <w:color w:val="auto"/>
              </w:rPr>
            </w:pPr>
            <w:r>
              <w:rPr>
                <w:rFonts w:ascii="Arial" w:cs="Arial" w:eastAsia="Arial" w:hAnsi="Arial"/>
                <w:sz w:val="18"/>
                <w:szCs w:val="18"/>
                <w:color w:val="auto"/>
              </w:rPr>
              <w:t>B</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61"/>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Net cash flows from operating activities</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(12,745</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(52,562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(24,320)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5,193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Purchase of intangibles</w:t>
            </w:r>
          </w:p>
        </w:tc>
        <w:tc>
          <w:tcPr>
            <w:tcW w:w="280" w:type="dxa"/>
            <w:vAlign w:val="bottom"/>
          </w:tcPr>
          <w:p>
            <w:pPr>
              <w:ind w:left="100"/>
              <w:spacing w:after="0"/>
              <w:rPr>
                <w:sz w:val="20"/>
                <w:szCs w:val="20"/>
                <w:color w:val="auto"/>
              </w:rPr>
            </w:pPr>
            <w:r>
              <w:rPr>
                <w:rFonts w:ascii="Arial" w:cs="Arial" w:eastAsia="Arial" w:hAnsi="Arial"/>
                <w:sz w:val="18"/>
                <w:szCs w:val="18"/>
                <w:color w:val="auto"/>
              </w:rPr>
              <w:t>M</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(74,882)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1"/>
              <w:spacing w:after="0"/>
              <w:rPr>
                <w:sz w:val="20"/>
                <w:szCs w:val="20"/>
                <w:color w:val="auto"/>
              </w:rPr>
            </w:pPr>
            <w:r>
              <w:rPr>
                <w:rFonts w:ascii="Arial" w:cs="Arial" w:eastAsia="Arial" w:hAnsi="Arial"/>
                <w:sz w:val="18"/>
                <w:szCs w:val="18"/>
                <w:color w:val="auto"/>
              </w:rPr>
              <w:t>41,460</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(94,009)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b w:val="1"/>
                <w:bCs w:val="1"/>
                <w:color w:val="auto"/>
              </w:rPr>
              <w:t>41,460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(52,549)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(1,643)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Net cash flows from/(used in) financing activities</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(1,642,634</w:t>
            </w:r>
          </w:p>
        </w:tc>
        <w:tc>
          <w:tcPr>
            <w:tcW w:w="500" w:type="dxa"/>
            <w:vAlign w:val="bottom"/>
          </w:tcPr>
          <w:p>
            <w:pPr>
              <w:jc w:val="right"/>
              <w:ind w:right="3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5"/>
              </w:rPr>
              <w:t>(106,754)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(106,754)</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Change in cash resulting from exchange rate differences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(24,820)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1 January</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303,680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303,680</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Cash and cash equivalents at 31 December</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172,106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5340"/>
              <w:spacing w:after="0"/>
              <w:rPr>
                <w:sz w:val="20"/>
                <w:szCs w:val="20"/>
                <w:color w:val="auto"/>
              </w:rPr>
            </w:pPr>
            <w:r>
              <w:rPr>
                <w:rFonts w:ascii="Arial" w:cs="Arial" w:eastAsia="Arial" w:hAnsi="Arial"/>
                <w:sz w:val="18"/>
                <w:szCs w:val="18"/>
                <w:color w:val="auto"/>
              </w:rPr>
              <w:t>F-26</w:t>
            </w: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Notes to the reconciliation of equity as at 1 January 2017 and December 2017, total comprehensive income and cash flow for the year ended December 31, 2017</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Property, Plant and Equipment</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IFRS, carrying amounts of Property, plant and equipment have been determined based on the useful lives listed in Note 2.3.8. The useful lives under IFRS reflect the economic lives of the respective assets appropriately and differ from those according to German GAAP. According to IFRS the carrying amounts of Property, Plant and Equipment as of January 1, 2017 are k€1,256 higher compared to HGB (December 31, 2017: k€5,293 higher).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Leasing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German GAAP, all leases have been classified as operating leases and no assets or liabilities have been capitalized for the Group’s leases.</w:t>
      </w:r>
    </w:p>
    <w:p>
      <w:pPr>
        <w:spacing w:after="0" w:line="24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Under IFRS, all leases except short-term leases and leases of low-value assets have been capitalized, which leads to right-of-use assets and corresponding lease liabilities in the balance sheet. According to IFRS the Right-of-use assets as of 1 January 2017 amount to k€28,132 (December 31, 2017: k€51,915), while the corresponding lease liabilities as of 1 January 2017 are k€28,132 (December 31, 2017: k€52,182).</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the statement of operations the finance costs have increased as a result from interest expenses, resulting from the lease liabilities.</w:t>
      </w:r>
    </w:p>
    <w:p>
      <w:pPr>
        <w:spacing w:after="0" w:line="237"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In the statement of cash flows the Group reported cash payments for the reduction of the outstanding liability relating to leases under financing activities for the purposes of IFRS and the interest on the lease liability is reported in the cash flows from operating activities.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Other Intangible Assets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Carrying amounts of Intangible Assets have been determined based on the useful lives listed in note 2.3.10. The useful lives in the IFRS financial statements reflect the consumption of use of the respective assets appropriately. According to IFRS, the carrying amounts of Other Intangible Assets as of 1 January 2017 are k€86 higher compared to German GAAP (December 31, 2017: k€1,512 higher).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Goodwill</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According to German GAAP, goodwill is amortized on a straight-line basis over a period of five years. Under IFRS goodwill is tested annually for impairment (see Note 2.3.1).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Inventories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German GAAP, inventories comprise amongst other items capitalized cost for products in the process of production for customer orders. Under IFRS, these customer orders are contracts with customers including performance obligations satisfied over time. Therefore, capitalized costs have to be expensed and revenue has to be recognized dependent on the measure of progress. As BioNTech does not have an unconditional right to consideration for goods and services transferred at this moment, BioNTech presents a contract asset or a contract liability for each contract with a customer depending on the proportion of goods and services transferred and consideration received.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 Deferred income and accrued expenses</w:t>
      </w:r>
    </w:p>
    <w:p>
      <w:pPr>
        <w:spacing w:after="0" w:line="121"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Under German GAAP, expenses from license payments were capitalized as prepaid expenses and released over the term of the license to the statement of operations. Under IFRS, these costs are inputs to the satisfaction of performance obligation and have to be expensed as incurred.</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 Deferred income and revenues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Under German GAAP, upfront and advance payments received are presented as deferred income. Under IFRS, if a payment from a contract with a customer is received or due (whichever is earlier) before BioNTech transfers a good or service to the customer or these payments exceed the goods and services transferred to a customer so far, a contract liability shall be presented. The contract liability is presented as current and non-current.</w:t>
      </w:r>
    </w:p>
    <w:p>
      <w:pPr>
        <w:spacing w:after="0" w:line="14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Furthermore, under German GAAP, revenues from advance payments received were partly recognized on a straight-line basis and additional milestone payments were recognized as revenue when the milestone payments were due. Under IFRS, the timing of revenue recognition of milestone payments as a variable consideration depends on the satisfaction of the performance obligation to which the variable consideration is allocated. Therefore, under IFRS, revenue from performance obligations satisfied over time is only recognized by measuring the progress toward complete satisfaction of the respective performance obligation. Additionally, under IFRS, reimbursed costs were presented net instead of gross presentation under German GAAP.</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 Other current liabilities and other operating income</w:t>
      </w:r>
    </w:p>
    <w:p>
      <w:pPr>
        <w:spacing w:after="0" w:line="12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Under German GAAP, other current liabilities are presented for a grant received from a customer related to the acquisition of property, plant and equipment and intangibles. Under IFRS, these payments received are treated as part of the transaction price and therefore presented as contract liability.</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German GAAP, other operating income was presented for a partial release of the grant received from the customer related to amortization and depreciation of acquired assets attributable to the customer. Under IFRS, revenue has only to be recognized depending on the measure of progress of the related performance obligation.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 Cost of sales</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Under German GAAP, expenses from license payments were capitalized as prepaid expenses and released over the term of the license (see D. Accrued expenses). According to IFRS, these expenses are expensed as incurred as at January 1, 2017 as these expenses were costs of a performance obligation.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 Research and development expenses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Under German GAAP, reimbursements of research and development costs were presented as revenue. Under IFRS, reimbursed costs are presented net instead of a presentation as revenues.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 Share-based payments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Under German GAAP, the Group recognized only the costs for the cash-settled share-based payment plan as expenses. IFRS requires the fair value of the equity-settled share-based payment plan to be determined using an appropriate valuation model. Costs were recognized in fiscal year 2017 because the plan vested immediately. An additional expense of k€5,291 was recognized in the statement of operations for the year ended December 31, 2017. Please refer to Note 16 for further information on the share-based payment plan.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 Other operating expenses/Finance cost</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Under German GAAP, foreign exchange gains and losses are shown in other operating expenses and other operating income. Under IFRS, net foreign exchange losses of k€25,954 are reclassified and shown as finance cost within finance result.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 Cash flow from investing activities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 xml:space="preserve">Under German GAAP, the Group presented the acquisition of an intangible asset </w:t>
      </w:r>
      <w:r>
        <w:rPr>
          <w:rFonts w:ascii="Arial" w:cs="Arial" w:eastAsia="Arial" w:hAnsi="Arial"/>
          <w:sz w:val="18"/>
          <w:szCs w:val="18"/>
          <w:i w:val="1"/>
          <w:iCs w:val="1"/>
          <w:color w:val="auto"/>
        </w:rPr>
        <w:t>(e.g.</w:t>
      </w:r>
      <w:r>
        <w:rPr>
          <w:rFonts w:ascii="Arial" w:cs="Arial" w:eastAsia="Arial" w:hAnsi="Arial"/>
          <w:sz w:val="18"/>
          <w:szCs w:val="18"/>
          <w:color w:val="auto"/>
        </w:rPr>
        <w:t>, patent) in the cash flow from investing activities with a corresponding increase in trade and other payables (k€41,460 were payable as of December 31, 2017).</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Under IFRS, the Group only reports the cash payments made during fiscal year 2017 to acquire the intangible asset in the cash flows arising from investing activities. Please refer to Note 10 for further information on such intangible assets.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 Equity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 in the opening equity balance is the net accumulation of all IFRS opening balance adjustments.</w:t>
      </w:r>
    </w:p>
    <w:p>
      <w:pPr>
        <w:spacing w:after="0" w:line="37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Standards issued but not yet effective</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new and amended standards and interpretations that are issued, but not yet effective, up to the date of issuance of the Group’s financial statements and that might have an impact on the Group’s financial statements are disclosed below. The Group intends to adopt these new and amended standards and interpretations, if applicable, when they become effective.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72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Standards/Interpretation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85"/>
        </w:trPr>
        <w:tc>
          <w:tcPr>
            <w:tcW w:w="2300" w:type="dxa"/>
            <w:vAlign w:val="bottom"/>
            <w:vMerge w:val="restart"/>
          </w:tcPr>
          <w:p>
            <w:pPr>
              <w:spacing w:after="0"/>
              <w:rPr>
                <w:sz w:val="20"/>
                <w:szCs w:val="20"/>
                <w:color w:val="auto"/>
              </w:rPr>
            </w:pPr>
            <w:r>
              <w:rPr>
                <w:rFonts w:ascii="Arial" w:cs="Arial" w:eastAsia="Arial" w:hAnsi="Arial"/>
                <w:sz w:val="18"/>
                <w:szCs w:val="18"/>
                <w:color w:val="auto"/>
              </w:rPr>
              <w:t>IFRIC 23</w:t>
            </w:r>
          </w:p>
        </w:tc>
        <w:tc>
          <w:tcPr>
            <w:tcW w:w="7280" w:type="dxa"/>
            <w:vAlign w:val="bottom"/>
            <w:gridSpan w:val="3"/>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application</w:t>
            </w:r>
          </w:p>
        </w:tc>
        <w:tc>
          <w:tcPr>
            <w:tcW w:w="0" w:type="dxa"/>
            <w:vAlign w:val="bottom"/>
          </w:tcPr>
          <w:p>
            <w:pPr>
              <w:spacing w:after="0"/>
              <w:rPr>
                <w:sz w:val="1"/>
                <w:szCs w:val="1"/>
                <w:color w:val="auto"/>
              </w:rPr>
            </w:pPr>
          </w:p>
        </w:tc>
      </w:tr>
      <w:tr>
        <w:trPr>
          <w:trHeight w:val="224"/>
        </w:trPr>
        <w:tc>
          <w:tcPr>
            <w:tcW w:w="2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Uncertainty over income tax treatment</w:t>
            </w:r>
          </w:p>
        </w:tc>
        <w:tc>
          <w:tcPr>
            <w:tcW w:w="32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Amendments to IFRS 9</w:t>
            </w:r>
          </w:p>
        </w:tc>
        <w:tc>
          <w:tcPr>
            <w:tcW w:w="7280" w:type="dxa"/>
            <w:vAlign w:val="bottom"/>
            <w:gridSpan w:val="3"/>
          </w:tcPr>
          <w:p>
            <w:pPr>
              <w:ind w:left="240"/>
              <w:spacing w:after="0"/>
              <w:rPr>
                <w:sz w:val="20"/>
                <w:szCs w:val="20"/>
                <w:color w:val="auto"/>
              </w:rPr>
            </w:pPr>
            <w:r>
              <w:rPr>
                <w:rFonts w:ascii="Arial" w:cs="Arial" w:eastAsia="Arial" w:hAnsi="Arial"/>
                <w:sz w:val="18"/>
                <w:szCs w:val="18"/>
                <w:color w:val="auto"/>
              </w:rPr>
              <w:t>Prepayment Features with Negative Compensation</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Amendments to IAS 19</w:t>
            </w:r>
          </w:p>
        </w:tc>
        <w:tc>
          <w:tcPr>
            <w:tcW w:w="7280" w:type="dxa"/>
            <w:vAlign w:val="bottom"/>
            <w:gridSpan w:val="3"/>
          </w:tcPr>
          <w:p>
            <w:pPr>
              <w:ind w:left="240"/>
              <w:spacing w:after="0"/>
              <w:rPr>
                <w:sz w:val="20"/>
                <w:szCs w:val="20"/>
                <w:color w:val="auto"/>
              </w:rPr>
            </w:pPr>
            <w:r>
              <w:rPr>
                <w:rFonts w:ascii="Arial" w:cs="Arial" w:eastAsia="Arial" w:hAnsi="Arial"/>
                <w:sz w:val="18"/>
                <w:szCs w:val="18"/>
                <w:color w:val="auto"/>
              </w:rPr>
              <w:t>Plan Amendment, Curtailment or Settlement</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Amendments to IAS 28</w:t>
            </w:r>
          </w:p>
        </w:tc>
        <w:tc>
          <w:tcPr>
            <w:tcW w:w="7280" w:type="dxa"/>
            <w:vAlign w:val="bottom"/>
            <w:gridSpan w:val="3"/>
          </w:tcPr>
          <w:p>
            <w:pPr>
              <w:ind w:left="240"/>
              <w:spacing w:after="0"/>
              <w:rPr>
                <w:sz w:val="20"/>
                <w:szCs w:val="20"/>
                <w:color w:val="auto"/>
              </w:rPr>
            </w:pPr>
            <w:r>
              <w:rPr>
                <w:rFonts w:ascii="Arial" w:cs="Arial" w:eastAsia="Arial" w:hAnsi="Arial"/>
                <w:sz w:val="18"/>
                <w:szCs w:val="18"/>
                <w:color w:val="auto"/>
              </w:rPr>
              <w:t>Long-term interests in associates and joint ventures</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Annual improvements 2015-</w:t>
            </w:r>
          </w:p>
        </w:tc>
        <w:tc>
          <w:tcPr>
            <w:tcW w:w="7280" w:type="dxa"/>
            <w:vAlign w:val="bottom"/>
            <w:gridSpan w:val="3"/>
          </w:tcPr>
          <w:p>
            <w:pPr>
              <w:ind w:left="240"/>
              <w:spacing w:after="0"/>
              <w:rPr>
                <w:sz w:val="20"/>
                <w:szCs w:val="20"/>
                <w:color w:val="auto"/>
              </w:rPr>
            </w:pPr>
            <w:r>
              <w:rPr>
                <w:rFonts w:ascii="Arial" w:cs="Arial" w:eastAsia="Arial" w:hAnsi="Arial"/>
                <w:sz w:val="18"/>
                <w:szCs w:val="18"/>
                <w:color w:val="auto"/>
              </w:rPr>
              <w:t>Annual improvement cycle to IFRS 2015-2017</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2017 Cycle</w:t>
            </w:r>
          </w:p>
        </w:tc>
        <w:tc>
          <w:tcPr>
            <w:tcW w:w="24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does not expect a significant impact of the application of these standards.</w:t>
      </w:r>
    </w:p>
    <w:p>
      <w:pPr>
        <w:spacing w:after="0" w:line="370" w:lineRule="exact"/>
        <w:rPr>
          <w:sz w:val="20"/>
          <w:szCs w:val="20"/>
          <w:color w:val="auto"/>
        </w:rPr>
      </w:pPr>
    </w:p>
    <w:p>
      <w:pPr>
        <w:ind w:left="760" w:hanging="644"/>
        <w:spacing w:after="0"/>
        <w:tabs>
          <w:tab w:leader="none" w:pos="7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 continued</w:t>
      </w:r>
    </w:p>
    <w:p>
      <w:pPr>
        <w:spacing w:after="0" w:line="121"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The preparation of the Group’s consolidated financial statements requires management to make judgements, estimates and assumptions that affect the reported amounts of revenues, expenses, assets and liabilities, the accompanying disclosures, and the disclosure of contingent liabilities. Uncertainty about these assumptions and estimates could result in outcomes that require a material adjustment to the carrying amount of assets or liabilities affected in future periods.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Judgments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the process of applying the Group’s accounting policies, management has made the following judgments, which have the most significant effect on the amounts recognized in the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BioNTech applied the following judgements that significantly affect the determination of the amount and timing of revenue from contracts with customers:</w:t>
      </w:r>
    </w:p>
    <w:p>
      <w:pPr>
        <w:spacing w:after="0" w:line="76" w:lineRule="exact"/>
        <w:rPr>
          <w:sz w:val="20"/>
          <w:szCs w:val="20"/>
          <w:color w:val="auto"/>
        </w:rPr>
      </w:pPr>
    </w:p>
    <w:p>
      <w:pPr>
        <w:ind w:left="980" w:hanging="324"/>
        <w:spacing w:after="0"/>
        <w:tabs>
          <w:tab w:leader="none" w:pos="9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Identification and determination of the nature of performance obligations in collaboration and license agreements.</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BioNTech generates revenues from collaboration and license agreements under which BioNTech grants licenses to use, research, develop, manufacture and commercialize candidates and products. As these agreements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comprise several promises, it must be assessed whether these promises are capable of being distinct within the context of the contract. If these promises are not distinct, they have to be combined until the bundle of promised goods and services is distinct. For some agreements, this results in BioNTech accounting for all goods and services promised in a collaboration and license agreement as a single performance obligation with a single measure of progress.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these combined performance obligations, it must be assessed which of these promises is the predominant promise to determine the nature of the performance obligation. BioNTech determined that the grant of the license is the predominant promise within the (combined) performance obligation to grant a license to the customers. It was assessed that BioNTech grants their customers a right to access or a right to use BioNTech’s intellectual property due to the collaboration and license agreements.</w:t>
      </w:r>
    </w:p>
    <w:p>
      <w:pPr>
        <w:spacing w:after="0" w:line="187"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Consequently, the promise to grant a license is accounted for as a performance obligation satisfied over time as BioNTech’s customer simultaneously receive and consumes the benefits from BioNTech’s performance.</w:t>
      </w:r>
    </w:p>
    <w:p>
      <w:pPr>
        <w:spacing w:after="0" w:line="76" w:lineRule="exact"/>
        <w:rPr>
          <w:sz w:val="20"/>
          <w:szCs w:val="20"/>
          <w:color w:val="auto"/>
        </w:rPr>
      </w:pPr>
    </w:p>
    <w:p>
      <w:pPr>
        <w:ind w:left="980" w:hanging="324"/>
        <w:spacing w:after="0"/>
        <w:tabs>
          <w:tab w:leader="none" w:pos="9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Estimation of variable consideration and assessment of the constraint when determining the deferred revenue.</w:t>
      </w:r>
    </w:p>
    <w:p>
      <w:pPr>
        <w:spacing w:after="0" w:line="225"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 xml:space="preserve">BioNTech’s collaboration and license agreements comprise variable considerations which are contingent on the occurrence or non-occurrence of a future event </w:t>
      </w:r>
      <w:r>
        <w:rPr>
          <w:rFonts w:ascii="Arial" w:cs="Arial" w:eastAsia="Arial" w:hAnsi="Arial"/>
          <w:sz w:val="16"/>
          <w:szCs w:val="16"/>
          <w:i w:val="1"/>
          <w:iCs w:val="1"/>
          <w:color w:val="auto"/>
        </w:rPr>
        <w:t>(i.e.</w:t>
      </w:r>
      <w:r>
        <w:rPr>
          <w:rFonts w:ascii="Arial" w:cs="Arial" w:eastAsia="Arial" w:hAnsi="Arial"/>
          <w:sz w:val="16"/>
          <w:szCs w:val="16"/>
          <w:color w:val="auto"/>
        </w:rPr>
        <w:t>, reaching a certain milestone). When determining the deferred revenue of a collaboration and license agreement, BioNTech is required to estimate the amount of consideration to which it will be entitled in exchange for transferring the promised goods or services to the customer.</w:t>
      </w:r>
    </w:p>
    <w:p>
      <w:pPr>
        <w:spacing w:after="0" w:line="14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there are usually only two possible outcomes (</w:t>
      </w:r>
      <w:r>
        <w:rPr>
          <w:rFonts w:ascii="Arial" w:cs="Arial" w:eastAsia="Arial" w:hAnsi="Arial"/>
          <w:sz w:val="18"/>
          <w:szCs w:val="18"/>
          <w:i w:val="1"/>
          <w:iCs w:val="1"/>
          <w:color w:val="auto"/>
        </w:rPr>
        <w:t>i.e.</w:t>
      </w:r>
      <w:r>
        <w:rPr>
          <w:rFonts w:ascii="Arial" w:cs="Arial" w:eastAsia="Arial" w:hAnsi="Arial"/>
          <w:sz w:val="18"/>
          <w:szCs w:val="18"/>
          <w:color w:val="auto"/>
        </w:rPr>
        <w:t>, milestone is reached or not), BioNTech has assessed that the method of the most likely amount is the best method to predict the amount of consideration to which BioNTech will be entitled.</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The most likely amount of these milestone payments </w:t>
      </w:r>
      <w:r>
        <w:rPr>
          <w:rFonts w:ascii="Arial" w:cs="Arial" w:eastAsia="Arial" w:hAnsi="Arial"/>
          <w:sz w:val="18"/>
          <w:szCs w:val="18"/>
          <w:i w:val="1"/>
          <w:iCs w:val="1"/>
          <w:color w:val="auto"/>
        </w:rPr>
        <w:t>(i.e.</w:t>
      </w:r>
      <w:r>
        <w:rPr>
          <w:rFonts w:ascii="Arial" w:cs="Arial" w:eastAsia="Arial" w:hAnsi="Arial"/>
          <w:sz w:val="18"/>
          <w:szCs w:val="18"/>
          <w:color w:val="auto"/>
        </w:rPr>
        <w:t>, the full milestone payment) is only included in the transaction price if the occurrence of reaching future milestone is highly probable. BioNTech has assessed that the likelihood of achieving the respective milestone decreases depending on how far the expected date of achieving the milestone lies in the future.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BioNTech has concluded that future milestone payments are fully constrained at the end of the current fiscal year.</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Future milestone payments would become unconstrained at the satisfaction of the milestone event, specifically a development event, a regulatory approval or achievement of a sales milestone.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described below.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carrying amounts of the revenue recognition-related contract balances, see Note 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payments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Determining the fair value of share-based payment transactions requires the most appropriate valuation for the specific program, which depends on the underlying terms and conditions.</w:t>
      </w:r>
    </w:p>
    <w:p>
      <w:pPr>
        <w:spacing w:after="0" w:line="170" w:lineRule="exact"/>
        <w:rPr>
          <w:sz w:val="20"/>
          <w:szCs w:val="20"/>
          <w:color w:val="auto"/>
        </w:rPr>
      </w:pPr>
    </w:p>
    <w:p>
      <w:pPr>
        <w:jc w:val="center"/>
        <w:ind w:left="600" w:right="280"/>
        <w:spacing w:after="0" w:line="449" w:lineRule="auto"/>
        <w:rPr>
          <w:sz w:val="20"/>
          <w:szCs w:val="20"/>
          <w:color w:val="auto"/>
        </w:rPr>
      </w:pPr>
      <w:r>
        <w:rPr>
          <w:rFonts w:ascii="Arial" w:cs="Arial" w:eastAsia="Arial" w:hAnsi="Arial"/>
          <w:sz w:val="18"/>
          <w:szCs w:val="18"/>
          <w:color w:val="auto"/>
        </w:rPr>
        <w:t>This estimate also requires the determination of the most appropriate inputs to the valuation model, including the fair value of the share option. F-30</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 cash-settled share-based payment transactions, the liability is remeasured at the end of each reporting period up to the date of settlement, with any changes in fair value recognized in the statement of profit or loss. This requires a reassessment of the estimates used at the end of each reporting period.</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 xml:space="preserve">Due to the lack of quoted market prices, the Group has used an external appraisal for the measurement of the cash- and equity-settled transactions’ fair value at the grant date considering certain assumption relating to, </w:t>
      </w:r>
      <w:r>
        <w:rPr>
          <w:rFonts w:ascii="Arial" w:cs="Arial" w:eastAsia="Arial" w:hAnsi="Arial"/>
          <w:sz w:val="17"/>
          <w:szCs w:val="17"/>
          <w:i w:val="1"/>
          <w:iCs w:val="1"/>
          <w:color w:val="auto"/>
        </w:rPr>
        <w:t>e.g.</w:t>
      </w:r>
      <w:r>
        <w:rPr>
          <w:rFonts w:ascii="Arial" w:cs="Arial" w:eastAsia="Arial" w:hAnsi="Arial"/>
          <w:sz w:val="17"/>
          <w:szCs w:val="17"/>
          <w:color w:val="auto"/>
        </w:rPr>
        <w:t>, the volatility of stock price, the determination of an appropriate risk-free interest rate, expected dividends and the probability of reaching a minimum hurdle to exercise the relevant options.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Right-of-use assets are measured at the amount equal to the lease liability, adjusted by the amount of any prepaid or accrued lease payments relating to that lease.</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Significant accounting judgments are required for the determination of the appropriate incremental borrowing rate, which is to be used in the calculation of the asset and liability that are recognized in the financial statements regarding the lease contracts.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carrying amounts of right-of-use assets and the related lease liability, see Note 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Deferred tax assets are recognized for unused tax losses only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w:t>
      </w:r>
    </w:p>
    <w:p>
      <w:pPr>
        <w:spacing w:after="0" w:line="184"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The Group has tax losses carried forward and these losses relate to subsidiaries that have a history of losses. The subsidiaries neither have any taxable temporary difference nor any tax planning opportunities available that could partly support the recognition of these losses as deferred tax assets.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this basis, the Group has determined that it cannot recognize deferred tax assets on the tax losses carried forward.</w:t>
      </w:r>
    </w:p>
    <w:p>
      <w:pPr>
        <w:spacing w:after="0" w:line="370" w:lineRule="exact"/>
        <w:rPr>
          <w:sz w:val="20"/>
          <w:szCs w:val="20"/>
          <w:color w:val="auto"/>
        </w:rPr>
      </w:pPr>
    </w:p>
    <w:p>
      <w:pPr>
        <w:ind w:left="760" w:hanging="644"/>
        <w:spacing w:after="0"/>
        <w:tabs>
          <w:tab w:leader="none" w:pos="7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30"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color w:val="auto"/>
        </w:rPr>
        <w:t>Disaggregated revenue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out below is the disaggregation of the Group’s revenue from contracts with customers: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71"/>
        </w:trPr>
        <w:tc>
          <w:tcPr>
            <w:tcW w:w="46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560" w:type="dxa"/>
            <w:vAlign w:val="bottom"/>
          </w:tcPr>
          <w:p>
            <w:pPr>
              <w:spacing w:after="0"/>
              <w:rPr>
                <w:sz w:val="14"/>
                <w:szCs w:val="14"/>
                <w:color w:val="auto"/>
              </w:rPr>
            </w:pPr>
          </w:p>
        </w:tc>
        <w:tc>
          <w:tcPr>
            <w:tcW w:w="18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29"/>
        </w:trPr>
        <w:tc>
          <w:tcPr>
            <w:tcW w:w="4680" w:type="dxa"/>
            <w:vAlign w:val="bottom"/>
            <w:gridSpan w:val="2"/>
            <w:vMerge w:val="continue"/>
          </w:tcPr>
          <w:p>
            <w:pPr>
              <w:spacing w:after="0"/>
              <w:rPr>
                <w:sz w:val="11"/>
                <w:szCs w:val="11"/>
                <w:color w:val="auto"/>
              </w:rPr>
            </w:pPr>
          </w:p>
        </w:tc>
        <w:tc>
          <w:tcPr>
            <w:tcW w:w="3560" w:type="dxa"/>
            <w:vAlign w:val="bottom"/>
          </w:tcPr>
          <w:p>
            <w:pPr>
              <w:spacing w:after="0"/>
              <w:rPr>
                <w:sz w:val="11"/>
                <w:szCs w:val="11"/>
                <w:color w:val="auto"/>
              </w:rPr>
            </w:pPr>
          </w:p>
        </w:tc>
        <w:tc>
          <w:tcPr>
            <w:tcW w:w="680" w:type="dxa"/>
            <w:vAlign w:val="bottom"/>
            <w:tcBorders>
              <w:top w:val="single" w:sz="8" w:color="auto"/>
            </w:tcBorders>
          </w:tcPr>
          <w:p>
            <w:pPr>
              <w:jc w:val="right"/>
              <w:ind w:right="121"/>
              <w:spacing w:after="0" w:line="129"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3"/>
              </w:rPr>
              <w:t>Revenues resulting from collaboration and license agreements</w:t>
            </w:r>
          </w:p>
        </w:tc>
        <w:tc>
          <w:tcPr>
            <w:tcW w:w="35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€101,837</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€42,333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Eli Lilly and Company</w:t>
            </w:r>
          </w:p>
        </w:tc>
        <w:tc>
          <w:tcPr>
            <w:tcW w:w="4520" w:type="dxa"/>
            <w:vAlign w:val="bottom"/>
            <w:gridSpan w:val="3"/>
          </w:tcPr>
          <w:p>
            <w:pPr>
              <w:jc w:val="right"/>
              <w:ind w:right="280"/>
              <w:spacing w:after="0"/>
              <w:rPr>
                <w:sz w:val="20"/>
                <w:szCs w:val="20"/>
                <w:color w:val="auto"/>
              </w:rPr>
            </w:pPr>
            <w:r>
              <w:rPr>
                <w:rFonts w:ascii="Arial" w:cs="Arial" w:eastAsia="Arial" w:hAnsi="Arial"/>
                <w:sz w:val="18"/>
                <w:szCs w:val="18"/>
                <w:color w:val="auto"/>
              </w:rPr>
              <w:t>676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Genentech Inc.</w:t>
            </w:r>
          </w:p>
        </w:tc>
        <w:tc>
          <w:tcPr>
            <w:tcW w:w="4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49,536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27,829</w:t>
            </w:r>
          </w:p>
        </w:tc>
        <w:tc>
          <w:tcPr>
            <w:tcW w:w="0" w:type="dxa"/>
            <w:vAlign w:val="bottom"/>
          </w:tcPr>
          <w:p>
            <w:pPr>
              <w:spacing w:after="0"/>
              <w:rPr>
                <w:sz w:val="1"/>
                <w:szCs w:val="1"/>
                <w:color w:val="auto"/>
              </w:rPr>
            </w:pPr>
          </w:p>
        </w:tc>
      </w:tr>
      <w:tr>
        <w:trPr>
          <w:trHeight w:val="216"/>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Genmab A/S</w:t>
            </w:r>
          </w:p>
        </w:tc>
        <w:tc>
          <w:tcPr>
            <w:tcW w:w="4520" w:type="dxa"/>
            <w:vAlign w:val="bottom"/>
            <w:gridSpan w:val="3"/>
          </w:tcPr>
          <w:p>
            <w:pPr>
              <w:jc w:val="right"/>
              <w:ind w:right="280"/>
              <w:spacing w:after="0"/>
              <w:rPr>
                <w:sz w:val="20"/>
                <w:szCs w:val="20"/>
                <w:color w:val="auto"/>
              </w:rPr>
            </w:pPr>
            <w:r>
              <w:rPr>
                <w:rFonts w:ascii="Arial" w:cs="Arial" w:eastAsia="Arial" w:hAnsi="Arial"/>
                <w:sz w:val="18"/>
                <w:szCs w:val="18"/>
                <w:color w:val="auto"/>
              </w:rPr>
              <w:t>2,740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Pfizer Inc.</w:t>
            </w:r>
          </w:p>
        </w:tc>
        <w:tc>
          <w:tcPr>
            <w:tcW w:w="4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7,174</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Sanofi S.A.</w:t>
            </w:r>
          </w:p>
        </w:tc>
        <w:tc>
          <w:tcPr>
            <w:tcW w:w="4520" w:type="dxa"/>
            <w:vAlign w:val="bottom"/>
            <w:gridSpan w:val="3"/>
          </w:tcPr>
          <w:p>
            <w:pPr>
              <w:jc w:val="right"/>
              <w:ind w:right="280"/>
              <w:spacing w:after="0"/>
              <w:rPr>
                <w:sz w:val="20"/>
                <w:szCs w:val="20"/>
                <w:color w:val="auto"/>
              </w:rPr>
            </w:pPr>
            <w:r>
              <w:rPr>
                <w:rFonts w:ascii="Arial" w:cs="Arial" w:eastAsia="Arial" w:hAnsi="Arial"/>
                <w:sz w:val="18"/>
                <w:szCs w:val="18"/>
                <w:color w:val="auto"/>
              </w:rPr>
              <w:t>41,712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other sales transactions</w:t>
            </w:r>
          </w:p>
        </w:tc>
        <w:tc>
          <w:tcPr>
            <w:tcW w:w="4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25,738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19,265</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Sum</w:t>
            </w:r>
          </w:p>
        </w:tc>
        <w:tc>
          <w:tcPr>
            <w:tcW w:w="3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127,575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61,598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520" w:type="dxa"/>
            <w:vAlign w:val="bottom"/>
            <w:gridSpan w:val="3"/>
          </w:tcPr>
          <w:p>
            <w:pPr>
              <w:jc w:val="right"/>
              <w:ind w:right="3960"/>
              <w:spacing w:after="0"/>
              <w:rPr>
                <w:sz w:val="20"/>
                <w:szCs w:val="20"/>
                <w:color w:val="auto"/>
              </w:rPr>
            </w:pPr>
            <w:r>
              <w:rPr>
                <w:rFonts w:ascii="Arial" w:cs="Arial" w:eastAsia="Arial" w:hAnsi="Arial"/>
                <w:sz w:val="18"/>
                <w:szCs w:val="18"/>
                <w:color w:val="auto"/>
              </w:rPr>
              <w:t>F-31</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Revenue from BioNTech’s collaborators that exceeds 10% of BioNTech’s total revenue is included in the segments Clinical, Manufacturing and Technology Platform. Of the revenue from other sales transactions, k€10,748 in 2018 (k€10,652 in 2017) apply to product sales.</w:t>
      </w: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4.2</w:t>
            </w:r>
          </w:p>
        </w:tc>
        <w:tc>
          <w:tcPr>
            <w:tcW w:w="3920" w:type="dxa"/>
            <w:vAlign w:val="bottom"/>
            <w:gridSpan w:val="3"/>
          </w:tcPr>
          <w:p>
            <w:pPr>
              <w:ind w:left="200"/>
              <w:spacing w:after="0"/>
              <w:rPr>
                <w:sz w:val="20"/>
                <w:szCs w:val="20"/>
                <w:color w:val="auto"/>
              </w:rPr>
            </w:pPr>
            <w:r>
              <w:rPr>
                <w:rFonts w:ascii="Arial" w:cs="Arial" w:eastAsia="Arial" w:hAnsi="Arial"/>
                <w:sz w:val="18"/>
                <w:szCs w:val="18"/>
                <w:b w:val="1"/>
                <w:bCs w:val="1"/>
                <w:color w:val="auto"/>
              </w:rPr>
              <w:t>Contract balances</w:t>
            </w: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44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2640" w:type="dxa"/>
            <w:vAlign w:val="bottom"/>
            <w:vMerge w:val="restart"/>
          </w:tcPr>
          <w:p>
            <w:pPr>
              <w:spacing w:after="0"/>
              <w:rPr>
                <w:sz w:val="24"/>
                <w:szCs w:val="24"/>
                <w:color w:val="auto"/>
              </w:rPr>
            </w:pPr>
          </w:p>
        </w:tc>
        <w:tc>
          <w:tcPr>
            <w:tcW w:w="3000" w:type="dxa"/>
            <w:vAlign w:val="bottom"/>
            <w:gridSpan w:val="3"/>
          </w:tcPr>
          <w:p>
            <w:pPr>
              <w:ind w:left="2160"/>
              <w:spacing w:after="0"/>
              <w:rPr>
                <w:sz w:val="20"/>
                <w:szCs w:val="20"/>
                <w:color w:val="auto"/>
              </w:rPr>
            </w:pPr>
            <w:r>
              <w:rPr>
                <w:rFonts w:ascii="Arial" w:cs="Arial" w:eastAsia="Arial" w:hAnsi="Arial"/>
                <w:sz w:val="14"/>
                <w:szCs w:val="14"/>
                <w:b w:val="1"/>
                <w:bCs w:val="1"/>
                <w:color w:val="auto"/>
                <w:w w:val="90"/>
              </w:rPr>
              <w:t>December 31,</w:t>
            </w:r>
          </w:p>
        </w:tc>
        <w:tc>
          <w:tcPr>
            <w:tcW w:w="1440" w:type="dxa"/>
            <w:vAlign w:val="bottom"/>
            <w:gridSpan w:val="3"/>
          </w:tcPr>
          <w:p>
            <w:pPr>
              <w:ind w:left="600"/>
              <w:spacing w:after="0"/>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5"/>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2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18,938</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4,575</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Contract assets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271,674</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291,372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306,880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Trade receivables are non-interest bearing and are generally settled within 20 to 30 days.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Contract assets are recognized for revenue earned from BioNTech’s performance of creating customer-specific cell and gene therapies. Upon completion of the produced product or upon reaching a contracted progress payment, the amounts recognized as contract assets are reclassified to trade receivables. As the customers’ advance payments exceeded BioNTech’s transferred goods and services for which a conditional right to consideration exists in all contracts in 2017 and 2018, only contract liabilities are presented.</w:t>
      </w:r>
    </w:p>
    <w:p>
      <w:pPr>
        <w:spacing w:after="0" w:line="18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Additionally, contract liabilities include long-term advances received from BioNTech’s major collaboration and license agreements. The outstanding balances of these accounts decreased in 2018 and 2017 as revenues resulting from these agreements exceeded further payments received from the collaborators due to the achievement of milestones. BioNTech received payments or an unconditional right of consideration of k€71,761 in 2018 (2017: k€26,552) from the collaboration and license agreements and recognized revenues resulting from collaboration and license agreements of k€101,837 in 2018 (2017: k€42,333), which reduced the contract liabilities.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out below is the amount of revenue recognized from:</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(in thousands)</w:t>
            </w:r>
          </w:p>
        </w:tc>
        <w:tc>
          <w:tcPr>
            <w:tcW w:w="5460" w:type="dxa"/>
            <w:vAlign w:val="bottom"/>
          </w:tcPr>
          <w:p>
            <w:pPr>
              <w:spacing w:after="0"/>
              <w:rPr>
                <w:sz w:val="16"/>
                <w:szCs w:val="16"/>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2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Amounts included in contract liabilities at the beginning of the year</w:t>
            </w:r>
          </w:p>
        </w:tc>
        <w:tc>
          <w:tcPr>
            <w:tcW w:w="1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65,068</w:t>
            </w: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40,428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4.3</w:t>
            </w:r>
          </w:p>
        </w:tc>
        <w:tc>
          <w:tcPr>
            <w:tcW w:w="6860" w:type="dxa"/>
            <w:vAlign w:val="bottom"/>
            <w:gridSpan w:val="3"/>
            <w:vMerge w:val="restart"/>
          </w:tcPr>
          <w:p>
            <w:pPr>
              <w:ind w:left="320"/>
              <w:spacing w:after="0"/>
              <w:rPr>
                <w:sz w:val="20"/>
                <w:szCs w:val="20"/>
                <w:color w:val="auto"/>
              </w:rPr>
            </w:pPr>
            <w:r>
              <w:rPr>
                <w:rFonts w:ascii="Arial" w:cs="Arial" w:eastAsia="Arial" w:hAnsi="Arial"/>
                <w:sz w:val="18"/>
                <w:szCs w:val="18"/>
                <w:b w:val="1"/>
                <w:bCs w:val="1"/>
                <w:color w:val="auto"/>
              </w:rPr>
              <w:t>Performance obligations</w:t>
            </w:r>
          </w:p>
        </w:tc>
        <w:tc>
          <w:tcPr>
            <w:tcW w:w="1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6860" w:type="dxa"/>
            <w:vAlign w:val="bottom"/>
            <w:gridSpan w:val="3"/>
          </w:tcPr>
          <w:p>
            <w:pPr>
              <w:ind w:left="120"/>
              <w:spacing w:after="0"/>
              <w:rPr>
                <w:sz w:val="20"/>
                <w:szCs w:val="20"/>
                <w:color w:val="auto"/>
              </w:rPr>
            </w:pPr>
            <w:r>
              <w:rPr>
                <w:rFonts w:ascii="Arial" w:cs="Arial" w:eastAsia="Arial" w:hAnsi="Arial"/>
                <w:sz w:val="18"/>
                <w:szCs w:val="18"/>
                <w:color w:val="auto"/>
              </w:rPr>
              <w:t>Information about BioNTech’s performance obligations is summarized below:</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BioNTech accounts for its promises to grant licenses as performance obligations satisfied over time as the customers simultaneously receive and consume the benefit of BioNTech’s performance of providing access to its intellectual property as the performance occurs. BioNTech recognizes revenue over time by measuring the progress toward complete satisfaction of that performance obligation according to the method that demonstrates BioNTech’s performance towards complete satisfaction. In contracts in which the costs vary based on the stage of research, an input-based measure considering cost incurred depicts most reliably the progress of the related research activities. In other contracts, revenue recognition on a straight-line basis most reliably depicts BioNTech’s performance toward complete satisfaction.</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00"/>
          </w:cols>
          <w:pgMar w:left="320" w:top="459" w:right="57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deferred revenue allocated to the remaining performance obligations (unsatisfied or partially unsatisfied) as at year-end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thousands)</w:t>
            </w:r>
          </w:p>
        </w:tc>
        <w:tc>
          <w:tcPr>
            <w:tcW w:w="3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r>
      <w:tr>
        <w:trPr>
          <w:trHeight w:val="203"/>
        </w:trPr>
        <w:tc>
          <w:tcPr>
            <w:tcW w:w="3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Within one year</w:t>
            </w:r>
          </w:p>
        </w:tc>
        <w:tc>
          <w:tcPr>
            <w:tcW w:w="2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64,522</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76,582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More than one year</w:t>
            </w:r>
          </w:p>
        </w:tc>
        <w:tc>
          <w:tcPr>
            <w:tcW w:w="2580" w:type="dxa"/>
            <w:vAlign w:val="bottom"/>
            <w:gridSpan w:val="2"/>
          </w:tcPr>
          <w:p>
            <w:pPr>
              <w:ind w:left="248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205,647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214,026</w:t>
            </w:r>
          </w:p>
        </w:tc>
      </w:tr>
      <w:tr>
        <w:trPr>
          <w:trHeight w:val="27"/>
        </w:trPr>
        <w:tc>
          <w:tcPr>
            <w:tcW w:w="8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Sum</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6"/>
              </w:rPr>
              <w:t>270,169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290,608</w:t>
            </w:r>
          </w:p>
        </w:tc>
      </w:tr>
      <w:tr>
        <w:trPr>
          <w:trHeight w:val="20"/>
        </w:trPr>
        <w:tc>
          <w:tcPr>
            <w:tcW w:w="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deferred revenue allocated to the remaining performance obligations does not contain deferred revenues of performance obligations which are part of contracts that have an original expected duration of one year or less or of performance obligations for which the consideration from the customer corresponds directly to the value to the customer of BioNTech’s performance to date.</w:t>
      </w:r>
    </w:p>
    <w:p>
      <w:pPr>
        <w:spacing w:after="0" w:line="328" w:lineRule="exact"/>
        <w:rPr>
          <w:sz w:val="20"/>
          <w:szCs w:val="20"/>
          <w:color w:val="auto"/>
        </w:rPr>
      </w:pPr>
    </w:p>
    <w:p>
      <w:pPr>
        <w:ind w:left="120" w:right="8640" w:hanging="4"/>
        <w:spacing w:after="0" w:line="425" w:lineRule="auto"/>
        <w:tabs>
          <w:tab w:leader="none" w:pos="768"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color w:val="auto"/>
        </w:rPr>
        <w:t>Group information Information about subsidiaries</w:t>
      </w:r>
    </w:p>
    <w:p>
      <w:pPr>
        <w:ind w:left="560"/>
        <w:spacing w:after="0"/>
        <w:rPr>
          <w:sz w:val="20"/>
          <w:szCs w:val="20"/>
          <w:color w:val="auto"/>
        </w:rPr>
      </w:pPr>
      <w:r>
        <w:rPr>
          <w:rFonts w:ascii="Arial" w:cs="Arial" w:eastAsia="Arial" w:hAnsi="Arial"/>
          <w:sz w:val="18"/>
          <w:szCs w:val="18"/>
          <w:color w:val="auto"/>
        </w:rPr>
        <w:t>The consolidated financial statements of the Group include the following subsidiaries: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Country of</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equity interest</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000" w:type="dxa"/>
            <w:vAlign w:val="bottom"/>
            <w:vMerge w:val="restart"/>
          </w:tcPr>
          <w:p>
            <w:pPr>
              <w:spacing w:after="0"/>
              <w:rPr>
                <w:sz w:val="10"/>
                <w:szCs w:val="10"/>
                <w:color w:val="auto"/>
              </w:rPr>
            </w:pPr>
          </w:p>
        </w:tc>
        <w:tc>
          <w:tcPr>
            <w:tcW w:w="9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Headquarter</w:t>
            </w:r>
          </w:p>
        </w:tc>
        <w:tc>
          <w:tcPr>
            <w:tcW w:w="4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0"/>
                <w:szCs w:val="10"/>
                <w:color w:val="auto"/>
              </w:rPr>
            </w:pPr>
          </w:p>
        </w:tc>
        <w:tc>
          <w:tcPr>
            <w:tcW w:w="6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0"/>
                <w:szCs w:val="10"/>
                <w:color w:val="auto"/>
              </w:rPr>
            </w:pPr>
          </w:p>
        </w:tc>
        <w:tc>
          <w:tcPr>
            <w:tcW w:w="860" w:type="dxa"/>
            <w:vAlign w:val="bottom"/>
          </w:tcPr>
          <w:p>
            <w:pPr>
              <w:ind w:left="280"/>
              <w:spacing w:after="0" w:line="119" w:lineRule="exact"/>
              <w:rPr>
                <w:sz w:val="20"/>
                <w:szCs w:val="20"/>
                <w:color w:val="auto"/>
              </w:rPr>
            </w:pPr>
            <w:r>
              <w:rPr>
                <w:rFonts w:ascii="Arial" w:cs="Arial" w:eastAsia="Arial" w:hAnsi="Arial"/>
                <w:sz w:val="13"/>
                <w:szCs w:val="13"/>
                <w:b w:val="1"/>
                <w:bCs w:val="1"/>
                <w:color w:val="auto"/>
              </w:rPr>
              <w:t>As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5000" w:type="dxa"/>
            <w:vAlign w:val="bottom"/>
            <w:vMerge w:val="continue"/>
          </w:tcPr>
          <w:p>
            <w:pPr>
              <w:spacing w:after="0"/>
              <w:rPr>
                <w:sz w:val="13"/>
                <w:szCs w:val="13"/>
                <w:color w:val="auto"/>
              </w:rPr>
            </w:pPr>
          </w:p>
        </w:tc>
        <w:tc>
          <w:tcPr>
            <w:tcW w:w="980" w:type="dxa"/>
            <w:vAlign w:val="bottom"/>
          </w:tcPr>
          <w:p>
            <w:pPr>
              <w:ind w:left="80"/>
              <w:spacing w:after="0" w:line="158" w:lineRule="exact"/>
              <w:rPr>
                <w:sz w:val="20"/>
                <w:szCs w:val="20"/>
                <w:color w:val="auto"/>
              </w:rPr>
            </w:pPr>
            <w:r>
              <w:rPr>
                <w:rFonts w:ascii="Arial" w:cs="Arial" w:eastAsia="Arial" w:hAnsi="Arial"/>
                <w:sz w:val="14"/>
                <w:szCs w:val="14"/>
                <w:b w:val="1"/>
                <w:bCs w:val="1"/>
                <w:color w:val="auto"/>
                <w:w w:val="97"/>
              </w:rPr>
              <w:t>incorporation</w:t>
            </w:r>
          </w:p>
        </w:tc>
        <w:tc>
          <w:tcPr>
            <w:tcW w:w="3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January, 2017</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BioNTech RNA Pharmaceuticals GmbH</w:t>
            </w: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vMerge w:val="continue"/>
            <w:shd w:val="clear" w:color="auto" w:fill="CCEEFF"/>
          </w:tcPr>
          <w:p>
            <w:pPr>
              <w:spacing w:after="0"/>
              <w:rPr>
                <w:sz w:val="17"/>
                <w:szCs w:val="17"/>
                <w:color w:val="auto"/>
              </w:rPr>
            </w:pPr>
          </w:p>
        </w:tc>
        <w:tc>
          <w:tcPr>
            <w:tcW w:w="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Germany</w:t>
            </w:r>
          </w:p>
        </w:tc>
        <w:tc>
          <w:tcPr>
            <w:tcW w:w="32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Mainz</w:t>
            </w:r>
          </w:p>
        </w:tc>
        <w:tc>
          <w:tcPr>
            <w:tcW w:w="32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100%</w:t>
            </w:r>
          </w:p>
        </w:tc>
        <w:tc>
          <w:tcPr>
            <w:tcW w:w="22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ind w:left="600"/>
              <w:spacing w:after="0" w:line="203"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BioNTech Protein Therapeutics GmbH</w:t>
            </w:r>
          </w:p>
        </w:tc>
        <w:tc>
          <w:tcPr>
            <w:tcW w:w="980" w:type="dxa"/>
            <w:vAlign w:val="bottom"/>
          </w:tcPr>
          <w:p>
            <w:pPr>
              <w:spacing w:after="0"/>
              <w:rPr>
                <w:sz w:val="20"/>
                <w:szCs w:val="20"/>
                <w:color w:val="auto"/>
              </w:rPr>
            </w:pPr>
            <w:r>
              <w:rPr>
                <w:rFonts w:ascii="Arial" w:cs="Arial" w:eastAsia="Arial" w:hAnsi="Arial"/>
                <w:sz w:val="18"/>
                <w:szCs w:val="18"/>
                <w:color w:val="auto"/>
              </w:rPr>
              <w:t>Germany</w:t>
            </w:r>
          </w:p>
        </w:tc>
        <w:tc>
          <w:tcPr>
            <w:tcW w:w="1680" w:type="dxa"/>
            <w:vAlign w:val="bottom"/>
            <w:gridSpan w:val="3"/>
          </w:tcPr>
          <w:p>
            <w:pPr>
              <w:ind w:left="320"/>
              <w:spacing w:after="0"/>
              <w:rPr>
                <w:sz w:val="20"/>
                <w:szCs w:val="20"/>
                <w:color w:val="auto"/>
              </w:rPr>
            </w:pPr>
            <w:r>
              <w:rPr>
                <w:rFonts w:ascii="Arial" w:cs="Arial" w:eastAsia="Arial" w:hAnsi="Arial"/>
                <w:sz w:val="18"/>
                <w:szCs w:val="18"/>
                <w:color w:val="auto"/>
              </w:rPr>
              <w:t>Mainz</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Diagnostics GmbH</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Mainz</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BioNTech Small Molecules GmbH</w:t>
            </w:r>
          </w:p>
        </w:tc>
        <w:tc>
          <w:tcPr>
            <w:tcW w:w="980" w:type="dxa"/>
            <w:vAlign w:val="bottom"/>
          </w:tcPr>
          <w:p>
            <w:pPr>
              <w:spacing w:after="0"/>
              <w:rPr>
                <w:sz w:val="20"/>
                <w:szCs w:val="20"/>
                <w:color w:val="auto"/>
              </w:rPr>
            </w:pPr>
            <w:r>
              <w:rPr>
                <w:rFonts w:ascii="Arial" w:cs="Arial" w:eastAsia="Arial" w:hAnsi="Arial"/>
                <w:sz w:val="18"/>
                <w:szCs w:val="18"/>
                <w:color w:val="auto"/>
              </w:rPr>
              <w:t>Germany</w:t>
            </w:r>
          </w:p>
        </w:tc>
        <w:tc>
          <w:tcPr>
            <w:tcW w:w="1680" w:type="dxa"/>
            <w:vAlign w:val="bottom"/>
            <w:gridSpan w:val="3"/>
          </w:tcPr>
          <w:p>
            <w:pPr>
              <w:ind w:left="320"/>
              <w:spacing w:after="0"/>
              <w:rPr>
                <w:sz w:val="20"/>
                <w:szCs w:val="20"/>
                <w:color w:val="auto"/>
              </w:rPr>
            </w:pPr>
            <w:r>
              <w:rPr>
                <w:rFonts w:ascii="Arial" w:cs="Arial" w:eastAsia="Arial" w:hAnsi="Arial"/>
                <w:sz w:val="18"/>
                <w:szCs w:val="18"/>
                <w:color w:val="auto"/>
              </w:rPr>
              <w:t>Mainz</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Business Services GmbH</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Mainz</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BioNTech Austria Beteiligungen GmbH</w:t>
            </w:r>
          </w:p>
        </w:tc>
        <w:tc>
          <w:tcPr>
            <w:tcW w:w="980" w:type="dxa"/>
            <w:vAlign w:val="bottom"/>
          </w:tcPr>
          <w:p>
            <w:pPr>
              <w:spacing w:after="0"/>
              <w:rPr>
                <w:sz w:val="20"/>
                <w:szCs w:val="20"/>
                <w:color w:val="auto"/>
              </w:rPr>
            </w:pPr>
            <w:r>
              <w:rPr>
                <w:rFonts w:ascii="Arial" w:cs="Arial" w:eastAsia="Arial" w:hAnsi="Arial"/>
                <w:sz w:val="18"/>
                <w:szCs w:val="18"/>
                <w:color w:val="auto"/>
              </w:rPr>
              <w:t>Austria</w:t>
            </w:r>
          </w:p>
        </w:tc>
        <w:tc>
          <w:tcPr>
            <w:tcW w:w="1680" w:type="dxa"/>
            <w:vAlign w:val="bottom"/>
            <w:gridSpan w:val="3"/>
          </w:tcPr>
          <w:p>
            <w:pPr>
              <w:ind w:left="320"/>
              <w:spacing w:after="0"/>
              <w:rPr>
                <w:sz w:val="20"/>
                <w:szCs w:val="20"/>
                <w:color w:val="auto"/>
              </w:rPr>
            </w:pPr>
            <w:r>
              <w:rPr>
                <w:rFonts w:ascii="Arial" w:cs="Arial" w:eastAsia="Arial" w:hAnsi="Arial"/>
                <w:sz w:val="18"/>
                <w:szCs w:val="18"/>
                <w:color w:val="auto"/>
              </w:rPr>
              <w:t>Wien</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2"/>
        </w:trPr>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BioNTech Innovative Manufacturing Services GmbH (Frühere Eufets</w:t>
            </w: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GmbH)</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Idar-Oberstein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JPT Peptide Technologies GmbH</w:t>
            </w:r>
          </w:p>
        </w:tc>
        <w:tc>
          <w:tcPr>
            <w:tcW w:w="980" w:type="dxa"/>
            <w:vAlign w:val="bottom"/>
          </w:tcPr>
          <w:p>
            <w:pPr>
              <w:spacing w:after="0"/>
              <w:rPr>
                <w:sz w:val="20"/>
                <w:szCs w:val="20"/>
                <w:color w:val="auto"/>
              </w:rPr>
            </w:pPr>
            <w:r>
              <w:rPr>
                <w:rFonts w:ascii="Arial" w:cs="Arial" w:eastAsia="Arial" w:hAnsi="Arial"/>
                <w:sz w:val="18"/>
                <w:szCs w:val="18"/>
                <w:color w:val="auto"/>
              </w:rPr>
              <w:t>Germany</w:t>
            </w:r>
          </w:p>
        </w:tc>
        <w:tc>
          <w:tcPr>
            <w:tcW w:w="1680" w:type="dxa"/>
            <w:vAlign w:val="bottom"/>
            <w:gridSpan w:val="3"/>
          </w:tcPr>
          <w:p>
            <w:pPr>
              <w:ind w:left="320"/>
              <w:spacing w:after="0"/>
              <w:rPr>
                <w:sz w:val="20"/>
                <w:szCs w:val="20"/>
                <w:color w:val="auto"/>
              </w:rPr>
            </w:pPr>
            <w:r>
              <w:rPr>
                <w:rFonts w:ascii="Arial" w:cs="Arial" w:eastAsia="Arial" w:hAnsi="Arial"/>
                <w:sz w:val="18"/>
                <w:szCs w:val="18"/>
                <w:color w:val="auto"/>
              </w:rPr>
              <w:t>Berlin</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TheraCode JPT Inc.</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88"/>
              </w:rPr>
              <w:t>United States</w:t>
            </w:r>
          </w:p>
        </w:tc>
        <w:tc>
          <w:tcPr>
            <w:tcW w:w="1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Acton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BioNTech Cell &amp; Gene Therapies GmbH</w:t>
            </w:r>
          </w:p>
        </w:tc>
        <w:tc>
          <w:tcPr>
            <w:tcW w:w="980" w:type="dxa"/>
            <w:vAlign w:val="bottom"/>
          </w:tcPr>
          <w:p>
            <w:pPr>
              <w:spacing w:after="0"/>
              <w:rPr>
                <w:sz w:val="20"/>
                <w:szCs w:val="20"/>
                <w:color w:val="auto"/>
              </w:rPr>
            </w:pPr>
            <w:r>
              <w:rPr>
                <w:rFonts w:ascii="Arial" w:cs="Arial" w:eastAsia="Arial" w:hAnsi="Arial"/>
                <w:sz w:val="18"/>
                <w:szCs w:val="18"/>
                <w:color w:val="auto"/>
              </w:rPr>
              <w:t>Germany</w:t>
            </w:r>
          </w:p>
        </w:tc>
        <w:tc>
          <w:tcPr>
            <w:tcW w:w="1680" w:type="dxa"/>
            <w:vAlign w:val="bottom"/>
            <w:gridSpan w:val="3"/>
          </w:tcPr>
          <w:p>
            <w:pPr>
              <w:ind w:left="320"/>
              <w:spacing w:after="0"/>
              <w:rPr>
                <w:sz w:val="20"/>
                <w:szCs w:val="20"/>
                <w:color w:val="auto"/>
              </w:rPr>
            </w:pPr>
            <w:r>
              <w:rPr>
                <w:rFonts w:ascii="Arial" w:cs="Arial" w:eastAsia="Arial" w:hAnsi="Arial"/>
                <w:sz w:val="18"/>
                <w:szCs w:val="18"/>
                <w:color w:val="auto"/>
              </w:rPr>
              <w:t>Mainz</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94.50%</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94.50%</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w w:val="98"/>
              </w:rPr>
              <w:t>94.50%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Apta IT GmbH</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Munich</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49.99%</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8"/>
              </w:rPr>
              <w:t>49.99%</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BioNTech Real Estate Verwaltungs GmbH</w:t>
            </w:r>
          </w:p>
        </w:tc>
        <w:tc>
          <w:tcPr>
            <w:tcW w:w="980" w:type="dxa"/>
            <w:vAlign w:val="bottom"/>
          </w:tcPr>
          <w:p>
            <w:pPr>
              <w:spacing w:after="0"/>
              <w:rPr>
                <w:sz w:val="20"/>
                <w:szCs w:val="20"/>
                <w:color w:val="auto"/>
              </w:rPr>
            </w:pPr>
            <w:r>
              <w:rPr>
                <w:rFonts w:ascii="Arial" w:cs="Arial" w:eastAsia="Arial" w:hAnsi="Arial"/>
                <w:sz w:val="18"/>
                <w:szCs w:val="18"/>
                <w:color w:val="auto"/>
              </w:rPr>
              <w:t>Germany</w:t>
            </w:r>
          </w:p>
        </w:tc>
        <w:tc>
          <w:tcPr>
            <w:tcW w:w="1680" w:type="dxa"/>
            <w:vAlign w:val="bottom"/>
            <w:gridSpan w:val="3"/>
          </w:tcPr>
          <w:p>
            <w:pPr>
              <w:ind w:left="320"/>
              <w:spacing w:after="0"/>
              <w:rPr>
                <w:sz w:val="20"/>
                <w:szCs w:val="20"/>
                <w:color w:val="auto"/>
              </w:rPr>
            </w:pPr>
            <w:r>
              <w:rPr>
                <w:rFonts w:ascii="Arial" w:cs="Arial" w:eastAsia="Arial" w:hAnsi="Arial"/>
                <w:sz w:val="18"/>
                <w:szCs w:val="18"/>
                <w:color w:val="auto"/>
              </w:rPr>
              <w:t>Holzkirchen</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Real Estate GmbH &amp; Co. KG</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Holzkirchen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BioNTech Real Estate Verwaltungs GmbH and BioNTech Real Estate GmbH &amp; Co. KG were established during 2018.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Parent company</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AT Impf GmbH, Munich, owns 54.16% (December 31, 2017 and January 1, 2017: 62.77%) of the ordinary shares in BioNTech and is the parent company of the Group.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Entity with significant influence over the Group</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Medine GmbH, Mainz, owns 21.57% (December 31, 2017: 25%; January 1, 2017: 25.99%) of the ordinary shares in BioNTech and has significant influence over the Group.</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60" w:hanging="644"/>
        <w:spacing w:after="0"/>
        <w:tabs>
          <w:tab w:leader="none" w:pos="7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Income and expenses</w:t>
      </w:r>
    </w:p>
    <w:p>
      <w:pPr>
        <w:spacing w:after="0" w:line="131" w:lineRule="exact"/>
        <w:rPr>
          <w:sz w:val="20"/>
          <w:szCs w:val="20"/>
          <w:color w:val="auto"/>
        </w:rPr>
      </w:pPr>
    </w:p>
    <w:p>
      <w:pPr>
        <w:jc w:val="right"/>
        <w:ind w:right="9300"/>
        <w:spacing w:after="0"/>
        <w:tabs>
          <w:tab w:leader="none" w:pos="103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Costs of sales</w:t>
      </w:r>
    </w:p>
    <w:p>
      <w:pPr>
        <w:spacing w:after="0" w:line="27" w:lineRule="exact"/>
        <w:rPr>
          <w:sz w:val="20"/>
          <w:szCs w:val="20"/>
          <w:color w:val="auto"/>
        </w:rPr>
      </w:pPr>
    </w:p>
    <w:p>
      <w:pPr>
        <w:jc w:val="right"/>
        <w:ind w:right="930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ind w:lef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6"/>
              </w:rPr>
              <w:t>€ 6,726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€6,105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gridSpan w:val="4"/>
          </w:tcPr>
          <w:p>
            <w:pPr>
              <w:jc w:val="right"/>
              <w:ind w:right="460"/>
              <w:spacing w:after="0"/>
              <w:rPr>
                <w:sz w:val="20"/>
                <w:szCs w:val="20"/>
                <w:color w:val="auto"/>
              </w:rPr>
            </w:pPr>
            <w:r>
              <w:rPr>
                <w:rFonts w:ascii="Arial" w:cs="Arial" w:eastAsia="Arial" w:hAnsi="Arial"/>
                <w:sz w:val="18"/>
                <w:szCs w:val="18"/>
                <w:color w:val="auto"/>
              </w:rPr>
              <w:t>1,368</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Purchased Services</w:t>
            </w:r>
          </w:p>
        </w:tc>
        <w:tc>
          <w:tcPr>
            <w:tcW w:w="12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Depreciation</w:t>
            </w:r>
          </w:p>
        </w:tc>
        <w:tc>
          <w:tcPr>
            <w:tcW w:w="1240" w:type="dxa"/>
            <w:vAlign w:val="bottom"/>
            <w:gridSpan w:val="4"/>
          </w:tcPr>
          <w:p>
            <w:pPr>
              <w:jc w:val="right"/>
              <w:ind w:right="460"/>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1,715</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13,690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9,318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6.2</w:t>
            </w:r>
          </w:p>
        </w:tc>
        <w:tc>
          <w:tcPr>
            <w:tcW w:w="73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Research and development expenses</w:t>
            </w: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440" w:type="dxa"/>
            <w:vAlign w:val="bottom"/>
            <w:vMerge w:val="continue"/>
          </w:tcPr>
          <w:p>
            <w:pPr>
              <w:spacing w:after="0"/>
              <w:rPr>
                <w:sz w:val="24"/>
                <w:szCs w:val="24"/>
                <w:color w:val="auto"/>
              </w:rPr>
            </w:pPr>
          </w:p>
        </w:tc>
        <w:tc>
          <w:tcPr>
            <w:tcW w:w="7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360" w:type="dxa"/>
            <w:vAlign w:val="bottom"/>
            <w:gridSpan w:val="2"/>
          </w:tcPr>
          <w:p>
            <w:pPr>
              <w:ind w:left="20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6"/>
          </w:tcPr>
          <w:p>
            <w:pPr>
              <w:ind w:lef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€ 45,668</w:t>
            </w:r>
          </w:p>
        </w:tc>
        <w:tc>
          <w:tcPr>
            <w:tcW w:w="56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€31,970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Purchased services</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42,079</w:t>
            </w:r>
          </w:p>
        </w:tc>
        <w:tc>
          <w:tcPr>
            <w:tcW w:w="4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22,686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Lab supplies</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22,921</w:t>
            </w:r>
          </w:p>
        </w:tc>
        <w:tc>
          <w:tcPr>
            <w:tcW w:w="4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Depreciation</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18,312</w:t>
            </w:r>
          </w:p>
        </w:tc>
        <w:tc>
          <w:tcPr>
            <w:tcW w:w="4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Lease and lease related cost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4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13,178</w:t>
            </w:r>
          </w:p>
        </w:tc>
        <w:tc>
          <w:tcPr>
            <w:tcW w:w="4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143,040</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85,496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expenses were mainly comprised of clinical studies (2018: k€3,500; 2017: k€887), travel costs (2018: k€1,281; 2017: k€776) and incidental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rental costs (2018: k€1,523; 2017: k€730).</w:t>
      </w:r>
    </w:p>
    <w:p>
      <w:pPr>
        <w:spacing w:after="0" w:line="35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6.3</w:t>
            </w:r>
          </w:p>
        </w:tc>
        <w:tc>
          <w:tcPr>
            <w:tcW w:w="5540" w:type="dxa"/>
            <w:vAlign w:val="bottom"/>
            <w:gridSpan w:val="2"/>
          </w:tcPr>
          <w:p>
            <w:pPr>
              <w:ind w:left="200"/>
              <w:spacing w:after="0"/>
              <w:rPr>
                <w:sz w:val="20"/>
                <w:szCs w:val="20"/>
                <w:color w:val="auto"/>
              </w:rPr>
            </w:pPr>
            <w:r>
              <w:rPr>
                <w:rFonts w:ascii="Arial" w:cs="Arial" w:eastAsia="Arial" w:hAnsi="Arial"/>
                <w:sz w:val="18"/>
                <w:szCs w:val="18"/>
                <w:b w:val="1"/>
                <w:bCs w:val="1"/>
                <w:color w:val="auto"/>
              </w:rPr>
              <w:t>Sales and marketing expenses</w:t>
            </w:r>
          </w:p>
        </w:tc>
        <w:tc>
          <w:tcPr>
            <w:tcW w:w="2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(in thousands)</w:t>
            </w:r>
          </w:p>
        </w:tc>
        <w:tc>
          <w:tcPr>
            <w:tcW w:w="2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2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Purchased services</w:t>
            </w:r>
          </w:p>
        </w:tc>
        <w:tc>
          <w:tcPr>
            <w:tcW w:w="2880" w:type="dxa"/>
            <w:vAlign w:val="bottom"/>
            <w:gridSpan w:val="3"/>
          </w:tcPr>
          <w:p>
            <w:pPr>
              <w:jc w:val="right"/>
              <w:ind w:right="280"/>
              <w:spacing w:after="0"/>
              <w:rPr>
                <w:sz w:val="20"/>
                <w:szCs w:val="20"/>
                <w:color w:val="auto"/>
              </w:rPr>
            </w:pPr>
            <w:r>
              <w:rPr>
                <w:rFonts w:ascii="Arial" w:cs="Arial" w:eastAsia="Arial" w:hAnsi="Arial"/>
                <w:sz w:val="18"/>
                <w:szCs w:val="18"/>
                <w:color w:val="auto"/>
              </w:rPr>
              <w:t>794</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2,771</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Travel costs</w:t>
            </w:r>
          </w:p>
        </w:tc>
        <w:tc>
          <w:tcPr>
            <w:tcW w:w="2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252</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1,940</w:t>
            </w: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3,041</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6,603</w:t>
            </w: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In 2018, the other costs were mainly comprised of transport costs (k€119) and depreciation (k€21). In 2017, the other costs were mainly comprised of distribution costs of the entity TheraCode JPT Inc. (k€441) and transport costs (k€146).</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80"/>
          </w:cols>
          <w:pgMar w:left="320" w:top="459" w:right="49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6.4</w:t>
            </w:r>
          </w:p>
        </w:tc>
        <w:tc>
          <w:tcPr>
            <w:tcW w:w="5440" w:type="dxa"/>
            <w:vAlign w:val="bottom"/>
            <w:gridSpan w:val="2"/>
          </w:tcPr>
          <w:p>
            <w:pPr>
              <w:ind w:left="200"/>
              <w:spacing w:after="0"/>
              <w:rPr>
                <w:sz w:val="20"/>
                <w:szCs w:val="20"/>
                <w:color w:val="auto"/>
              </w:rPr>
            </w:pPr>
            <w:r>
              <w:rPr>
                <w:rFonts w:ascii="Arial" w:cs="Arial" w:eastAsia="Arial" w:hAnsi="Arial"/>
                <w:sz w:val="18"/>
                <w:szCs w:val="18"/>
                <w:b w:val="1"/>
                <w:bCs w:val="1"/>
                <w:color w:val="auto"/>
              </w:rPr>
              <w:t>General and administrative expenses</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(in thousands)</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6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Purchased services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3,544</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IT and office equipment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3,774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2,706</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Depreciation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Office costs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1,611</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5,167</w:t>
            </w: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gridSpan w:val="2"/>
            <w:shd w:val="clear" w:color="auto" w:fill="CCEEFF"/>
          </w:tcPr>
          <w:p>
            <w:pPr>
              <w:ind w:left="2020"/>
              <w:spacing w:after="0"/>
              <w:rPr>
                <w:sz w:val="20"/>
                <w:szCs w:val="20"/>
                <w:color w:val="auto"/>
              </w:rPr>
            </w:pPr>
            <w:r>
              <w:rPr>
                <w:rFonts w:ascii="Arial" w:cs="Arial" w:eastAsia="Arial" w:hAnsi="Arial"/>
                <w:sz w:val="15"/>
                <w:szCs w:val="15"/>
                <w:b w:val="1"/>
                <w:bCs w:val="1"/>
                <w:u w:val="single" w:color="auto"/>
                <w:color w:val="auto"/>
                <w:w w:val="71"/>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87"/>
              </w:rPr>
              <w:t>26,334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23,520</w:t>
            </w: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2018, the other expenses were mainly comprised of travel costs (k€1,043), job advertisement expenses (k€861) and contract staffing (k€781). In the prior year, the other expenses were mainly comprised of job advertisement expenses (k€719), travel costs (k€247), training expenses (k€210) and incidental rental costs (k€182).</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6.5</w:t>
            </w:r>
          </w:p>
        </w:tc>
        <w:tc>
          <w:tcPr>
            <w:tcW w:w="538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 operating income</w:t>
            </w:r>
          </w:p>
        </w:tc>
        <w:tc>
          <w:tcPr>
            <w:tcW w:w="2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(in thousands)</w:t>
            </w:r>
          </w:p>
        </w:tc>
        <w:tc>
          <w:tcPr>
            <w:tcW w:w="2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7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4"/>
                <w:szCs w:val="24"/>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2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€4,228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€2,266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1,168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operating income</w:t>
            </w:r>
          </w:p>
        </w:tc>
        <w:tc>
          <w:tcPr>
            <w:tcW w:w="2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5,396</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2,349</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6.6</w:t>
            </w:r>
          </w:p>
        </w:tc>
        <w:tc>
          <w:tcPr>
            <w:tcW w:w="53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Other operating expenses</w:t>
            </w:r>
          </w:p>
        </w:tc>
        <w:tc>
          <w:tcPr>
            <w:tcW w:w="2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440" w:type="dxa"/>
            <w:vAlign w:val="bottom"/>
            <w:vMerge w:val="continue"/>
          </w:tcPr>
          <w:p>
            <w:pPr>
              <w:spacing w:after="0"/>
              <w:rPr>
                <w:sz w:val="24"/>
                <w:szCs w:val="24"/>
                <w:color w:val="auto"/>
              </w:rPr>
            </w:pPr>
          </w:p>
        </w:tc>
        <w:tc>
          <w:tcPr>
            <w:tcW w:w="538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(in thousands)</w:t>
            </w:r>
          </w:p>
        </w:tc>
        <w:tc>
          <w:tcPr>
            <w:tcW w:w="2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09"/>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intangible assets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€281</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720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operating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6"/>
              </w:rPr>
              <w:t>720</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288</w:t>
            </w:r>
          </w:p>
        </w:tc>
      </w:tr>
      <w:tr>
        <w:trPr>
          <w:trHeight w:val="20"/>
        </w:trPr>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2017, the impairment loss of k€281 represented the write-down of a software program as it was no longer usable.</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6.7</w:t>
            </w:r>
          </w:p>
        </w:tc>
        <w:tc>
          <w:tcPr>
            <w:tcW w:w="76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Finance income</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7640" w:type="dxa"/>
            <w:vAlign w:val="bottom"/>
            <w:gridSpan w:val="2"/>
          </w:tcPr>
          <w:p>
            <w:pPr>
              <w:ind w:left="20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c>
          <w:tcPr>
            <w:tcW w:w="104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income</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Interest income on cash</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€1,996</w:t>
            </w:r>
          </w:p>
        </w:tc>
        <w:tc>
          <w:tcPr>
            <w:tcW w:w="1080" w:type="dxa"/>
            <w:vAlign w:val="bottom"/>
            <w:gridSpan w:val="3"/>
          </w:tcPr>
          <w:p>
            <w:pPr>
              <w:jc w:val="center"/>
              <w:ind w:left="419"/>
              <w:spacing w:after="0"/>
              <w:rPr>
                <w:sz w:val="20"/>
                <w:szCs w:val="20"/>
                <w:color w:val="auto"/>
              </w:rPr>
            </w:pPr>
            <w:r>
              <w:rPr>
                <w:rFonts w:ascii="Arial" w:cs="Arial" w:eastAsia="Arial" w:hAnsi="Arial"/>
                <w:sz w:val="18"/>
                <w:szCs w:val="18"/>
                <w:color w:val="auto"/>
                <w:w w:val="90"/>
              </w:rPr>
              <w:t>€2,133</w:t>
            </w: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gains (net)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6,050</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Finance income</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8,046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2,133</w:t>
            </w:r>
          </w:p>
        </w:tc>
        <w:tc>
          <w:tcPr>
            <w:tcW w:w="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ind w:right="5260"/>
        <w:spacing w:after="0"/>
        <w:rPr>
          <w:sz w:val="20"/>
          <w:szCs w:val="20"/>
          <w:color w:val="auto"/>
        </w:rPr>
      </w:pPr>
      <w:r>
        <w:rPr>
          <w:rFonts w:ascii="Arial" w:cs="Arial" w:eastAsia="Arial" w:hAnsi="Arial"/>
          <w:sz w:val="18"/>
          <w:szCs w:val="18"/>
          <w:color w:val="auto"/>
        </w:rPr>
        <w:t>Finance income results from BioNTech’s interests on short-term deposits.</w:t>
      </w:r>
    </w:p>
    <w:p>
      <w:pPr>
        <w:spacing w:after="0" w:line="158" w:lineRule="exact"/>
        <w:rPr>
          <w:sz w:val="20"/>
          <w:szCs w:val="20"/>
          <w:color w:val="auto"/>
        </w:rPr>
      </w:pPr>
    </w:p>
    <w:p>
      <w:pPr>
        <w:jc w:val="right"/>
        <w:ind w:right="532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20" w:type="dxa"/>
            <w:vAlign w:val="bottom"/>
          </w:tcPr>
          <w:p>
            <w:pPr>
              <w:spacing w:after="0"/>
              <w:rPr>
                <w:sz w:val="20"/>
                <w:szCs w:val="20"/>
                <w:color w:val="auto"/>
              </w:rPr>
            </w:pPr>
            <w:r>
              <w:rPr>
                <w:rFonts w:ascii="Arial" w:cs="Arial" w:eastAsia="Arial" w:hAnsi="Arial"/>
                <w:sz w:val="18"/>
                <w:szCs w:val="18"/>
                <w:b w:val="1"/>
                <w:bCs w:val="1"/>
                <w:color w:val="auto"/>
              </w:rPr>
              <w:t>6.8</w:t>
            </w:r>
          </w:p>
        </w:tc>
        <w:tc>
          <w:tcPr>
            <w:tcW w:w="7580" w:type="dxa"/>
            <w:vAlign w:val="bottom"/>
            <w:gridSpan w:val="2"/>
          </w:tcPr>
          <w:p>
            <w:pPr>
              <w:ind w:left="320"/>
              <w:spacing w:after="0"/>
              <w:rPr>
                <w:sz w:val="20"/>
                <w:szCs w:val="20"/>
                <w:color w:val="auto"/>
              </w:rPr>
            </w:pPr>
            <w:r>
              <w:rPr>
                <w:rFonts w:ascii="Arial" w:cs="Arial" w:eastAsia="Arial" w:hAnsi="Arial"/>
                <w:sz w:val="18"/>
                <w:szCs w:val="18"/>
                <w:b w:val="1"/>
                <w:bCs w:val="1"/>
                <w:color w:val="auto"/>
              </w:rPr>
              <w:t>Finance expense</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7580" w:type="dxa"/>
            <w:vAlign w:val="bottom"/>
            <w:gridSpan w:val="2"/>
          </w:tcPr>
          <w:p>
            <w:pPr>
              <w:ind w:left="32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expense</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Arial" w:cs="Arial" w:eastAsia="Arial" w:hAnsi="Arial"/>
                <w:sz w:val="18"/>
                <w:szCs w:val="18"/>
                <w:color w:val="auto"/>
              </w:rPr>
              <w:t>Financial instruments measured at amortised cost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losses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25.955</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Finance expense</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26.007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580" w:type="dxa"/>
            <w:vAlign w:val="bottom"/>
            <w:gridSpan w:val="2"/>
            <w:vMerge w:val="restart"/>
          </w:tcPr>
          <w:p>
            <w:pPr>
              <w:ind w:left="120"/>
              <w:spacing w:after="0"/>
              <w:rPr>
                <w:sz w:val="20"/>
                <w:szCs w:val="20"/>
                <w:color w:val="auto"/>
              </w:rPr>
            </w:pPr>
            <w:r>
              <w:rPr>
                <w:rFonts w:ascii="Arial" w:cs="Arial" w:eastAsia="Arial" w:hAnsi="Arial"/>
                <w:sz w:val="18"/>
                <w:szCs w:val="18"/>
                <w:color w:val="auto"/>
              </w:rPr>
              <w:t>Foreign exchange losses are a result from the Group’s unhedged USD cash accounts.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7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20" w:type="dxa"/>
            <w:vAlign w:val="bottom"/>
          </w:tcPr>
          <w:p>
            <w:pPr>
              <w:spacing w:after="0"/>
              <w:rPr>
                <w:sz w:val="20"/>
                <w:szCs w:val="20"/>
                <w:color w:val="auto"/>
              </w:rPr>
            </w:pPr>
            <w:r>
              <w:rPr>
                <w:rFonts w:ascii="Arial" w:cs="Arial" w:eastAsia="Arial" w:hAnsi="Arial"/>
                <w:sz w:val="18"/>
                <w:szCs w:val="18"/>
                <w:b w:val="1"/>
                <w:bCs w:val="1"/>
                <w:color w:val="auto"/>
              </w:rPr>
              <w:t>7</w:t>
            </w:r>
          </w:p>
        </w:tc>
        <w:tc>
          <w:tcPr>
            <w:tcW w:w="7580" w:type="dxa"/>
            <w:vAlign w:val="bottom"/>
            <w:gridSpan w:val="2"/>
          </w:tcPr>
          <w:p>
            <w:pPr>
              <w:ind w:left="320"/>
              <w:spacing w:after="0"/>
              <w:rPr>
                <w:sz w:val="20"/>
                <w:szCs w:val="20"/>
                <w:color w:val="auto"/>
              </w:rPr>
            </w:pPr>
            <w:r>
              <w:rPr>
                <w:rFonts w:ascii="Arial" w:cs="Arial" w:eastAsia="Arial" w:hAnsi="Arial"/>
                <w:sz w:val="18"/>
                <w:szCs w:val="18"/>
                <w:b w:val="1"/>
                <w:bCs w:val="1"/>
                <w:color w:val="auto"/>
              </w:rPr>
              <w:t>Income tax</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7580" w:type="dxa"/>
            <w:vAlign w:val="bottom"/>
            <w:gridSpan w:val="2"/>
          </w:tcPr>
          <w:p>
            <w:pPr>
              <w:ind w:left="120"/>
              <w:spacing w:after="0"/>
              <w:rPr>
                <w:sz w:val="20"/>
                <w:szCs w:val="20"/>
                <w:color w:val="auto"/>
              </w:rPr>
            </w:pPr>
            <w:r>
              <w:rPr>
                <w:rFonts w:ascii="Arial" w:cs="Arial" w:eastAsia="Arial" w:hAnsi="Arial"/>
                <w:sz w:val="18"/>
                <w:szCs w:val="18"/>
                <w:color w:val="auto"/>
                <w:w w:val="90"/>
              </w:rPr>
              <w:t>Tax expense for the years ended December 31, 2018 and 2017 are comprised of current income taxes.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Reconciliation of tax expense to the estimated tax rate for the years ended 2017 and 2018 is as follows (in thousands):</w:t>
      </w:r>
    </w:p>
    <w:p>
      <w:pPr>
        <w:spacing w:after="0" w:line="244"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Year ended</w:t>
      </w:r>
    </w:p>
    <w:p>
      <w:pPr>
        <w:jc w:val="center"/>
        <w:ind w:left="90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(47,662</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(85,950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4"/>
        </w:trPr>
        <w:tc>
          <w:tcPr>
            <w:tcW w:w="9140" w:type="dxa"/>
            <w:vAlign w:val="bottom"/>
          </w:tcPr>
          <w:p>
            <w:pPr>
              <w:spacing w:after="0"/>
              <w:rPr>
                <w:sz w:val="20"/>
                <w:szCs w:val="20"/>
                <w:color w:val="auto"/>
              </w:rPr>
            </w:pPr>
            <w:r>
              <w:rPr>
                <w:rFonts w:ascii="Arial" w:cs="Arial" w:eastAsia="Arial" w:hAnsi="Arial"/>
                <w:sz w:val="18"/>
                <w:szCs w:val="18"/>
                <w:color w:val="auto"/>
              </w:rPr>
              <w:t>Expected tax benefit (based on BioNTech’s statutory tax rate of 30.99%; prior year: 30.86%)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Government grants exempted from taxes</w:t>
            </w:r>
          </w:p>
        </w:tc>
        <w:tc>
          <w:tcPr>
            <w:tcW w:w="100" w:type="dxa"/>
            <w:vAlign w:val="bottom"/>
          </w:tcPr>
          <w:p>
            <w:pPr>
              <w:spacing w:after="0"/>
              <w:rPr>
                <w:sz w:val="18"/>
                <w:szCs w:val="18"/>
                <w:color w:val="auto"/>
              </w:rPr>
            </w:pPr>
          </w:p>
        </w:tc>
        <w:tc>
          <w:tcPr>
            <w:tcW w:w="820" w:type="dxa"/>
            <w:vAlign w:val="bottom"/>
            <w:gridSpan w:val="2"/>
          </w:tcPr>
          <w:p>
            <w:pPr>
              <w:jc w:val="right"/>
              <w:ind w:right="161"/>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 deductible tax-expenses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Utilization of tax losses</w:t>
            </w:r>
          </w:p>
        </w:tc>
        <w:tc>
          <w:tcPr>
            <w:tcW w:w="100" w:type="dxa"/>
            <w:vAlign w:val="bottom"/>
          </w:tcPr>
          <w:p>
            <w:pPr>
              <w:spacing w:after="0"/>
              <w:rPr>
                <w:sz w:val="18"/>
                <w:szCs w:val="18"/>
                <w:color w:val="auto"/>
              </w:rPr>
            </w:pPr>
          </w:p>
        </w:tc>
        <w:tc>
          <w:tcPr>
            <w:tcW w:w="820" w:type="dxa"/>
            <w:vAlign w:val="bottom"/>
            <w:gridSpan w:val="2"/>
          </w:tcPr>
          <w:p>
            <w:pPr>
              <w:jc w:val="right"/>
              <w:ind w:right="161"/>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Non-recognition of deferred taxes on tax losses and temporary differences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2"/>
              </w:rPr>
              <w:t>(13,634)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(26,015)</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Other effects</w:t>
            </w:r>
          </w:p>
        </w:tc>
        <w:tc>
          <w:tcPr>
            <w:tcW w:w="10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Arial" w:cs="Arial" w:eastAsia="Arial" w:hAnsi="Arial"/>
                <w:sz w:val="18"/>
                <w:szCs w:val="18"/>
                <w:color w:val="auto"/>
              </w:rPr>
              <w:t>(2,821)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(600)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
        </w:trPr>
        <w:tc>
          <w:tcPr>
            <w:tcW w:w="9140" w:type="dxa"/>
            <w:vAlign w:val="bottom"/>
            <w:vMerge w:val="restart"/>
          </w:tcPr>
          <w:p>
            <w:pPr>
              <w:ind w:left="5340"/>
              <w:spacing w:after="0"/>
              <w:rPr>
                <w:sz w:val="20"/>
                <w:szCs w:val="20"/>
                <w:color w:val="auto"/>
              </w:rPr>
            </w:pPr>
            <w:r>
              <w:rPr>
                <w:rFonts w:ascii="Arial" w:cs="Arial" w:eastAsia="Arial" w:hAnsi="Arial"/>
                <w:sz w:val="18"/>
                <w:szCs w:val="18"/>
                <w:color w:val="auto"/>
              </w:rPr>
              <w:t>F-36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taxes relate to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2018</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At January 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Recognized in</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P&amp;L</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Fixed Assets</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1"/>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556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16,631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61"/>
              <w:spacing w:after="0"/>
              <w:rPr>
                <w:sz w:val="20"/>
                <w:szCs w:val="20"/>
                <w:color w:val="auto"/>
              </w:rPr>
            </w:pPr>
            <w:r>
              <w:rPr>
                <w:rFonts w:ascii="Arial" w:cs="Arial" w:eastAsia="Arial" w:hAnsi="Arial"/>
                <w:sz w:val="18"/>
                <w:szCs w:val="18"/>
                <w:color w:val="auto"/>
              </w:rPr>
              <w:t>11,810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28,441</w:t>
            </w:r>
          </w:p>
        </w:tc>
        <w:tc>
          <w:tcPr>
            <w:tcW w:w="0" w:type="dxa"/>
            <w:vAlign w:val="bottom"/>
          </w:tcPr>
          <w:p>
            <w:pPr>
              <w:spacing w:after="0"/>
              <w:rPr>
                <w:sz w:val="1"/>
                <w:szCs w:val="1"/>
                <w:color w:val="auto"/>
              </w:rPr>
            </w:pPr>
          </w:p>
        </w:tc>
      </w:tr>
      <w:tr>
        <w:trPr>
          <w:trHeight w:val="216"/>
        </w:trPr>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Accruals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560" w:type="dxa"/>
            <w:vAlign w:val="bottom"/>
            <w:gridSpan w:val="4"/>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1"/>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(before valuation)</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16,676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12,275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28,951</w:t>
            </w:r>
          </w:p>
        </w:tc>
        <w:tc>
          <w:tcPr>
            <w:tcW w:w="0" w:type="dxa"/>
            <w:vAlign w:val="bottom"/>
          </w:tcPr>
          <w:p>
            <w:pPr>
              <w:spacing w:after="0"/>
              <w:rPr>
                <w:sz w:val="1"/>
                <w:szCs w:val="1"/>
                <w:color w:val="auto"/>
              </w:rPr>
            </w:pPr>
          </w:p>
        </w:tc>
      </w:tr>
      <w:tr>
        <w:trPr>
          <w:trHeight w:val="20"/>
        </w:trPr>
        <w:tc>
          <w:tcPr>
            <w:tcW w:w="5560" w:type="dxa"/>
            <w:vAlign w:val="bottom"/>
            <w:gridSpan w:val="4"/>
            <w:vMerge w:val="restart"/>
          </w:tcPr>
          <w:p>
            <w:pPr>
              <w:spacing w:after="0"/>
              <w:rPr>
                <w:sz w:val="20"/>
                <w:szCs w:val="20"/>
                <w:color w:val="auto"/>
              </w:rPr>
            </w:pPr>
            <w:r>
              <w:rPr>
                <w:rFonts w:ascii="Arial" w:cs="Arial" w:eastAsia="Arial" w:hAnsi="Arial"/>
                <w:sz w:val="18"/>
                <w:szCs w:val="18"/>
                <w:color w:val="auto"/>
              </w:rPr>
              <w:t>Valuation Adjustment</w:t>
            </w: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4"/>
            <w:vMerge w:val="continue"/>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(16,676</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(12,275</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(after valuation)</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2017</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At January 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6"/>
            <w:vMerge w:val="restart"/>
          </w:tcPr>
          <w:p>
            <w:pPr>
              <w:jc w:val="right"/>
              <w:ind w:right="141"/>
              <w:spacing w:after="0"/>
              <w:rPr>
                <w:sz w:val="20"/>
                <w:szCs w:val="20"/>
                <w:color w:val="auto"/>
              </w:rPr>
            </w:pPr>
            <w:r>
              <w:rPr>
                <w:rFonts w:ascii="Arial" w:cs="Arial" w:eastAsia="Arial" w:hAnsi="Arial"/>
                <w:sz w:val="14"/>
                <w:szCs w:val="14"/>
                <w:b w:val="1"/>
                <w:bCs w:val="1"/>
                <w:color w:val="auto"/>
                <w:w w:val="88"/>
              </w:rPr>
              <w:t>Recognized in</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20" w:type="dxa"/>
            <w:vAlign w:val="bottom"/>
            <w:gridSpan w:val="7"/>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P&amp;L</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Fixed Assets</w:t>
            </w:r>
          </w:p>
        </w:tc>
        <w:tc>
          <w:tcPr>
            <w:tcW w:w="10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88"/>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56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88"/>
              <w:spacing w:after="0"/>
              <w:rPr>
                <w:sz w:val="20"/>
                <w:szCs w:val="20"/>
                <w:color w:val="auto"/>
              </w:rPr>
            </w:pPr>
            <w:r>
              <w:rPr>
                <w:rFonts w:ascii="Arial" w:cs="Arial" w:eastAsia="Arial" w:hAnsi="Arial"/>
                <w:sz w:val="18"/>
                <w:szCs w:val="18"/>
                <w:color w:val="auto"/>
              </w:rPr>
              <w:t>10,560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6,071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16,631</w:t>
            </w:r>
          </w:p>
        </w:tc>
        <w:tc>
          <w:tcPr>
            <w:tcW w:w="0" w:type="dxa"/>
            <w:vAlign w:val="bottom"/>
          </w:tcPr>
          <w:p>
            <w:pPr>
              <w:spacing w:after="0"/>
              <w:rPr>
                <w:sz w:val="1"/>
                <w:szCs w:val="1"/>
                <w:color w:val="auto"/>
              </w:rPr>
            </w:pPr>
          </w:p>
        </w:tc>
      </w:tr>
      <w:tr>
        <w:trPr>
          <w:trHeight w:val="216"/>
        </w:trPr>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accounts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(2,467)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3,122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5560" w:type="dxa"/>
            <w:vAlign w:val="bottom"/>
            <w:gridSpan w:val="4"/>
          </w:tcPr>
          <w:p>
            <w:pPr>
              <w:spacing w:after="0"/>
              <w:rPr>
                <w:sz w:val="20"/>
                <w:szCs w:val="20"/>
                <w:color w:val="auto"/>
              </w:rPr>
            </w:pPr>
            <w:r>
              <w:rPr>
                <w:rFonts w:ascii="Arial" w:cs="Arial" w:eastAsia="Arial" w:hAnsi="Arial"/>
                <w:sz w:val="18"/>
                <w:szCs w:val="18"/>
                <w:color w:val="auto"/>
              </w:rPr>
              <w:t>Liabilities (currency losses)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center"/>
              <w:ind w:right="3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Accruals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5560" w:type="dxa"/>
            <w:vAlign w:val="bottom"/>
            <w:gridSpan w:val="4"/>
          </w:tcPr>
          <w:p>
            <w:pPr>
              <w:spacing w:after="0"/>
              <w:rPr>
                <w:sz w:val="20"/>
                <w:szCs w:val="20"/>
                <w:color w:val="auto"/>
              </w:rPr>
            </w:pPr>
            <w:r>
              <w:rPr>
                <w:rFonts w:ascii="Arial" w:cs="Arial" w:eastAsia="Arial" w:hAnsi="Arial"/>
                <w:sz w:val="18"/>
                <w:szCs w:val="18"/>
                <w:b w:val="1"/>
                <w:bCs w:val="1"/>
                <w:color w:val="auto"/>
              </w:rPr>
              <w:t>Deferred Tax Assets (before valuation)</w:t>
            </w:r>
          </w:p>
        </w:tc>
        <w:tc>
          <w:tcPr>
            <w:tcW w:w="10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7,751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8,925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Valuation Adjustment</w:t>
            </w: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(7,751)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(8,925)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(16,676)</w:t>
            </w:r>
          </w:p>
        </w:tc>
        <w:tc>
          <w:tcPr>
            <w:tcW w:w="0" w:type="dxa"/>
            <w:vAlign w:val="bottom"/>
          </w:tcPr>
          <w:p>
            <w:pPr>
              <w:spacing w:after="0"/>
              <w:rPr>
                <w:sz w:val="1"/>
                <w:szCs w:val="1"/>
                <w:color w:val="auto"/>
              </w:rPr>
            </w:pPr>
          </w:p>
        </w:tc>
      </w:tr>
      <w:tr>
        <w:trPr>
          <w:trHeight w:val="20"/>
        </w:trPr>
        <w:tc>
          <w:tcPr>
            <w:tcW w:w="55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Deferred Tax Assets (after valuation)</w:t>
            </w: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4"/>
            <w:vMerge w:val="continue"/>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ind w:left="33"/>
              <w:spacing w:after="0"/>
              <w:rPr>
                <w:sz w:val="20"/>
                <w:szCs w:val="20"/>
                <w:color w:val="auto"/>
              </w:rPr>
            </w:pPr>
            <w:r>
              <w:rPr>
                <w:rFonts w:ascii="Arial" w:cs="Arial" w:eastAsia="Arial" w:hAnsi="Arial"/>
                <w:sz w:val="18"/>
                <w:szCs w:val="18"/>
                <w:b w:val="1"/>
                <w:bCs w:val="1"/>
                <w:color w:val="auto"/>
                <w:w w:val="99"/>
              </w:rPr>
              <w:t>—</w:t>
            </w:r>
          </w:p>
        </w:tc>
        <w:tc>
          <w:tcPr>
            <w:tcW w:w="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560" w:type="dxa"/>
            <w:vAlign w:val="bottom"/>
            <w:gridSpan w:val="4"/>
          </w:tcPr>
          <w:p>
            <w:pPr>
              <w:spacing w:after="0"/>
              <w:rPr>
                <w:sz w:val="20"/>
                <w:szCs w:val="20"/>
                <w:color w:val="auto"/>
              </w:rPr>
            </w:pPr>
            <w:r>
              <w:rPr>
                <w:rFonts w:ascii="Arial" w:cs="Arial" w:eastAsia="Arial" w:hAnsi="Arial"/>
                <w:sz w:val="18"/>
                <w:szCs w:val="18"/>
                <w:color w:val="auto"/>
              </w:rPr>
              <w:t>Accumulated tax losses of the Group amount to the following:</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7"/>
          </w:tcPr>
          <w:p>
            <w:pPr>
              <w:jc w:val="right"/>
              <w:ind w:right="136"/>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January 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580" w:type="dxa"/>
            <w:vAlign w:val="bottom"/>
            <w:vMerge w:val="restart"/>
          </w:tcPr>
          <w:p>
            <w:pPr>
              <w:spacing w:after="0"/>
              <w:rPr>
                <w:sz w:val="14"/>
                <w:szCs w:val="1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3840" w:type="dxa"/>
            <w:vAlign w:val="bottom"/>
            <w:vMerge w:val="restart"/>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7"/>
          </w:tcPr>
          <w:p>
            <w:pPr>
              <w:jc w:val="right"/>
              <w:ind w:right="56"/>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38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left="73"/>
              <w:spacing w:after="0" w:line="129"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5"/>
          </w:tcPr>
          <w:p>
            <w:pPr>
              <w:jc w:val="right"/>
              <w:ind w:right="112"/>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Corporate Tax</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€179,264</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€178,491</w:t>
            </w:r>
          </w:p>
        </w:tc>
        <w:tc>
          <w:tcPr>
            <w:tcW w:w="460" w:type="dxa"/>
            <w:vAlign w:val="bottom"/>
            <w:tcBorders>
              <w:top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€124,401</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Trade Tax</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176,425</w:t>
            </w:r>
          </w:p>
        </w:tc>
        <w:tc>
          <w:tcPr>
            <w:tcW w:w="28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176,024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122,904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Deferred tax assets on tax losses have not been capitalized as there is no sufficient probability in terms of IAS 12 that there will be future taxable profits available against which the unused tax losses can be utilized. The accumulated tax losses relate entirely to Germany. There is no expiration date for any for the accumulated tax losses under German law.</w:t>
      </w:r>
    </w:p>
    <w:p>
      <w:pPr>
        <w:spacing w:after="0" w:line="328" w:lineRule="exact"/>
        <w:rPr>
          <w:sz w:val="20"/>
          <w:szCs w:val="20"/>
          <w:color w:val="auto"/>
        </w:rPr>
      </w:pPr>
    </w:p>
    <w:p>
      <w:pPr>
        <w:ind w:left="760" w:hanging="644"/>
        <w:spacing w:after="0"/>
        <w:tabs>
          <w:tab w:leader="none" w:pos="7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left="120" w:right="160" w:firstLine="440"/>
        <w:spacing w:after="0" w:line="277" w:lineRule="auto"/>
        <w:rPr>
          <w:sz w:val="20"/>
          <w:szCs w:val="20"/>
          <w:color w:val="auto"/>
        </w:rPr>
      </w:pPr>
      <w:r>
        <w:rPr>
          <w:rFonts w:ascii="Arial" w:cs="Arial" w:eastAsia="Arial" w:hAnsi="Arial"/>
          <w:sz w:val="18"/>
          <w:szCs w:val="18"/>
          <w:color w:val="auto"/>
        </w:rPr>
        <w:t>Basic earnings per share (EPS) is calculated by dividing the loss for the year attributable to ordinary equity holders of the parent by the weighted average number of ordinary shares outstanding during the year.</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Diluted EPS is calculated by dividing the profit attributable to ordinary equity holders of the parent by the weighted average number of ordinary shares outstanding during the year plus the weighted average number of ordinary shares that would be issued on conversion of all the dilutive potential ordinary shares into ordinary shares.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income and share data used in the basic and diluted EPS calculations: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880" w:type="dxa"/>
            <w:vAlign w:val="bottom"/>
            <w:gridSpan w:val="6"/>
          </w:tcPr>
          <w:p>
            <w:pPr>
              <w:jc w:val="center"/>
              <w:ind w:right="21"/>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7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8320" w:type="dxa"/>
            <w:vAlign w:val="bottom"/>
            <w:vMerge w:val="restart"/>
          </w:tcPr>
          <w:p>
            <w:pPr>
              <w:spacing w:after="0"/>
              <w:rPr>
                <w:sz w:val="14"/>
                <w:szCs w:val="14"/>
                <w:color w:val="auto"/>
              </w:rPr>
            </w:pPr>
          </w:p>
        </w:tc>
        <w:tc>
          <w:tcPr>
            <w:tcW w:w="1880" w:type="dxa"/>
            <w:vAlign w:val="bottom"/>
            <w:gridSpan w:val="6"/>
          </w:tcPr>
          <w:p>
            <w:pPr>
              <w:jc w:val="center"/>
              <w:ind w:right="4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8"/>
        </w:trPr>
        <w:tc>
          <w:tcPr>
            <w:tcW w:w="820" w:type="dxa"/>
            <w:vAlign w:val="bottom"/>
            <w:tcBorders>
              <w:bottom w:val="single" w:sz="8" w:color="auto"/>
            </w:tcBorders>
            <w:vMerge w:val="continue"/>
          </w:tcPr>
          <w:p>
            <w:pPr>
              <w:spacing w:after="0"/>
              <w:rPr>
                <w:sz w:val="12"/>
                <w:szCs w:val="12"/>
                <w:color w:val="auto"/>
              </w:rPr>
            </w:pPr>
          </w:p>
        </w:tc>
        <w:tc>
          <w:tcPr>
            <w:tcW w:w="8320" w:type="dxa"/>
            <w:vAlign w:val="bottom"/>
            <w:vMerge w:val="continue"/>
          </w:tcPr>
          <w:p>
            <w:pPr>
              <w:spacing w:after="0"/>
              <w:rPr>
                <w:sz w:val="12"/>
                <w:szCs w:val="12"/>
                <w:color w:val="auto"/>
              </w:rPr>
            </w:pPr>
          </w:p>
        </w:tc>
        <w:tc>
          <w:tcPr>
            <w:tcW w:w="6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Loss attributable to ordinary equity holders of the parent for basic earnings</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(48,018</w:t>
            </w:r>
          </w:p>
        </w:tc>
        <w:tc>
          <w:tcPr>
            <w:tcW w:w="2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(85,653</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number of ordinary shares for basic EPS*</w:t>
            </w: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140" w:type="dxa"/>
            <w:vAlign w:val="bottom"/>
            <w:gridSpan w:val="2"/>
            <w:vMerge w:val="continue"/>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Effects of dilution from share options</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 ordinary shares adjusted for the effect of dilution*</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10,595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The weighted average number of shares takes into account the weighted average effect of changes in shares during the year.</w:t>
      </w:r>
    </w:p>
    <w:p>
      <w:pPr>
        <w:spacing w:after="0" w:line="225"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There have been no other transactions involving ordinary shares or potential ordinary shares between the reporting date and the date of authorization of these financial statements. Stock options were not included in the calculation of diluted EPS because they are antidilutive for the periods presented.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rPr>
              <w:t>9</w:t>
            </w:r>
          </w:p>
        </w:tc>
        <w:tc>
          <w:tcPr>
            <w:tcW w:w="6220" w:type="dxa"/>
            <w:vAlign w:val="bottom"/>
            <w:gridSpan w:val="2"/>
          </w:tcPr>
          <w:p>
            <w:pPr>
              <w:ind w:left="420"/>
              <w:spacing w:after="0"/>
              <w:rPr>
                <w:sz w:val="20"/>
                <w:szCs w:val="20"/>
                <w:color w:val="auto"/>
              </w:rPr>
            </w:pPr>
            <w:r>
              <w:rPr>
                <w:rFonts w:ascii="Arial" w:cs="Arial" w:eastAsia="Arial" w:hAnsi="Arial"/>
                <w:sz w:val="18"/>
                <w:szCs w:val="18"/>
                <w:b w:val="1"/>
                <w:bCs w:val="1"/>
                <w:color w:val="auto"/>
              </w:rPr>
              <w:t>Property, plant and equipment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Equipment,</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Construction in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Land and</w:t>
            </w:r>
          </w:p>
        </w:tc>
        <w:tc>
          <w:tcPr>
            <w:tcW w:w="4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5"/>
              </w:rPr>
              <w:t>progress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gridSpan w:val="2"/>
            <w:vMerge w:val="restart"/>
          </w:tcPr>
          <w:p>
            <w:pPr>
              <w:spacing w:after="0"/>
              <w:rPr>
                <w:sz w:val="20"/>
                <w:szCs w:val="20"/>
                <w:color w:val="auto"/>
              </w:rPr>
            </w:pPr>
            <w:r>
              <w:rPr>
                <w:rFonts w:ascii="Arial" w:cs="Arial" w:eastAsia="Arial" w:hAnsi="Arial"/>
                <w:sz w:val="14"/>
                <w:szCs w:val="14"/>
                <w:color w:val="auto"/>
                <w:w w:val="90"/>
              </w:rPr>
              <w:t>(in thousands)</w:t>
            </w:r>
          </w:p>
        </w:tc>
        <w:tc>
          <w:tcPr>
            <w:tcW w:w="56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6"/>
              </w:rPr>
              <w:t>tools and</w:t>
            </w: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advance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gridSpan w:val="2"/>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3"/>
              </w:rPr>
              <w:t>buildings</w:t>
            </w:r>
          </w:p>
        </w:tc>
        <w:tc>
          <w:tcPr>
            <w:tcW w:w="42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installations</w:t>
            </w:r>
          </w:p>
        </w:tc>
        <w:tc>
          <w:tcPr>
            <w:tcW w:w="100" w:type="dxa"/>
            <w:vAlign w:val="bottom"/>
          </w:tcPr>
          <w:p>
            <w:pPr>
              <w:spacing w:after="0"/>
              <w:rPr>
                <w:sz w:val="15"/>
                <w:szCs w:val="15"/>
                <w:color w:val="auto"/>
              </w:rPr>
            </w:pPr>
          </w:p>
        </w:tc>
        <w:tc>
          <w:tcPr>
            <w:tcW w:w="11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8"/>
              </w:rPr>
              <w:t>payments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Acquisition and production costs</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color w:val="auto"/>
              </w:rPr>
              <w:t>As of January 1, 2017</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2"/>
              </w:rPr>
              <w:t>€ 11,126</w:t>
            </w:r>
          </w:p>
        </w:tc>
        <w:tc>
          <w:tcPr>
            <w:tcW w:w="520" w:type="dxa"/>
            <w:vAlign w:val="bottom"/>
            <w:gridSpan w:val="2"/>
          </w:tcPr>
          <w:p>
            <w:pPr>
              <w:ind w:left="4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39,944</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3,613</w:t>
            </w: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54,683</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27,820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Disposals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 2017</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13,077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58,080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January 1, 2018</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2"/>
              </w:rPr>
              <w:t>€ 13,077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58,080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6,153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77,310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8,925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11,322</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6,154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26,401</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Disposals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As of December 31, 2018</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 xml:space="preserve"> 22,147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73,613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7,091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102,853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Equipment,</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Construction in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Land and</w:t>
            </w:r>
          </w:p>
        </w:tc>
        <w:tc>
          <w:tcPr>
            <w:tcW w:w="4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5"/>
              </w:rPr>
              <w:t>progress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6"/>
              </w:rPr>
              <w:t>tools and</w:t>
            </w: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advance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3"/>
              </w:rPr>
              <w:t>buildings</w:t>
            </w:r>
          </w:p>
        </w:tc>
        <w:tc>
          <w:tcPr>
            <w:tcW w:w="4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installations</w:t>
            </w:r>
          </w:p>
        </w:tc>
        <w:tc>
          <w:tcPr>
            <w:tcW w:w="1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payments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Cumulative depreciation and impairment charges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color w:val="auto"/>
              </w:rPr>
              <w:t>As of January 1, 2017</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5,232</w:t>
            </w:r>
          </w:p>
        </w:tc>
        <w:tc>
          <w:tcPr>
            <w:tcW w:w="520" w:type="dxa"/>
            <w:vAlign w:val="bottom"/>
            <w:gridSpan w:val="2"/>
          </w:tcPr>
          <w:p>
            <w:pPr>
              <w:ind w:left="4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17,076</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22,308</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4,937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 2017</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5,690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22,013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January 1, 2018</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5,690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22,013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27,703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 December 31, 2018</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6,472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30,180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color w:val="auto"/>
              </w:rPr>
              <w:t>As of January 1, 2017</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5,894</w:t>
            </w:r>
          </w:p>
        </w:tc>
        <w:tc>
          <w:tcPr>
            <w:tcW w:w="520" w:type="dxa"/>
            <w:vAlign w:val="bottom"/>
            <w:gridSpan w:val="2"/>
          </w:tcPr>
          <w:p>
            <w:pPr>
              <w:ind w:left="4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22,868</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3,613</w:t>
            </w: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32,374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December 31, 2017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7,387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36,067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6,153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49,606</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 December 31, 2018</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15,675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43,433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 under construction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Assets under construction for buildings included in property, plant and equipment amounted to k€5,725 as of December 31, 2018 (December 31, 2017: k€1,327; January 1, 2017: nil).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10</w:t>
            </w:r>
          </w:p>
        </w:tc>
        <w:tc>
          <w:tcPr>
            <w:tcW w:w="140" w:type="dxa"/>
            <w:vAlign w:val="bottom"/>
          </w:tcPr>
          <w:p>
            <w:pPr>
              <w:spacing w:after="0"/>
              <w:rPr>
                <w:sz w:val="20"/>
                <w:szCs w:val="20"/>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Intangible assets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Concessions,</w:t>
            </w:r>
          </w:p>
        </w:tc>
        <w:tc>
          <w:tcPr>
            <w:tcW w:w="300" w:type="dxa"/>
            <w:vAlign w:val="bottom"/>
          </w:tcPr>
          <w:p>
            <w:pPr>
              <w:spacing w:after="0"/>
              <w:rPr>
                <w:sz w:val="24"/>
                <w:szCs w:val="24"/>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Advance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56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Goodwill</w:t>
            </w:r>
          </w:p>
        </w:tc>
        <w:tc>
          <w:tcPr>
            <w:tcW w:w="58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licenses and</w:t>
            </w:r>
          </w:p>
        </w:tc>
        <w:tc>
          <w:tcPr>
            <w:tcW w:w="3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similar rights</w:t>
            </w:r>
          </w:p>
        </w:tc>
        <w:tc>
          <w:tcPr>
            <w:tcW w:w="300" w:type="dxa"/>
            <w:vAlign w:val="bottom"/>
          </w:tcPr>
          <w:p>
            <w:pPr>
              <w:spacing w:after="0"/>
              <w:rPr>
                <w:sz w:val="13"/>
                <w:szCs w:val="13"/>
                <w:color w:val="auto"/>
              </w:rPr>
            </w:pP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Acquisition costs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tcPr>
          <w:p>
            <w:pPr>
              <w:ind w:left="360"/>
              <w:spacing w:after="0"/>
              <w:rPr>
                <w:sz w:val="20"/>
                <w:szCs w:val="20"/>
                <w:color w:val="auto"/>
              </w:rPr>
            </w:pPr>
            <w:r>
              <w:rPr>
                <w:rFonts w:ascii="Arial" w:cs="Arial" w:eastAsia="Arial" w:hAnsi="Arial"/>
                <w:sz w:val="18"/>
                <w:szCs w:val="18"/>
                <w:color w:val="auto"/>
              </w:rPr>
              <w:t>As of January 1, 2017</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534</w:t>
            </w:r>
          </w:p>
        </w:tc>
        <w:tc>
          <w:tcPr>
            <w:tcW w:w="74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9,421</w:t>
            </w:r>
          </w:p>
        </w:tc>
        <w:tc>
          <w:tcPr>
            <w:tcW w:w="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3,839</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13,793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74,500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tcPr>
          <w:p>
            <w:pPr>
              <w:ind w:left="720"/>
              <w:spacing w:after="0"/>
              <w:rPr>
                <w:sz w:val="20"/>
                <w:szCs w:val="20"/>
                <w:color w:val="auto"/>
              </w:rPr>
            </w:pPr>
            <w:r>
              <w:rPr>
                <w:rFonts w:ascii="Arial" w:cs="Arial" w:eastAsia="Arial" w:hAnsi="Arial"/>
                <w:sz w:val="18"/>
                <w:szCs w:val="18"/>
                <w:color w:val="auto"/>
              </w:rPr>
              <w:t>Reclassifications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1,351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(1,351)</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December 31, 2017</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534</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85,271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3,565</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89,370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0" w:type="dxa"/>
            <w:vAlign w:val="bottom"/>
            <w:gridSpan w:val="2"/>
            <w:vMerge w:val="restart"/>
          </w:tcPr>
          <w:p>
            <w:pPr>
              <w:ind w:left="360"/>
              <w:spacing w:after="0"/>
              <w:rPr>
                <w:sz w:val="20"/>
                <w:szCs w:val="20"/>
                <w:color w:val="auto"/>
              </w:rPr>
            </w:pPr>
            <w:r>
              <w:rPr>
                <w:rFonts w:ascii="Arial" w:cs="Arial" w:eastAsia="Arial" w:hAnsi="Arial"/>
                <w:sz w:val="18"/>
                <w:szCs w:val="18"/>
                <w:color w:val="auto"/>
              </w:rPr>
              <w:t>As of January 1, 2018</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w w:val="86"/>
              </w:rPr>
              <w:t>534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85,271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3,565</w:t>
            </w:r>
          </w:p>
        </w:tc>
        <w:tc>
          <w:tcPr>
            <w:tcW w:w="5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89,370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tcPr>
          <w:p>
            <w:pPr>
              <w:ind w:left="720"/>
              <w:spacing w:after="0"/>
              <w:rPr>
                <w:sz w:val="20"/>
                <w:szCs w:val="20"/>
                <w:color w:val="auto"/>
              </w:rPr>
            </w:pPr>
            <w:r>
              <w:rPr>
                <w:rFonts w:ascii="Arial" w:cs="Arial" w:eastAsia="Arial" w:hAnsi="Arial"/>
                <w:sz w:val="18"/>
                <w:szCs w:val="18"/>
                <w:color w:val="auto"/>
              </w:rPr>
              <w:t>Disposals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(4,431)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at December 31, 2018</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6"/>
              </w:rPr>
              <w:t>534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101,853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1,497</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103,883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Concessions,</w:t>
            </w:r>
          </w:p>
        </w:tc>
        <w:tc>
          <w:tcPr>
            <w:tcW w:w="300" w:type="dxa"/>
            <w:vAlign w:val="bottom"/>
          </w:tcPr>
          <w:p>
            <w:pPr>
              <w:spacing w:after="0"/>
              <w:rPr>
                <w:sz w:val="24"/>
                <w:szCs w:val="24"/>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Advance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Goodwill</w:t>
            </w:r>
          </w:p>
        </w:tc>
        <w:tc>
          <w:tcPr>
            <w:tcW w:w="58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licenses and</w:t>
            </w:r>
          </w:p>
        </w:tc>
        <w:tc>
          <w:tcPr>
            <w:tcW w:w="3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similar rights</w:t>
            </w:r>
          </w:p>
        </w:tc>
        <w:tc>
          <w:tcPr>
            <w:tcW w:w="3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Cumulative amortization and impairment charges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tcPr>
          <w:p>
            <w:pPr>
              <w:ind w:left="360"/>
              <w:spacing w:after="0"/>
              <w:rPr>
                <w:sz w:val="20"/>
                <w:szCs w:val="20"/>
                <w:color w:val="auto"/>
              </w:rPr>
            </w:pPr>
            <w:r>
              <w:rPr>
                <w:rFonts w:ascii="Arial" w:cs="Arial" w:eastAsia="Arial" w:hAnsi="Arial"/>
                <w:sz w:val="18"/>
                <w:szCs w:val="18"/>
                <w:color w:val="auto"/>
              </w:rPr>
              <w:t>As of January 1, 2017</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2,609</w:t>
            </w:r>
          </w:p>
        </w:tc>
        <w:tc>
          <w:tcPr>
            <w:tcW w:w="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2,609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tcPr>
          <w:p>
            <w:pPr>
              <w:ind w:left="720"/>
              <w:spacing w:after="0"/>
              <w:rPr>
                <w:sz w:val="20"/>
                <w:szCs w:val="20"/>
                <w:color w:val="auto"/>
              </w:rPr>
            </w:pPr>
            <w:r>
              <w:rPr>
                <w:rFonts w:ascii="Arial" w:cs="Arial" w:eastAsia="Arial" w:hAnsi="Arial"/>
                <w:sz w:val="18"/>
                <w:szCs w:val="18"/>
                <w:color w:val="auto"/>
              </w:rPr>
              <w:t>Impairment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December 31, 2017</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5,833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5,833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0" w:type="dxa"/>
            <w:vAlign w:val="bottom"/>
            <w:gridSpan w:val="2"/>
            <w:vMerge w:val="restart"/>
          </w:tcPr>
          <w:p>
            <w:pPr>
              <w:ind w:left="360"/>
              <w:spacing w:after="0"/>
              <w:rPr>
                <w:sz w:val="20"/>
                <w:szCs w:val="20"/>
                <w:color w:val="auto"/>
              </w:rPr>
            </w:pPr>
            <w:r>
              <w:rPr>
                <w:rFonts w:ascii="Arial" w:cs="Arial" w:eastAsia="Arial" w:hAnsi="Arial"/>
                <w:sz w:val="18"/>
                <w:szCs w:val="18"/>
                <w:color w:val="auto"/>
              </w:rPr>
              <w:t>As of January 1, 2018</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5,833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10,009</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at December 31, 2018</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tcPr>
          <w:p>
            <w:pPr>
              <w:ind w:left="360"/>
              <w:spacing w:after="0"/>
              <w:rPr>
                <w:sz w:val="20"/>
                <w:szCs w:val="20"/>
                <w:color w:val="auto"/>
              </w:rPr>
            </w:pPr>
            <w:r>
              <w:rPr>
                <w:rFonts w:ascii="Arial" w:cs="Arial" w:eastAsia="Arial" w:hAnsi="Arial"/>
                <w:sz w:val="18"/>
                <w:szCs w:val="18"/>
                <w:color w:val="auto"/>
              </w:rPr>
              <w:t>As January 1, 2017</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534</w:t>
            </w:r>
          </w:p>
        </w:tc>
        <w:tc>
          <w:tcPr>
            <w:tcW w:w="74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6,812</w:t>
            </w:r>
          </w:p>
        </w:tc>
        <w:tc>
          <w:tcPr>
            <w:tcW w:w="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3,839</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11,185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 of December 31, 2017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6"/>
              </w:rPr>
              <w:t>534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79,438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3,565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83,537</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 December 31, 2018</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6"/>
              </w:rPr>
              <w:t>534</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86,011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1,497</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Intangible assets comprise a license with a carrying amount of k€55,420 (December 31, 2017: k€61,876; January 1, 2017: nil) and a useful lifetime of 10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2017, an impairment loss of k€281 was recorded for a software program. The impairment loss was recognized under other operating expenses.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commitments</w:t>
      </w:r>
    </w:p>
    <w:p>
      <w:pPr>
        <w:spacing w:after="0" w:line="121" w:lineRule="exact"/>
        <w:rPr>
          <w:sz w:val="20"/>
          <w:szCs w:val="20"/>
          <w:color w:val="auto"/>
        </w:rPr>
      </w:pPr>
    </w:p>
    <w:p>
      <w:pPr>
        <w:ind w:left="5460" w:right="1400" w:hanging="4897"/>
        <w:spacing w:after="0" w:line="449" w:lineRule="auto"/>
        <w:rPr>
          <w:sz w:val="20"/>
          <w:szCs w:val="20"/>
          <w:color w:val="auto"/>
        </w:rPr>
      </w:pPr>
      <w:r>
        <w:rPr>
          <w:rFonts w:ascii="Arial" w:cs="Arial" w:eastAsia="Arial" w:hAnsi="Arial"/>
          <w:sz w:val="18"/>
          <w:szCs w:val="18"/>
          <w:color w:val="auto"/>
        </w:rPr>
        <w:t>Contractual commitments for the acquisition of intangible assets amounts to k€19,482 (2017: k€40,078; January 1, 2017: nil). F-40</w:t>
      </w:r>
    </w:p>
    <w:p>
      <w:pPr>
        <w:sectPr>
          <w:pgSz w:w="11900" w:h="16838" w:orient="portrait"/>
          <w:cols w:equalWidth="0" w:num="1">
            <w:col w:w="11020"/>
          </w:cols>
          <w:pgMar w:left="320" w:top="459" w:right="5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impairment testing, goodwill acquired through business combinations and intangible assets not yet in use have been allocated to the respective cash-generating units.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CGUs are based on the level of legal entities. Therefore, the goodwill has been allocated to the CGU JPT.</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JPT</w:t>
            </w:r>
          </w:p>
        </w:tc>
        <w:tc>
          <w:tcPr>
            <w:tcW w:w="8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43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2018</w:t>
            </w:r>
          </w:p>
        </w:tc>
        <w:tc>
          <w:tcPr>
            <w:tcW w:w="1700" w:type="dxa"/>
            <w:vAlign w:val="bottom"/>
            <w:gridSpan w:val="2"/>
          </w:tcPr>
          <w:p>
            <w:pPr>
              <w:jc w:val="right"/>
              <w:ind w:right="199"/>
              <w:spacing w:after="0" w:line="158" w:lineRule="exact"/>
              <w:rPr>
                <w:sz w:val="20"/>
                <w:szCs w:val="20"/>
                <w:color w:val="auto"/>
              </w:rPr>
            </w:pPr>
            <w:r>
              <w:rPr>
                <w:rFonts w:ascii="Arial" w:cs="Arial" w:eastAsia="Arial" w:hAnsi="Arial"/>
                <w:sz w:val="14"/>
                <w:szCs w:val="14"/>
                <w:b w:val="1"/>
                <w:bCs w:val="1"/>
                <w:color w:val="auto"/>
              </w:rPr>
              <w:t>2017</w:t>
            </w:r>
          </w:p>
        </w:tc>
        <w:tc>
          <w:tcPr>
            <w:tcW w:w="1520" w:type="dxa"/>
            <w:vAlign w:val="bottom"/>
            <w:gridSpan w:val="2"/>
          </w:tcPr>
          <w:p>
            <w:pPr>
              <w:jc w:val="right"/>
              <w:ind w:right="110"/>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Goodwill</w:t>
            </w:r>
          </w:p>
        </w:tc>
        <w:tc>
          <w:tcPr>
            <w:tcW w:w="4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w:t>
            </w:r>
          </w:p>
        </w:tc>
        <w:tc>
          <w:tcPr>
            <w:tcW w:w="8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w:t>
            </w:r>
          </w:p>
        </w:tc>
        <w:tc>
          <w:tcPr>
            <w:tcW w:w="8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Group performed its annual goodwill impairment for the balance sheet dates January 1, 2017, December 31, 2017 and December 31, 2018.</w:t>
      </w:r>
    </w:p>
    <w:p>
      <w:pPr>
        <w:spacing w:after="0" w:line="24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recoverable amount was determined on a value in use calculation using cash flow projections from budgets approved by senior management covering a five-year period.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Management concluded that no reasonable possible change of key assumptions on which the calculation of the recoverable amount is based would cause the carrying amount of the CGU to exceed its recoverable amount.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pre-tax discount rate applied to cash flow projections for the year ended 2018 is 12.2% (December 31, 2017: 12.3%; January 1, 2017: 12.3%)</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cash flows beyond the five-year period are extrapolated using a 1.0% growth rate (2017: 1.0%; 2016: 1.0%).</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the recoverable amount exceeded the carrying amount of the CGU for every balance sheet date, no impairment charge was required.</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 not yet available for use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2018, there were no intangible assets not yet available that were not recognized.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2017, the Group performed an impairment test for intangible assets not yet in use, which had carrying amounts of k€1,190 (January 1, 2017:</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nil).</w:t>
      </w:r>
    </w:p>
    <w:p>
      <w:pPr>
        <w:spacing w:after="0" w:line="2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recoverable amount was determined on a value in use calculation. Intangible assets of k€1,190 were available for use as planned during the current period.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Management concluded that no reasonable possible change of key assumptions on which the calculation of the recoverable amount is based would cause the carrying amount of the CGU to exceed its recoverable amount.</w:t>
      </w:r>
    </w:p>
    <w:p>
      <w:pPr>
        <w:spacing w:after="0" w:line="315" w:lineRule="exact"/>
        <w:rPr>
          <w:sz w:val="20"/>
          <w:szCs w:val="20"/>
          <w:color w:val="auto"/>
        </w:rPr>
      </w:pPr>
    </w:p>
    <w:p>
      <w:pPr>
        <w:ind w:left="120" w:right="7340" w:hanging="4"/>
        <w:spacing w:after="0" w:line="385" w:lineRule="auto"/>
        <w:tabs>
          <w:tab w:leader="none" w:pos="768"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and financial liabilities 11.1 Capital risk management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objective of the capital management of BioNTech is primarily designed to finance the Group’s growth strategy.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Group’s controlling committee reviews the total amount of cash of the Group on a weekly basis. As part of this review, the committee considers the total cash and cash equivalents, the cash outflow, currency translation differences and refinancing activities. The Group monitors cash using a burn rate. The cash burn rate is defined as the average monthly net cash flow from operating and investing activities during a financial year.</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48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4"/>
          </w:tcPr>
          <w:p>
            <w:pPr>
              <w:ind w:left="580"/>
              <w:spacing w:after="0"/>
              <w:rPr>
                <w:sz w:val="20"/>
                <w:szCs w:val="20"/>
                <w:color w:val="auto"/>
              </w:rPr>
            </w:pPr>
            <w:r>
              <w:rPr>
                <w:rFonts w:ascii="Arial" w:cs="Arial" w:eastAsia="Arial" w:hAnsi="Arial"/>
                <w:sz w:val="14"/>
                <w:szCs w:val="14"/>
                <w:b w:val="1"/>
                <w:bCs w:val="1"/>
                <w:color w:val="auto"/>
                <w:w w:val="98"/>
              </w:rPr>
              <w:t>As at 1 January</w:t>
            </w: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4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2018</w:t>
            </w:r>
          </w:p>
        </w:tc>
        <w:tc>
          <w:tcPr>
            <w:tcW w:w="1280" w:type="dxa"/>
            <w:vAlign w:val="bottom"/>
            <w:gridSpan w:val="2"/>
          </w:tcPr>
          <w:p>
            <w:pPr>
              <w:jc w:val="center"/>
              <w:ind w:left="488"/>
              <w:spacing w:after="0" w:line="129" w:lineRule="exact"/>
              <w:rPr>
                <w:sz w:val="20"/>
                <w:szCs w:val="20"/>
                <w:color w:val="auto"/>
              </w:rPr>
            </w:pPr>
            <w:r>
              <w:rPr>
                <w:rFonts w:ascii="Arial" w:cs="Arial" w:eastAsia="Arial" w:hAnsi="Arial"/>
                <w:sz w:val="14"/>
                <w:szCs w:val="14"/>
                <w:b w:val="1"/>
                <w:bCs w:val="1"/>
                <w:color w:val="auto"/>
                <w:w w:val="89"/>
              </w:rPr>
              <w:t>2017</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6"/>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411,495</w:t>
            </w:r>
          </w:p>
        </w:tc>
        <w:tc>
          <w:tcPr>
            <w:tcW w:w="5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172,106</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303,680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411,495</w:t>
            </w:r>
          </w:p>
        </w:tc>
        <w:tc>
          <w:tcPr>
            <w:tcW w:w="58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172,106</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meeting its financing objectives, the Group negotiates and enters into research cooperation agreements. In general, the aim is to maximize the financial resources available for further research and development projects.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BioNTech is not subject to externally imposed capital requirements. The objectives of BioNTech’s capital management were achieved in the reporting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changes were made in the objectives, policies or processes for managing cash during the years ended December 31, 2018 and 2017.</w:t>
      </w:r>
    </w:p>
    <w:p>
      <w:pPr>
        <w:spacing w:after="0" w:line="38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11.2</w:t>
            </w:r>
          </w:p>
        </w:tc>
        <w:tc>
          <w:tcPr>
            <w:tcW w:w="4920" w:type="dxa"/>
            <w:vAlign w:val="bottom"/>
            <w:gridSpan w:val="3"/>
          </w:tcPr>
          <w:p>
            <w:pPr>
              <w:ind w:left="160"/>
              <w:spacing w:after="0"/>
              <w:rPr>
                <w:sz w:val="20"/>
                <w:szCs w:val="20"/>
                <w:color w:val="auto"/>
              </w:rPr>
            </w:pPr>
            <w:r>
              <w:rPr>
                <w:rFonts w:ascii="Arial" w:cs="Arial" w:eastAsia="Arial" w:hAnsi="Arial"/>
                <w:sz w:val="18"/>
                <w:szCs w:val="18"/>
                <w:b w:val="1"/>
                <w:bCs w:val="1"/>
                <w:color w:val="auto"/>
              </w:rPr>
              <w:t>Categories of financial instruments</w:t>
            </w: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0" w:type="dxa"/>
            <w:vAlign w:val="bottom"/>
            <w:gridSpan w:val="4"/>
          </w:tcPr>
          <w:p>
            <w:pPr>
              <w:spacing w:after="0"/>
              <w:rPr>
                <w:sz w:val="20"/>
                <w:szCs w:val="20"/>
                <w:color w:val="auto"/>
              </w:rPr>
            </w:pPr>
            <w:r>
              <w:rPr>
                <w:rFonts w:ascii="Arial" w:cs="Arial" w:eastAsia="Arial" w:hAnsi="Arial"/>
                <w:sz w:val="18"/>
                <w:szCs w:val="18"/>
                <w:b w:val="1"/>
                <w:bCs w:val="1"/>
                <w:color w:val="auto"/>
              </w:rPr>
              <w:t>Financial assets at amortised cost</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80" w:type="dxa"/>
            <w:vAlign w:val="bottom"/>
          </w:tcPr>
          <w:p>
            <w:pPr>
              <w:spacing w:after="0"/>
              <w:rPr>
                <w:sz w:val="24"/>
                <w:szCs w:val="24"/>
                <w:color w:val="auto"/>
              </w:rPr>
            </w:pPr>
          </w:p>
        </w:tc>
        <w:tc>
          <w:tcPr>
            <w:tcW w:w="40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3680" w:type="dxa"/>
            <w:vAlign w:val="bottom"/>
            <w:vMerge w:val="restart"/>
          </w:tcPr>
          <w:p>
            <w:pPr>
              <w:spacing w:after="0"/>
              <w:rPr>
                <w:sz w:val="24"/>
                <w:szCs w:val="24"/>
                <w:color w:val="auto"/>
              </w:rPr>
            </w:pPr>
          </w:p>
        </w:tc>
        <w:tc>
          <w:tcPr>
            <w:tcW w:w="20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16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at 1</w:t>
            </w: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540" w:type="dxa"/>
            <w:vAlign w:val="bottom"/>
            <w:gridSpan w:val="4"/>
          </w:tcPr>
          <w:p>
            <w:pPr>
              <w:ind w:left="640"/>
              <w:spacing w:after="0" w:line="158" w:lineRule="exact"/>
              <w:rPr>
                <w:sz w:val="20"/>
                <w:szCs w:val="20"/>
                <w:color w:val="auto"/>
              </w:rPr>
            </w:pPr>
            <w:r>
              <w:rPr>
                <w:rFonts w:ascii="Arial" w:cs="Arial" w:eastAsia="Arial" w:hAnsi="Arial"/>
                <w:sz w:val="14"/>
                <w:szCs w:val="14"/>
                <w:b w:val="1"/>
                <w:bCs w:val="1"/>
                <w:color w:val="auto"/>
                <w:w w:val="99"/>
              </w:rPr>
              <w:t>January 2017</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1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€18,938</w:t>
            </w: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€4,575</w:t>
            </w: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Receivables from co-operation agreements</w:t>
            </w:r>
          </w:p>
        </w:tc>
        <w:tc>
          <w:tcPr>
            <w:tcW w:w="1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assets and receivables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920" w:type="dxa"/>
            <w:vAlign w:val="bottom"/>
            <w:gridSpan w:val="3"/>
          </w:tcPr>
          <w:p>
            <w:pPr>
              <w:ind w:left="40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19,292</w:t>
            </w:r>
          </w:p>
        </w:tc>
        <w:tc>
          <w:tcPr>
            <w:tcW w:w="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4,839</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Total non-current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liabilities: Interest-bearing loans and borrowings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at 1</w:t>
            </w:r>
          </w:p>
        </w:tc>
        <w:tc>
          <w:tcPr>
            <w:tcW w:w="0" w:type="dxa"/>
            <w:vAlign w:val="bottom"/>
          </w:tcPr>
          <w:p>
            <w:pPr>
              <w:spacing w:after="0"/>
              <w:rPr>
                <w:sz w:val="1"/>
                <w:szCs w:val="1"/>
                <w:color w:val="auto"/>
              </w:rPr>
            </w:pPr>
          </w:p>
        </w:tc>
      </w:tr>
      <w:tr>
        <w:trPr>
          <w:trHeight w:val="148"/>
        </w:trPr>
        <w:tc>
          <w:tcPr>
            <w:tcW w:w="3820" w:type="dxa"/>
            <w:vAlign w:val="bottom"/>
            <w:gridSpan w:val="4"/>
            <w:vMerge w:val="restart"/>
          </w:tcPr>
          <w:p>
            <w:pPr>
              <w:spacing w:after="0"/>
              <w:rPr>
                <w:sz w:val="20"/>
                <w:szCs w:val="20"/>
                <w:color w:val="auto"/>
              </w:rPr>
            </w:pPr>
            <w:r>
              <w:rPr>
                <w:rFonts w:ascii="Arial" w:cs="Arial" w:eastAsia="Arial" w:hAnsi="Arial"/>
                <w:sz w:val="14"/>
                <w:szCs w:val="14"/>
                <w:color w:val="auto"/>
              </w:rPr>
              <w:t>(in thousands)</w:t>
            </w:r>
          </w:p>
        </w:tc>
        <w:tc>
          <w:tcPr>
            <w:tcW w:w="2700" w:type="dxa"/>
            <w:vAlign w:val="bottom"/>
          </w:tcPr>
          <w:p>
            <w:pPr>
              <w:spacing w:after="0"/>
              <w:rPr>
                <w:sz w:val="12"/>
                <w:szCs w:val="12"/>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5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2017</w:t>
            </w:r>
          </w:p>
        </w:tc>
        <w:tc>
          <w:tcPr>
            <w:tcW w:w="44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January</w:t>
            </w:r>
          </w:p>
        </w:tc>
        <w:tc>
          <w:tcPr>
            <w:tcW w:w="0" w:type="dxa"/>
            <w:vAlign w:val="bottom"/>
          </w:tcPr>
          <w:p>
            <w:pPr>
              <w:spacing w:after="0"/>
              <w:rPr>
                <w:sz w:val="1"/>
                <w:szCs w:val="1"/>
                <w:color w:val="auto"/>
              </w:rPr>
            </w:pPr>
          </w:p>
        </w:tc>
      </w:tr>
      <w:tr>
        <w:trPr>
          <w:trHeight w:val="158"/>
        </w:trPr>
        <w:tc>
          <w:tcPr>
            <w:tcW w:w="3820" w:type="dxa"/>
            <w:vAlign w:val="bottom"/>
            <w:gridSpan w:val="4"/>
            <w:vMerge w:val="continue"/>
          </w:tcPr>
          <w:p>
            <w:pPr>
              <w:spacing w:after="0"/>
              <w:rPr>
                <w:sz w:val="13"/>
                <w:szCs w:val="13"/>
                <w:color w:val="auto"/>
              </w:rPr>
            </w:pPr>
          </w:p>
        </w:tc>
        <w:tc>
          <w:tcPr>
            <w:tcW w:w="27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960" w:type="dxa"/>
            <w:vAlign w:val="bottom"/>
            <w:gridSpan w:val="2"/>
          </w:tcPr>
          <w:p>
            <w:pPr>
              <w:jc w:val="center"/>
              <w:ind w:left="368"/>
              <w:spacing w:after="0" w:line="158"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6"/>
              </w:rPr>
              <w:t>2.15%</w:t>
            </w:r>
          </w:p>
        </w:tc>
        <w:tc>
          <w:tcPr>
            <w:tcW w:w="3340" w:type="dxa"/>
            <w:vAlign w:val="bottom"/>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€10,000,000 secured bank loan</w:t>
            </w:r>
          </w:p>
        </w:tc>
        <w:tc>
          <w:tcPr>
            <w:tcW w:w="27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12/30/2027</w:t>
            </w: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€4,000</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2.08%</w:t>
            </w:r>
          </w:p>
        </w:tc>
        <w:tc>
          <w:tcPr>
            <w:tcW w:w="3340" w:type="dxa"/>
            <w:vAlign w:val="bottom"/>
            <w:gridSpan w:val="2"/>
          </w:tcPr>
          <w:p>
            <w:pPr>
              <w:ind w:left="40"/>
              <w:spacing w:after="0"/>
              <w:rPr>
                <w:sz w:val="20"/>
                <w:szCs w:val="20"/>
                <w:color w:val="auto"/>
              </w:rPr>
            </w:pPr>
            <w:r>
              <w:rPr>
                <w:rFonts w:ascii="Arial" w:cs="Arial" w:eastAsia="Arial" w:hAnsi="Arial"/>
                <w:sz w:val="18"/>
                <w:szCs w:val="18"/>
                <w:color w:val="auto"/>
              </w:rPr>
              <w:t>€9,450,000 secured bank loan</w:t>
            </w:r>
          </w:p>
        </w:tc>
        <w:tc>
          <w:tcPr>
            <w:tcW w:w="4020" w:type="dxa"/>
            <w:vAlign w:val="bottom"/>
            <w:gridSpan w:val="3"/>
          </w:tcPr>
          <w:p>
            <w:pPr>
              <w:jc w:val="right"/>
              <w:ind w:right="440"/>
              <w:spacing w:after="0"/>
              <w:rPr>
                <w:sz w:val="20"/>
                <w:szCs w:val="20"/>
                <w:color w:val="auto"/>
              </w:rPr>
            </w:pPr>
            <w:r>
              <w:rPr>
                <w:rFonts w:ascii="Arial" w:cs="Arial" w:eastAsia="Arial" w:hAnsi="Arial"/>
                <w:sz w:val="18"/>
                <w:szCs w:val="18"/>
                <w:color w:val="auto"/>
              </w:rPr>
              <w:t>09/30/2028</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1,600</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5,600</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spacing w:after="0"/>
              <w:rPr>
                <w:sz w:val="20"/>
                <w:szCs w:val="20"/>
                <w:color w:val="auto"/>
              </w:rPr>
            </w:pPr>
            <w:r>
              <w:rPr>
                <w:rFonts w:ascii="Arial" w:cs="Arial" w:eastAsia="Arial" w:hAnsi="Arial"/>
                <w:sz w:val="18"/>
                <w:szCs w:val="18"/>
                <w:color w:val="auto"/>
              </w:rPr>
              <w:t>Total current</w:t>
            </w:r>
          </w:p>
        </w:tc>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4"/>
            <w:vMerge w:val="continue"/>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non-current</w:t>
            </w:r>
          </w:p>
        </w:tc>
        <w:tc>
          <w:tcPr>
            <w:tcW w:w="2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5,600</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20" w:type="dxa"/>
            <w:vAlign w:val="bottom"/>
            <w:gridSpan w:val="3"/>
          </w:tcPr>
          <w:p>
            <w:pPr>
              <w:ind w:left="1080"/>
              <w:spacing w:after="0"/>
              <w:rPr>
                <w:sz w:val="20"/>
                <w:szCs w:val="20"/>
                <w:color w:val="auto"/>
              </w:rPr>
            </w:pPr>
            <w:r>
              <w:rPr>
                <w:rFonts w:ascii="Arial" w:cs="Arial" w:eastAsia="Arial" w:hAnsi="Arial"/>
                <w:sz w:val="18"/>
                <w:szCs w:val="18"/>
                <w:color w:val="auto"/>
              </w:rPr>
              <w:t>F-42</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9" w:right="6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financial liabilities at amortised cost, other than interest-bearing loans and borrowings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at 1</w:t>
            </w:r>
          </w:p>
        </w:tc>
        <w:tc>
          <w:tcPr>
            <w:tcW w:w="0" w:type="dxa"/>
            <w:vAlign w:val="bottom"/>
          </w:tcPr>
          <w:p>
            <w:pPr>
              <w:spacing w:after="0"/>
              <w:rPr>
                <w:sz w:val="1"/>
                <w:szCs w:val="1"/>
                <w:color w:val="auto"/>
              </w:rPr>
            </w:pPr>
          </w:p>
        </w:tc>
      </w:tr>
      <w:tr>
        <w:trPr>
          <w:trHeight w:val="158"/>
        </w:trPr>
        <w:tc>
          <w:tcPr>
            <w:tcW w:w="688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6"/>
              </w:rPr>
              <w:t>January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and other payables</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€41,721</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52,538</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50,752</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52,182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from license agreements</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Other payables</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98,605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106,658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45,651</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rPr>
              <w:t>Total current</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3"/>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49,987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56,309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48,618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26,669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2.15% secured loan</w:t>
      </w:r>
    </w:p>
    <w:p>
      <w:pPr>
        <w:spacing w:after="0" w:line="121" w:lineRule="exact"/>
        <w:rPr>
          <w:sz w:val="20"/>
          <w:szCs w:val="20"/>
          <w:color w:val="auto"/>
        </w:rPr>
      </w:pPr>
    </w:p>
    <w:p>
      <w:pPr>
        <w:ind w:left="120" w:right="580" w:firstLine="440"/>
        <w:spacing w:after="0" w:line="311" w:lineRule="auto"/>
        <w:rPr>
          <w:sz w:val="20"/>
          <w:szCs w:val="20"/>
          <w:color w:val="auto"/>
        </w:rPr>
      </w:pPr>
      <w:r>
        <w:rPr>
          <w:rFonts w:ascii="Arial" w:cs="Arial" w:eastAsia="Arial" w:hAnsi="Arial"/>
          <w:sz w:val="16"/>
          <w:szCs w:val="16"/>
          <w:color w:val="auto"/>
        </w:rPr>
        <w:t>The loan is secured by a lien over land and buildings with a carrying value of k€10,000 (2017: nil). Additionally, the loan is secured by a permanent guarantee (</w:t>
      </w:r>
      <w:r>
        <w:rPr>
          <w:rFonts w:ascii="Arial" w:cs="Arial" w:eastAsia="Arial" w:hAnsi="Arial"/>
          <w:sz w:val="16"/>
          <w:szCs w:val="16"/>
          <w:i w:val="1"/>
          <w:iCs w:val="1"/>
          <w:color w:val="auto"/>
        </w:rPr>
        <w:t>Höchstbetragsbürgschaft</w:t>
      </w:r>
      <w:r>
        <w:rPr>
          <w:rFonts w:ascii="Arial" w:cs="Arial" w:eastAsia="Arial" w:hAnsi="Arial"/>
          <w:sz w:val="16"/>
          <w:szCs w:val="16"/>
          <w:color w:val="auto"/>
        </w:rPr>
        <w:t>) of the Company to the bank to the amount of k€10,000. The loan is repayable in equal quarterly instalments of k€312.5 commencing on March 31, 2020. As at December 31, 2018, the undrawn available amount is k€6,000.</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2.08% bank loan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loan is secured by a lien over land and buildings to the amount of k€9,450. Additionally, the loan is secured by a permanent guarantee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Höchstbetragbürgschaft</w:t>
      </w:r>
      <w:r>
        <w:rPr>
          <w:rFonts w:ascii="Arial" w:cs="Arial" w:eastAsia="Arial" w:hAnsi="Arial"/>
          <w:sz w:val="16"/>
          <w:szCs w:val="16"/>
          <w:color w:val="auto"/>
        </w:rPr>
        <w:t>) of the Company to the bank to the amount of k€9,450 (2017: nil). The loan is repayable by quarterly instalments of k€286.4</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commencing on September 30, 2020. As at December 31, 2018, the available undrawn amount of k€7,850 will be drawn on predetermined dates.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loan will be fully drawn at January 15, 2020.</w:t>
      </w:r>
    </w:p>
    <w:p>
      <w:pPr>
        <w:spacing w:after="0" w:line="35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Fair values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liabilities include two fixed-interest rate loans. The fair value of the two fixed-interest rate loans is calculated based on significant observable inputs (Level 2). As of December 31, 2018, the carrying value approximates their fair values as they were agreed only recently and there have been no significant changes in relevant interest rates.</w:t>
      </w:r>
    </w:p>
    <w:p>
      <w:pPr>
        <w:spacing w:after="0" w:line="328"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Financial instruments risk management objectives and policies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Group’s financial liabilities comprise of bank loans, lease liabilities, trade and other payables. The main purpose of these financial liabilities is to enable the Group’s operations. The Group’s principal financial assets include mainly cash and trade receivables that derive directly from its operations.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Group is exposed to market risk, credit risk and liquidity risk. The Group’s senior management oversees the management of these risks.</w:t>
      </w:r>
    </w:p>
    <w:p>
      <w:pPr>
        <w:spacing w:after="0" w:line="237"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The controlling committee provides assurance to the Group’s senior management that the Group’s financial risk activities are governed by appropriate policies and procedures and that financial risks are identified, measured and managed in accordance with the Group’s policies and risk objectives. The Board of Directors reviews and agrees policies for managing each of these risks, which are summarized below.</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7"/>
          <w:szCs w:val="17"/>
          <w:b w:val="1"/>
          <w:bCs w:val="1"/>
          <w:color w:val="auto"/>
        </w:rPr>
        <w:t>Market risk</w:t>
      </w:r>
    </w:p>
    <w:p>
      <w:pPr>
        <w:spacing w:after="0" w:line="12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Market risk is the risk that the fair value or future cash flows of a financial instrument will fluctuate due to changes in market prices. Market risk comprises of three types of risk: interest risk, foreign currency risk and other price risk. Financial instruments affected by market risk include cash and cash equivalents. Interest risk is not a risk for the Group.</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sensitivity analysis in the following sections relate to the position as at December 31, 2018 and 2017.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material changes in the Group’s market risk exposures or changes in the way risk was managed and valued during the periods.</w:t>
      </w:r>
    </w:p>
    <w:p>
      <w:pPr>
        <w:spacing w:after="0" w:line="393"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11.5.1</w:t>
      </w:r>
      <w:r>
        <w:rPr>
          <w:sz w:val="20"/>
          <w:szCs w:val="20"/>
          <w:color w:val="auto"/>
        </w:rPr>
        <w:tab/>
      </w:r>
      <w:r>
        <w:rPr>
          <w:rFonts w:ascii="Arial" w:cs="Arial" w:eastAsia="Arial" w:hAnsi="Arial"/>
          <w:sz w:val="16"/>
          <w:szCs w:val="16"/>
          <w:b w:val="1"/>
          <w:bCs w:val="1"/>
          <w:color w:val="auto"/>
        </w:rPr>
        <w:t>Foreign currency risk</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Foreign currency risk is the risk that the fair value or future cash flows of an exposure will fluctuate because of changes in foreign exchange rates. The Group’s exposure to the risk of changes in foreign currency rates relates primarily to the Group’s operating activities (when revenue or expense is denominated in a foreign currency).</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order to reduce exchange rate risk, BioNTech makes every effort to generate expenses and income in the same functional currency. The Group does not hedge exchange rate risks.</w:t>
      </w:r>
    </w:p>
    <w:p>
      <w:pPr>
        <w:spacing w:after="0" w:line="170"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carrying amount of the monetary assets (the Group’s cash and cash equivalents) of BioNTech denominated in foreign currencies at the reporting date are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308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gridSpan w:val="4"/>
          </w:tcPr>
          <w:p>
            <w:pPr>
              <w:ind w:left="38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48"/>
        </w:trPr>
        <w:tc>
          <w:tcPr>
            <w:tcW w:w="82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2018</w:t>
            </w:r>
          </w:p>
        </w:tc>
        <w:tc>
          <w:tcPr>
            <w:tcW w:w="126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USD Bank accounts</w:t>
            </w:r>
          </w:p>
        </w:tc>
        <w:tc>
          <w:tcPr>
            <w:tcW w:w="2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90"/>
              </w:rPr>
              <w:t>€176,376</w:t>
            </w:r>
          </w:p>
        </w:tc>
        <w:tc>
          <w:tcPr>
            <w:tcW w:w="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87"/>
              </w:rPr>
              <w:t>€ 140,822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tables demonstrate the sensitivity to a reasonably possible change in USD exchange rates, with all other variables held constant. The impact on the Group’s profit before tax is due to changes in the fair value of monetary assets. The Group’s exposure to foreign currency changes for all other currencies is not material.</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Closing rate</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 at</w:t>
            </w:r>
          </w:p>
        </w:tc>
        <w:tc>
          <w:tcPr>
            <w:tcW w:w="80" w:type="dxa"/>
            <w:vAlign w:val="bottom"/>
          </w:tcPr>
          <w:p>
            <w:pPr>
              <w:spacing w:after="0"/>
              <w:rPr>
                <w:sz w:val="14"/>
                <w:szCs w:val="14"/>
                <w:color w:val="auto"/>
              </w:rPr>
            </w:pPr>
          </w:p>
        </w:tc>
        <w:tc>
          <w:tcPr>
            <w:tcW w:w="1460" w:type="dxa"/>
            <w:vAlign w:val="bottom"/>
            <w:gridSpan w:val="6"/>
          </w:tcPr>
          <w:p>
            <w:pPr>
              <w:ind w:left="300"/>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23"/>
        </w:trPr>
        <w:tc>
          <w:tcPr>
            <w:tcW w:w="3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Currency</w:t>
            </w: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vMerge w:val="restart"/>
          </w:tcPr>
          <w:p>
            <w:pPr>
              <w:ind w:left="380"/>
              <w:spacing w:after="0" w:line="149" w:lineRule="exact"/>
              <w:rPr>
                <w:sz w:val="20"/>
                <w:szCs w:val="20"/>
                <w:color w:val="auto"/>
              </w:rPr>
            </w:pPr>
            <w:r>
              <w:rPr>
                <w:rFonts w:ascii="Arial" w:cs="Arial" w:eastAsia="Arial" w:hAnsi="Arial"/>
                <w:sz w:val="14"/>
                <w:szCs w:val="14"/>
                <w:i w:val="1"/>
                <w:iCs w:val="1"/>
                <w:color w:val="auto"/>
              </w:rPr>
              <w:t>1 € =</w:t>
            </w: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540" w:type="dxa"/>
            <w:vAlign w:val="bottom"/>
            <w:gridSpan w:val="4"/>
            <w:vMerge w:val="continue"/>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58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7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540" w:type="dxa"/>
            <w:vAlign w:val="bottom"/>
            <w:gridSpan w:val="4"/>
            <w:vMerge w:val="continue"/>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ind w:left="280"/>
              <w:spacing w:after="0" w:line="158" w:lineRule="exact"/>
              <w:rPr>
                <w:sz w:val="20"/>
                <w:szCs w:val="20"/>
                <w:color w:val="auto"/>
              </w:rPr>
            </w:pPr>
            <w:r>
              <w:rPr>
                <w:rFonts w:ascii="Arial" w:cs="Arial" w:eastAsia="Arial" w:hAnsi="Arial"/>
                <w:sz w:val="14"/>
                <w:szCs w:val="14"/>
                <w:b w:val="1"/>
                <w:bCs w:val="1"/>
                <w:color w:val="auto"/>
              </w:rPr>
              <w:t>Country</w:t>
            </w:r>
          </w:p>
        </w:tc>
        <w:tc>
          <w:tcPr>
            <w:tcW w:w="58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6"/>
              </w:rPr>
              <w:t>2017</w:t>
            </w:r>
          </w:p>
        </w:tc>
        <w:tc>
          <w:tcPr>
            <w:tcW w:w="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USD</w:t>
            </w:r>
          </w:p>
        </w:tc>
        <w:tc>
          <w:tcPr>
            <w:tcW w:w="2960" w:type="dxa"/>
            <w:vAlign w:val="bottom"/>
            <w:tcBorders>
              <w:top w:val="single" w:sz="8" w:color="CCEEFF"/>
            </w:tcBorders>
            <w:gridSpan w:val="3"/>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United States</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1.1450</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1.1993</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8"/>
              <w:spacing w:after="0" w:line="203" w:lineRule="exact"/>
              <w:rPr>
                <w:sz w:val="20"/>
                <w:szCs w:val="20"/>
                <w:color w:val="auto"/>
              </w:rPr>
            </w:pPr>
            <w:r>
              <w:rPr>
                <w:rFonts w:ascii="Arial" w:cs="Arial" w:eastAsia="Arial" w:hAnsi="Arial"/>
                <w:sz w:val="18"/>
                <w:szCs w:val="18"/>
                <w:color w:val="auto"/>
              </w:rPr>
              <w:t>1.1194</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1.1810</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1.1297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2960" w:type="dxa"/>
            <w:vAlign w:val="bottom"/>
            <w:gridSpan w:val="3"/>
            <w:vMerge w:val="restart"/>
          </w:tcPr>
          <w:p>
            <w:pPr>
              <w:ind w:left="300"/>
              <w:spacing w:after="0"/>
              <w:rPr>
                <w:sz w:val="20"/>
                <w:szCs w:val="20"/>
                <w:color w:val="auto"/>
              </w:rPr>
            </w:pPr>
            <w:r>
              <w:rPr>
                <w:rFonts w:ascii="Arial" w:cs="Arial" w:eastAsia="Arial" w:hAnsi="Arial"/>
                <w:sz w:val="14"/>
                <w:szCs w:val="14"/>
                <w:i w:val="1"/>
                <w:iCs w:val="1"/>
                <w:color w:val="auto"/>
              </w:rPr>
              <w:t xml:space="preserve">In </w:t>
            </w:r>
            <w:r>
              <w:rPr>
                <w:rFonts w:ascii="Arial" w:cs="Arial" w:eastAsia="Arial" w:hAnsi="Arial"/>
                <w:sz w:val="14"/>
                <w:szCs w:val="14"/>
                <w:i w:val="1"/>
                <w:iCs w:val="1"/>
                <w:u w:val="single" w:color="auto"/>
                <w:color w:val="auto"/>
              </w:rPr>
              <w:t>k</w:t>
            </w:r>
            <w:r>
              <w:rPr>
                <w:rFonts w:ascii="Arial" w:cs="Arial" w:eastAsia="Arial" w:hAnsi="Arial"/>
                <w:sz w:val="14"/>
                <w:szCs w:val="14"/>
                <w:i w:val="1"/>
                <w:iCs w:val="1"/>
                <w:color w:val="auto"/>
              </w:rPr>
              <w:t>€</w:t>
            </w:r>
          </w:p>
        </w:tc>
        <w:tc>
          <w:tcPr>
            <w:tcW w:w="3660" w:type="dxa"/>
            <w:vAlign w:val="bottom"/>
            <w:gridSpan w:val="5"/>
          </w:tcPr>
          <w:p>
            <w:pPr>
              <w:jc w:val="center"/>
              <w:ind w:left="1455"/>
              <w:spacing w:after="0"/>
              <w:rPr>
                <w:sz w:val="20"/>
                <w:szCs w:val="20"/>
                <w:color w:val="auto"/>
              </w:rPr>
            </w:pPr>
            <w:r>
              <w:rPr>
                <w:rFonts w:ascii="Arial" w:cs="Arial" w:eastAsia="Arial" w:hAnsi="Arial"/>
                <w:sz w:val="14"/>
                <w:szCs w:val="14"/>
                <w:b w:val="1"/>
                <w:bCs w:val="1"/>
                <w:color w:val="auto"/>
                <w:w w:val="94"/>
              </w:rPr>
              <w:t>Change in</w:t>
            </w:r>
          </w:p>
        </w:tc>
        <w:tc>
          <w:tcPr>
            <w:tcW w:w="200" w:type="dxa"/>
            <w:vAlign w:val="bottom"/>
          </w:tcPr>
          <w:p>
            <w:pPr>
              <w:spacing w:after="0"/>
              <w:rPr>
                <w:sz w:val="24"/>
                <w:szCs w:val="24"/>
                <w:color w:val="auto"/>
              </w:rPr>
            </w:pPr>
          </w:p>
        </w:tc>
        <w:tc>
          <w:tcPr>
            <w:tcW w:w="1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Effect on</w:t>
            </w:r>
          </w:p>
        </w:tc>
        <w:tc>
          <w:tcPr>
            <w:tcW w:w="520" w:type="dxa"/>
            <w:vAlign w:val="bottom"/>
          </w:tcPr>
          <w:p>
            <w:pPr>
              <w:spacing w:after="0"/>
              <w:rPr>
                <w:sz w:val="24"/>
                <w:szCs w:val="24"/>
                <w:color w:val="auto"/>
              </w:rPr>
            </w:pPr>
          </w:p>
        </w:tc>
        <w:tc>
          <w:tcPr>
            <w:tcW w:w="1180" w:type="dxa"/>
            <w:vAlign w:val="bottom"/>
            <w:gridSpan w:val="6"/>
          </w:tcPr>
          <w:p>
            <w:pPr>
              <w:ind w:left="160"/>
              <w:spacing w:after="0"/>
              <w:rPr>
                <w:sz w:val="20"/>
                <w:szCs w:val="20"/>
                <w:color w:val="auto"/>
              </w:rPr>
            </w:pPr>
            <w:r>
              <w:rPr>
                <w:rFonts w:ascii="Arial" w:cs="Arial" w:eastAsia="Arial" w:hAnsi="Arial"/>
                <w:sz w:val="14"/>
                <w:szCs w:val="14"/>
                <w:b w:val="1"/>
                <w:bCs w:val="1"/>
                <w:color w:val="auto"/>
              </w:rPr>
              <w:t>Effect on</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2960" w:type="dxa"/>
            <w:vAlign w:val="bottom"/>
            <w:gridSpan w:val="3"/>
            <w:vMerge w:val="continue"/>
          </w:tcPr>
          <w:p>
            <w:pPr>
              <w:spacing w:after="0"/>
              <w:rPr>
                <w:sz w:val="14"/>
                <w:szCs w:val="14"/>
                <w:color w:val="auto"/>
              </w:rPr>
            </w:pPr>
          </w:p>
        </w:tc>
        <w:tc>
          <w:tcPr>
            <w:tcW w:w="2280" w:type="dxa"/>
            <w:vAlign w:val="bottom"/>
          </w:tcPr>
          <w:p>
            <w:pPr>
              <w:spacing w:after="0"/>
              <w:rPr>
                <w:sz w:val="14"/>
                <w:szCs w:val="14"/>
                <w:color w:val="auto"/>
              </w:rPr>
            </w:pPr>
          </w:p>
        </w:tc>
        <w:tc>
          <w:tcPr>
            <w:tcW w:w="1380" w:type="dxa"/>
            <w:vAlign w:val="bottom"/>
            <w:gridSpan w:val="4"/>
          </w:tcPr>
          <w:p>
            <w:pPr>
              <w:jc w:val="center"/>
              <w:ind w:right="740"/>
              <w:spacing w:after="0" w:line="158" w:lineRule="exact"/>
              <w:rPr>
                <w:sz w:val="20"/>
                <w:szCs w:val="20"/>
                <w:color w:val="auto"/>
              </w:rPr>
            </w:pPr>
            <w:r>
              <w:rPr>
                <w:rFonts w:ascii="Arial" w:cs="Arial" w:eastAsia="Arial" w:hAnsi="Arial"/>
                <w:sz w:val="14"/>
                <w:szCs w:val="14"/>
                <w:b w:val="1"/>
                <w:bCs w:val="1"/>
                <w:color w:val="auto"/>
                <w:w w:val="94"/>
              </w:rPr>
              <w:t>USD rate</w:t>
            </w:r>
          </w:p>
        </w:tc>
        <w:tc>
          <w:tcPr>
            <w:tcW w:w="1420" w:type="dxa"/>
            <w:vAlign w:val="bottom"/>
            <w:gridSpan w:val="6"/>
          </w:tcPr>
          <w:p>
            <w:pPr>
              <w:jc w:val="center"/>
              <w:ind w:right="140"/>
              <w:spacing w:after="0" w:line="158" w:lineRule="exact"/>
              <w:rPr>
                <w:sz w:val="20"/>
                <w:szCs w:val="20"/>
                <w:color w:val="auto"/>
              </w:rPr>
            </w:pPr>
            <w:r>
              <w:rPr>
                <w:rFonts w:ascii="Arial" w:cs="Arial" w:eastAsia="Arial" w:hAnsi="Arial"/>
                <w:sz w:val="14"/>
                <w:szCs w:val="14"/>
                <w:b w:val="1"/>
                <w:bCs w:val="1"/>
                <w:color w:val="auto"/>
                <w:w w:val="89"/>
              </w:rPr>
              <w:t>loss before tax</w:t>
            </w:r>
          </w:p>
        </w:tc>
        <w:tc>
          <w:tcPr>
            <w:tcW w:w="1700" w:type="dxa"/>
            <w:vAlign w:val="bottom"/>
            <w:gridSpan w:val="7"/>
          </w:tcPr>
          <w:p>
            <w:pPr>
              <w:jc w:val="right"/>
              <w:ind w:right="300"/>
              <w:spacing w:after="0" w:line="158" w:lineRule="exact"/>
              <w:rPr>
                <w:sz w:val="20"/>
                <w:szCs w:val="20"/>
                <w:color w:val="auto"/>
              </w:rPr>
            </w:pPr>
            <w:r>
              <w:rPr>
                <w:rFonts w:ascii="Arial" w:cs="Arial" w:eastAsia="Arial" w:hAnsi="Arial"/>
                <w:sz w:val="14"/>
                <w:szCs w:val="14"/>
                <w:b w:val="1"/>
                <w:bCs w:val="1"/>
                <w:color w:val="auto"/>
              </w:rPr>
              <w:t>pre-tax equity</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+5</w:t>
            </w:r>
          </w:p>
        </w:tc>
        <w:tc>
          <w:tcPr>
            <w:tcW w:w="560" w:type="dxa"/>
            <w:vAlign w:val="bottom"/>
            <w:tcBorders>
              <w:top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(8,399)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(8,399)</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2018</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48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80" w:type="dxa"/>
            <w:vAlign w:val="bottom"/>
            <w:gridSpan w:val="4"/>
          </w:tcPr>
          <w:p>
            <w:pPr>
              <w:jc w:val="right"/>
              <w:ind w:right="330"/>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(6,706)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(6,706)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80" w:type="dxa"/>
            <w:vAlign w:val="bottom"/>
            <w:gridSpan w:val="4"/>
          </w:tcPr>
          <w:p>
            <w:pPr>
              <w:jc w:val="right"/>
              <w:ind w:right="33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Credit risk management</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Credit risk is the risk that a counterparty will not meet its obligations under a financial instrument or customer contract, leading to a financial loss. The Group is exposed to credit risk from its operating activities, including deposits with banks and financial institutions, foreign exchange transactions and trade accounts receivable.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 receivables and contract assets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Group’s exposure to credit risk of trade receivables and contract assets is primarily on transactions with corporate customers in the biopharma/biotech industry that operate in Germany or in the United States. The Group evaluates this risk through detailed aging analysis and also detailed analysis of the creditworthiness of the customers at each reporting date. The Group follows risk control procedures to assess the credit quality of the customers taking into account their financial position, past experience and other factors. The compliance with credit limits by corporate customers is regularly monitored by management.</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credit risk on trade receivables and contract assets is very low as the customer portfolio of BioNTech mainly consists of medical universities, other public institutions and peers in the biopharma industry, which all have a very high credit rating and the group has not incurred bad debt expense. BioNTech does not expect that its customer portfolio will change.</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Generally, trade receivables are written off if past due for more than one year and are not subject to enforcement activity. The maximum exposure to credit risk at the reporting date is the carrying value of each class of financial assets disclosed in Note 11.2. The Group does not hold collateral as security.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credit risk exposure on the Group’s trade receivables and contract assets is as follows: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 ended December 31, 2018</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392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Contract</w:t>
            </w: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Trade</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assets</w:t>
            </w: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credit loss rate</w:t>
            </w: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jc w:val="right"/>
              <w:ind w:right="610"/>
              <w:spacing w:after="0" w:line="203"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Estimated total gross carrying amount at default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w w:val="98"/>
              </w:rPr>
              <w:t>18,938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credit loss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2017</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3920" w:type="dxa"/>
            <w:vAlign w:val="bottom"/>
            <w:vMerge w:val="restart"/>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Contract</w:t>
            </w:r>
          </w:p>
        </w:tc>
        <w:tc>
          <w:tcPr>
            <w:tcW w:w="12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Trade</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assets</w:t>
            </w: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credit loss rate</w:t>
            </w: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670"/>
              <w:spacing w:after="0" w:line="203"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Estimated total gross carrying amount at default</w:t>
            </w:r>
          </w:p>
        </w:tc>
        <w:tc>
          <w:tcPr>
            <w:tcW w:w="142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credit loss</w:t>
            </w:r>
          </w:p>
        </w:tc>
        <w:tc>
          <w:tcPr>
            <w:tcW w:w="142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As at January 1, 2017</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3920" w:type="dxa"/>
            <w:vAlign w:val="bottom"/>
            <w:vMerge w:val="restart"/>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Contract</w:t>
            </w:r>
          </w:p>
        </w:tc>
        <w:tc>
          <w:tcPr>
            <w:tcW w:w="12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Trade</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assets</w:t>
            </w: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credit loss rate</w:t>
            </w: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670"/>
              <w:spacing w:after="0" w:line="203"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Estimated total gross carrying amount at default</w:t>
            </w:r>
          </w:p>
        </w:tc>
        <w:tc>
          <w:tcPr>
            <w:tcW w:w="142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w w:val="99"/>
              </w:rPr>
              <w:t>637</w:t>
            </w:r>
          </w:p>
        </w:tc>
        <w:tc>
          <w:tcPr>
            <w:tcW w:w="8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credit loss</w:t>
            </w:r>
          </w:p>
        </w:tc>
        <w:tc>
          <w:tcPr>
            <w:tcW w:w="142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deposits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Credit risk from balances with banks and financial institutions is managed by the Group’s controlling department in accordance with the Group’s policy. Investments of surplus funds are made only with banks.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Credit risk stemming from cash and deposits is very low.</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Group’s maximum exposure to credit risk for the components of the statements of financial position at December 31, 2018 and 2017 are the carrying amounts as illustrated in Note 11.1.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b w:val="1"/>
          <w:bCs w:val="1"/>
          <w:color w:val="auto"/>
        </w:rPr>
        <w:t>Liquidity risk</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Historically, BioNTech has relied on the financing from shareholders and collaborators in order to ensure sufficient liquidity. Lack of external financial support could pose a risk of going concern. The liquidity management of BioNTech ensures the availability of cash and cash equivalents for operational activities and further investments through appropriate budget planning. In addition, a sufficient level of cash and cash equivalents, which is managed centrally, is always maintained to finance the operational activities.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monitors liquidity risks using a liquidity planning tool.</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Ultimately, the responsibility for liquidity risk management lies with the management, which has established an appropriate approach to managing short-, medium- and long-term financing and liquidity requirements. BioNTech manages liquidity risks by holding appropriate reserves, as well as by monitoring forecasted and actual cash flows and reconciling the maturity profiles of financial assets and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concentration</w:t>
      </w:r>
    </w:p>
    <w:p>
      <w:pPr>
        <w:spacing w:after="0" w:line="121"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Concentrations arise when a number of counterparties are engaged in similar business activities, or activities in the same geographical region, or have economic features that would cause their ability to meet contractual obligations to be similarly affected by changes in economic, political or other conditions. Concentrations indicate the relative sensitivity of the Group’s performance to developments affecting a particular industry.</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order to avoid concentrations of risk, the Group’s policies and procedures include specific guidelines to focus on the maintenance of an effective diversification in the sources of funding and distribution of cash deposits. Identified concentrations of credit risks are controlled and managed accordingly.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maturity profile of the Group’s financial liabilities based on contractual undiscounted payments is summarized as follows:</w:t>
      </w:r>
    </w:p>
    <w:p>
      <w:pPr>
        <w:spacing w:after="0" w:line="24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2018</w:t>
            </w:r>
          </w:p>
        </w:tc>
        <w:tc>
          <w:tcPr>
            <w:tcW w:w="1900" w:type="dxa"/>
            <w:vAlign w:val="bottom"/>
          </w:tcPr>
          <w:p>
            <w:pPr>
              <w:spacing w:after="0"/>
              <w:rPr>
                <w:sz w:val="14"/>
                <w:szCs w:val="14"/>
                <w:color w:val="auto"/>
              </w:rPr>
            </w:pPr>
          </w:p>
        </w:tc>
        <w:tc>
          <w:tcPr>
            <w:tcW w:w="11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8"/>
              </w:rPr>
              <w:t>Less than</w:t>
            </w:r>
          </w:p>
        </w:tc>
        <w:tc>
          <w:tcPr>
            <w:tcW w:w="1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1 to 5 years</w:t>
            </w: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&gt; 5 years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9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3"/>
              </w:rPr>
              <w:t>1 year</w:t>
            </w:r>
          </w:p>
        </w:tc>
        <w:tc>
          <w:tcPr>
            <w:tcW w:w="1240" w:type="dxa"/>
            <w:vAlign w:val="bottom"/>
            <w:gridSpan w:val="5"/>
            <w:vMerge w:val="continue"/>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Interest bearing loans and borrowings</w:t>
            </w: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5,600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5,600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340"/>
              <w:spacing w:after="0"/>
              <w:rPr>
                <w:sz w:val="20"/>
                <w:szCs w:val="20"/>
                <w:color w:val="auto"/>
              </w:rPr>
            </w:pPr>
            <w:r>
              <w:rPr>
                <w:rFonts w:ascii="Arial" w:cs="Arial" w:eastAsia="Arial" w:hAnsi="Arial"/>
                <w:sz w:val="18"/>
                <w:szCs w:val="18"/>
                <w:color w:val="auto"/>
              </w:rPr>
              <w:t>Trade payables</w:t>
            </w:r>
          </w:p>
        </w:tc>
        <w:tc>
          <w:tcPr>
            <w:tcW w:w="2500" w:type="dxa"/>
            <w:vAlign w:val="bottom"/>
            <w:gridSpan w:val="4"/>
          </w:tcPr>
          <w:p>
            <w:pPr>
              <w:jc w:val="right"/>
              <w:ind w:right="20"/>
              <w:spacing w:after="0"/>
              <w:rPr>
                <w:sz w:val="20"/>
                <w:szCs w:val="20"/>
                <w:color w:val="auto"/>
              </w:rPr>
            </w:pPr>
            <w:r>
              <w:rPr>
                <w:rFonts w:ascii="Arial" w:cs="Arial" w:eastAsia="Arial" w:hAnsi="Arial"/>
                <w:sz w:val="18"/>
                <w:szCs w:val="18"/>
                <w:color w:val="auto"/>
              </w:rPr>
              <w:t>41,721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0"/>
              </w:rPr>
              <w:t>41,721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Lease liability</w:t>
            </w:r>
          </w:p>
        </w:tc>
        <w:tc>
          <w:tcPr>
            <w:tcW w:w="2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3,822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13,346</w:t>
            </w:r>
          </w:p>
        </w:tc>
        <w:tc>
          <w:tcPr>
            <w:tcW w:w="4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56,524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73,692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tcPr>
          <w:p>
            <w:pPr>
              <w:ind w:left="340"/>
              <w:spacing w:after="0"/>
              <w:rPr>
                <w:sz w:val="20"/>
                <w:szCs w:val="20"/>
                <w:color w:val="auto"/>
              </w:rPr>
            </w:pPr>
            <w:r>
              <w:rPr>
                <w:rFonts w:ascii="Arial" w:cs="Arial" w:eastAsia="Arial" w:hAnsi="Arial"/>
                <w:sz w:val="18"/>
                <w:szCs w:val="18"/>
                <w:color w:val="auto"/>
              </w:rPr>
              <w:t>Other financial liabilities</w:t>
            </w:r>
          </w:p>
        </w:tc>
        <w:tc>
          <w:tcPr>
            <w:tcW w:w="19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center"/>
              <w:ind w:right="5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51,675</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0"/>
              </w:rPr>
              <w:t>13,346</w:t>
            </w:r>
          </w:p>
        </w:tc>
        <w:tc>
          <w:tcPr>
            <w:tcW w:w="4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56,524</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127,145</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8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11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8"/>
              </w:rPr>
              <w:t>Less than</w:t>
            </w:r>
          </w:p>
        </w:tc>
        <w:tc>
          <w:tcPr>
            <w:tcW w:w="1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1 to 5 years</w:t>
            </w: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&gt; 5 years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9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3"/>
              </w:rPr>
              <w:t>1 year</w:t>
            </w:r>
          </w:p>
        </w:tc>
        <w:tc>
          <w:tcPr>
            <w:tcW w:w="1240" w:type="dxa"/>
            <w:vAlign w:val="bottom"/>
            <w:gridSpan w:val="5"/>
            <w:vMerge w:val="continue"/>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Trade payables</w:t>
            </w:r>
          </w:p>
        </w:tc>
        <w:tc>
          <w:tcPr>
            <w:tcW w:w="19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52,538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52,538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340"/>
              <w:spacing w:after="0"/>
              <w:rPr>
                <w:sz w:val="20"/>
                <w:szCs w:val="20"/>
                <w:color w:val="auto"/>
              </w:rPr>
            </w:pPr>
            <w:r>
              <w:rPr>
                <w:rFonts w:ascii="Arial" w:cs="Arial" w:eastAsia="Arial" w:hAnsi="Arial"/>
                <w:sz w:val="18"/>
                <w:szCs w:val="18"/>
                <w:color w:val="auto"/>
              </w:rPr>
              <w:t>Lease liability</w:t>
            </w:r>
          </w:p>
        </w:tc>
        <w:tc>
          <w:tcPr>
            <w:tcW w:w="2500" w:type="dxa"/>
            <w:vAlign w:val="bottom"/>
            <w:gridSpan w:val="4"/>
          </w:tcPr>
          <w:p>
            <w:pPr>
              <w:jc w:val="right"/>
              <w:ind w:right="20"/>
              <w:spacing w:after="0"/>
              <w:rPr>
                <w:sz w:val="20"/>
                <w:szCs w:val="20"/>
                <w:color w:val="auto"/>
              </w:rPr>
            </w:pPr>
            <w:r>
              <w:rPr>
                <w:rFonts w:ascii="Arial" w:cs="Arial" w:eastAsia="Arial" w:hAnsi="Arial"/>
                <w:sz w:val="18"/>
                <w:szCs w:val="18"/>
                <w:color w:val="auto"/>
              </w:rPr>
              <w:t>3,552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13,743</w:t>
            </w:r>
          </w:p>
        </w:tc>
        <w:tc>
          <w:tcPr>
            <w:tcW w:w="4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59,263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0"/>
              </w:rPr>
              <w:t>76,558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liabilities</w:t>
            </w:r>
          </w:p>
        </w:tc>
        <w:tc>
          <w:tcPr>
            <w:tcW w:w="2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1,939</w:t>
            </w:r>
          </w:p>
        </w:tc>
        <w:tc>
          <w:tcPr>
            <w:tcW w:w="0" w:type="dxa"/>
            <w:vAlign w:val="bottom"/>
          </w:tcPr>
          <w:p>
            <w:pPr>
              <w:spacing w:after="0"/>
              <w:rPr>
                <w:sz w:val="1"/>
                <w:szCs w:val="1"/>
                <w:color w:val="auto"/>
              </w:rPr>
            </w:pPr>
          </w:p>
        </w:tc>
      </w:tr>
      <w:tr>
        <w:trPr>
          <w:trHeight w:val="223"/>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90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58,029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13,743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59,263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131,035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at January 1, 2017</w:t>
            </w:r>
          </w:p>
        </w:tc>
        <w:tc>
          <w:tcPr>
            <w:tcW w:w="1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8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24"/>
                <w:szCs w:val="24"/>
                <w:color w:val="auto"/>
              </w:rPr>
            </w:pPr>
          </w:p>
        </w:tc>
        <w:tc>
          <w:tcPr>
            <w:tcW w:w="114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88"/>
              </w:rPr>
              <w:t>1 to 5 years</w:t>
            </w:r>
          </w:p>
        </w:tc>
        <w:tc>
          <w:tcPr>
            <w:tcW w:w="100" w:type="dxa"/>
            <w:vAlign w:val="bottom"/>
          </w:tcPr>
          <w:p>
            <w:pPr>
              <w:spacing w:after="0"/>
              <w:rPr>
                <w:sz w:val="24"/>
                <w:szCs w:val="2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&gt; 5 years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9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Trade payables</w:t>
            </w:r>
          </w:p>
        </w:tc>
        <w:tc>
          <w:tcPr>
            <w:tcW w:w="1980" w:type="dxa"/>
            <w:vAlign w:val="bottom"/>
            <w:gridSpan w:val="2"/>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6,218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6,218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340"/>
              <w:spacing w:after="0"/>
              <w:rPr>
                <w:sz w:val="20"/>
                <w:szCs w:val="20"/>
                <w:color w:val="auto"/>
              </w:rPr>
            </w:pPr>
            <w:r>
              <w:rPr>
                <w:rFonts w:ascii="Arial" w:cs="Arial" w:eastAsia="Arial" w:hAnsi="Arial"/>
                <w:sz w:val="18"/>
                <w:szCs w:val="18"/>
                <w:color w:val="auto"/>
              </w:rPr>
              <w:t>Lease liability</w:t>
            </w:r>
          </w:p>
        </w:tc>
        <w:tc>
          <w:tcPr>
            <w:tcW w:w="3020" w:type="dxa"/>
            <w:vAlign w:val="bottom"/>
            <w:gridSpan w:val="6"/>
          </w:tcPr>
          <w:p>
            <w:pPr>
              <w:jc w:val="right"/>
              <w:ind w:right="440"/>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8,193</w:t>
            </w:r>
          </w:p>
        </w:tc>
        <w:tc>
          <w:tcPr>
            <w:tcW w:w="1140" w:type="dxa"/>
            <w:vAlign w:val="bottom"/>
            <w:gridSpan w:val="4"/>
          </w:tcPr>
          <w:p>
            <w:pPr>
              <w:jc w:val="right"/>
              <w:ind w:right="440"/>
              <w:spacing w:after="0"/>
              <w:rPr>
                <w:sz w:val="20"/>
                <w:szCs w:val="20"/>
                <w:color w:val="auto"/>
              </w:rPr>
            </w:pPr>
            <w:r>
              <w:rPr>
                <w:rFonts w:ascii="Arial" w:cs="Arial" w:eastAsia="Arial" w:hAnsi="Arial"/>
                <w:sz w:val="18"/>
                <w:szCs w:val="18"/>
                <w:color w:val="auto"/>
              </w:rPr>
              <w:t>32,606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0"/>
              </w:rPr>
              <w:t>43,191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liabilities</w:t>
            </w:r>
          </w:p>
        </w:tc>
        <w:tc>
          <w:tcPr>
            <w:tcW w:w="302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11,301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11,301</w:t>
            </w:r>
          </w:p>
        </w:tc>
        <w:tc>
          <w:tcPr>
            <w:tcW w:w="0" w:type="dxa"/>
            <w:vAlign w:val="bottom"/>
          </w:tcPr>
          <w:p>
            <w:pPr>
              <w:spacing w:after="0"/>
              <w:rPr>
                <w:sz w:val="1"/>
                <w:szCs w:val="1"/>
                <w:color w:val="auto"/>
              </w:rPr>
            </w:pPr>
          </w:p>
        </w:tc>
      </w:tr>
      <w:tr>
        <w:trPr>
          <w:trHeight w:val="223"/>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19,911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8,193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32,606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60,701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20" w:type="dxa"/>
            <w:vAlign w:val="bottom"/>
            <w:gridSpan w:val="6"/>
          </w:tcPr>
          <w:p>
            <w:pPr>
              <w:jc w:val="right"/>
              <w:ind w:right="1760"/>
              <w:spacing w:after="0"/>
              <w:rPr>
                <w:sz w:val="20"/>
                <w:szCs w:val="20"/>
                <w:color w:val="auto"/>
              </w:rPr>
            </w:pPr>
            <w:r>
              <w:rPr>
                <w:rFonts w:ascii="Arial" w:cs="Arial" w:eastAsia="Arial" w:hAnsi="Arial"/>
                <w:sz w:val="18"/>
                <w:szCs w:val="18"/>
                <w:color w:val="auto"/>
              </w:rPr>
              <w:t>F-46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Changes in liabilities arising from financing activities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BioNTech uses leases to acquire the right to use assets for a specified amount of time. Due to the first-time adoption of IFRS 16, lease liabilities at an amount of k€28,132 were recognized as of January 1, 2017. The liability arising from leases amounts to k€52,182 as of December 31, 2017 and 50,775 as of December 31, 2018.</w:t>
      </w:r>
    </w:p>
    <w:p>
      <w:pPr>
        <w:sectPr>
          <w:pgSz w:w="11900" w:h="16838" w:orient="portrait"/>
          <w:cols w:equalWidth="0" w:num="1">
            <w:col w:w="11140"/>
          </w:cols>
          <w:pgMar w:left="320" w:top="459" w:right="439" w:bottom="1440" w:gutter="0" w:footer="0" w:header="0"/>
        </w:sect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Year ended December 31, 2018</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(in thousands)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Current obligations under lease contracts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Non-current obligations under lease contracts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Interest-bearing loans and borrowings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Year ended December 31, 2017</w:t>
      </w:r>
    </w:p>
    <w:p>
      <w:pPr>
        <w:ind w:left="120"/>
        <w:spacing w:after="0" w:line="236" w:lineRule="auto"/>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Cash</w:t>
            </w:r>
          </w:p>
        </w:tc>
        <w:tc>
          <w:tcPr>
            <w:tcW w:w="30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New</w:t>
            </w: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Reclassification</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flows</w:t>
            </w:r>
          </w:p>
        </w:tc>
        <w:tc>
          <w:tcPr>
            <w:tcW w:w="30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Leases</w:t>
            </w:r>
          </w:p>
        </w:tc>
        <w:tc>
          <w:tcPr>
            <w:tcW w:w="15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1,832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(2,126)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w w:val="79"/>
              </w:rPr>
              <w:t>296</w:t>
            </w:r>
          </w:p>
        </w:tc>
        <w:tc>
          <w:tcPr>
            <w:tcW w:w="5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2,132</w:t>
            </w: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50,349</w:t>
            </w:r>
          </w:p>
        </w:tc>
        <w:tc>
          <w:tcPr>
            <w:tcW w:w="30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401</w:t>
            </w:r>
          </w:p>
        </w:tc>
        <w:tc>
          <w:tcPr>
            <w:tcW w:w="3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(2,132)</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48,618</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5,600</w:t>
            </w:r>
          </w:p>
        </w:tc>
        <w:tc>
          <w:tcPr>
            <w:tcW w:w="30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52,182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€ 697</w:t>
            </w: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0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9"/>
              </w:rPr>
              <w:t>January 1,</w:t>
            </w:r>
          </w:p>
        </w:tc>
        <w:tc>
          <w:tcPr>
            <w:tcW w:w="1080" w:type="dxa"/>
            <w:vAlign w:val="bottom"/>
            <w:gridSpan w:val="3"/>
          </w:tcPr>
          <w:p>
            <w:pPr>
              <w:ind w:left="220"/>
              <w:spacing w:after="0"/>
              <w:rPr>
                <w:sz w:val="20"/>
                <w:szCs w:val="20"/>
                <w:color w:val="auto"/>
              </w:rPr>
            </w:pPr>
            <w:r>
              <w:rPr>
                <w:rFonts w:ascii="Arial" w:cs="Arial" w:eastAsia="Arial" w:hAnsi="Arial"/>
                <w:sz w:val="14"/>
                <w:szCs w:val="14"/>
                <w:b w:val="1"/>
                <w:bCs w:val="1"/>
                <w:color w:val="auto"/>
              </w:rPr>
              <w:t>Cash</w:t>
            </w: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New</w:t>
            </w: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Reclassification</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8"/>
        </w:trPr>
        <w:tc>
          <w:tcPr>
            <w:tcW w:w="860" w:type="dxa"/>
            <w:vAlign w:val="bottom"/>
            <w:gridSpan w:val="4"/>
          </w:tcPr>
          <w:p>
            <w:pPr>
              <w:jc w:val="right"/>
              <w:ind w:right="314"/>
              <w:spacing w:after="0" w:line="158"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080" w:type="dxa"/>
            <w:vAlign w:val="bottom"/>
            <w:gridSpan w:val="3"/>
          </w:tcPr>
          <w:p>
            <w:pPr>
              <w:ind w:left="220"/>
              <w:spacing w:after="0" w:line="158" w:lineRule="exact"/>
              <w:rPr>
                <w:sz w:val="20"/>
                <w:szCs w:val="20"/>
                <w:color w:val="auto"/>
              </w:rPr>
            </w:pPr>
            <w:r>
              <w:rPr>
                <w:rFonts w:ascii="Arial" w:cs="Arial" w:eastAsia="Arial" w:hAnsi="Arial"/>
                <w:sz w:val="14"/>
                <w:szCs w:val="14"/>
                <w:b w:val="1"/>
                <w:bCs w:val="1"/>
                <w:color w:val="auto"/>
              </w:rPr>
              <w:t>flows</w:t>
            </w:r>
          </w:p>
        </w:tc>
        <w:tc>
          <w:tcPr>
            <w:tcW w:w="120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88"/>
              </w:rPr>
              <w:t>Leases</w:t>
            </w:r>
          </w:p>
        </w:tc>
        <w:tc>
          <w:tcPr>
            <w:tcW w:w="15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96"/>
              <w:spacing w:after="0" w:line="158"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-950595</wp:posOffset>
            </wp:positionV>
            <wp:extent cx="6995160" cy="1460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-3342005</wp:posOffset>
            </wp:positionH>
            <wp:positionV relativeFrom="paragraph">
              <wp:posOffset>-668020</wp:posOffset>
            </wp:positionV>
            <wp:extent cx="6995160" cy="1371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60" w:space="720"/>
            <w:col w:w="57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52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Current obligations under lease contracts</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1,464</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98"/>
              </w:rPr>
              <w:t>(2,319)</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320"/>
              <w:spacing w:after="0" w:line="18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2,687</w:t>
            </w: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1,832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Non-current obligations under lease contracts</w:t>
            </w:r>
          </w:p>
        </w:tc>
        <w:tc>
          <w:tcPr>
            <w:tcW w:w="9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26,669</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676</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25,692</w:t>
            </w:r>
          </w:p>
        </w:tc>
        <w:tc>
          <w:tcPr>
            <w:tcW w:w="3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(2,687)</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50,349</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1"/>
              </w:rPr>
              <w:t>€ 28,132</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(1,643)</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25,692</w:t>
            </w: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52,182</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8"/>
                <w:szCs w:val="18"/>
                <w:b w:val="1"/>
                <w:bCs w:val="1"/>
                <w:color w:val="auto"/>
              </w:rPr>
              <w:t>12</w:t>
            </w:r>
          </w:p>
        </w:tc>
        <w:tc>
          <w:tcPr>
            <w:tcW w:w="37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Inventories</w:t>
            </w:r>
          </w:p>
        </w:tc>
        <w:tc>
          <w:tcPr>
            <w:tcW w:w="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20" w:type="dxa"/>
            <w:vAlign w:val="bottom"/>
            <w:vMerge w:val="continue"/>
          </w:tcPr>
          <w:p>
            <w:pPr>
              <w:spacing w:after="0"/>
              <w:rPr>
                <w:sz w:val="24"/>
                <w:szCs w:val="24"/>
                <w:color w:val="auto"/>
              </w:rPr>
            </w:pPr>
          </w:p>
        </w:tc>
        <w:tc>
          <w:tcPr>
            <w:tcW w:w="37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4500" w:type="dxa"/>
            <w:vAlign w:val="bottom"/>
            <w:vMerge w:val="restart"/>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580" w:type="dxa"/>
            <w:vAlign w:val="bottom"/>
            <w:gridSpan w:val="3"/>
          </w:tcPr>
          <w:p>
            <w:pPr>
              <w:ind w:left="7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line="158"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9"/>
        </w:trPr>
        <w:tc>
          <w:tcPr>
            <w:tcW w:w="5340" w:type="dxa"/>
            <w:vAlign w:val="bottom"/>
            <w:gridSpan w:val="2"/>
          </w:tcPr>
          <w:p>
            <w:pPr>
              <w:spacing w:after="0" w:line="189" w:lineRule="exact"/>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6"/>
                <w:szCs w:val="16"/>
                <w:color w:val="auto"/>
              </w:rPr>
            </w:pPr>
          </w:p>
        </w:tc>
        <w:tc>
          <w:tcPr>
            <w:tcW w:w="16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4,475</w:t>
            </w:r>
          </w:p>
        </w:tc>
        <w:tc>
          <w:tcPr>
            <w:tcW w:w="760" w:type="dxa"/>
            <w:vAlign w:val="bottom"/>
          </w:tcPr>
          <w:p>
            <w:pPr>
              <w:spacing w:after="0"/>
              <w:rPr>
                <w:sz w:val="16"/>
                <w:szCs w:val="16"/>
                <w:color w:val="auto"/>
              </w:rPr>
            </w:pPr>
          </w:p>
        </w:tc>
        <w:tc>
          <w:tcPr>
            <w:tcW w:w="16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Unfinished goods and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Finished goods and services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inventories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5,789</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-316230</wp:posOffset>
            </wp:positionV>
            <wp:extent cx="5871845" cy="1371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-599440</wp:posOffset>
            </wp:positionV>
            <wp:extent cx="5871845" cy="1454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2018, inventories of k€5,382 (2017: k€7,448) were recognized as an expense and recognized in cost of sales.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BioNTech has not pledged any inventories as securities for liabilities.</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13</w:t>
            </w:r>
          </w:p>
        </w:tc>
        <w:tc>
          <w:tcPr>
            <w:tcW w:w="3680" w:type="dxa"/>
            <w:vAlign w:val="bottom"/>
          </w:tcPr>
          <w:p>
            <w:pPr>
              <w:ind w:left="220"/>
              <w:spacing w:after="0"/>
              <w:rPr>
                <w:sz w:val="20"/>
                <w:szCs w:val="20"/>
                <w:color w:val="auto"/>
              </w:rPr>
            </w:pPr>
            <w:r>
              <w:rPr>
                <w:rFonts w:ascii="Arial" w:cs="Arial" w:eastAsia="Arial" w:hAnsi="Arial"/>
                <w:sz w:val="18"/>
                <w:szCs w:val="18"/>
                <w:b w:val="1"/>
                <w:bCs w:val="1"/>
                <w:color w:val="auto"/>
              </w:rPr>
              <w:t>Trade receivables</w:t>
            </w:r>
          </w:p>
        </w:tc>
        <w:tc>
          <w:tcPr>
            <w:tcW w:w="3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20" w:type="dxa"/>
            <w:vAlign w:val="bottom"/>
          </w:tcPr>
          <w:p>
            <w:pPr>
              <w:spacing w:after="0"/>
              <w:rPr>
                <w:sz w:val="24"/>
                <w:szCs w:val="24"/>
                <w:color w:val="auto"/>
              </w:rPr>
            </w:pPr>
          </w:p>
        </w:tc>
        <w:tc>
          <w:tcPr>
            <w:tcW w:w="3680" w:type="dxa"/>
            <w:vAlign w:val="bottom"/>
            <w:vMerge w:val="restart"/>
          </w:tcPr>
          <w:p>
            <w:pPr>
              <w:ind w:left="460"/>
              <w:spacing w:after="0"/>
              <w:rPr>
                <w:sz w:val="20"/>
                <w:szCs w:val="20"/>
                <w:color w:val="auto"/>
              </w:rPr>
            </w:pPr>
            <w:r>
              <w:rPr>
                <w:rFonts w:ascii="Arial" w:cs="Arial" w:eastAsia="Arial" w:hAnsi="Arial"/>
                <w:sz w:val="14"/>
                <w:szCs w:val="14"/>
                <w:color w:val="auto"/>
              </w:rPr>
              <w:t>(in thousands)</w:t>
            </w:r>
          </w:p>
        </w:tc>
        <w:tc>
          <w:tcPr>
            <w:tcW w:w="3320" w:type="dxa"/>
            <w:vAlign w:val="bottom"/>
          </w:tcPr>
          <w:p>
            <w:pPr>
              <w:jc w:val="center"/>
              <w:ind w:left="1648"/>
              <w:spacing w:after="0"/>
              <w:rPr>
                <w:sz w:val="20"/>
                <w:szCs w:val="20"/>
                <w:color w:val="auto"/>
              </w:rPr>
            </w:pPr>
            <w:r>
              <w:rPr>
                <w:rFonts w:ascii="Arial" w:cs="Arial" w:eastAsia="Arial" w:hAnsi="Arial"/>
                <w:sz w:val="14"/>
                <w:szCs w:val="14"/>
                <w:b w:val="1"/>
                <w:bCs w:val="1"/>
                <w:color w:val="auto"/>
                <w:w w:val="92"/>
              </w:rPr>
              <w:t>December 31,</w:t>
            </w:r>
          </w:p>
        </w:tc>
        <w:tc>
          <w:tcPr>
            <w:tcW w:w="122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3320" w:type="dxa"/>
            <w:vAlign w:val="bottom"/>
          </w:tcPr>
          <w:p>
            <w:pPr>
              <w:jc w:val="right"/>
              <w:ind w:right="588"/>
              <w:spacing w:after="0" w:line="158" w:lineRule="exact"/>
              <w:rPr>
                <w:sz w:val="20"/>
                <w:szCs w:val="20"/>
                <w:color w:val="auto"/>
              </w:rPr>
            </w:pPr>
            <w:r>
              <w:rPr>
                <w:rFonts w:ascii="Arial" w:cs="Arial" w:eastAsia="Arial" w:hAnsi="Arial"/>
                <w:sz w:val="14"/>
                <w:szCs w:val="14"/>
                <w:b w:val="1"/>
                <w:bCs w:val="1"/>
                <w:color w:val="auto"/>
              </w:rPr>
              <w:t>2018</w:t>
            </w:r>
          </w:p>
        </w:tc>
        <w:tc>
          <w:tcPr>
            <w:tcW w:w="122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932"/>
        <w:spacing w:after="0"/>
        <w:rPr>
          <w:sz w:val="20"/>
          <w:szCs w:val="20"/>
          <w:color w:val="auto"/>
        </w:rPr>
      </w:pPr>
      <w:r>
        <w:rPr>
          <w:rFonts w:ascii="Arial" w:cs="Arial" w:eastAsia="Arial" w:hAnsi="Arial"/>
          <w:sz w:val="13"/>
          <w:szCs w:val="13"/>
          <w:b w:val="1"/>
          <w:bCs w:val="1"/>
          <w:color w:val="auto"/>
        </w:rPr>
        <w:t>January 1,</w:t>
      </w:r>
    </w:p>
    <w:p>
      <w:pPr>
        <w:spacing w:after="0" w:line="15" w:lineRule="exact"/>
        <w:rPr>
          <w:sz w:val="20"/>
          <w:szCs w:val="20"/>
          <w:color w:val="auto"/>
        </w:rPr>
      </w:pPr>
    </w:p>
    <w:p>
      <w:pPr>
        <w:jc w:val="center"/>
        <w:ind w:right="932"/>
        <w:spacing w:after="0"/>
        <w:rPr>
          <w:sz w:val="20"/>
          <w:szCs w:val="20"/>
          <w:color w:val="auto"/>
        </w:rPr>
      </w:pPr>
      <w:r>
        <w:rPr>
          <w:rFonts w:ascii="Arial" w:cs="Arial" w:eastAsia="Arial" w:hAnsi="Arial"/>
          <w:sz w:val="14"/>
          <w:szCs w:val="14"/>
          <w:b w:val="1"/>
          <w:bCs w:val="1"/>
          <w:color w:val="auto"/>
        </w:rPr>
        <w:t>2017</w:t>
      </w:r>
    </w:p>
    <w:p>
      <w:pPr>
        <w:spacing w:after="0" w:line="9" w:lineRule="exact"/>
        <w:rPr>
          <w:sz w:val="20"/>
          <w:szCs w:val="20"/>
          <w:color w:val="auto"/>
        </w:rPr>
      </w:pPr>
    </w:p>
    <w:p>
      <w:pPr>
        <w:ind w:left="248" w:hanging="248"/>
        <w:spacing w:after="0"/>
        <w:tabs>
          <w:tab w:leader="none" w:pos="24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2,702</w:t>
      </w:r>
    </w:p>
    <w:p>
      <w:pPr>
        <w:spacing w:after="0" w:line="30" w:lineRule="exact"/>
        <w:rPr>
          <w:rFonts w:ascii="Arial" w:cs="Arial" w:eastAsia="Arial" w:hAnsi="Arial"/>
          <w:sz w:val="16"/>
          <w:szCs w:val="16"/>
          <w:color w:val="auto"/>
        </w:rPr>
      </w:pPr>
    </w:p>
    <w:p>
      <w:pPr>
        <w:ind w:left="488"/>
        <w:spacing w:after="0"/>
        <w:rPr>
          <w:rFonts w:ascii="Arial" w:cs="Arial" w:eastAsia="Arial" w:hAnsi="Arial"/>
          <w:sz w:val="16"/>
          <w:szCs w:val="16"/>
          <w:color w:val="auto"/>
        </w:rPr>
      </w:pPr>
      <w:r>
        <w:rPr>
          <w:rFonts w:ascii="Arial" w:cs="Arial" w:eastAsia="Arial" w:hAnsi="Arial"/>
          <w:sz w:val="16"/>
          <w:szCs w:val="16"/>
          <w:color w:val="auto"/>
        </w:rPr>
        <w:t>10</w:t>
      </w:r>
    </w:p>
    <w:p>
      <w:pPr>
        <w:spacing w:after="0" w:line="32"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203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jc w:val="right"/>
        <w:ind w:right="940"/>
        <w:spacing w:after="0"/>
        <w:tabs>
          <w:tab w:leader="none" w:pos="40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6"/>
          <w:szCs w:val="16"/>
          <w:b w:val="1"/>
          <w:bCs w:val="1"/>
          <w:u w:val="single" w:color="auto"/>
          <w:color w:val="auto"/>
        </w:rPr>
        <w:t>3,266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42037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32"/>
        <w:spacing w:after="0"/>
        <w:rPr>
          <w:sz w:val="20"/>
          <w:szCs w:val="20"/>
          <w:color w:val="auto"/>
        </w:rPr>
      </w:pPr>
      <w:r>
        <w:rPr>
          <w:rFonts w:ascii="Arial" w:cs="Arial" w:eastAsia="Arial" w:hAnsi="Arial"/>
          <w:sz w:val="13"/>
          <w:szCs w:val="13"/>
          <w:b w:val="1"/>
          <w:bCs w:val="1"/>
          <w:color w:val="auto"/>
        </w:rPr>
        <w:t>January 1,</w:t>
      </w:r>
    </w:p>
    <w:p>
      <w:pPr>
        <w:jc w:val="center"/>
        <w:ind w:right="932"/>
        <w:spacing w:after="0" w:line="233" w:lineRule="auto"/>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p>
    <w:p>
      <w:pPr>
        <w:sectPr>
          <w:pgSz w:w="11900" w:h="16838" w:orient="portrait"/>
          <w:cols w:equalWidth="0" w:num="2">
            <w:col w:w="8940" w:space="592"/>
            <w:col w:w="1608"/>
          </w:cols>
          <w:pgMar w:left="320" w:top="459" w:right="439" w:bottom="1440" w:gutter="0" w:footer="0" w:header="0"/>
          <w:type w:val="continuous"/>
        </w:sectPr>
      </w:pPr>
    </w:p>
    <w:tbl>
      <w:tblPr>
        <w:tblLayout w:type="fixed"/>
        <w:tblInd w:w="1000" w:type="dxa"/>
        <w:tblCellMar>
          <w:top w:w="0" w:type="dxa"/>
          <w:left w:w="0" w:type="dxa"/>
          <w:bottom w:w="0" w:type="dxa"/>
          <w:right w:w="0" w:type="dxa"/>
        </w:tblCellMar>
      </w:tblP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83"/>
        </w:trPr>
        <w:tc>
          <w:tcPr>
            <w:tcW w:w="53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Trade Receivables</w:t>
            </w: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18,938</w:t>
            </w:r>
          </w:p>
        </w:tc>
        <w:tc>
          <w:tcPr>
            <w:tcW w:w="7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4,575</w:t>
            </w:r>
          </w:p>
        </w:tc>
        <w:tc>
          <w:tcPr>
            <w:tcW w:w="7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3,161</w:t>
            </w:r>
          </w:p>
        </w:tc>
        <w:tc>
          <w:tcPr>
            <w:tcW w:w="60" w:type="dxa"/>
            <w:vAlign w:val="bottom"/>
            <w:shd w:val="clear" w:color="auto" w:fill="CCEEFF"/>
          </w:tcPr>
          <w:p>
            <w:pPr>
              <w:spacing w:after="0"/>
              <w:rPr>
                <w:sz w:val="15"/>
                <w:szCs w:val="15"/>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18,938</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4,575</w:t>
            </w:r>
          </w:p>
        </w:tc>
        <w:tc>
          <w:tcPr>
            <w:tcW w:w="7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3,161</w:t>
            </w:r>
          </w:p>
        </w:tc>
        <w:tc>
          <w:tcPr>
            <w:tcW w:w="6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Trade receivables are non-interest bearing and are generally due on terms of 20 to 30 days. As described in Note 11.6, expected credit loss for trade receivables is immaterial.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type w:val="continuous"/>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14</w:t>
            </w:r>
          </w:p>
        </w:tc>
        <w:tc>
          <w:tcPr>
            <w:tcW w:w="642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 w:type="dxa"/>
            <w:vAlign w:val="bottom"/>
          </w:tcPr>
          <w:p>
            <w:pPr>
              <w:spacing w:after="0"/>
              <w:rPr>
                <w:sz w:val="23"/>
                <w:szCs w:val="23"/>
                <w:color w:val="auto"/>
              </w:rPr>
            </w:pPr>
          </w:p>
        </w:tc>
        <w:tc>
          <w:tcPr>
            <w:tcW w:w="460" w:type="dxa"/>
            <w:vAlign w:val="bottom"/>
            <w:vMerge w:val="restart"/>
          </w:tcPr>
          <w:p>
            <w:pPr>
              <w:spacing w:after="0"/>
              <w:rPr>
                <w:sz w:val="23"/>
                <w:szCs w:val="23"/>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120" w:type="dxa"/>
            <w:vAlign w:val="bottom"/>
            <w:vMerge w:val="restart"/>
          </w:tcPr>
          <w:p>
            <w:pPr>
              <w:spacing w:after="0"/>
              <w:rPr>
                <w:sz w:val="23"/>
                <w:szCs w:val="23"/>
                <w:color w:val="auto"/>
              </w:rPr>
            </w:pPr>
          </w:p>
        </w:tc>
        <w:tc>
          <w:tcPr>
            <w:tcW w:w="20" w:type="dxa"/>
            <w:vAlign w:val="bottom"/>
          </w:tcPr>
          <w:p>
            <w:pPr>
              <w:spacing w:after="0"/>
              <w:rPr>
                <w:sz w:val="23"/>
                <w:szCs w:val="23"/>
                <w:color w:val="auto"/>
              </w:rPr>
            </w:pPr>
          </w:p>
        </w:tc>
        <w:tc>
          <w:tcPr>
            <w:tcW w:w="16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December 31,</w:t>
            </w:r>
          </w:p>
        </w:tc>
        <w:tc>
          <w:tcPr>
            <w:tcW w:w="1660" w:type="dxa"/>
            <w:vAlign w:val="bottom"/>
            <w:gridSpan w:val="4"/>
          </w:tcPr>
          <w:p>
            <w:pPr>
              <w:ind w:left="620"/>
              <w:spacing w:after="0"/>
              <w:rPr>
                <w:sz w:val="20"/>
                <w:szCs w:val="20"/>
                <w:color w:val="auto"/>
              </w:rPr>
            </w:pPr>
            <w:r>
              <w:rPr>
                <w:rFonts w:ascii="Arial" w:cs="Arial" w:eastAsia="Arial" w:hAnsi="Arial"/>
                <w:sz w:val="14"/>
                <w:szCs w:val="14"/>
                <w:b w:val="1"/>
                <w:bCs w:val="1"/>
                <w:color w:val="auto"/>
                <w:w w:val="97"/>
              </w:rPr>
              <w:t>As of 1 January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5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rPr>
              <w:t>2018</w:t>
            </w:r>
          </w:p>
        </w:tc>
        <w:tc>
          <w:tcPr>
            <w:tcW w:w="1140" w:type="dxa"/>
            <w:vAlign w:val="bottom"/>
            <w:gridSpan w:val="2"/>
          </w:tcPr>
          <w:p>
            <w:pPr>
              <w:jc w:val="right"/>
              <w:ind w:right="30"/>
              <w:spacing w:after="0" w:line="129"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Sales tax receivable</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€8,611</w:t>
            </w:r>
          </w:p>
        </w:tc>
        <w:tc>
          <w:tcPr>
            <w:tcW w:w="6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€3,832</w:t>
            </w: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Prepayments on inventories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42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9,164</w:t>
            </w:r>
          </w:p>
        </w:tc>
        <w:tc>
          <w:tcPr>
            <w:tcW w:w="6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6,227</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Other assets were mainly comprised of interest income of k€270 (2017 other assets were mainly comprised of receivables due to grants of k€1,356).</w:t>
      </w:r>
    </w:p>
    <w:p>
      <w:pPr>
        <w:spacing w:after="0" w:line="315" w:lineRule="exact"/>
        <w:rPr>
          <w:sz w:val="20"/>
          <w:szCs w:val="20"/>
          <w:color w:val="auto"/>
        </w:rPr>
      </w:pPr>
    </w:p>
    <w:p>
      <w:pPr>
        <w:ind w:left="120" w:right="8280" w:hanging="4"/>
        <w:spacing w:after="0" w:line="375" w:lineRule="auto"/>
        <w:tabs>
          <w:tab w:leader="none" w:pos="768"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Issued capital and reserves Issued capital:</w:t>
      </w:r>
    </w:p>
    <w:p>
      <w:pPr>
        <w:spacing w:after="0" w:line="1"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Authorized shares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48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4"/>
          </w:tcPr>
          <w:p>
            <w:pPr>
              <w:ind w:left="700"/>
              <w:spacing w:after="0"/>
              <w:rPr>
                <w:sz w:val="20"/>
                <w:szCs w:val="20"/>
                <w:color w:val="auto"/>
              </w:rPr>
            </w:pPr>
            <w:r>
              <w:rPr>
                <w:rFonts w:ascii="Arial" w:cs="Arial" w:eastAsia="Arial" w:hAnsi="Arial"/>
                <w:sz w:val="14"/>
                <w:szCs w:val="14"/>
                <w:b w:val="1"/>
                <w:bCs w:val="1"/>
                <w:color w:val="auto"/>
                <w:w w:val="97"/>
              </w:rPr>
              <w:t>As of 1 January</w:t>
            </w: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4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2018</w:t>
            </w:r>
          </w:p>
        </w:tc>
        <w:tc>
          <w:tcPr>
            <w:tcW w:w="1200" w:type="dxa"/>
            <w:vAlign w:val="bottom"/>
            <w:gridSpan w:val="2"/>
          </w:tcPr>
          <w:p>
            <w:pPr>
              <w:jc w:val="right"/>
              <w:ind w:right="10"/>
              <w:spacing w:after="0" w:line="129"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Ordinary shares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9,297</w:t>
            </w:r>
          </w:p>
        </w:tc>
        <w:tc>
          <w:tcPr>
            <w:tcW w:w="7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9,265</w:t>
            </w: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w w:val="86"/>
              </w:rPr>
              <w:t>182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Series A shares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1,255</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Qualifying shares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10,739</w:t>
            </w:r>
          </w:p>
        </w:tc>
        <w:tc>
          <w:tcPr>
            <w:tcW w:w="7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9,265</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w w:val="86"/>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During the fiscal year 2018, the issued capital of BioNTech was increased by €1.5 million (2017: €9.1 million) to €10.7 million (2017: €9.3 million) in conjunction with a cash investment of €355.8 million. The capital increase in 2017 is due to a conversion of capital reserves into share capital. There were no cash proceeds in this transaction. Each share has a par value of €1.</w:t>
      </w:r>
    </w:p>
    <w:p>
      <w:pPr>
        <w:spacing w:after="0" w:line="328"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Share-based payments</w:t>
      </w:r>
    </w:p>
    <w:p>
      <w:pPr>
        <w:spacing w:after="0" w:line="131"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5"/>
          <w:szCs w:val="15"/>
          <w:b w:val="1"/>
          <w:bCs w:val="1"/>
          <w:color w:val="auto"/>
        </w:rPr>
        <w:t>Description of share-based payments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2018 and 2017, the Group had the following share-based arrangements.</w:t>
      </w:r>
    </w:p>
    <w:p>
      <w:pPr>
        <w:spacing w:after="0" w:line="37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16.1.1Employee Stock Ownership Plan (equity-settled)</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November 15, 2018, the Group established a share option program that grants selected employees options to receive shares in the company. The program is designed as an Employee Stock Ownership Plan (ESOP). The Group has offered the participants a certain number of rights (Option Rights) by explicit acceptance of the participants. The exercise of the Option Rights in accordance with the terms of the ESOP, gives the participants the right to obtain shares against payment of the exercise price. The Option Rights vest over four years, can only be exercised if the company has executed a public offering in the United States (IPO) and when meeting the Threshold Amount. Threshold Amount means the exercise price provided increases by eight percentage points on the first and then each subsequent anniversary of the Allocation Date (September 26, 2018). The Option Rights can be exercised at the latest eight years after the Allocation Date. If they have not been exercised by that date, they will forfeit without compensation.</w:t>
      </w: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16.1.2Share appreciation rights (equity-settled)</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On December 1, 2017, the Group granted 32,373 shares to selected employees under the share appreciation rights (SAR) program. The shares vested immediately at the grant date (December 2017) as there were no vesting conditions.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00"/>
          </w:cols>
          <w:pgMar w:left="320" w:top="459" w:right="47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2017, details of the expense arising from the SARs were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thousands)</w:t>
            </w:r>
          </w:p>
        </w:tc>
        <w:tc>
          <w:tcPr>
            <w:tcW w:w="4560" w:type="dxa"/>
            <w:vAlign w:val="bottom"/>
          </w:tcPr>
          <w:p>
            <w:pPr>
              <w:spacing w:after="0"/>
              <w:rPr>
                <w:sz w:val="16"/>
                <w:szCs w:val="16"/>
                <w:color w:val="auto"/>
              </w:rPr>
            </w:pPr>
          </w:p>
        </w:tc>
        <w:tc>
          <w:tcPr>
            <w:tcW w:w="29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value of equity instruments granted</w:t>
            </w:r>
          </w:p>
        </w:tc>
        <w:tc>
          <w:tcPr>
            <w:tcW w:w="2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€5,291</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investment share was fully settled with equity instruments with equal value in 2018. There were no other SARs granted.</w:t>
      </w:r>
    </w:p>
    <w:p>
      <w:pPr>
        <w:spacing w:after="0" w:line="37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Measurement of fair values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16.2.1Equity-settled share-based payment arrangement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fair value of the employee share options has been measured using a binomial model. Service conditions attached to the arrangement were not taken into account in measuring the fair value.</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share options can only be exercised by the grantee if the price of the share is equal or greater to the Threshold Amount as defined in the arrangement. Moreover, the option rights can only be exercised if the IPO has occurred. Both conditions have been incorporated into the fair value at grant date.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inputs used in the measurement of the fair values at grant date of the equity-settled share-based payment plan was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Grant date</w:t>
            </w:r>
          </w:p>
        </w:tc>
      </w:tr>
      <w:tr>
        <w:trPr>
          <w:trHeight w:val="148"/>
        </w:trPr>
        <w:tc>
          <w:tcPr>
            <w:tcW w:w="4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15 November</w:t>
            </w:r>
          </w:p>
        </w:tc>
      </w:tr>
      <w:tr>
        <w:trPr>
          <w:trHeight w:val="171"/>
        </w:trPr>
        <w:tc>
          <w:tcPr>
            <w:tcW w:w="416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2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Share price at grant date</w:t>
            </w:r>
          </w:p>
        </w:tc>
        <w:tc>
          <w:tcPr>
            <w:tcW w:w="248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259.28</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48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Expected volatility (%)</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Expected dividends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r>
    </w:tbl>
    <w:p>
      <w:pPr>
        <w:spacing w:after="0" w:line="202"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Expected volatility has been based on an evaluation of the historical and the implied volatilities of comparable companies over the historical period commensurate with the expected term. The expected term has been based on general option holder behavior for employee options.</w:t>
      </w:r>
    </w:p>
    <w:p>
      <w:pPr>
        <w:spacing w:after="0" w:line="268"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16.2.2</w:t>
      </w:r>
      <w:r>
        <w:rPr>
          <w:sz w:val="20"/>
          <w:szCs w:val="20"/>
          <w:color w:val="auto"/>
        </w:rPr>
        <w:tab/>
      </w:r>
      <w:r>
        <w:rPr>
          <w:rFonts w:ascii="Arial" w:cs="Arial" w:eastAsia="Arial" w:hAnsi="Arial"/>
          <w:sz w:val="16"/>
          <w:szCs w:val="16"/>
          <w:b w:val="1"/>
          <w:bCs w:val="1"/>
          <w:color w:val="auto"/>
        </w:rPr>
        <w:t>Share appreciation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fair value of the SARs has been determined using a discounted cash flow (DCF) model as of December 2017.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inputs used in the measurement of the fair values at grant date of the SARs were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Grant date 1</w:t>
            </w:r>
          </w:p>
        </w:tc>
      </w:tr>
      <w:tr>
        <w:trPr>
          <w:trHeight w:val="148"/>
        </w:trPr>
        <w:tc>
          <w:tcPr>
            <w:tcW w:w="3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December</w:t>
            </w:r>
          </w:p>
        </w:tc>
      </w:tr>
      <w:tr>
        <w:trPr>
          <w:trHeight w:val="171"/>
        </w:trPr>
        <w:tc>
          <w:tcPr>
            <w:tcW w:w="3380" w:type="dxa"/>
            <w:vAlign w:val="bottom"/>
          </w:tcPr>
          <w:p>
            <w:pPr>
              <w:spacing w:after="0"/>
              <w:rPr>
                <w:sz w:val="14"/>
                <w:szCs w:val="14"/>
                <w:color w:val="auto"/>
              </w:rPr>
            </w:pPr>
          </w:p>
        </w:tc>
        <w:tc>
          <w:tcPr>
            <w:tcW w:w="3900" w:type="dxa"/>
            <w:vAlign w:val="bottom"/>
            <w:gridSpan w:val="2"/>
          </w:tcPr>
          <w:p>
            <w:pPr>
              <w:jc w:val="center"/>
              <w:ind w:left="3013"/>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w:t>
            </w:r>
          </w:p>
        </w:tc>
        <w:tc>
          <w:tcPr>
            <w:tcW w:w="3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182.33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WACC</w:t>
            </w:r>
          </w:p>
        </w:tc>
        <w:tc>
          <w:tcPr>
            <w:tcW w:w="410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Tax rate</w:t>
            </w:r>
          </w:p>
        </w:tc>
        <w:tc>
          <w:tcPr>
            <w:tcW w:w="4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w w:val="96"/>
              </w:rPr>
              <w:t>Debt free net working capital (in % of sales)</w:t>
            </w:r>
          </w:p>
        </w:tc>
        <w:tc>
          <w:tcPr>
            <w:tcW w:w="4100" w:type="dxa"/>
            <w:vAlign w:val="bottom"/>
            <w:gridSpan w:val="3"/>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4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Long-term growth rate (%)</w:t>
            </w:r>
          </w:p>
        </w:tc>
        <w:tc>
          <w:tcPr>
            <w:tcW w:w="410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r>
      <w:tr>
        <w:trPr>
          <w:trHeight w:val="350"/>
        </w:trPr>
        <w:tc>
          <w:tcPr>
            <w:tcW w:w="3380" w:type="dxa"/>
            <w:vAlign w:val="bottom"/>
          </w:tcPr>
          <w:p>
            <w:pPr>
              <w:spacing w:after="0"/>
              <w:rPr>
                <w:sz w:val="24"/>
                <w:szCs w:val="24"/>
                <w:color w:val="auto"/>
              </w:rPr>
            </w:pPr>
          </w:p>
        </w:tc>
        <w:tc>
          <w:tcPr>
            <w:tcW w:w="4100" w:type="dxa"/>
            <w:vAlign w:val="bottom"/>
            <w:gridSpan w:val="3"/>
          </w:tcPr>
          <w:p>
            <w:pPr>
              <w:jc w:val="right"/>
              <w:ind w:right="3560"/>
              <w:spacing w:after="0"/>
              <w:rPr>
                <w:sz w:val="20"/>
                <w:szCs w:val="20"/>
                <w:color w:val="auto"/>
              </w:rPr>
            </w:pPr>
            <w:r>
              <w:rPr>
                <w:rFonts w:ascii="Arial" w:cs="Arial" w:eastAsia="Arial" w:hAnsi="Arial"/>
                <w:sz w:val="18"/>
                <w:szCs w:val="18"/>
                <w:color w:val="auto"/>
              </w:rPr>
              <w:t>F-49</w:t>
            </w:r>
          </w:p>
        </w:tc>
      </w:tr>
    </w:tbl>
    <w:p>
      <w:pPr>
        <w:sectPr>
          <w:pgSz w:w="11900" w:h="16838" w:orient="portrait"/>
          <w:cols w:equalWidth="0" w:num="1">
            <w:col w:w="11040"/>
          </w:cols>
          <w:pgMar w:left="320" w:top="459" w:right="5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Growth rate estimates are based on epidemiology data for different indications in focus geographies. The average market growth rates per indication and stage have been extrapolated with data derived from published industry research.</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expected life of the SARs is based on historical data and current expectations and is not necessarily indicative of exercise patterns that may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Expected dividends were not incorporated into the measurement of fair value.</w:t>
      </w:r>
    </w:p>
    <w:p>
      <w:pPr>
        <w:spacing w:after="0" w:line="37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Reconciliation of outstanding share-options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and weighted-average exercise prices of share options under the ESOP were as follows: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outstanding share options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Weighted average</w:t>
            </w:r>
          </w:p>
        </w:tc>
      </w:tr>
      <w:tr>
        <w:trPr>
          <w:trHeight w:val="171"/>
        </w:trPr>
        <w:tc>
          <w:tcPr>
            <w:tcW w:w="5700" w:type="dxa"/>
            <w:vAlign w:val="bottom"/>
          </w:tcPr>
          <w:p>
            <w:pPr>
              <w:spacing w:after="0"/>
              <w:rPr>
                <w:sz w:val="14"/>
                <w:szCs w:val="14"/>
                <w:color w:val="auto"/>
              </w:rPr>
            </w:pPr>
          </w:p>
        </w:tc>
        <w:tc>
          <w:tcPr>
            <w:tcW w:w="15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1 January 2018</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658,109</w:t>
            </w:r>
          </w:p>
        </w:tc>
        <w:tc>
          <w:tcPr>
            <w:tcW w:w="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182.53</w:t>
            </w:r>
          </w:p>
        </w:tc>
        <w:tc>
          <w:tcPr>
            <w:tcW w:w="40" w:type="dxa"/>
            <w:vAlign w:val="bottom"/>
          </w:tcPr>
          <w:p>
            <w:pPr>
              <w:spacing w:after="0"/>
              <w:rPr>
                <w:sz w:val="20"/>
                <w:szCs w:val="20"/>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31 December 2018</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658,109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182.53</w:t>
            </w: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Exercisable at 31 December 2018</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options outstanding at December 31, 2018 have a weighted-average contractual life of 7.75 years.</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5"/>
              </w:rPr>
              <w:t>16.4</w:t>
            </w:r>
          </w:p>
        </w:tc>
        <w:tc>
          <w:tcPr>
            <w:tcW w:w="7860" w:type="dxa"/>
            <w:vAlign w:val="bottom"/>
            <w:gridSpan w:val="3"/>
          </w:tcPr>
          <w:p>
            <w:pPr>
              <w:ind w:left="260"/>
              <w:spacing w:after="0"/>
              <w:rPr>
                <w:sz w:val="20"/>
                <w:szCs w:val="20"/>
                <w:color w:val="auto"/>
              </w:rPr>
            </w:pPr>
            <w:r>
              <w:rPr>
                <w:rFonts w:ascii="Arial" w:cs="Arial" w:eastAsia="Arial" w:hAnsi="Arial"/>
                <w:sz w:val="18"/>
                <w:szCs w:val="18"/>
                <w:b w:val="1"/>
                <w:bCs w:val="1"/>
                <w:color w:val="auto"/>
              </w:rPr>
              <w:t>Expense recognized in the statement of operations</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380" w:type="dxa"/>
            <w:vAlign w:val="bottom"/>
          </w:tcPr>
          <w:p>
            <w:pPr>
              <w:spacing w:after="0"/>
              <w:rPr>
                <w:sz w:val="24"/>
                <w:szCs w:val="24"/>
                <w:color w:val="auto"/>
              </w:rPr>
            </w:pPr>
          </w:p>
        </w:tc>
        <w:tc>
          <w:tcPr>
            <w:tcW w:w="7860" w:type="dxa"/>
            <w:vAlign w:val="bottom"/>
            <w:gridSpan w:val="3"/>
          </w:tcPr>
          <w:p>
            <w:pPr>
              <w:ind w:left="60"/>
              <w:spacing w:after="0"/>
              <w:rPr>
                <w:sz w:val="20"/>
                <w:szCs w:val="20"/>
                <w:color w:val="auto"/>
              </w:rPr>
            </w:pPr>
            <w:r>
              <w:rPr>
                <w:rFonts w:ascii="Arial" w:cs="Arial" w:eastAsia="Arial" w:hAnsi="Arial"/>
                <w:sz w:val="18"/>
                <w:szCs w:val="18"/>
                <w:color w:val="auto"/>
                <w:w w:val="94"/>
              </w:rPr>
              <w:t>The expense recognized for employee services received during the year is shown in the following table:</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(in thousands)</w:t>
            </w:r>
          </w:p>
        </w:tc>
        <w:tc>
          <w:tcPr>
            <w:tcW w:w="6520" w:type="dxa"/>
            <w:vAlign w:val="bottom"/>
          </w:tcPr>
          <w:p>
            <w:pPr>
              <w:spacing w:after="0"/>
              <w:rPr>
                <w:sz w:val="24"/>
                <w:szCs w:val="24"/>
                <w:color w:val="auto"/>
              </w:rPr>
            </w:pPr>
          </w:p>
        </w:tc>
        <w:tc>
          <w:tcPr>
            <w:tcW w:w="820" w:type="dxa"/>
            <w:vAlign w:val="bottom"/>
            <w:gridSpan w:val="2"/>
          </w:tcPr>
          <w:p>
            <w:pPr>
              <w:jc w:val="center"/>
              <w:ind w:left="239"/>
              <w:spacing w:after="0"/>
              <w:rPr>
                <w:sz w:val="20"/>
                <w:szCs w:val="20"/>
                <w:color w:val="auto"/>
              </w:rPr>
            </w:pPr>
            <w:r>
              <w:rPr>
                <w:rFonts w:ascii="Arial" w:cs="Arial" w:eastAsia="Arial" w:hAnsi="Arial"/>
                <w:sz w:val="14"/>
                <w:szCs w:val="14"/>
                <w:b w:val="1"/>
                <w:bCs w:val="1"/>
                <w:color w:val="auto"/>
                <w:w w:val="96"/>
              </w:rPr>
              <w:t>2018</w:t>
            </w:r>
          </w:p>
        </w:tc>
        <w:tc>
          <w:tcPr>
            <w:tcW w:w="10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Expense arising from equity-settled share-based payment transactions</w:t>
            </w: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90"/>
              </w:rPr>
              <w:t>€7,641</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€5,909</w:t>
            </w: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Expense arising from cash-settled share-based payment transactions</w:t>
            </w:r>
          </w:p>
        </w:tc>
        <w:tc>
          <w:tcPr>
            <w:tcW w:w="32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6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shd w:val="clear" w:color="auto" w:fill="CCEEFF"/>
          </w:tcPr>
          <w:p>
            <w:pPr>
              <w:jc w:val="center"/>
              <w:ind w:left="239"/>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7,641</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9,087</w:t>
            </w: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expenses were recognized in the statement of operations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thousands)</w:t>
            </w:r>
          </w:p>
        </w:tc>
        <w:tc>
          <w:tcPr>
            <w:tcW w:w="38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6"/>
                <w:szCs w:val="16"/>
                <w:color w:val="auto"/>
              </w:rPr>
            </w:pPr>
          </w:p>
        </w:tc>
      </w:tr>
      <w:tr>
        <w:trPr>
          <w:trHeight w:val="203"/>
        </w:trPr>
        <w:tc>
          <w:tcPr>
            <w:tcW w:w="4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6,786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5,567</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3,498</w:t>
            </w:r>
          </w:p>
        </w:tc>
      </w:tr>
      <w:tr>
        <w:trPr>
          <w:trHeight w:val="27"/>
        </w:trPr>
        <w:tc>
          <w:tcPr>
            <w:tcW w:w="8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7,641</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8"/>
              </w:rPr>
              <w:t>9,087</w:t>
            </w:r>
          </w:p>
        </w:tc>
      </w:tr>
      <w:tr>
        <w:trPr>
          <w:trHeight w:val="20"/>
        </w:trPr>
        <w:tc>
          <w:tcPr>
            <w:tcW w:w="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cancellations or modifications to the awards in 2018 or 2017.</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0900"/>
          </w:cols>
          <w:pgMar w:left="320" w:top="459" w:right="67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Net settlement feature for withholding tax obligation</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Under the agreement, BioNTech must withhold an amount for an employee’s tax obligation associated with the share-based payment and transfer that amount in cash to the tax authority on the employee’s behalf. BioNTech does not withhold shares in order to settle the employee’s tax obligations. The Group withheld an amount of k€7,761 that was paid to the taxation authority in relation to the SARs in 2018.</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17</w:t>
            </w:r>
          </w:p>
        </w:tc>
        <w:tc>
          <w:tcPr>
            <w:tcW w:w="452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liabilities</w:t>
            </w:r>
          </w:p>
        </w:tc>
        <w:tc>
          <w:tcPr>
            <w:tcW w:w="2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As at 1</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60" w:type="dxa"/>
            <w:vAlign w:val="bottom"/>
            <w:vMerge w:val="restart"/>
          </w:tcPr>
          <w:p>
            <w:pPr>
              <w:spacing w:after="0"/>
              <w:rPr>
                <w:sz w:val="12"/>
                <w:szCs w:val="12"/>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3220" w:type="dxa"/>
            <w:vAlign w:val="bottom"/>
            <w:vMerge w:val="restart"/>
          </w:tcPr>
          <w:p>
            <w:pPr>
              <w:spacing w:after="0"/>
              <w:rPr>
                <w:sz w:val="12"/>
                <w:szCs w:val="12"/>
                <w:color w:val="auto"/>
              </w:rPr>
            </w:pPr>
          </w:p>
        </w:tc>
        <w:tc>
          <w:tcPr>
            <w:tcW w:w="304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10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1080" w:type="dxa"/>
            <w:vAlign w:val="bottom"/>
            <w:gridSpan w:val="3"/>
          </w:tcPr>
          <w:p>
            <w:pPr>
              <w:jc w:val="center"/>
              <w:ind w:left="362"/>
              <w:spacing w:after="0" w:line="149" w:lineRule="exact"/>
              <w:rPr>
                <w:sz w:val="20"/>
                <w:szCs w:val="20"/>
                <w:color w:val="auto"/>
              </w:rPr>
            </w:pPr>
            <w:r>
              <w:rPr>
                <w:rFonts w:ascii="Arial" w:cs="Arial" w:eastAsia="Arial" w:hAnsi="Arial"/>
                <w:sz w:val="14"/>
                <w:szCs w:val="14"/>
                <w:b w:val="1"/>
                <w:bCs w:val="1"/>
                <w:color w:val="auto"/>
                <w:w w:val="96"/>
              </w:rPr>
              <w:t>January</w:t>
            </w: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30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20" w:type="dxa"/>
            <w:vAlign w:val="bottom"/>
            <w:gridSpan w:val="2"/>
          </w:tcPr>
          <w:p>
            <w:pPr>
              <w:jc w:val="center"/>
              <w:ind w:left="422"/>
              <w:spacing w:after="0" w:line="158"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Liabilities employees</w:t>
            </w:r>
          </w:p>
        </w:tc>
        <w:tc>
          <w:tcPr>
            <w:tcW w:w="2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€5,236</w:t>
            </w: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€19,277</w:t>
            </w:r>
          </w:p>
        </w:tc>
        <w:tc>
          <w:tcPr>
            <w:tcW w:w="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€2,919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w:t>
            </w:r>
          </w:p>
        </w:tc>
        <w:tc>
          <w:tcPr>
            <w:tcW w:w="5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9,100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24,771</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4,067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liabilities comprise accruals for outstanding invoices in the amount of k€3,739 (2017: k€1,383) and several other non-material positions.</w:t>
      </w:r>
    </w:p>
    <w:p>
      <w:pPr>
        <w:spacing w:after="0" w:line="3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18</w:t>
            </w:r>
          </w:p>
        </w:tc>
        <w:tc>
          <w:tcPr>
            <w:tcW w:w="6600" w:type="dxa"/>
            <w:vAlign w:val="bottom"/>
            <w:gridSpan w:val="3"/>
          </w:tcPr>
          <w:p>
            <w:pPr>
              <w:ind w:left="260"/>
              <w:spacing w:after="0"/>
              <w:rPr>
                <w:sz w:val="20"/>
                <w:szCs w:val="20"/>
                <w:color w:val="auto"/>
              </w:rPr>
            </w:pPr>
            <w:r>
              <w:rPr>
                <w:rFonts w:ascii="Arial" w:cs="Arial" w:eastAsia="Arial" w:hAnsi="Arial"/>
                <w:sz w:val="18"/>
                <w:szCs w:val="18"/>
                <w:b w:val="1"/>
                <w:bCs w:val="1"/>
                <w:color w:val="auto"/>
              </w:rPr>
              <w:t>Leases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0"/>
                <w:szCs w:val="20"/>
                <w:color w:val="auto"/>
              </w:rPr>
            </w:pPr>
            <w:r>
              <w:rPr>
                <w:rFonts w:ascii="Arial" w:cs="Arial" w:eastAsia="Arial" w:hAnsi="Arial"/>
                <w:sz w:val="18"/>
                <w:szCs w:val="18"/>
                <w:b w:val="1"/>
                <w:bCs w:val="1"/>
                <w:color w:val="auto"/>
              </w:rPr>
              <w:t>18.1</w:t>
            </w:r>
          </w:p>
        </w:tc>
        <w:tc>
          <w:tcPr>
            <w:tcW w:w="6600" w:type="dxa"/>
            <w:vAlign w:val="bottom"/>
            <w:gridSpan w:val="3"/>
          </w:tcPr>
          <w:p>
            <w:pPr>
              <w:ind w:left="260"/>
              <w:spacing w:after="0"/>
              <w:rPr>
                <w:sz w:val="20"/>
                <w:szCs w:val="20"/>
                <w:color w:val="auto"/>
              </w:rPr>
            </w:pPr>
            <w:r>
              <w:rPr>
                <w:rFonts w:ascii="Arial" w:cs="Arial" w:eastAsia="Arial" w:hAnsi="Arial"/>
                <w:sz w:val="18"/>
                <w:szCs w:val="18"/>
                <w:b w:val="1"/>
                <w:bCs w:val="1"/>
                <w:color w:val="auto"/>
              </w:rPr>
              <w:t>Amounts recognized in the balance sheet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6600" w:type="dxa"/>
            <w:vAlign w:val="bottom"/>
            <w:gridSpan w:val="3"/>
          </w:tcPr>
          <w:p>
            <w:pPr>
              <w:ind w:left="60"/>
              <w:spacing w:after="0"/>
              <w:rPr>
                <w:sz w:val="20"/>
                <w:szCs w:val="20"/>
                <w:color w:val="auto"/>
              </w:rPr>
            </w:pPr>
            <w:r>
              <w:rPr>
                <w:rFonts w:ascii="Arial" w:cs="Arial" w:eastAsia="Arial" w:hAnsi="Arial"/>
                <w:sz w:val="18"/>
                <w:szCs w:val="18"/>
                <w:color w:val="auto"/>
                <w:w w:val="91"/>
              </w:rPr>
              <w:t>The following amounts relate to leases and are included in Property, plant and equipment.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4"/>
          </w:tcPr>
          <w:p>
            <w:pPr>
              <w:spacing w:after="0"/>
              <w:rPr>
                <w:sz w:val="20"/>
                <w:szCs w:val="20"/>
                <w:color w:val="auto"/>
              </w:rPr>
            </w:pPr>
            <w:r>
              <w:rPr>
                <w:rFonts w:ascii="Arial" w:cs="Arial" w:eastAsia="Arial" w:hAnsi="Arial"/>
                <w:sz w:val="18"/>
                <w:szCs w:val="18"/>
                <w:b w:val="1"/>
                <w:bCs w:val="1"/>
                <w:color w:val="auto"/>
              </w:rPr>
              <w:t>Right-of-use assets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0" w:type="dxa"/>
            <w:vAlign w:val="bottom"/>
          </w:tcPr>
          <w:p>
            <w:pPr>
              <w:spacing w:after="0"/>
              <w:rPr>
                <w:sz w:val="24"/>
                <w:szCs w:val="24"/>
                <w:color w:val="auto"/>
              </w:rPr>
            </w:pPr>
          </w:p>
        </w:tc>
        <w:tc>
          <w:tcPr>
            <w:tcW w:w="50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260" w:type="dxa"/>
            <w:vAlign w:val="bottom"/>
            <w:vMerge w:val="restart"/>
          </w:tcPr>
          <w:p>
            <w:pPr>
              <w:spacing w:after="0"/>
              <w:rPr>
                <w:sz w:val="24"/>
                <w:szCs w:val="24"/>
                <w:color w:val="auto"/>
              </w:rPr>
            </w:pPr>
          </w:p>
        </w:tc>
        <w:tc>
          <w:tcPr>
            <w:tcW w:w="7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128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4"/>
              </w:rPr>
              <w:t>1 January</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20" w:type="dxa"/>
            <w:vAlign w:val="bottom"/>
            <w:gridSpan w:val="2"/>
          </w:tcPr>
          <w:p>
            <w:pPr>
              <w:jc w:val="center"/>
              <w:ind w:left="500"/>
              <w:spacing w:after="0" w:line="158"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€49,718</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51,772</w:t>
            </w:r>
          </w:p>
        </w:tc>
        <w:tc>
          <w:tcPr>
            <w:tcW w:w="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€ 27,870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6600" w:type="dxa"/>
            <w:vAlign w:val="bottom"/>
            <w:gridSpan w:val="3"/>
          </w:tcPr>
          <w:p>
            <w:pPr>
              <w:ind w:left="5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€49,766</w:t>
            </w:r>
          </w:p>
        </w:tc>
        <w:tc>
          <w:tcPr>
            <w:tcW w:w="6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51,915</w:t>
            </w:r>
          </w:p>
        </w:tc>
        <w:tc>
          <w:tcPr>
            <w:tcW w:w="6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€ 28,132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80" w:type="dxa"/>
            <w:vAlign w:val="bottom"/>
          </w:tcPr>
          <w:p>
            <w:pPr>
              <w:spacing w:after="0"/>
              <w:rPr>
                <w:sz w:val="24"/>
                <w:szCs w:val="24"/>
                <w:color w:val="auto"/>
              </w:rPr>
            </w:pPr>
          </w:p>
        </w:tc>
        <w:tc>
          <w:tcPr>
            <w:tcW w:w="6600" w:type="dxa"/>
            <w:vAlign w:val="bottom"/>
            <w:gridSpan w:val="3"/>
          </w:tcPr>
          <w:p>
            <w:pPr>
              <w:ind w:left="60"/>
              <w:spacing w:after="0"/>
              <w:rPr>
                <w:sz w:val="20"/>
                <w:szCs w:val="20"/>
                <w:color w:val="auto"/>
              </w:rPr>
            </w:pPr>
            <w:r>
              <w:rPr>
                <w:rFonts w:ascii="Arial" w:cs="Arial" w:eastAsia="Arial" w:hAnsi="Arial"/>
                <w:sz w:val="18"/>
                <w:szCs w:val="18"/>
                <w:color w:val="auto"/>
              </w:rPr>
              <w:t>The following amounts are included in other financial liabilities.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4"/>
          </w:tcPr>
          <w:p>
            <w:pPr>
              <w:spacing w:after="0"/>
              <w:rPr>
                <w:sz w:val="20"/>
                <w:szCs w:val="20"/>
                <w:color w:val="auto"/>
              </w:rPr>
            </w:pPr>
            <w:r>
              <w:rPr>
                <w:rFonts w:ascii="Arial" w:cs="Arial" w:eastAsia="Arial" w:hAnsi="Arial"/>
                <w:sz w:val="18"/>
                <w:szCs w:val="18"/>
                <w:b w:val="1"/>
                <w:bCs w:val="1"/>
                <w:color w:val="auto"/>
              </w:rPr>
              <w:t>Lease liability</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0" w:type="dxa"/>
            <w:vAlign w:val="bottom"/>
          </w:tcPr>
          <w:p>
            <w:pPr>
              <w:spacing w:after="0"/>
              <w:rPr>
                <w:sz w:val="24"/>
                <w:szCs w:val="24"/>
                <w:color w:val="auto"/>
              </w:rPr>
            </w:pPr>
          </w:p>
        </w:tc>
        <w:tc>
          <w:tcPr>
            <w:tcW w:w="50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260" w:type="dxa"/>
            <w:vAlign w:val="bottom"/>
            <w:vMerge w:val="restart"/>
          </w:tcPr>
          <w:p>
            <w:pPr>
              <w:spacing w:after="0"/>
              <w:rPr>
                <w:sz w:val="24"/>
                <w:szCs w:val="24"/>
                <w:color w:val="auto"/>
              </w:rPr>
            </w:pPr>
          </w:p>
        </w:tc>
        <w:tc>
          <w:tcPr>
            <w:tcW w:w="7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128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4"/>
              </w:rPr>
              <w:t>1 January</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20" w:type="dxa"/>
            <w:vAlign w:val="bottom"/>
            <w:gridSpan w:val="2"/>
          </w:tcPr>
          <w:p>
            <w:pPr>
              <w:jc w:val="center"/>
              <w:ind w:left="500"/>
              <w:spacing w:after="0" w:line="158"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€ 2,134</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1,832</w:t>
            </w:r>
          </w:p>
        </w:tc>
        <w:tc>
          <w:tcPr>
            <w:tcW w:w="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1,464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Non-current</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48,618</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50,349</w:t>
            </w:r>
          </w:p>
        </w:tc>
        <w:tc>
          <w:tcPr>
            <w:tcW w:w="6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50,752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52,182</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€ 28,132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Additions to the right-of-use assets during 2018 were k€723 (2017: k€25,662; as of January 1, 2017: k€28,132).</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20"/>
          </w:cols>
          <w:pgMar w:left="320" w:top="459" w:right="55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18.2</w:t>
            </w:r>
          </w:p>
        </w:tc>
        <w:tc>
          <w:tcPr>
            <w:tcW w:w="910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Amounts recognized in the statement of operations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9580" w:type="dxa"/>
            <w:vAlign w:val="bottom"/>
            <w:gridSpan w:val="3"/>
          </w:tcPr>
          <w:p>
            <w:pPr>
              <w:spacing w:after="0"/>
              <w:rPr>
                <w:sz w:val="20"/>
                <w:szCs w:val="20"/>
                <w:color w:val="auto"/>
              </w:rPr>
            </w:pPr>
            <w:r>
              <w:rPr>
                <w:rFonts w:ascii="Arial" w:cs="Arial" w:eastAsia="Arial" w:hAnsi="Arial"/>
                <w:sz w:val="18"/>
                <w:szCs w:val="18"/>
                <w:b w:val="1"/>
                <w:bCs w:val="1"/>
                <w:color w:val="auto"/>
              </w:rPr>
              <w:t>Depreciation charge of right-of-use assets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(in thousands)</w:t>
            </w:r>
          </w:p>
        </w:tc>
        <w:tc>
          <w:tcPr>
            <w:tcW w:w="876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4"/>
                <w:szCs w:val="24"/>
                <w:color w:val="auto"/>
              </w:rPr>
            </w:pPr>
          </w:p>
        </w:tc>
      </w:tr>
      <w:tr>
        <w:trPr>
          <w:trHeight w:val="203"/>
        </w:trPr>
        <w:tc>
          <w:tcPr>
            <w:tcW w:w="95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€2,751</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€1,759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580" w:type="dxa"/>
            <w:vAlign w:val="bottom"/>
            <w:gridSpan w:val="3"/>
          </w:tcPr>
          <w:p>
            <w:pPr>
              <w:spacing w:after="0"/>
              <w:rPr>
                <w:sz w:val="20"/>
                <w:szCs w:val="20"/>
                <w:color w:val="auto"/>
              </w:rPr>
            </w:pPr>
            <w:r>
              <w:rPr>
                <w:rFonts w:ascii="Arial" w:cs="Arial" w:eastAsia="Arial" w:hAnsi="Arial"/>
                <w:sz w:val="18"/>
                <w:szCs w:val="18"/>
                <w:color w:val="auto"/>
              </w:rPr>
              <w:t>Equipment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Cars</w:t>
            </w:r>
          </w:p>
        </w:tc>
        <w:tc>
          <w:tcPr>
            <w:tcW w:w="34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30"/>
        </w:trPr>
        <w:tc>
          <w:tcPr>
            <w:tcW w:w="9580" w:type="dxa"/>
            <w:vAlign w:val="bottom"/>
            <w:gridSpan w:val="3"/>
          </w:tcPr>
          <w:p>
            <w:pPr>
              <w:spacing w:after="0"/>
              <w:rPr>
                <w:sz w:val="20"/>
                <w:szCs w:val="20"/>
                <w:color w:val="auto"/>
              </w:rPr>
            </w:pPr>
            <w:r>
              <w:rPr>
                <w:rFonts w:ascii="Arial" w:cs="Arial" w:eastAsia="Arial" w:hAnsi="Arial"/>
                <w:sz w:val="18"/>
                <w:szCs w:val="18"/>
                <w:b w:val="1"/>
                <w:bCs w:val="1"/>
                <w:color w:val="auto"/>
              </w:rPr>
              <w:t>Total depreciation charge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2,846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1,909</w:t>
            </w:r>
          </w:p>
        </w:tc>
        <w:tc>
          <w:tcPr>
            <w:tcW w:w="60" w:type="dxa"/>
            <w:vAlign w:val="bottom"/>
          </w:tcPr>
          <w:p>
            <w:pPr>
              <w:spacing w:after="0"/>
              <w:rPr>
                <w:sz w:val="20"/>
                <w:szCs w:val="20"/>
                <w:color w:val="auto"/>
              </w:rPr>
            </w:pPr>
          </w:p>
        </w:tc>
      </w:tr>
      <w:tr>
        <w:trPr>
          <w:trHeight w:val="216"/>
        </w:trPr>
        <w:tc>
          <w:tcPr>
            <w:tcW w:w="9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676</w:t>
            </w:r>
          </w:p>
        </w:tc>
      </w:tr>
      <w:tr>
        <w:trPr>
          <w:trHeight w:val="216"/>
        </w:trPr>
        <w:tc>
          <w:tcPr>
            <w:tcW w:w="9580" w:type="dxa"/>
            <w:vAlign w:val="bottom"/>
            <w:gridSpan w:val="3"/>
          </w:tcPr>
          <w:p>
            <w:pPr>
              <w:spacing w:after="0"/>
              <w:rPr>
                <w:sz w:val="20"/>
                <w:szCs w:val="20"/>
                <w:color w:val="auto"/>
              </w:rPr>
            </w:pPr>
            <w:r>
              <w:rPr>
                <w:rFonts w:ascii="Arial" w:cs="Arial" w:eastAsia="Arial" w:hAnsi="Arial"/>
                <w:sz w:val="18"/>
                <w:szCs w:val="18"/>
                <w:color w:val="auto"/>
              </w:rPr>
              <w:t>Expense related to short-term leases (included in other expenses)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442</w:t>
            </w:r>
          </w:p>
        </w:tc>
      </w:tr>
      <w:tr>
        <w:trPr>
          <w:trHeight w:val="216"/>
        </w:trPr>
        <w:tc>
          <w:tcPr>
            <w:tcW w:w="9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 relating to leases of low-value assets that are not short-term leases (included in other expenses)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23"/>
        </w:trPr>
        <w:tc>
          <w:tcPr>
            <w:tcW w:w="9580" w:type="dxa"/>
            <w:vAlign w:val="bottom"/>
            <w:gridSpan w:val="3"/>
          </w:tcPr>
          <w:p>
            <w:pPr>
              <w:spacing w:after="0"/>
              <w:rPr>
                <w:sz w:val="20"/>
                <w:szCs w:val="20"/>
                <w:color w:val="auto"/>
              </w:rPr>
            </w:pPr>
            <w:r>
              <w:rPr>
                <w:rFonts w:ascii="Arial" w:cs="Arial" w:eastAsia="Arial" w:hAnsi="Arial"/>
                <w:sz w:val="18"/>
                <w:szCs w:val="18"/>
                <w:b w:val="1"/>
                <w:bCs w:val="1"/>
                <w:color w:val="auto"/>
              </w:rPr>
              <w:t>Total amounts recognised in statement of operations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5,088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3,121</w:t>
            </w:r>
          </w:p>
        </w:tc>
        <w:tc>
          <w:tcPr>
            <w:tcW w:w="6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cash outflow for leases in 2018 amounted to k€3,847 (2017: k€2,319).</w:t>
      </w:r>
    </w:p>
    <w:p>
      <w:pPr>
        <w:spacing w:after="0" w:line="37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BioNTech develops individualized treatments for cancer patients and improved therapeutics to treat infectious and rare diseases. This activity, together with research and development activities, forms the core of the company. External services provide the interface where medical products are sold to third parties.</w:t>
      </w:r>
    </w:p>
    <w:p>
      <w:pPr>
        <w:spacing w:after="0" w:line="184"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BioNTech’s business is managed in two business units, the biotech business unit and the external services business unit. The biotech business unit is comprised of three operation segments, which are individually monitored by the Chief Operating Decision Maker (CODM). Four operating segments have been identified in accordance with IFRS 8. No aggregation of operating segments was performed.</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Resource allocation and performance assessment is performed at the level of the Management Board. The Management Board members are jointly responsible for the management and strategic decision making. Consequently, the Management Board has been identified as the CODM. BioNTech’s business consist of the following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142875</wp:posOffset>
            </wp:positionV>
            <wp:extent cx="1688465" cy="16459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68846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right="220" w:hanging="224"/>
        <w:spacing w:after="0" w:line="277" w:lineRule="auto"/>
        <w:tabs>
          <w:tab w:leader="none" w:pos="3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Business Service bundles the Group’s central functions. In line with IFRS 8.6, Business Services is not an operating segment but the information is separately disclosed</w:t>
      </w:r>
    </w:p>
    <w:p>
      <w:pPr>
        <w:spacing w:after="0" w:line="170"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Research and Development activities form the Biotech Business Unit and are divided in the segments Clinical, Technology Platform and Manufacturing.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Clinical</w:t>
      </w:r>
      <w:r>
        <w:rPr>
          <w:rFonts w:ascii="Arial" w:cs="Arial" w:eastAsia="Arial" w:hAnsi="Arial"/>
          <w:sz w:val="18"/>
          <w:szCs w:val="18"/>
          <w:color w:val="auto"/>
        </w:rPr>
        <w:t xml:space="preserve"> segment subsumes all development activities relating to clinical programs. Clinical studies include testing the product candidates on humans. Clinical trials are an essential part of the development and licensing of the medicinal products and are performed before the respective product can be placed on the market. BioNTech is actively engaged in many collaborations and licensing deals with reputable pharmaceutical companies and academic partners.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Arial" w:cs="Arial" w:eastAsia="Arial" w:hAnsi="Arial"/>
          <w:sz w:val="18"/>
          <w:szCs w:val="18"/>
          <w:b w:val="1"/>
          <w:bCs w:val="1"/>
          <w:color w:val="auto"/>
        </w:rPr>
        <w:t xml:space="preserve">Technology Platform </w:t>
      </w:r>
      <w:r>
        <w:rPr>
          <w:rFonts w:ascii="Arial" w:cs="Arial" w:eastAsia="Arial" w:hAnsi="Arial"/>
          <w:sz w:val="18"/>
          <w:szCs w:val="18"/>
          <w:color w:val="auto"/>
        </w:rPr>
        <w:t>contains all development activities relating to preclinical programs. Preclinical development is the stage of research that</w:t>
      </w:r>
      <w:r>
        <w:rPr>
          <w:rFonts w:ascii="Arial" w:cs="Arial" w:eastAsia="Arial" w:hAnsi="Arial"/>
          <w:sz w:val="18"/>
          <w:szCs w:val="18"/>
          <w:b w:val="1"/>
          <w:bCs w:val="1"/>
          <w:color w:val="auto"/>
        </w:rPr>
        <w:t xml:space="preserve"> </w:t>
      </w:r>
      <w:r>
        <w:rPr>
          <w:rFonts w:ascii="Arial" w:cs="Arial" w:eastAsia="Arial" w:hAnsi="Arial"/>
          <w:sz w:val="18"/>
          <w:szCs w:val="18"/>
          <w:color w:val="auto"/>
        </w:rPr>
        <w:t>begins before clinical trials. It is performed to determine the desired pharmacological effects and to identify any unwanted effects that may cause adverse reactions during human exposure.</w:t>
      </w:r>
    </w:p>
    <w:p>
      <w:pPr>
        <w:spacing w:after="0" w:line="176"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is an essential part of the research and development process as it comprises the manufacturing unit of mRNA and engineered cell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therapies. All the medical substances and tools that form the basis for the research studies performed at BioNTech are manufactured in this segment, </w:t>
      </w:r>
      <w:r>
        <w:rPr>
          <w:rFonts w:ascii="Arial" w:cs="Arial" w:eastAsia="Arial" w:hAnsi="Arial"/>
          <w:sz w:val="18"/>
          <w:szCs w:val="18"/>
          <w:i w:val="1"/>
          <w:iCs w:val="1"/>
          <w:color w:val="auto"/>
        </w:rPr>
        <w:t>(i.e.</w:t>
      </w:r>
      <w:r>
        <w:rPr>
          <w:rFonts w:ascii="Arial" w:cs="Arial" w:eastAsia="Arial" w:hAnsi="Arial"/>
          <w:sz w:val="18"/>
          <w:szCs w:val="18"/>
          <w:color w:val="auto"/>
        </w:rPr>
        <w:t>, the Manufacturing segment contains only internally produced substances and tools).</w:t>
      </w:r>
    </w:p>
    <w:p>
      <w:pPr>
        <w:spacing w:after="0" w:line="176" w:lineRule="exact"/>
        <w:rPr>
          <w:sz w:val="20"/>
          <w:szCs w:val="20"/>
          <w:color w:val="auto"/>
        </w:rPr>
      </w:pPr>
    </w:p>
    <w:p>
      <w:pPr>
        <w:jc w:val="both"/>
        <w:ind w:left="120" w:right="80" w:firstLine="440"/>
        <w:spacing w:after="0" w:line="261" w:lineRule="auto"/>
        <w:rPr>
          <w:sz w:val="20"/>
          <w:szCs w:val="20"/>
          <w:color w:val="auto"/>
        </w:rPr>
      </w:pPr>
      <w:r>
        <w:rPr>
          <w:rFonts w:ascii="Arial" w:cs="Arial" w:eastAsia="Arial" w:hAnsi="Arial"/>
          <w:sz w:val="18"/>
          <w:szCs w:val="18"/>
          <w:b w:val="1"/>
          <w:bCs w:val="1"/>
          <w:color w:val="auto"/>
        </w:rPr>
        <w:t xml:space="preserve">Product Sales &amp; External Services </w:t>
      </w:r>
      <w:r>
        <w:rPr>
          <w:rFonts w:ascii="Arial" w:cs="Arial" w:eastAsia="Arial" w:hAnsi="Arial"/>
          <w:sz w:val="18"/>
          <w:szCs w:val="18"/>
          <w:color w:val="auto"/>
        </w:rPr>
        <w:t>comprises the legal entities JPT Peptide Technology GmbH and Innovative Manufacturing Services GmbH</w:t>
      </w:r>
      <w:r>
        <w:rPr>
          <w:rFonts w:ascii="Arial" w:cs="Arial" w:eastAsia="Arial" w:hAnsi="Arial"/>
          <w:sz w:val="18"/>
          <w:szCs w:val="18"/>
          <w:b w:val="1"/>
          <w:bCs w:val="1"/>
          <w:color w:val="auto"/>
        </w:rPr>
        <w:t xml:space="preserve"> </w:t>
      </w:r>
      <w:r>
        <w:rPr>
          <w:rFonts w:ascii="Arial" w:cs="Arial" w:eastAsia="Arial" w:hAnsi="Arial"/>
          <w:sz w:val="18"/>
          <w:szCs w:val="18"/>
          <w:color w:val="auto"/>
        </w:rPr>
        <w:t>(IMFS), which form the interface to third parties. External services and medicinal products (</w:t>
      </w:r>
      <w:r>
        <w:rPr>
          <w:rFonts w:ascii="Arial" w:cs="Arial" w:eastAsia="Arial" w:hAnsi="Arial"/>
          <w:sz w:val="18"/>
          <w:szCs w:val="18"/>
          <w:i w:val="1"/>
          <w:iCs w:val="1"/>
          <w:color w:val="auto"/>
        </w:rPr>
        <w:t>e.g.</w:t>
      </w:r>
      <w:r>
        <w:rPr>
          <w:rFonts w:ascii="Arial" w:cs="Arial" w:eastAsia="Arial" w:hAnsi="Arial"/>
          <w:sz w:val="18"/>
          <w:szCs w:val="18"/>
          <w:color w:val="auto"/>
        </w:rPr>
        <w:t>, peptides and retroviral vectors) that are in the areas of molecular immunotherapies and biomarker-based diagnostic approaches for individualized treatment of cancer and other infectious diseases are sold to customers worldwide.</w:t>
      </w:r>
    </w:p>
    <w:p>
      <w:pPr>
        <w:spacing w:after="0" w:line="180"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Business Service </w:t>
      </w:r>
      <w:r>
        <w:rPr>
          <w:rFonts w:ascii="Arial" w:cs="Arial" w:eastAsia="Arial" w:hAnsi="Arial"/>
          <w:sz w:val="18"/>
          <w:szCs w:val="18"/>
          <w:color w:val="auto"/>
        </w:rPr>
        <w:t>contains the Group’s central administrative functions (</w:t>
      </w:r>
      <w:r>
        <w:rPr>
          <w:rFonts w:ascii="Arial" w:cs="Arial" w:eastAsia="Arial" w:hAnsi="Arial"/>
          <w:sz w:val="18"/>
          <w:szCs w:val="18"/>
          <w:i w:val="1"/>
          <w:iCs w:val="1"/>
          <w:color w:val="auto"/>
        </w:rPr>
        <w:t>e.g.</w:t>
      </w:r>
      <w:r>
        <w:rPr>
          <w:rFonts w:ascii="Arial" w:cs="Arial" w:eastAsia="Arial" w:hAnsi="Arial"/>
          <w:sz w:val="18"/>
          <w:szCs w:val="18"/>
          <w:color w:val="auto"/>
        </w:rPr>
        <w:t>, Finance, Procurement, Human Resources, Legal and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and overarching projects. Business Service does not fulfil the requirements for an operating segment according to IFRS 8, as it will never generate more than incidental revenues. However, financial information about Business Service is disclosed, as it contributes to the understanding of the company.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080"/>
          </w:cols>
          <w:pgMar w:left="320" w:top="459" w:right="49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reconciles segment figures to Group figures.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7"/>
              </w:rPr>
              <w:t>External</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11"/>
            <w:vMerge w:val="restart"/>
          </w:tcPr>
          <w:p>
            <w:pPr>
              <w:ind w:left="80"/>
              <w:spacing w:after="0"/>
              <w:rPr>
                <w:sz w:val="20"/>
                <w:szCs w:val="20"/>
                <w:color w:val="auto"/>
              </w:rPr>
            </w:pPr>
            <w:r>
              <w:rPr>
                <w:rFonts w:ascii="Arial" w:cs="Arial" w:eastAsia="Arial" w:hAnsi="Arial"/>
                <w:sz w:val="14"/>
                <w:szCs w:val="14"/>
                <w:b w:val="1"/>
                <w:bCs w:val="1"/>
                <w:color w:val="auto"/>
              </w:rPr>
              <w:t>Biotech Business Unit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11"/>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Unit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2460" w:type="dxa"/>
            <w:vAlign w:val="bottom"/>
            <w:vMerge w:val="restart"/>
          </w:tcPr>
          <w:p>
            <w:pPr>
              <w:spacing w:after="0"/>
              <w:rPr>
                <w:sz w:val="10"/>
                <w:szCs w:val="10"/>
                <w:color w:val="auto"/>
              </w:rPr>
            </w:pPr>
          </w:p>
        </w:tc>
        <w:tc>
          <w:tcPr>
            <w:tcW w:w="880" w:type="dxa"/>
            <w:vAlign w:val="bottom"/>
            <w:tcBorders>
              <w:top w:val="single" w:sz="8" w:color="auto"/>
            </w:tcBorders>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Clinical</w:t>
            </w: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6"/>
          </w:tcPr>
          <w:p>
            <w:pPr>
              <w:spacing w:after="0" w:line="119" w:lineRule="exact"/>
              <w:rPr>
                <w:sz w:val="20"/>
                <w:szCs w:val="20"/>
                <w:color w:val="auto"/>
              </w:rPr>
            </w:pPr>
            <w:r>
              <w:rPr>
                <w:rFonts w:ascii="Arial" w:cs="Arial" w:eastAsia="Arial" w:hAnsi="Arial"/>
                <w:sz w:val="13"/>
                <w:szCs w:val="13"/>
                <w:b w:val="1"/>
                <w:bCs w:val="1"/>
                <w:color w:val="auto"/>
              </w:rPr>
              <w:t>Technology</w:t>
            </w:r>
          </w:p>
        </w:tc>
        <w:tc>
          <w:tcPr>
            <w:tcW w:w="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6"/>
            <w:vMerge w:val="restart"/>
          </w:tcPr>
          <w:p>
            <w:pPr>
              <w:spacing w:after="0"/>
              <w:rPr>
                <w:sz w:val="20"/>
                <w:szCs w:val="20"/>
                <w:color w:val="auto"/>
              </w:rPr>
            </w:pPr>
            <w:r>
              <w:rPr>
                <w:rFonts w:ascii="Arial" w:cs="Arial" w:eastAsia="Arial" w:hAnsi="Arial"/>
                <w:sz w:val="14"/>
                <w:szCs w:val="14"/>
                <w:b w:val="1"/>
                <w:bCs w:val="1"/>
                <w:color w:val="auto"/>
              </w:rPr>
              <w:t>Manufacturing</w:t>
            </w:r>
          </w:p>
        </w:tc>
        <w:tc>
          <w:tcPr>
            <w:tcW w:w="6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Business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External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88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6"/>
          </w:tcPr>
          <w:p>
            <w:pPr>
              <w:ind w:left="60"/>
              <w:spacing w:after="0" w:line="158" w:lineRule="exact"/>
              <w:rPr>
                <w:sz w:val="20"/>
                <w:szCs w:val="20"/>
                <w:color w:val="auto"/>
              </w:rPr>
            </w:pPr>
            <w:r>
              <w:rPr>
                <w:rFonts w:ascii="Arial" w:cs="Arial" w:eastAsia="Arial" w:hAnsi="Arial"/>
                <w:sz w:val="14"/>
                <w:szCs w:val="14"/>
                <w:b w:val="1"/>
                <w:bCs w:val="1"/>
                <w:color w:val="auto"/>
              </w:rPr>
              <w:t>Platform</w:t>
            </w:r>
          </w:p>
        </w:tc>
        <w:tc>
          <w:tcPr>
            <w:tcW w:w="20" w:type="dxa"/>
            <w:vAlign w:val="bottom"/>
          </w:tcPr>
          <w:p>
            <w:pPr>
              <w:spacing w:after="0"/>
              <w:rPr>
                <w:sz w:val="15"/>
                <w:szCs w:val="15"/>
                <w:color w:val="auto"/>
              </w:rPr>
            </w:pPr>
          </w:p>
        </w:tc>
        <w:tc>
          <w:tcPr>
            <w:tcW w:w="118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w w:val="88"/>
              </w:rPr>
              <w:t>Service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6"/>
          </w:tcPr>
          <w:p>
            <w:pPr>
              <w:jc w:val="center"/>
              <w:ind w:right="240"/>
              <w:spacing w:after="0" w:line="158" w:lineRule="exact"/>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December 31, 2018</w:t>
            </w:r>
          </w:p>
        </w:tc>
        <w:tc>
          <w:tcPr>
            <w:tcW w:w="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36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Collaboration Revenue</w:t>
            </w:r>
          </w:p>
        </w:tc>
        <w:tc>
          <w:tcPr>
            <w:tcW w:w="8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4"/>
              </w:rPr>
              <w:t>€ 36,750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39,452</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89"/>
              </w:rPr>
              <w:t>€ 101,837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€ 101,837</w:t>
            </w:r>
          </w:p>
        </w:tc>
        <w:tc>
          <w:tcPr>
            <w:tcW w:w="0" w:type="dxa"/>
            <w:vAlign w:val="bottom"/>
          </w:tcPr>
          <w:p>
            <w:pPr>
              <w:spacing w:after="0"/>
              <w:rPr>
                <w:sz w:val="1"/>
                <w:szCs w:val="1"/>
                <w:color w:val="auto"/>
              </w:rPr>
            </w:pPr>
          </w:p>
        </w:tc>
      </w:tr>
      <w:tr>
        <w:trPr>
          <w:trHeight w:val="202"/>
        </w:trPr>
        <w:tc>
          <w:tcPr>
            <w:tcW w:w="32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Revenues from other sales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540"/>
              <w:spacing w:after="0"/>
              <w:rPr>
                <w:sz w:val="20"/>
                <w:szCs w:val="20"/>
                <w:color w:val="auto"/>
              </w:rPr>
            </w:pPr>
            <w:r>
              <w:rPr>
                <w:rFonts w:ascii="Arial" w:cs="Arial" w:eastAsia="Arial" w:hAnsi="Arial"/>
                <w:sz w:val="18"/>
                <w:szCs w:val="18"/>
                <w:color w:val="auto"/>
              </w:rPr>
              <w:t>transactions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6,783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18,914</w:t>
            </w:r>
          </w:p>
        </w:tc>
        <w:tc>
          <w:tcPr>
            <w:tcW w:w="8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25,738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(13,358)</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(13,690)</w:t>
            </w:r>
          </w:p>
        </w:tc>
        <w:tc>
          <w:tcPr>
            <w:tcW w:w="0" w:type="dxa"/>
            <w:vAlign w:val="bottom"/>
          </w:tcPr>
          <w:p>
            <w:pPr>
              <w:spacing w:after="0"/>
              <w:rPr>
                <w:sz w:val="1"/>
                <w:szCs w:val="1"/>
                <w:color w:val="auto"/>
              </w:rPr>
            </w:pPr>
          </w:p>
        </w:tc>
      </w:tr>
      <w:tr>
        <w:trPr>
          <w:trHeight w:val="230"/>
        </w:trPr>
        <w:tc>
          <w:tcPr>
            <w:tcW w:w="3280" w:type="dxa"/>
            <w:vAlign w:val="bottom"/>
            <w:gridSpan w:val="2"/>
          </w:tcPr>
          <w:p>
            <w:pPr>
              <w:ind w:left="360"/>
              <w:spacing w:after="0"/>
              <w:rPr>
                <w:sz w:val="20"/>
                <w:szCs w:val="20"/>
                <w:color w:val="auto"/>
              </w:rPr>
            </w:pPr>
            <w:r>
              <w:rPr>
                <w:rFonts w:ascii="Arial" w:cs="Arial" w:eastAsia="Arial" w:hAnsi="Arial"/>
                <w:sz w:val="18"/>
                <w:szCs w:val="18"/>
                <w:b w:val="1"/>
                <w:bCs w:val="1"/>
                <w:color w:val="auto"/>
              </w:rPr>
              <w:t>Gross Profit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€ 36,750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46,235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25,635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5,556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€ 114,177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€ 113,885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expenses</w:t>
            </w: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(48,641)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2"/>
              </w:rPr>
              <w:t>(60,320)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(31,508)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(884)</w:t>
            </w: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(143,332)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(143,040)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720"/>
              <w:spacing w:after="0"/>
              <w:rPr>
                <w:sz w:val="20"/>
                <w:szCs w:val="20"/>
                <w:color w:val="auto"/>
              </w:rPr>
            </w:pPr>
            <w:r>
              <w:rPr>
                <w:rFonts w:ascii="Arial" w:cs="Arial" w:eastAsia="Arial" w:hAnsi="Arial"/>
                <w:sz w:val="18"/>
                <w:szCs w:val="18"/>
                <w:color w:val="auto"/>
              </w:rPr>
              <w:t>Sales and marketing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(935)</w:t>
            </w:r>
          </w:p>
        </w:tc>
        <w:tc>
          <w:tcPr>
            <w:tcW w:w="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(3,041)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(21,233)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(2,542)</w:t>
            </w: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(26,334)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(26,334)</w:t>
            </w:r>
          </w:p>
        </w:tc>
        <w:tc>
          <w:tcPr>
            <w:tcW w:w="0" w:type="dxa"/>
            <w:vAlign w:val="bottom"/>
          </w:tcPr>
          <w:p>
            <w:pPr>
              <w:spacing w:after="0"/>
              <w:rPr>
                <w:sz w:val="1"/>
                <w:szCs w:val="1"/>
                <w:color w:val="auto"/>
              </w:rPr>
            </w:pPr>
          </w:p>
        </w:tc>
      </w:tr>
      <w:tr>
        <w:trPr>
          <w:trHeight w:val="216"/>
        </w:trPr>
        <w:tc>
          <w:tcPr>
            <w:tcW w:w="3280" w:type="dxa"/>
            <w:vAlign w:val="bottom"/>
            <w:gridSpan w:val="2"/>
          </w:tcPr>
          <w:p>
            <w:pPr>
              <w:ind w:left="720"/>
              <w:spacing w:after="0"/>
              <w:rPr>
                <w:sz w:val="20"/>
                <w:szCs w:val="20"/>
                <w:color w:val="auto"/>
              </w:rPr>
            </w:pPr>
            <w:r>
              <w:rPr>
                <w:rFonts w:ascii="Arial" w:cs="Arial" w:eastAsia="Arial" w:hAnsi="Arial"/>
                <w:sz w:val="18"/>
                <w:szCs w:val="18"/>
                <w:color w:val="auto"/>
              </w:rPr>
              <w:t>Other result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3,772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Segment operating profit/loss</w:t>
            </w: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 (8,119)</w:t>
            </w:r>
          </w:p>
        </w:tc>
        <w:tc>
          <w:tcPr>
            <w:tcW w:w="96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 (13,908)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(8,401)</w:t>
            </w:r>
          </w:p>
        </w:tc>
        <w:tc>
          <w:tcPr>
            <w:tcW w:w="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(25,231)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1,753</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5"/>
              </w:rPr>
              <w:t>€ (53,906)</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(53,854)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External</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10"/>
            <w:vMerge w:val="restart"/>
          </w:tcPr>
          <w:p>
            <w:pPr>
              <w:ind w:left="200"/>
              <w:spacing w:after="0"/>
              <w:rPr>
                <w:sz w:val="20"/>
                <w:szCs w:val="20"/>
                <w:color w:val="auto"/>
              </w:rPr>
            </w:pPr>
            <w:r>
              <w:rPr>
                <w:rFonts w:ascii="Arial" w:cs="Arial" w:eastAsia="Arial" w:hAnsi="Arial"/>
                <w:sz w:val="14"/>
                <w:szCs w:val="14"/>
                <w:b w:val="1"/>
                <w:bCs w:val="1"/>
                <w:color w:val="auto"/>
              </w:rPr>
              <w:t>Biotech Business Unit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Business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Unit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2"/>
              </w:rPr>
              <w:t>Clinical</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w w:val="95"/>
              </w:rPr>
              <w:t>Technology</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w w:val="97"/>
              </w:rPr>
              <w:t>Manufacturing</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Business</w:t>
            </w:r>
          </w:p>
        </w:tc>
        <w:tc>
          <w:tcPr>
            <w:tcW w:w="12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External</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ind w:left="80"/>
              <w:spacing w:after="0"/>
              <w:rPr>
                <w:sz w:val="20"/>
                <w:szCs w:val="20"/>
                <w:color w:val="auto"/>
              </w:rPr>
            </w:pPr>
            <w:r>
              <w:rPr>
                <w:rFonts w:ascii="Arial" w:cs="Arial" w:eastAsia="Arial" w:hAnsi="Arial"/>
                <w:sz w:val="14"/>
                <w:szCs w:val="14"/>
                <w:b w:val="1"/>
                <w:bCs w:val="1"/>
                <w:color w:val="auto"/>
              </w:rPr>
              <w:t>Platform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Service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36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1"/>
              </w:rPr>
              <w:t>€ 25,721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€ 42,333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€ 42,333</w:t>
            </w:r>
          </w:p>
        </w:tc>
        <w:tc>
          <w:tcPr>
            <w:tcW w:w="0" w:type="dxa"/>
            <w:vAlign w:val="bottom"/>
          </w:tcPr>
          <w:p>
            <w:pPr>
              <w:spacing w:after="0"/>
              <w:rPr>
                <w:sz w:val="1"/>
                <w:szCs w:val="1"/>
                <w:color w:val="auto"/>
              </w:rPr>
            </w:pPr>
          </w:p>
        </w:tc>
      </w:tr>
      <w:tr>
        <w:trPr>
          <w:trHeight w:val="216"/>
        </w:trPr>
        <w:tc>
          <w:tcPr>
            <w:tcW w:w="3280" w:type="dxa"/>
            <w:vAlign w:val="bottom"/>
            <w:gridSpan w:val="2"/>
          </w:tcPr>
          <w:p>
            <w:pPr>
              <w:ind w:left="360"/>
              <w:spacing w:after="0"/>
              <w:rPr>
                <w:sz w:val="20"/>
                <w:szCs w:val="20"/>
                <w:color w:val="auto"/>
              </w:rPr>
            </w:pPr>
            <w:r>
              <w:rPr>
                <w:rFonts w:ascii="Arial" w:cs="Arial" w:eastAsia="Arial" w:hAnsi="Arial"/>
                <w:sz w:val="18"/>
                <w:szCs w:val="18"/>
                <w:color w:val="auto"/>
                <w:w w:val="91"/>
              </w:rPr>
              <w:t>Revenues from other sales transactions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18,941</w:t>
            </w: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19,265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19,265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(9,318)</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(9,318)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30"/>
        </w:trPr>
        <w:tc>
          <w:tcPr>
            <w:tcW w:w="3280" w:type="dxa"/>
            <w:vAlign w:val="bottom"/>
            <w:gridSpan w:val="2"/>
          </w:tcPr>
          <w:p>
            <w:pPr>
              <w:ind w:left="36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€ 25,721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14,828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ind w:right="480"/>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9,623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€ 52,280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€ 52,280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5"/>
            <w:shd w:val="clear" w:color="auto" w:fill="CCEEFF"/>
          </w:tcPr>
          <w:p>
            <w:pPr>
              <w:jc w:val="right"/>
              <w:ind w:right="44"/>
              <w:spacing w:after="0"/>
              <w:rPr>
                <w:sz w:val="20"/>
                <w:szCs w:val="20"/>
                <w:color w:val="auto"/>
              </w:rPr>
            </w:pPr>
            <w:r>
              <w:rPr>
                <w:rFonts w:ascii="Arial" w:cs="Arial" w:eastAsia="Arial" w:hAnsi="Arial"/>
                <w:sz w:val="18"/>
                <w:szCs w:val="18"/>
                <w:color w:val="auto"/>
                <w:w w:val="92"/>
              </w:rPr>
              <w:t>(25,099)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5"/>
            <w:shd w:val="clear" w:color="auto" w:fill="CCEEFF"/>
          </w:tcPr>
          <w:p>
            <w:pPr>
              <w:jc w:val="right"/>
              <w:ind w:right="59"/>
              <w:spacing w:after="0"/>
              <w:rPr>
                <w:sz w:val="20"/>
                <w:szCs w:val="20"/>
                <w:color w:val="auto"/>
              </w:rPr>
            </w:pPr>
            <w:r>
              <w:rPr>
                <w:rFonts w:ascii="Arial" w:cs="Arial" w:eastAsia="Arial" w:hAnsi="Arial"/>
                <w:sz w:val="18"/>
                <w:szCs w:val="18"/>
                <w:color w:val="auto"/>
                <w:w w:val="98"/>
              </w:rPr>
              <w:t>(37,019)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(1,912)</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(85,496)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(85,496)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720"/>
              <w:spacing w:after="0"/>
              <w:rPr>
                <w:sz w:val="20"/>
                <w:szCs w:val="20"/>
                <w:color w:val="auto"/>
              </w:rPr>
            </w:pPr>
            <w:r>
              <w:rPr>
                <w:rFonts w:ascii="Arial" w:cs="Arial" w:eastAsia="Arial" w:hAnsi="Arial"/>
                <w:sz w:val="18"/>
                <w:szCs w:val="18"/>
                <w:color w:val="auto"/>
              </w:rPr>
              <w:t>Sales and marketing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(4,904)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(1,698)</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(6,603)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(20,309)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(2,427)</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(23,520)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720"/>
              <w:spacing w:after="0"/>
              <w:rPr>
                <w:sz w:val="20"/>
                <w:szCs w:val="20"/>
                <w:color w:val="auto"/>
              </w:rPr>
            </w:pPr>
            <w:r>
              <w:rPr>
                <w:rFonts w:ascii="Arial" w:cs="Arial" w:eastAsia="Arial" w:hAnsi="Arial"/>
                <w:sz w:val="18"/>
                <w:szCs w:val="18"/>
                <w:color w:val="auto"/>
              </w:rPr>
              <w:t>Other result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463</w:t>
            </w: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Segment operating profit/loss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5"/>
            <w:shd w:val="clear" w:color="auto" w:fill="CCEEFF"/>
          </w:tcPr>
          <w:p>
            <w:pPr>
              <w:jc w:val="right"/>
              <w:ind w:right="59"/>
              <w:spacing w:after="0"/>
              <w:rPr>
                <w:sz w:val="20"/>
                <w:szCs w:val="20"/>
                <w:color w:val="auto"/>
              </w:rPr>
            </w:pPr>
            <w:r>
              <w:rPr>
                <w:rFonts w:ascii="Arial" w:cs="Arial" w:eastAsia="Arial" w:hAnsi="Arial"/>
                <w:sz w:val="18"/>
                <w:szCs w:val="18"/>
                <w:b w:val="1"/>
                <w:bCs w:val="1"/>
                <w:color w:val="auto"/>
                <w:w w:val="98"/>
              </w:rPr>
              <w:t>(21,414)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(13,441)</w:t>
            </w:r>
          </w:p>
        </w:tc>
        <w:tc>
          <w:tcPr>
            <w:tcW w:w="1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(31,094)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4,049</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(61,277)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(61,277)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segments are managed based on external sales and operating profit/loss, which represents the operating profit earned by each segment.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Segment figures are reported consolidated, which reflects the way management steers the business.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BioNTech’s internal reporting is generally set up in accordance with IFRS and in line with the Group’s accounting policies, except for minor deviations in classification between cost of sales and research and development cost. Whenever revenues are attributable to different segments, these revenues are split based on the incurred cost. Internal overhead costs are allocated to segments based on revenues when they are directly attributable to a service rendered. Sales and marketing expenses, general and administrative expenses and the other result that are not directly attributable to one of the segments are allocated to Business Service.</w:t>
      </w:r>
    </w:p>
    <w:p>
      <w:pPr>
        <w:spacing w:after="0" w:line="18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To reconcile the segment figures to the Group’s financial statements in 2018, the presentation of k€292 of research and development cost was adjusted.</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Revenue at BioNTech can be differentiated between revenues resulting from collaboration and license agreements and revenues from other sales. The Company collaborates with reputable pharmaceutical and healthcare companies and several global academic collaborators. Revenues from other sales result from the sale of medical products (</w:t>
      </w:r>
      <w:r>
        <w:rPr>
          <w:rFonts w:ascii="Arial" w:cs="Arial" w:eastAsia="Arial" w:hAnsi="Arial"/>
          <w:sz w:val="18"/>
          <w:szCs w:val="18"/>
          <w:i w:val="1"/>
          <w:iCs w:val="1"/>
          <w:color w:val="auto"/>
        </w:rPr>
        <w:t>e.g.</w:t>
      </w:r>
      <w:r>
        <w:rPr>
          <w:rFonts w:ascii="Arial" w:cs="Arial" w:eastAsia="Arial" w:hAnsi="Arial"/>
          <w:sz w:val="18"/>
          <w:szCs w:val="18"/>
          <w:color w:val="auto"/>
        </w:rPr>
        <w:t>, peptides and retroviral vectors) for clinical supply. Research and development activities are managed on a worldwide basis but the operative manufacturing facilities and sales offices are located and managed in Germany. External sales are originated in Germany.</w:t>
      </w:r>
    </w:p>
    <w:p>
      <w:pPr>
        <w:spacing w:after="0" w:line="332"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Related party disclosures</w:t>
      </w:r>
    </w:p>
    <w:p>
      <w:pPr>
        <w:spacing w:after="0" w:line="131"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Parent and ultimate controlling party</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Members of the Strüngmann family wholly own AT Impf GmbH. Dr. Andreas Strüngmann and Dr. Thomas Strüngmann may be deemed to beneficially own any or all of these shares.</w:t>
      </w:r>
    </w:p>
    <w:p>
      <w:pPr>
        <w:spacing w:after="0" w:line="31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Transactions with key management personnel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management personnel compensation</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Key management personnel at BioNTech has been defined as the members of the Management Board and of the Supervisory Board. Key management personnel compensation is comprised of the following:</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Compensation of key management personnel</w:t>
            </w: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thousands)</w:t>
            </w:r>
          </w:p>
        </w:tc>
        <w:tc>
          <w:tcPr>
            <w:tcW w:w="4680" w:type="dxa"/>
            <w:vAlign w:val="bottom"/>
          </w:tcPr>
          <w:p>
            <w:pPr>
              <w:spacing w:after="0"/>
              <w:rPr>
                <w:sz w:val="16"/>
                <w:szCs w:val="16"/>
                <w:color w:val="auto"/>
              </w:rPr>
            </w:pPr>
          </w:p>
        </w:tc>
        <w:tc>
          <w:tcPr>
            <w:tcW w:w="17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6"/>
                <w:szCs w:val="16"/>
                <w:color w:val="auto"/>
              </w:rPr>
            </w:pPr>
          </w:p>
        </w:tc>
      </w:tr>
      <w:tr>
        <w:trPr>
          <w:trHeight w:val="203"/>
        </w:trPr>
        <w:tc>
          <w:tcPr>
            <w:tcW w:w="550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Short-term employee benefits</w:t>
            </w:r>
          </w:p>
        </w:tc>
        <w:tc>
          <w:tcPr>
            <w:tcW w:w="1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€1,161</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880</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6,163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1,855</w:t>
            </w:r>
          </w:p>
        </w:tc>
      </w:tr>
      <w:tr>
        <w:trPr>
          <w:trHeight w:val="27"/>
        </w:trPr>
        <w:tc>
          <w:tcPr>
            <w:tcW w:w="8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compensation paid to key management personnel</w:t>
            </w:r>
          </w:p>
        </w:tc>
        <w:tc>
          <w:tcPr>
            <w:tcW w:w="1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7,324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8"/>
              </w:rPr>
              <w:t>2,735</w:t>
            </w:r>
          </w:p>
        </w:tc>
      </w:tr>
      <w:tr>
        <w:trPr>
          <w:trHeight w:val="20"/>
        </w:trPr>
        <w:tc>
          <w:tcPr>
            <w:tcW w:w="8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Executive officers also participate in the Group’s ESOP and SAR program (see Note 16).</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management personnel transactions</w:t>
      </w:r>
    </w:p>
    <w:p>
      <w:pPr>
        <w:spacing w:after="0" w:line="121" w:lineRule="exact"/>
        <w:rPr>
          <w:sz w:val="20"/>
          <w:szCs w:val="20"/>
          <w:color w:val="auto"/>
        </w:rPr>
      </w:pPr>
    </w:p>
    <w:p>
      <w:pPr>
        <w:ind w:left="120" w:right="720" w:firstLine="440"/>
        <w:spacing w:after="0" w:line="342" w:lineRule="auto"/>
        <w:rPr>
          <w:sz w:val="20"/>
          <w:szCs w:val="20"/>
          <w:color w:val="auto"/>
        </w:rPr>
      </w:pPr>
      <w:r>
        <w:rPr>
          <w:rFonts w:ascii="Arial" w:cs="Arial" w:eastAsia="Arial" w:hAnsi="Arial"/>
          <w:sz w:val="16"/>
          <w:szCs w:val="16"/>
          <w:color w:val="auto"/>
        </w:rPr>
        <w:t>A number of key management personnel, or their related parties, hold positions in other companies that results in them having control or significant influence over these companies. A number of these companies have had transactions with the Group during the year.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Group purchases various goods and services from research institutes where a director of BioNTech holds a key management position.</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value of transactions related to key management personnel were as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00"/>
          </w:cols>
          <w:pgMar w:left="320" w:top="459" w:right="47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820" w:type="dxa"/>
            <w:vAlign w:val="bottom"/>
            <w:gridSpan w:val="2"/>
            <w:vMerge w:val="restart"/>
          </w:tcPr>
          <w:p>
            <w:pPr>
              <w:spacing w:after="0"/>
              <w:rPr>
                <w:sz w:val="20"/>
                <w:szCs w:val="20"/>
                <w:color w:val="auto"/>
              </w:rPr>
            </w:pPr>
            <w:r>
              <w:rPr>
                <w:rFonts w:ascii="Arial" w:cs="Arial" w:eastAsia="Arial" w:hAnsi="Arial"/>
                <w:sz w:val="14"/>
                <w:szCs w:val="14"/>
                <w:color w:val="auto"/>
                <w:w w:val="90"/>
              </w:rPr>
              <w:t>(in thousands)</w:t>
            </w:r>
          </w:p>
        </w:tc>
        <w:tc>
          <w:tcPr>
            <w:tcW w:w="696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6"/>
              </w:rPr>
              <w:t>2018</w:t>
            </w:r>
          </w:p>
        </w:tc>
        <w:tc>
          <w:tcPr>
            <w:tcW w:w="960" w:type="dxa"/>
            <w:vAlign w:val="bottom"/>
            <w:gridSpan w:val="3"/>
            <w:vMerge w:val="restart"/>
          </w:tcPr>
          <w:p>
            <w:pPr>
              <w:jc w:val="center"/>
              <w:ind w:left="397"/>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1 January</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gridSpan w:val="2"/>
            <w:vMerge w:val="continue"/>
          </w:tcPr>
          <w:p>
            <w:pPr>
              <w:spacing w:after="0"/>
              <w:rPr>
                <w:sz w:val="15"/>
                <w:szCs w:val="15"/>
                <w:color w:val="auto"/>
              </w:rPr>
            </w:pPr>
          </w:p>
        </w:tc>
        <w:tc>
          <w:tcPr>
            <w:tcW w:w="69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Consulting services</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rPr>
              <w:t>€   25</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3"/>
          </w:tcPr>
          <w:p>
            <w:pPr>
              <w:spacing w:after="0"/>
              <w:rPr>
                <w:sz w:val="20"/>
                <w:szCs w:val="20"/>
                <w:color w:val="auto"/>
              </w:rPr>
            </w:pPr>
            <w:r>
              <w:rPr>
                <w:rFonts w:ascii="Arial" w:cs="Arial" w:eastAsia="Arial" w:hAnsi="Arial"/>
                <w:sz w:val="18"/>
                <w:szCs w:val="18"/>
                <w:color w:val="auto"/>
              </w:rPr>
              <w:t>Purchases of various goods and services from entities controlled by key management personnel</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€11,160</w:t>
            </w:r>
          </w:p>
        </w:tc>
        <w:tc>
          <w:tcPr>
            <w:tcW w:w="460" w:type="dxa"/>
            <w:vAlign w:val="bottom"/>
          </w:tcPr>
          <w:p>
            <w:pPr>
              <w:spacing w:after="0"/>
              <w:rPr>
                <w:sz w:val="20"/>
                <w:szCs w:val="20"/>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€6,553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566"/>
        </w:trPr>
        <w:tc>
          <w:tcPr>
            <w:tcW w:w="340" w:type="dxa"/>
            <w:vAlign w:val="bottom"/>
          </w:tcPr>
          <w:p>
            <w:pPr>
              <w:spacing w:after="0"/>
              <w:rPr>
                <w:sz w:val="20"/>
                <w:szCs w:val="20"/>
                <w:color w:val="auto"/>
              </w:rPr>
            </w:pPr>
            <w:r>
              <w:rPr>
                <w:rFonts w:ascii="Arial" w:cs="Arial" w:eastAsia="Arial" w:hAnsi="Arial"/>
                <w:sz w:val="18"/>
                <w:szCs w:val="18"/>
                <w:b w:val="1"/>
                <w:bCs w:val="1"/>
                <w:color w:val="auto"/>
                <w:w w:val="91"/>
              </w:rPr>
              <w:t>20.3</w:t>
            </w:r>
          </w:p>
        </w:tc>
        <w:tc>
          <w:tcPr>
            <w:tcW w:w="744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 related party transactions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w w:val="93"/>
              </w:rPr>
              <w:t>The total amount of transactions with AT Impf GmbH or entities controlled by them was as follows:.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40" w:type="dxa"/>
            <w:vAlign w:val="bottom"/>
            <w:gridSpan w:val="12"/>
          </w:tcPr>
          <w:p>
            <w:pPr>
              <w:ind w:left="440"/>
              <w:spacing w:after="0"/>
              <w:rPr>
                <w:sz w:val="20"/>
                <w:szCs w:val="20"/>
                <w:color w:val="auto"/>
              </w:rPr>
            </w:pPr>
            <w:r>
              <w:rPr>
                <w:rFonts w:ascii="Arial" w:cs="Arial" w:eastAsia="Arial" w:hAnsi="Arial"/>
                <w:sz w:val="14"/>
                <w:szCs w:val="14"/>
                <w:b w:val="1"/>
                <w:bCs w:val="1"/>
                <w:color w:val="auto"/>
              </w:rPr>
              <w:t>Transaction values for the year ended</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7780" w:type="dxa"/>
            <w:vAlign w:val="bottom"/>
            <w:gridSpan w:val="3"/>
          </w:tcPr>
          <w:p>
            <w:pPr>
              <w:spacing w:after="0" w:line="149" w:lineRule="exact"/>
              <w:rPr>
                <w:sz w:val="20"/>
                <w:szCs w:val="20"/>
                <w:color w:val="auto"/>
              </w:rPr>
            </w:pPr>
            <w:r>
              <w:rPr>
                <w:rFonts w:ascii="Arial" w:cs="Arial" w:eastAsia="Arial" w:hAnsi="Arial"/>
                <w:sz w:val="14"/>
                <w:szCs w:val="14"/>
                <w:color w:val="auto"/>
              </w:rPr>
              <w:t>(in thousands)</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1 January</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ind w:left="32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various goods and services from entities controlled by AT Impf GmbH</w:t>
            </w:r>
          </w:p>
        </w:tc>
        <w:tc>
          <w:tcPr>
            <w:tcW w:w="64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96"/>
              </w:rPr>
              <w:t>€ 2,431</w:t>
            </w:r>
          </w:p>
        </w:tc>
        <w:tc>
          <w:tcPr>
            <w:tcW w:w="4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€ 1,240</w:t>
            </w: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Purchases of property and other assets from entities controlled by AT Impf GmbH</w:t>
            </w:r>
          </w:p>
        </w:tc>
        <w:tc>
          <w:tcPr>
            <w:tcW w:w="5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€ 4,748</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   —</w:t>
            </w:r>
          </w:p>
        </w:tc>
        <w:tc>
          <w:tcPr>
            <w:tcW w:w="560" w:type="dxa"/>
            <w:vAlign w:val="bottom"/>
            <w:gridSpan w:val="2"/>
          </w:tcPr>
          <w:p>
            <w:pPr>
              <w:spacing w:after="0"/>
              <w:rPr>
                <w:sz w:val="20"/>
                <w:szCs w:val="20"/>
                <w:color w:val="auto"/>
              </w:rPr>
            </w:pPr>
          </w:p>
        </w:tc>
        <w:tc>
          <w:tcPr>
            <w:tcW w:w="4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96"/>
              </w:rPr>
              <w:t>€ 7,179</w:t>
            </w:r>
          </w:p>
        </w:tc>
        <w:tc>
          <w:tcPr>
            <w:tcW w:w="4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€ 1,240</w:t>
            </w: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the balances are secured and no bad debt expense has been recognized in respect of amounts owed by related parties.</w:t>
      </w:r>
    </w:p>
    <w:p>
      <w:pPr>
        <w:spacing w:after="0" w:line="370"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Events after the reporting period</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January 2019, BioNTech entered into an agreement to acquire MAB Discovery GmbH’s operational antibody generation unit based near Munich, Germany for a total consideration of €9 million. The acquisition was completed on April 1,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January 2019, BioNTech AG increased its Share Capital by k€283 in conjunction with a receipt of a cash investment of k€80,000.</w:t>
      </w:r>
    </w:p>
    <w:p>
      <w:pPr>
        <w:spacing w:after="0" w:line="22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March 2019, BioNTech AG changed its legal form to a European company (</w:t>
      </w:r>
      <w:r>
        <w:rPr>
          <w:rFonts w:ascii="Arial" w:cs="Arial" w:eastAsia="Arial" w:hAnsi="Arial"/>
          <w:sz w:val="18"/>
          <w:szCs w:val="18"/>
          <w:i w:val="1"/>
          <w:iCs w:val="1"/>
          <w:color w:val="auto"/>
        </w:rPr>
        <w:t>Societas Europaea</w:t>
      </w:r>
      <w:r>
        <w:rPr>
          <w:rFonts w:ascii="Arial" w:cs="Arial" w:eastAsia="Arial" w:hAnsi="Arial"/>
          <w:sz w:val="18"/>
          <w:szCs w:val="18"/>
          <w:color w:val="auto"/>
        </w:rPr>
        <w:t xml:space="preserve"> or “SE”). As an SE, BioNTech will be a public limited company under EU law. The supranational aspect of this legal form represents an international focus with Europe as the company’s base, and is the next logical step in the development of BioNTech’s worldwide operations.</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March 2019, BioNTech AG increased its share capital by k€132. In this transaction, an investor exchanged its shares in a subsidiary for shares of the parent company.</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May 2019, BioNTech entered into an agreement to purchase the assets of MabVax Therapeutics, Inc. The acquisition was completed on May 8, 2019. The total purchase price was $5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June 2019, BioNTech SE increased its share capital by k€666 in conjunction with the Series B financing.</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554355</wp:posOffset>
            </wp:positionV>
            <wp:extent cx="2828925" cy="5829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8289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500"/>
        <w:spacing w:after="0"/>
        <w:tabs>
          <w:tab w:leader="none" w:pos="592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1040765</wp:posOffset>
            </wp:positionV>
            <wp:extent cx="14744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tabs>
          <w:tab w:leader="none" w:pos="2700" w:val="left"/>
          <w:tab w:leader="none" w:pos="6500" w:val="left"/>
          <w:tab w:leader="none" w:pos="9700" w:val="left"/>
        </w:tabs>
        <w:rPr>
          <w:sz w:val="20"/>
          <w:szCs w:val="20"/>
          <w:color w:val="auto"/>
        </w:rPr>
      </w:pP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5"/>
          <w:szCs w:val="25"/>
          <w:b w:val="1"/>
          <w:bCs w:val="1"/>
          <w:color w:val="auto"/>
        </w:rPr>
        <w:t>UBS Investment Bank</w:t>
      </w:r>
      <w:r>
        <w:rPr>
          <w:sz w:val="20"/>
          <w:szCs w:val="20"/>
          <w:color w:val="auto"/>
        </w:rPr>
        <w:tab/>
      </w:r>
      <w:r>
        <w:rPr>
          <w:rFonts w:ascii="Arial" w:cs="Arial" w:eastAsia="Arial" w:hAnsi="Arial"/>
          <w:sz w:val="24"/>
          <w:szCs w:val="24"/>
          <w:b w:val="1"/>
          <w:bCs w:val="1"/>
          <w:color w:val="auto"/>
        </w:rPr>
        <w:t>SVB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1040765</wp:posOffset>
            </wp:positionV>
            <wp:extent cx="147447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2019</w:t>
      </w:r>
    </w:p>
    <w:p>
      <w:pPr>
        <w:spacing w:after="0" w:line="229" w:lineRule="exact"/>
        <w:rPr>
          <w:sz w:val="20"/>
          <w:szCs w:val="20"/>
          <w:color w:val="auto"/>
        </w:rPr>
      </w:pPr>
    </w:p>
    <w:p>
      <w:pPr>
        <w:ind w:left="120"/>
        <w:spacing w:after="0"/>
        <w:tabs>
          <w:tab w:leader="none" w:pos="2320" w:val="left"/>
        </w:tabs>
        <w:rPr>
          <w:sz w:val="20"/>
          <w:szCs w:val="20"/>
          <w:color w:val="auto"/>
        </w:rPr>
      </w:pPr>
      <w:r>
        <w:rPr>
          <w:rFonts w:ascii="Arial" w:cs="Arial" w:eastAsia="Arial" w:hAnsi="Arial"/>
          <w:sz w:val="18"/>
          <w:szCs w:val="18"/>
          <w:color w:val="auto"/>
        </w:rPr>
        <w:t>Through and including</w:t>
      </w:r>
      <w:r>
        <w:rPr>
          <w:sz w:val="20"/>
          <w:szCs w:val="20"/>
          <w:color w:val="auto"/>
        </w:rPr>
        <w:tab/>
      </w:r>
      <w:r>
        <w:rPr>
          <w:rFonts w:ascii="Arial" w:cs="Arial" w:eastAsia="Arial" w:hAnsi="Arial"/>
          <w:sz w:val="16"/>
          <w:szCs w:val="16"/>
          <w:color w:val="auto"/>
        </w:rPr>
        <w:t>, 2019 (the 25</w:t>
      </w:r>
      <w:r>
        <w:rPr>
          <w:rFonts w:ascii="Arial" w:cs="Arial" w:eastAsia="Arial" w:hAnsi="Arial"/>
          <w:sz w:val="13"/>
          <w:szCs w:val="13"/>
          <w:color w:val="auto"/>
        </w:rPr>
        <w:t>th</w:t>
      </w:r>
      <w:r>
        <w:rPr>
          <w:rFonts w:ascii="Arial" w:cs="Arial" w:eastAsia="Arial" w:hAnsi="Arial"/>
          <w:sz w:val="16"/>
          <w:szCs w:val="16"/>
          <w:color w:val="auto"/>
        </w:rPr>
        <w:t xml:space="preserve"> day after the date of this prospectus), all dealers effecting transactions in these securities, whether or not</w:t>
      </w:r>
    </w:p>
    <w:p>
      <w:pPr>
        <w:spacing w:after="0" w:line="23"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649605</wp:posOffset>
            </wp:positionV>
            <wp:extent cx="699516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709930</wp:posOffset>
            </wp:positionV>
            <wp:extent cx="6995160"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3160" w:firstLine="3168"/>
        <w:spacing w:after="0" w:line="377" w:lineRule="auto"/>
        <w:rPr>
          <w:sz w:val="20"/>
          <w:szCs w:val="20"/>
          <w:color w:val="auto"/>
        </w:rPr>
      </w:pPr>
      <w:r>
        <w:rPr>
          <w:rFonts w:ascii="Arial" w:cs="Arial" w:eastAsia="Arial" w:hAnsi="Arial"/>
          <w:sz w:val="18"/>
          <w:szCs w:val="18"/>
          <w:b w:val="1"/>
          <w:bCs w:val="1"/>
          <w:color w:val="auto"/>
        </w:rPr>
        <w:t>INFORMATION NOT REQUIRED IN THE PROSPECTUS Item 6. Indemnification of Directors and Officers</w:t>
      </w:r>
    </w:p>
    <w:p>
      <w:pPr>
        <w:spacing w:after="0" w:line="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a German European public company with limited liability, we are—insofar as applicable pursuant to the SE Regulation and the German law on the implementation of the SE (SEAG)—subject to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as amended. Under German law, we may not indemnify members of our Management Board and Supervisory Board to the extent the relevant claim or loss has arisen as a result of the breach by the member of his or her duties owed to us. Otherwise we are required under the law to indemnify our Management Board and Supervisory Board members from and against any liabilities arising out of or in connection with their services to us.</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provide directors’ and officers’ liability insurance for the members of our Management and Supervisory Boards against civil liabilities, which they may incur in connection with their activities on behalf of our company.</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the underwriting agreement, the form of which is filed as Exhibit 1.1 to this Registration Statement, the underwriters will agree to indemnify, under certain conditions, us, the members of our Supervisory Board, Management Board and persons who control our company within the meaning of the Securities Act, against certain liabilities, but only to the extent that such liabilities are caused by information relating to the underwriters furnished to us in writing expressly for use in this registration statement and certain other disclosure documents.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Set forth below is information regarding all securities issued by us without registration under the Securities Act since January 1, 2016. We believe that each of such issuances was exempt from registration under the Securities Act in reliance on Section 4(a)(2) of the Securities Act or Rule 506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was our employee, director or consultant and received the securities under our equity incentive plans. None of these transactions involved any underwriters, underwriting discounts or commissions or any public offering. All recipients had adequate access, through their relationships with us to information about us. The sales of these securities were made without any general solicitation or advertising.</w:t>
      </w:r>
    </w:p>
    <w:p>
      <w:pPr>
        <w:spacing w:after="0" w:line="102" w:lineRule="exact"/>
        <w:rPr>
          <w:sz w:val="20"/>
          <w:szCs w:val="20"/>
          <w:color w:val="auto"/>
        </w:rPr>
      </w:pPr>
    </w:p>
    <w:p>
      <w:pPr>
        <w:ind w:left="980" w:right="400" w:hanging="324"/>
        <w:spacing w:after="0" w:line="277" w:lineRule="auto"/>
        <w:tabs>
          <w:tab w:leader="none" w:pos="9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On February 1, 2018 we issued 1,254,884 ordinary shares in private placements to AT Impf GmbH, Fidelity, Redmile, Fynveur, Family Office Happel, Janus Henderson and FCP.</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On September 12, 2018 we issued 32,373 ordinary shares as part of our Stock Appreciation Rights program.</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On October 18, 2018 we issued 186,715 ordinary shares in private placements to Pfizer and Fidelity.</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On January 29, 2019 we issued 282,678 ordinary shares in private placements to Sanofi and Klaus Joachim Krauth.</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On April 24, 2019 we issued 131,933 ordinary shares in a private placement to Eli Lilly.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following documents are filed as part of this registration statement: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Exhibit No.</w:t>
            </w:r>
          </w:p>
        </w:tc>
        <w:tc>
          <w:tcPr>
            <w:tcW w:w="518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318"/>
        </w:trPr>
        <w:tc>
          <w:tcPr>
            <w:tcW w:w="40" w:type="dxa"/>
            <w:vAlign w:val="bottom"/>
          </w:tcPr>
          <w:p>
            <w:pPr>
              <w:spacing w:after="0"/>
              <w:rPr>
                <w:sz w:val="24"/>
                <w:szCs w:val="24"/>
                <w:color w:val="auto"/>
              </w:rPr>
            </w:pPr>
          </w:p>
        </w:tc>
        <w:tc>
          <w:tcPr>
            <w:tcW w:w="7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c>
          <w:tcPr>
            <w:tcW w:w="5180" w:type="dxa"/>
            <w:vAlign w:val="bottom"/>
          </w:tcPr>
          <w:p>
            <w:pPr>
              <w:ind w:left="560"/>
              <w:spacing w:after="0"/>
              <w:rPr>
                <w:sz w:val="20"/>
                <w:szCs w:val="20"/>
                <w:color w:val="auto"/>
              </w:rPr>
            </w:pPr>
            <w:r>
              <w:rPr>
                <w:rFonts w:ascii="Arial" w:cs="Arial" w:eastAsia="Arial" w:hAnsi="Arial"/>
                <w:sz w:val="18"/>
                <w:szCs w:val="18"/>
                <w:color w:val="auto"/>
              </w:rPr>
              <w:t>Form of Underwriting Agreement</w:t>
            </w:r>
          </w:p>
        </w:tc>
        <w:tc>
          <w:tcPr>
            <w:tcW w:w="460" w:type="dxa"/>
            <w:vAlign w:val="bottom"/>
            <w:tcBorders>
              <w:top w:val="single" w:sz="8" w:color="auto"/>
            </w:tcBorders>
          </w:tcPr>
          <w:p>
            <w:pPr>
              <w:spacing w:after="0"/>
              <w:rPr>
                <w:sz w:val="24"/>
                <w:szCs w:val="24"/>
                <w:color w:val="auto"/>
              </w:rPr>
            </w:pPr>
          </w:p>
        </w:tc>
        <w:tc>
          <w:tcPr>
            <w:tcW w:w="4580" w:type="dxa"/>
            <w:vAlign w:val="bottom"/>
          </w:tcPr>
          <w:p>
            <w:pPr>
              <w:spacing w:after="0"/>
              <w:rPr>
                <w:sz w:val="24"/>
                <w:szCs w:val="24"/>
                <w:color w:val="auto"/>
              </w:rPr>
            </w:pPr>
          </w:p>
        </w:tc>
      </w:tr>
      <w:tr>
        <w:trPr>
          <w:trHeight w:val="324"/>
        </w:trPr>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3.1*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Articles of Association of the Registrant</w:t>
            </w:r>
          </w:p>
        </w:tc>
      </w:tr>
      <w:tr>
        <w:trPr>
          <w:trHeight w:val="324"/>
        </w:trPr>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3.2*</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Articles of Association of the Registrant, as effective immediately prior to this offering</w:t>
            </w:r>
          </w:p>
        </w:tc>
      </w:tr>
      <w:tr>
        <w:trPr>
          <w:trHeight w:val="324"/>
        </w:trPr>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4.1*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Form of Specimen American Depositary Receipt (included in Exhibit 4.3)</w:t>
            </w:r>
          </w:p>
        </w:tc>
      </w:tr>
      <w:tr>
        <w:trPr>
          <w:trHeight w:val="324"/>
        </w:trPr>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4.2*</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Registrant’s Specimen Certificate for Ordinary Shares</w:t>
            </w:r>
          </w:p>
        </w:tc>
      </w:tr>
      <w:tr>
        <w:trPr>
          <w:trHeight w:val="310"/>
        </w:trPr>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4.3*</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4"/>
              </w:rPr>
              <w:t>Form of Deposit Agreement among the Registrant, the depositary and holders and beneficial owners of the American Depositary</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Shares</w:t>
            </w:r>
          </w:p>
        </w:tc>
      </w:tr>
      <w:tr>
        <w:trPr>
          <w:trHeight w:val="324"/>
        </w:trPr>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5.1*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Opinion of Freshfields Bruckhaus Deringer LLP regarding the validity of the Ordinary Shares being registered</w:t>
            </w:r>
          </w:p>
        </w:tc>
      </w:tr>
      <w:tr>
        <w:trPr>
          <w:trHeight w:val="310"/>
        </w:trPr>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10.1*†</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8"/>
              </w:rPr>
              <w:t>Master Agreement for Research Services by and among the Registrant, BioNTech RNA Pharmaceuticals GmbH, BioNTech</w:t>
            </w: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3"/>
              </w:rPr>
              <w:t>Diagnostics GmbH, BioNTech Protein Therapeutics GmbH, BioNTech Cell &amp; Gene Therapies GmbH, Eufets GmbH, JPT Peptide</w:t>
            </w: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4"/>
              </w:rPr>
              <w:t>Technologies GmbH and TRON-Translationale Onkologie an der Universitätsmedizin der Johannes Gutenberg Universität Mainz</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gemeinnützige GmbH, dated January 1, 2015</w:t>
            </w:r>
          </w:p>
        </w:tc>
      </w:tr>
      <w:tr>
        <w:trPr>
          <w:trHeight w:val="310"/>
        </w:trPr>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10.2*†</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3"/>
              </w:rPr>
              <w:t>Supplementary Agreement for IVAC Developments to the Master Agreement for Research Services by and among the Registrant,</w:t>
            </w: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4"/>
              </w:rPr>
              <w:t>BioNTech RNA Pharmaceuticals GmbH, BioNTech Diagnostics GmbH, BioNTech Protein Therapeutics GmbH, BioNTech Cell &amp;</w:t>
            </w: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1"/>
              </w:rPr>
              <w:t>Gene Therapies GmbH, BioNTech Innovative Manufacturing Services GmbH (f/k/a Eufets GmbH), JPT Peptide Technologies GmbH</w:t>
            </w: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2"/>
              </w:rPr>
              <w:t>and TRON-Translationale Onkologie an der Universitätsmedizin der Johannes Gutenberg Universität Mainz gemeinnützige GmbH,</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dated November 28, 2017</w:t>
            </w:r>
          </w:p>
        </w:tc>
      </w:tr>
      <w:tr>
        <w:trPr>
          <w:trHeight w:val="310"/>
        </w:trPr>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10.3*†</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7"/>
              </w:rPr>
              <w:t>License Agreement by and among the Registrant, TRON-Translationale Onkologie an der Universitätsmedizin der Johannes</w:t>
            </w: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5"/>
              </w:rPr>
              <w:t>Gutenberg Universität Mainz gemeinnützige GmbH, Johannes Gutenberg-Universität Mainz, Universitätsmedizin der Johannes</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Gutenberg-Universität and Ganymed Pharmaceuticals AG, dated January 1, 2015</w:t>
            </w:r>
          </w:p>
        </w:tc>
      </w:tr>
      <w:tr>
        <w:trPr>
          <w:trHeight w:val="310"/>
        </w:trPr>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10.4*†</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5"/>
              </w:rPr>
              <w:t>Amended Patent License Agreement by and among the Registrant, the Board of Supervisors of Louisiana State University and</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Agricultural and Mechanical College and Uniwersytet Warszawski, dated May 12, 2015</w:t>
            </w:r>
          </w:p>
        </w:tc>
      </w:tr>
      <w:tr>
        <w:trPr>
          <w:trHeight w:val="324"/>
        </w:trPr>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10.5*†</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License and Collaboration Agreement by and between the Registrant and Genmab A/S, dated May 19, 2015</w:t>
            </w:r>
          </w:p>
        </w:tc>
      </w:tr>
      <w:tr>
        <w:trPr>
          <w:trHeight w:val="324"/>
        </w:trPr>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10.6*†</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3"/>
              </w:rPr>
              <w:t>Amendment No. 1 to License and Collaboration Agreement by and between the Registrant and Genmab A/S, dated May 18, 2017</w:t>
            </w:r>
          </w:p>
        </w:tc>
      </w:tr>
      <w:tr>
        <w:trPr>
          <w:trHeight w:val="324"/>
        </w:trPr>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10.7*†</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2"/>
              </w:rPr>
              <w:t>Amendment No. 2 to License and Collaboration Agreement by and between the Registrant and Genmab A/S, dated August 4, 2017</w:t>
            </w:r>
          </w:p>
        </w:tc>
      </w:tr>
      <w:tr>
        <w:trPr>
          <w:trHeight w:val="324"/>
        </w:trPr>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10.8*†</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3"/>
              </w:rPr>
              <w:t>Amendment No. 3 to License and Collaboration Agreement by and between the Registrant and Genmab A/S, dated May 18, 2018</w:t>
            </w:r>
          </w:p>
        </w:tc>
      </w:tr>
      <w:tr>
        <w:trPr>
          <w:trHeight w:val="310"/>
        </w:trPr>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w w:val="92"/>
              </w:rPr>
              <w:t>10.9*†</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1"/>
              </w:rPr>
              <w:t>Collaboration and License Agreement by and between Sanofi S.A. and BioNTech RNA Pharmaceuticals GmbH, dated November 2,</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80" w:type="dxa"/>
            <w:vAlign w:val="bottom"/>
          </w:tcPr>
          <w:p>
            <w:pPr>
              <w:ind w:left="56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310"/>
        </w:trPr>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w w:val="90"/>
              </w:rPr>
              <w:t>10.10*†</w:t>
            </w: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w w:val="90"/>
              </w:rPr>
              <w:t>Amendment to Collaboration and License Agreement by and between Sanofi S.A. and BioNTech RNA Pharmaceuticals GmbH, dated</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20" w:type="dxa"/>
            <w:vAlign w:val="bottom"/>
            <w:gridSpan w:val="3"/>
          </w:tcPr>
          <w:p>
            <w:pPr>
              <w:ind w:left="560"/>
              <w:spacing w:after="0"/>
              <w:rPr>
                <w:sz w:val="20"/>
                <w:szCs w:val="20"/>
                <w:color w:val="auto"/>
              </w:rPr>
            </w:pPr>
            <w:r>
              <w:rPr>
                <w:rFonts w:ascii="Arial" w:cs="Arial" w:eastAsia="Arial" w:hAnsi="Arial"/>
                <w:sz w:val="18"/>
                <w:szCs w:val="18"/>
                <w:color w:val="auto"/>
              </w:rPr>
              <w:t>December 22, 2018</w:t>
            </w: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18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4600" w:type="dxa"/>
            <w:vAlign w:val="bottom"/>
          </w:tcPr>
          <w:p>
            <w:pPr>
              <w:spacing w:after="0"/>
              <w:rPr>
                <w:sz w:val="14"/>
                <w:szCs w:val="14"/>
                <w:color w:val="auto"/>
              </w:rPr>
            </w:pP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10.11*†</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99"/>
              </w:rPr>
              <w:t>Development Agreement by and between Sanofi S.A. and BioNTech RNA Pharmaceuticals GmbH, dated March 29, 2018</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10.12*†</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91"/>
              </w:rPr>
              <w:t>Collaboration Agreement by and among the Registrant, BioNTech RNA Pharmaceuticals GmbH, Genentech, Inc. and F. Hoffman-La</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Roche Ltd, dated September 20, 2016</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95"/>
              </w:rPr>
              <w:t>Patent Sublicense Agreement by and between Cellscript, LLC and BioNTech RNA Pharmaceuticals GmbH, dated July 19, 2017</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94"/>
              </w:rPr>
              <w:t>Patent Sublicense Agreement by and between mRNA RiboTherapeutics, Inc. and BioNTech RNA Pharmaceuticals GmbH, dated</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July 19, 2017</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10.15*†</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92"/>
              </w:rPr>
              <w:t>License and Co-Development Agreement by and between Genevant Sciences GmbH and BioNTech RNA Pharmaceuticals GmbH,</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dated July 4, 2018</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10.16*†</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93"/>
              </w:rPr>
              <w:t>Research Collaboration and License Agreement by and among the Registrant, BioNTech RNA Pharmaceuticals GmbH and Pfizer,</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Inc., dated July 20, 2018</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10.17*†</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99"/>
              </w:rPr>
              <w:t>Collaboration and License Agreement by and between the Trustees of the University of Pennsylvania and BioNTech RNA</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Pharmaceuticals GmbH, dated October 9, 2018</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10.18*†</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Contribution Agreement by and between the Registrant and Eli Lilly Nederland B.V., dated March 14, 2019</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10.19*†</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Investment Agreement by and among the Registrant and the Series A Investors listed therein, dated December 29, 2017</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10.20*†</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Investment Agreement by and between the Registrant and Pfizer, Inc., dated July 20, 2018</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10.21*†</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96"/>
              </w:rPr>
              <w:t>Investment Agreement by and among the Registrant, Sanofi Foreign Participations B.V. and Sanofi, dated December 21, 2018</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10.22*†</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99"/>
              </w:rPr>
              <w:t>Investment Agreement by and among the Registrant, the Investors listed therein and AT Impf GmbH, dated May 31, 2019</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10.23*†</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BioNTech Shareholders’ Agreement by and among the Spring 2019 Parties listed therein, dated May 31, 2019</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10.24*†</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89"/>
              </w:rPr>
              <w:t>Lease Agreement by and among the Registrant and Universitätsmedizin der Johannes Gutenberg-Universität Mainz, dated January 14,</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80" w:type="dxa"/>
            <w:vAlign w:val="bottom"/>
          </w:tcPr>
          <w:p>
            <w:pPr>
              <w:ind w:left="560"/>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10.25*†</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92"/>
              </w:rPr>
              <w:t>Amendment to Lease Agreement by and among the Registrant and Universitätsmedizin der Johannes Gutenberg-Universität Mainz,</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dated June 8, 2015</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10.26*†</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w w:val="92"/>
              </w:rPr>
              <w:t>Amendment to Lease Agreement by and among the Registrant and Universitätsmedizin der Johannes Gutenberg-Universität Mainz,</w:t>
            </w:r>
          </w:p>
        </w:tc>
      </w:tr>
      <w:tr>
        <w:trPr>
          <w:trHeight w:val="230"/>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dated October 18, 2017</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10.27*†</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Lease Agreement by and among the Registrant and Wolfram Richter, dated August 17, 2011</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10.28*†</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Amendment No. 1 to Lease Agreement by and among the Registrant and Wolfram Richter, dated February 17, 2012</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10.29*†</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Amendment No. 2 to Lease Agreement by and among the Registrant and Wolfram Richter, dated February 1, 2013</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10.30*†</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Amendment No. 3 to Lease Agreement by and among the Registrant and Wolfram Richter, dated March 6, 2013</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10.31*†</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Amendment No. 4 to Lease Agreement by and among the Registrant and Wolfram Richter, dated December 10, 2013</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10.32*†</w:t>
            </w:r>
          </w:p>
        </w:tc>
        <w:tc>
          <w:tcPr>
            <w:tcW w:w="10240" w:type="dxa"/>
            <w:vAlign w:val="bottom"/>
            <w:gridSpan w:val="3"/>
          </w:tcPr>
          <w:p>
            <w:pPr>
              <w:ind w:left="560"/>
              <w:spacing w:after="0"/>
              <w:rPr>
                <w:sz w:val="20"/>
                <w:szCs w:val="20"/>
                <w:color w:val="auto"/>
              </w:rPr>
            </w:pPr>
            <w:r>
              <w:rPr>
                <w:rFonts w:ascii="Arial" w:cs="Arial" w:eastAsia="Arial" w:hAnsi="Arial"/>
                <w:sz w:val="18"/>
                <w:szCs w:val="18"/>
                <w:color w:val="auto"/>
              </w:rPr>
              <w:t>Amendment No. 5 to Lease Agreement by and among the Registrant and Wolfram Richter, dated March 29, 2016</w:t>
            </w:r>
          </w:p>
        </w:tc>
      </w:tr>
      <w:tr>
        <w:trPr>
          <w:trHeight w:val="364"/>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40" w:type="dxa"/>
            <w:vAlign w:val="bottom"/>
            <w:gridSpan w:val="3"/>
          </w:tcPr>
          <w:p>
            <w:pPr>
              <w:ind w:left="460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20"/>
          </w:cols>
          <w:pgMar w:left="320" w:top="459" w:right="45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18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2940" w:type="dxa"/>
            <w:vAlign w:val="bottom"/>
          </w:tcPr>
          <w:p>
            <w:pPr>
              <w:spacing w:after="0"/>
              <w:rPr>
                <w:sz w:val="14"/>
                <w:szCs w:val="14"/>
                <w:color w:val="auto"/>
              </w:rPr>
            </w:pPr>
          </w:p>
        </w:tc>
      </w:tr>
      <w:tr>
        <w:trPr>
          <w:trHeight w:val="318"/>
        </w:trPr>
        <w:tc>
          <w:tcPr>
            <w:tcW w:w="760" w:type="dxa"/>
            <w:vAlign w:val="bottom"/>
            <w:gridSpan w:val="2"/>
          </w:tcPr>
          <w:p>
            <w:pPr>
              <w:spacing w:after="0"/>
              <w:rPr>
                <w:sz w:val="20"/>
                <w:szCs w:val="20"/>
                <w:color w:val="auto"/>
              </w:rPr>
            </w:pPr>
            <w:r>
              <w:rPr>
                <w:rFonts w:ascii="Arial" w:cs="Arial" w:eastAsia="Arial" w:hAnsi="Arial"/>
                <w:sz w:val="18"/>
                <w:szCs w:val="18"/>
                <w:color w:val="auto"/>
              </w:rPr>
              <w:t>10.33*†</w:t>
            </w:r>
          </w:p>
        </w:tc>
        <w:tc>
          <w:tcPr>
            <w:tcW w:w="8580" w:type="dxa"/>
            <w:vAlign w:val="bottom"/>
            <w:gridSpan w:val="3"/>
          </w:tcPr>
          <w:p>
            <w:pPr>
              <w:ind w:left="560"/>
              <w:spacing w:after="0"/>
              <w:rPr>
                <w:sz w:val="20"/>
                <w:szCs w:val="20"/>
                <w:color w:val="auto"/>
              </w:rPr>
            </w:pPr>
            <w:r>
              <w:rPr>
                <w:rFonts w:ascii="Arial" w:cs="Arial" w:eastAsia="Arial" w:hAnsi="Arial"/>
                <w:sz w:val="18"/>
                <w:szCs w:val="18"/>
                <w:color w:val="auto"/>
                <w:w w:val="89"/>
              </w:rPr>
              <w:t>Amendment No. 6 to Lease Agreement by and among the Registrant and Wolfram Richter, dated June 10, 2017</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10.34*†</w:t>
            </w:r>
          </w:p>
        </w:tc>
        <w:tc>
          <w:tcPr>
            <w:tcW w:w="8580" w:type="dxa"/>
            <w:vAlign w:val="bottom"/>
            <w:gridSpan w:val="3"/>
          </w:tcPr>
          <w:p>
            <w:pPr>
              <w:ind w:left="560"/>
              <w:spacing w:after="0"/>
              <w:rPr>
                <w:sz w:val="20"/>
                <w:szCs w:val="20"/>
                <w:color w:val="auto"/>
              </w:rPr>
            </w:pPr>
            <w:r>
              <w:rPr>
                <w:rFonts w:ascii="Arial" w:cs="Arial" w:eastAsia="Arial" w:hAnsi="Arial"/>
                <w:sz w:val="18"/>
                <w:szCs w:val="18"/>
                <w:color w:val="auto"/>
                <w:w w:val="96"/>
              </w:rPr>
              <w:t>Lease Agreement by and among the Registrant and Wista-Management GmbH, dated January 11, 2019</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16.1*</w:t>
            </w:r>
          </w:p>
        </w:tc>
        <w:tc>
          <w:tcPr>
            <w:tcW w:w="8580" w:type="dxa"/>
            <w:vAlign w:val="bottom"/>
            <w:gridSpan w:val="3"/>
          </w:tcPr>
          <w:p>
            <w:pPr>
              <w:ind w:left="560"/>
              <w:spacing w:after="0"/>
              <w:rPr>
                <w:sz w:val="20"/>
                <w:szCs w:val="20"/>
                <w:color w:val="auto"/>
              </w:rPr>
            </w:pPr>
            <w:r>
              <w:rPr>
                <w:rFonts w:ascii="Arial" w:cs="Arial" w:eastAsia="Arial" w:hAnsi="Arial"/>
                <w:sz w:val="18"/>
                <w:szCs w:val="18"/>
                <w:color w:val="auto"/>
              </w:rPr>
              <w:t>Letter from Baker Tilly GmbH &amp; Co. KG Wirtschaftsprüfungsgesellschaft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21.1*</w:t>
            </w:r>
          </w:p>
        </w:tc>
        <w:tc>
          <w:tcPr>
            <w:tcW w:w="8580" w:type="dxa"/>
            <w:vAlign w:val="bottom"/>
            <w:gridSpan w:val="3"/>
          </w:tcPr>
          <w:p>
            <w:pPr>
              <w:ind w:left="560"/>
              <w:spacing w:after="0"/>
              <w:rPr>
                <w:sz w:val="20"/>
                <w:szCs w:val="20"/>
                <w:color w:val="auto"/>
              </w:rPr>
            </w:pPr>
            <w:r>
              <w:rPr>
                <w:rFonts w:ascii="Arial" w:cs="Arial" w:eastAsia="Arial" w:hAnsi="Arial"/>
                <w:sz w:val="18"/>
                <w:szCs w:val="18"/>
                <w:color w:val="auto"/>
              </w:rPr>
              <w:t>List of Subsidiaries of the Registrant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23.1*</w:t>
            </w:r>
          </w:p>
        </w:tc>
        <w:tc>
          <w:tcPr>
            <w:tcW w:w="8580" w:type="dxa"/>
            <w:vAlign w:val="bottom"/>
            <w:gridSpan w:val="3"/>
          </w:tcPr>
          <w:p>
            <w:pPr>
              <w:ind w:left="560"/>
              <w:spacing w:after="0"/>
              <w:rPr>
                <w:sz w:val="20"/>
                <w:szCs w:val="20"/>
                <w:color w:val="auto"/>
              </w:rPr>
            </w:pPr>
            <w:r>
              <w:rPr>
                <w:rFonts w:ascii="Arial" w:cs="Arial" w:eastAsia="Arial" w:hAnsi="Arial"/>
                <w:sz w:val="18"/>
                <w:szCs w:val="18"/>
                <w:color w:val="auto"/>
              </w:rPr>
              <w:t>Consent of Ernst &amp; Young GmbH, Independent Registered Public Accounting Firm</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23.2*</w:t>
            </w:r>
          </w:p>
        </w:tc>
        <w:tc>
          <w:tcPr>
            <w:tcW w:w="8580" w:type="dxa"/>
            <w:vAlign w:val="bottom"/>
            <w:gridSpan w:val="3"/>
          </w:tcPr>
          <w:p>
            <w:pPr>
              <w:ind w:left="560"/>
              <w:spacing w:after="0"/>
              <w:rPr>
                <w:sz w:val="20"/>
                <w:szCs w:val="20"/>
                <w:color w:val="auto"/>
              </w:rPr>
            </w:pPr>
            <w:r>
              <w:rPr>
                <w:rFonts w:ascii="Arial" w:cs="Arial" w:eastAsia="Arial" w:hAnsi="Arial"/>
                <w:sz w:val="18"/>
                <w:szCs w:val="18"/>
                <w:color w:val="auto"/>
              </w:rPr>
              <w:t>Consent of Freshfields Bruckhaus Deringer LLP (included in Exhibit 5.1)</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24.1*</w:t>
            </w:r>
          </w:p>
        </w:tc>
        <w:tc>
          <w:tcPr>
            <w:tcW w:w="8580" w:type="dxa"/>
            <w:vAlign w:val="bottom"/>
            <w:gridSpan w:val="3"/>
          </w:tcPr>
          <w:p>
            <w:pPr>
              <w:ind w:left="560"/>
              <w:spacing w:after="0"/>
              <w:rPr>
                <w:sz w:val="20"/>
                <w:szCs w:val="20"/>
                <w:color w:val="auto"/>
              </w:rPr>
            </w:pPr>
            <w:r>
              <w:rPr>
                <w:rFonts w:ascii="Arial" w:cs="Arial" w:eastAsia="Arial" w:hAnsi="Arial"/>
                <w:sz w:val="18"/>
                <w:szCs w:val="18"/>
                <w:color w:val="auto"/>
              </w:rPr>
              <w:t>Powers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Certain portions of this exhibit have been redacted pursuant to Item 601(b)(10)(iv) of Regulation S-K.</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560" w:right="100" w:hanging="4"/>
        <w:spacing w:after="0" w:line="342" w:lineRule="auto"/>
        <w:tabs>
          <w:tab w:leader="none" w:pos="80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5" w:lineRule="exact"/>
        <w:rPr>
          <w:rFonts w:ascii="Arial" w:cs="Arial" w:eastAsia="Arial" w:hAnsi="Arial"/>
          <w:sz w:val="16"/>
          <w:szCs w:val="16"/>
          <w:color w:val="auto"/>
        </w:rPr>
      </w:pPr>
    </w:p>
    <w:p>
      <w:pPr>
        <w:ind w:left="560" w:hanging="4"/>
        <w:spacing w:after="0" w:line="271" w:lineRule="auto"/>
        <w:tabs>
          <w:tab w:leader="none" w:pos="815" w:val="left"/>
        </w:tabs>
        <w:numPr>
          <w:ilvl w:val="0"/>
          <w:numId w:val="31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70" w:lineRule="exact"/>
        <w:rPr>
          <w:rFonts w:ascii="Arial" w:cs="Arial" w:eastAsia="Arial" w:hAnsi="Arial"/>
          <w:sz w:val="17"/>
          <w:szCs w:val="17"/>
          <w:color w:val="auto"/>
        </w:rPr>
      </w:pPr>
    </w:p>
    <w:p>
      <w:pPr>
        <w:ind w:left="800" w:hanging="244"/>
        <w:spacing w:after="0"/>
        <w:tabs>
          <w:tab w:leader="none" w:pos="8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jc w:val="both"/>
        <w:ind w:left="1000" w:right="60" w:hanging="3"/>
        <w:spacing w:after="0" w:line="259" w:lineRule="auto"/>
        <w:tabs>
          <w:tab w:leader="none" w:pos="1255" w:val="left"/>
        </w:tabs>
        <w:numPr>
          <w:ilvl w:val="1"/>
          <w:numId w:val="31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8" w:lineRule="exact"/>
        <w:rPr>
          <w:rFonts w:ascii="Arial" w:cs="Arial" w:eastAsia="Arial" w:hAnsi="Arial"/>
          <w:sz w:val="18"/>
          <w:szCs w:val="18"/>
          <w:color w:val="auto"/>
        </w:rPr>
      </w:pPr>
    </w:p>
    <w:p>
      <w:pPr>
        <w:ind w:left="1000" w:right="100" w:hanging="3"/>
        <w:spacing w:after="0" w:line="263" w:lineRule="auto"/>
        <w:tabs>
          <w:tab w:leader="none" w:pos="1255" w:val="left"/>
        </w:tabs>
        <w:numPr>
          <w:ilvl w:val="1"/>
          <w:numId w:val="31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w:t>
      </w:r>
    </w:p>
    <w:tbl>
      <w:tblPr>
        <w:tblLayout w:type="fixed"/>
        <w:tblInd w:w="12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authorized, in Mainz, Germany on</w:t>
            </w:r>
          </w:p>
        </w:tc>
        <w:tc>
          <w:tcPr>
            <w:tcW w:w="4160" w:type="dxa"/>
            <w:vAlign w:val="bottom"/>
          </w:tcPr>
          <w:p>
            <w:pPr>
              <w:jc w:val="right"/>
              <w:ind w:right="3190"/>
              <w:spacing w:after="0"/>
              <w:rPr>
                <w:sz w:val="20"/>
                <w:szCs w:val="20"/>
                <w:color w:val="auto"/>
              </w:rPr>
            </w:pPr>
            <w:r>
              <w:rPr>
                <w:rFonts w:ascii="Arial" w:cs="Arial" w:eastAsia="Arial" w:hAnsi="Arial"/>
                <w:sz w:val="18"/>
                <w:szCs w:val="18"/>
                <w:color w:val="auto"/>
              </w:rPr>
              <w:t>, 2019.</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45"/>
        </w:trPr>
        <w:tc>
          <w:tcPr>
            <w:tcW w:w="2860" w:type="dxa"/>
            <w:vAlign w:val="bottom"/>
          </w:tcPr>
          <w:p>
            <w:pPr>
              <w:spacing w:after="0"/>
              <w:rPr>
                <w:sz w:val="24"/>
                <w:szCs w:val="24"/>
                <w:color w:val="auto"/>
              </w:rPr>
            </w:pPr>
          </w:p>
        </w:tc>
        <w:tc>
          <w:tcPr>
            <w:tcW w:w="8160" w:type="dxa"/>
            <w:vAlign w:val="bottom"/>
            <w:gridSpan w:val="3"/>
          </w:tcPr>
          <w:p>
            <w:pPr>
              <w:ind w:left="3760"/>
              <w:spacing w:after="0"/>
              <w:rPr>
                <w:sz w:val="20"/>
                <w:szCs w:val="20"/>
                <w:color w:val="auto"/>
              </w:rPr>
            </w:pPr>
            <w:r>
              <w:rPr>
                <w:rFonts w:ascii="Arial" w:cs="Arial" w:eastAsia="Arial" w:hAnsi="Arial"/>
                <w:sz w:val="18"/>
                <w:szCs w:val="18"/>
                <w:color w:val="auto"/>
              </w:rPr>
              <w:t>BIONTECH SE</w:t>
            </w:r>
          </w:p>
        </w:tc>
      </w:tr>
      <w:tr>
        <w:trPr>
          <w:trHeight w:val="432"/>
        </w:trPr>
        <w:tc>
          <w:tcPr>
            <w:tcW w:w="2860" w:type="dxa"/>
            <w:vAlign w:val="bottom"/>
          </w:tcPr>
          <w:p>
            <w:pPr>
              <w:spacing w:after="0"/>
              <w:rPr>
                <w:sz w:val="24"/>
                <w:szCs w:val="24"/>
                <w:color w:val="auto"/>
              </w:rPr>
            </w:pPr>
          </w:p>
        </w:tc>
        <w:tc>
          <w:tcPr>
            <w:tcW w:w="4740" w:type="dxa"/>
            <w:vAlign w:val="bottom"/>
            <w:gridSpan w:val="2"/>
          </w:tcPr>
          <w:p>
            <w:pPr>
              <w:ind w:left="3760"/>
              <w:spacing w:after="0"/>
              <w:rPr>
                <w:sz w:val="20"/>
                <w:szCs w:val="20"/>
                <w:color w:val="auto"/>
              </w:rPr>
            </w:pPr>
            <w:r>
              <w:rPr>
                <w:rFonts w:ascii="Arial" w:cs="Arial" w:eastAsia="Arial" w:hAnsi="Arial"/>
                <w:sz w:val="18"/>
                <w:szCs w:val="18"/>
                <w:color w:val="auto"/>
              </w:rPr>
              <w:t>By:</w:t>
            </w:r>
          </w:p>
        </w:tc>
        <w:tc>
          <w:tcPr>
            <w:tcW w:w="3420" w:type="dxa"/>
            <w:vAlign w:val="bottom"/>
          </w:tcPr>
          <w:p>
            <w:pPr>
              <w:spacing w:after="0"/>
              <w:rPr>
                <w:sz w:val="24"/>
                <w:szCs w:val="24"/>
                <w:color w:val="auto"/>
              </w:rPr>
            </w:pPr>
          </w:p>
        </w:tc>
      </w:tr>
      <w:tr>
        <w:trPr>
          <w:trHeight w:val="209"/>
        </w:trPr>
        <w:tc>
          <w:tcPr>
            <w:tcW w:w="28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Prof. Ugur Sahin, M.D.</w:t>
            </w:r>
          </w:p>
        </w:tc>
      </w:tr>
      <w:tr>
        <w:trPr>
          <w:trHeight w:val="230"/>
        </w:trPr>
        <w:tc>
          <w:tcPr>
            <w:tcW w:w="2860" w:type="dxa"/>
            <w:vAlign w:val="bottom"/>
          </w:tcPr>
          <w:p>
            <w:pPr>
              <w:spacing w:after="0"/>
              <w:rPr>
                <w:sz w:val="20"/>
                <w:szCs w:val="20"/>
                <w:color w:val="auto"/>
              </w:rPr>
            </w:pPr>
          </w:p>
        </w:tc>
        <w:tc>
          <w:tcPr>
            <w:tcW w:w="4740" w:type="dxa"/>
            <w:vAlign w:val="bottom"/>
            <w:gridSpan w:val="2"/>
          </w:tcPr>
          <w:p>
            <w:pPr>
              <w:ind w:left="4160"/>
              <w:spacing w:after="0"/>
              <w:rPr>
                <w:sz w:val="20"/>
                <w:szCs w:val="20"/>
                <w:color w:val="auto"/>
              </w:rPr>
            </w:pPr>
            <w:r>
              <w:rPr>
                <w:rFonts w:ascii="Arial" w:cs="Arial" w:eastAsia="Arial" w:hAnsi="Arial"/>
                <w:sz w:val="18"/>
                <w:szCs w:val="18"/>
                <w:color w:val="auto"/>
              </w:rPr>
              <w:t>Title:</w:t>
            </w:r>
          </w:p>
        </w:tc>
        <w:tc>
          <w:tcPr>
            <w:tcW w:w="342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Prof. Ugur Sahin, M.D., Özlem Türeci, Sean Marett and Sierk Poetting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and to file the same, with all exhibits thereto, and other documents in connection therewith, with the Securities and Exchange Commission, granting unto such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840" w:type="dxa"/>
            <w:vAlign w:val="bottom"/>
            <w:gridSpan w:val="6"/>
          </w:tcPr>
          <w:p>
            <w:pPr>
              <w:ind w:left="440"/>
              <w:spacing w:after="0"/>
              <w:rPr>
                <w:sz w:val="20"/>
                <w:szCs w:val="20"/>
                <w:color w:val="auto"/>
              </w:rPr>
            </w:pPr>
            <w:r>
              <w:rPr>
                <w:rFonts w:ascii="Arial" w:cs="Arial" w:eastAsia="Arial" w:hAnsi="Arial"/>
                <w:sz w:val="18"/>
                <w:szCs w:val="18"/>
                <w:color w:val="auto"/>
                <w:w w:val="90"/>
              </w:rPr>
              <w:t>Pursuant to the requirements of the Securities Act of 1933, this registration statement has been signed by the following persons on</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gridSpan w:val="3"/>
          </w:tcPr>
          <w:p>
            <w:pPr>
              <w:spacing w:after="0"/>
              <w:rPr>
                <w:sz w:val="20"/>
                <w:szCs w:val="20"/>
                <w:color w:val="auto"/>
              </w:rPr>
            </w:pPr>
            <w:r>
              <w:rPr>
                <w:rFonts w:ascii="Arial" w:cs="Arial" w:eastAsia="Arial" w:hAnsi="Arial"/>
                <w:sz w:val="18"/>
                <w:szCs w:val="18"/>
                <w:color w:val="auto"/>
              </w:rPr>
              <w:t>2019 in the capacities indicated:</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92"/>
        </w:trPr>
        <w:tc>
          <w:tcPr>
            <w:tcW w:w="2260" w:type="dxa"/>
            <w:vAlign w:val="bottom"/>
          </w:tcPr>
          <w:p>
            <w:pPr>
              <w:spacing w:after="0"/>
              <w:rPr>
                <w:sz w:val="24"/>
                <w:szCs w:val="24"/>
                <w:color w:val="auto"/>
              </w:rPr>
            </w:pPr>
          </w:p>
        </w:tc>
        <w:tc>
          <w:tcPr>
            <w:tcW w:w="264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w w:val="94"/>
              </w:rPr>
              <w:t>Name</w:t>
            </w:r>
          </w:p>
        </w:tc>
        <w:tc>
          <w:tcPr>
            <w:tcW w:w="1840" w:type="dxa"/>
            <w:vAlign w:val="bottom"/>
          </w:tcPr>
          <w:p>
            <w:pPr>
              <w:spacing w:after="0"/>
              <w:rPr>
                <w:sz w:val="24"/>
                <w:szCs w:val="24"/>
                <w:color w:val="auto"/>
              </w:rPr>
            </w:pPr>
          </w:p>
        </w:tc>
        <w:tc>
          <w:tcPr>
            <w:tcW w:w="3100" w:type="dxa"/>
            <w:vAlign w:val="bottom"/>
            <w:gridSpan w:val="2"/>
          </w:tcPr>
          <w:p>
            <w:pPr>
              <w:jc w:val="center"/>
              <w:ind w:right="2780"/>
              <w:spacing w:after="0"/>
              <w:rPr>
                <w:sz w:val="20"/>
                <w:szCs w:val="20"/>
                <w:color w:val="auto"/>
              </w:rPr>
            </w:pPr>
            <w:r>
              <w:rPr>
                <w:rFonts w:ascii="Arial" w:cs="Arial" w:eastAsia="Arial" w:hAnsi="Arial"/>
                <w:sz w:val="14"/>
                <w:szCs w:val="14"/>
                <w:b w:val="1"/>
                <w:bCs w:val="1"/>
                <w:color w:val="auto"/>
                <w:w w:val="97"/>
              </w:rPr>
              <w:t>Title</w:t>
            </w:r>
          </w:p>
        </w:tc>
        <w:tc>
          <w:tcPr>
            <w:tcW w:w="7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5"/>
        </w:trPr>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940" w:type="dxa"/>
            <w:vAlign w:val="bottom"/>
            <w:gridSpan w:val="3"/>
          </w:tcPr>
          <w:p>
            <w:pPr>
              <w:jc w:val="center"/>
              <w:ind w:right="940"/>
              <w:spacing w:after="0"/>
              <w:rPr>
                <w:sz w:val="20"/>
                <w:szCs w:val="20"/>
                <w:color w:val="auto"/>
              </w:rPr>
            </w:pPr>
            <w:r>
              <w:rPr>
                <w:rFonts w:ascii="Arial" w:cs="Arial" w:eastAsia="Arial" w:hAnsi="Arial"/>
                <w:sz w:val="18"/>
                <w:szCs w:val="18"/>
                <w:color w:val="auto"/>
                <w:w w:val="93"/>
              </w:rPr>
              <w:t>Chief Executive Officer</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4"/>
        </w:trPr>
        <w:tc>
          <w:tcPr>
            <w:tcW w:w="4900" w:type="dxa"/>
            <w:vAlign w:val="bottom"/>
            <w:gridSpan w:val="3"/>
          </w:tcPr>
          <w:p>
            <w:pPr>
              <w:jc w:val="center"/>
              <w:spacing w:after="0"/>
              <w:rPr>
                <w:sz w:val="20"/>
                <w:szCs w:val="20"/>
                <w:color w:val="auto"/>
              </w:rPr>
            </w:pPr>
            <w:r>
              <w:rPr>
                <w:rFonts w:ascii="Arial" w:cs="Arial" w:eastAsia="Arial" w:hAnsi="Arial"/>
                <w:sz w:val="18"/>
                <w:szCs w:val="18"/>
                <w:color w:val="auto"/>
                <w:w w:val="93"/>
              </w:rPr>
              <w:t>Prof. Ugur Sahin, M.D.</w:t>
            </w:r>
          </w:p>
        </w:tc>
        <w:tc>
          <w:tcPr>
            <w:tcW w:w="4940" w:type="dxa"/>
            <w:vAlign w:val="bottom"/>
            <w:gridSpan w:val="3"/>
          </w:tcPr>
          <w:p>
            <w:pPr>
              <w:jc w:val="center"/>
              <w:ind w:right="960"/>
              <w:spacing w:after="0"/>
              <w:rPr>
                <w:sz w:val="20"/>
                <w:szCs w:val="20"/>
                <w:color w:val="auto"/>
              </w:rPr>
            </w:pPr>
            <w:r>
              <w:rPr>
                <w:rFonts w:ascii="Arial" w:cs="Arial" w:eastAsia="Arial" w:hAnsi="Arial"/>
                <w:sz w:val="18"/>
                <w:szCs w:val="18"/>
                <w:color w:val="auto"/>
                <w:w w:val="94"/>
              </w:rPr>
              <w:t>(principal executive officer)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940" w:type="dxa"/>
            <w:vAlign w:val="bottom"/>
            <w:gridSpan w:val="3"/>
          </w:tcPr>
          <w:p>
            <w:pPr>
              <w:jc w:val="center"/>
              <w:ind w:right="940"/>
              <w:spacing w:after="0"/>
              <w:rPr>
                <w:sz w:val="20"/>
                <w:szCs w:val="20"/>
                <w:color w:val="auto"/>
              </w:rPr>
            </w:pPr>
            <w:r>
              <w:rPr>
                <w:rFonts w:ascii="Arial" w:cs="Arial" w:eastAsia="Arial" w:hAnsi="Arial"/>
                <w:sz w:val="18"/>
                <w:szCs w:val="18"/>
                <w:color w:val="auto"/>
                <w:w w:val="94"/>
              </w:rPr>
              <w:t>Chief Financial Officer</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Dr. Sierk Poetting, Ph.D.</w:t>
            </w:r>
          </w:p>
        </w:tc>
        <w:tc>
          <w:tcPr>
            <w:tcW w:w="4940" w:type="dxa"/>
            <w:vAlign w:val="bottom"/>
            <w:gridSpan w:val="3"/>
          </w:tcPr>
          <w:p>
            <w:pPr>
              <w:jc w:val="center"/>
              <w:ind w:right="940"/>
              <w:spacing w:after="0"/>
              <w:rPr>
                <w:sz w:val="20"/>
                <w:szCs w:val="20"/>
                <w:color w:val="auto"/>
              </w:rPr>
            </w:pPr>
            <w:r>
              <w:rPr>
                <w:rFonts w:ascii="Arial" w:cs="Arial" w:eastAsia="Arial" w:hAnsi="Arial"/>
                <w:sz w:val="18"/>
                <w:szCs w:val="18"/>
                <w:color w:val="auto"/>
                <w:w w:val="94"/>
              </w:rPr>
              <w:t>(principal accounting officer)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20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Chair of the Supervisory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115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Helmut Jeggle</w:t>
      </w:r>
    </w:p>
    <w:p>
      <w:pPr>
        <w:spacing w:after="0" w:line="23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115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Michael Motschmann</w:t>
      </w:r>
    </w:p>
    <w:p>
      <w:pPr>
        <w:spacing w:after="0" w:line="23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115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Prof. Christoph Huber, M.D.</w:t>
      </w:r>
    </w:p>
    <w:p>
      <w:pPr>
        <w:spacing w:after="0" w:line="23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115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Dr. Ulrich Wandschneider</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the undersigned, the duly authorized representative in the United States of</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w w:val="98"/>
              </w:rPr>
              <w:t>BioNTech SE has signed this registration statement on</w:t>
            </w:r>
          </w:p>
        </w:tc>
        <w:tc>
          <w:tcPr>
            <w:tcW w:w="8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282575</wp:posOffset>
            </wp:positionV>
            <wp:extent cx="27000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w:t>
      </w:r>
    </w:p>
    <w:sectPr>
      <w:pgSz w:w="11900" w:h="16838" w:orient="portrait"/>
      <w:cols w:equalWidth="0" w:num="1">
        <w:col w:w="11100"/>
      </w:cols>
      <w:pgMar w:left="320" w:top="4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32AB86"/>
    <w:multiLevelType w:val="hybridMultilevel"/>
    <w:lvl w:ilvl="0">
      <w:lvlJc w:val="left"/>
      <w:lvlText w:val="†"/>
      <w:numFmt w:val="bullet"/>
      <w:start w:val="1"/>
    </w:lvl>
  </w:abstractNum>
  <w:abstractNum w:abstractNumId="1">
    <w:nsid w:val="3F07ACC3"/>
    <w:multiLevelType w:val="hybridMultilevel"/>
    <w:lvl w:ilvl="0">
      <w:lvlJc w:val="left"/>
      <w:lvlText w:val="(%1)"/>
      <w:numFmt w:val="decimal"/>
      <w:start w:val="2"/>
    </w:lvl>
  </w:abstractNum>
  <w:abstractNum w:abstractNumId="2">
    <w:nsid w:val="6B47F63E"/>
    <w:multiLevelType w:val="hybridMultilevel"/>
    <w:lvl w:ilvl="0">
      <w:lvlJc w:val="left"/>
      <w:lvlText w:val="(%1)"/>
      <w:numFmt w:val="decimal"/>
      <w:start w:val="4"/>
    </w:lvl>
  </w:abstractNum>
  <w:abstractNum w:abstractNumId="3">
    <w:nsid w:val="5CB44A05"/>
    <w:multiLevelType w:val="hybridMultilevel"/>
    <w:lvl w:ilvl="0">
      <w:lvlJc w:val="left"/>
      <w:lvlText w:val="(%1)"/>
      <w:numFmt w:val="decimal"/>
      <w:start w:val="1"/>
    </w:lvl>
  </w:abstractNum>
  <w:abstractNum w:abstractNumId="4">
    <w:nsid w:val="16CF80F1"/>
    <w:multiLevelType w:val="hybridMultilevel"/>
    <w:lvl w:ilvl="0">
      <w:lvlJc w:val="left"/>
      <w:lvlText w:val="•"/>
      <w:numFmt w:val="bullet"/>
      <w:start w:val="1"/>
    </w:lvl>
  </w:abstractNum>
  <w:abstractNum w:abstractNumId="5">
    <w:nsid w:val="1C695DEC"/>
    <w:multiLevelType w:val="hybridMultilevel"/>
    <w:lvl w:ilvl="0">
      <w:lvlJc w:val="left"/>
      <w:lvlText w:val="•"/>
      <w:numFmt w:val="bullet"/>
      <w:start w:val="1"/>
    </w:lvl>
  </w:abstractNum>
  <w:abstractNum w:abstractNumId="6">
    <w:nsid w:val="3FCFAED9"/>
    <w:multiLevelType w:val="hybridMultilevel"/>
    <w:lvl w:ilvl="0">
      <w:lvlJc w:val="left"/>
      <w:lvlText w:val="1"/>
      <w:numFmt w:val="bullet"/>
      <w:start w:val="1"/>
    </w:lvl>
  </w:abstractNum>
  <w:abstractNum w:abstractNumId="7">
    <w:nsid w:val="F856867"/>
    <w:multiLevelType w:val="hybridMultilevel"/>
    <w:lvl w:ilvl="0">
      <w:lvlJc w:val="left"/>
      <w:lvlText w:val="•"/>
      <w:numFmt w:val="bullet"/>
      <w:start w:val="1"/>
    </w:lvl>
  </w:abstractNum>
  <w:abstractNum w:abstractNumId="8">
    <w:nsid w:val="11B1CC33"/>
    <w:multiLevelType w:val="hybridMultilevel"/>
    <w:lvl w:ilvl="0">
      <w:lvlJc w:val="left"/>
      <w:lvlText w:val="•"/>
      <w:numFmt w:val="bullet"/>
      <w:start w:val="1"/>
    </w:lvl>
  </w:abstractNum>
  <w:abstractNum w:abstractNumId="9">
    <w:nsid w:val="2E22FBB7"/>
    <w:multiLevelType w:val="hybridMultilevel"/>
    <w:lvl w:ilvl="0">
      <w:lvlJc w:val="left"/>
      <w:lvlText w:val="•"/>
      <w:numFmt w:val="bullet"/>
      <w:start w:val="1"/>
    </w:lvl>
  </w:abstractNum>
  <w:abstractNum w:abstractNumId="10">
    <w:nsid w:val="29934699"/>
    <w:multiLevelType w:val="hybridMultilevel"/>
    <w:lvl w:ilvl="0">
      <w:lvlJc w:val="left"/>
      <w:lvlText w:val="•"/>
      <w:numFmt w:val="bullet"/>
      <w:start w:val="1"/>
    </w:lvl>
  </w:abstractNum>
  <w:abstractNum w:abstractNumId="11">
    <w:nsid w:val="77485850"/>
    <w:multiLevelType w:val="hybridMultilevel"/>
    <w:lvl w:ilvl="0">
      <w:lvlJc w:val="left"/>
      <w:lvlText w:val="•"/>
      <w:numFmt w:val="bullet"/>
      <w:start w:val="1"/>
    </w:lvl>
  </w:abstractNum>
  <w:abstractNum w:abstractNumId="12">
    <w:nsid w:val="744939A3"/>
    <w:multiLevelType w:val="hybridMultilevel"/>
    <w:lvl w:ilvl="0">
      <w:lvlJc w:val="left"/>
      <w:lvlText w:val="•"/>
      <w:numFmt w:val="bullet"/>
      <w:start w:val="1"/>
    </w:lvl>
  </w:abstractNum>
  <w:abstractNum w:abstractNumId="13">
    <w:nsid w:val="4FA0D2E3"/>
    <w:multiLevelType w:val="hybridMultilevel"/>
    <w:lvl w:ilvl="0">
      <w:lvlJc w:val="left"/>
      <w:lvlText w:val="•"/>
      <w:numFmt w:val="bullet"/>
      <w:start w:val="1"/>
    </w:lvl>
  </w:abstractNum>
  <w:abstractNum w:abstractNumId="14">
    <w:nsid w:val="6B1D2C14"/>
    <w:multiLevelType w:val="hybridMultilevel"/>
    <w:lvl w:ilvl="0">
      <w:lvlJc w:val="left"/>
      <w:lvlText w:val="•"/>
      <w:numFmt w:val="bullet"/>
      <w:start w:val="1"/>
    </w:lvl>
  </w:abstractNum>
  <w:abstractNum w:abstractNumId="15">
    <w:nsid w:val="68B867D3"/>
    <w:multiLevelType w:val="hybridMultilevel"/>
    <w:lvl w:ilvl="0">
      <w:lvlJc w:val="left"/>
      <w:lvlText w:val="$"/>
      <w:numFmt w:val="bullet"/>
      <w:start w:val="1"/>
    </w:lvl>
  </w:abstractNum>
  <w:abstractNum w:abstractNumId="16">
    <w:nsid w:val="3F7F5DD9"/>
    <w:multiLevelType w:val="hybridMultilevel"/>
    <w:lvl w:ilvl="0">
      <w:lvlJc w:val="left"/>
      <w:lvlText w:val="•"/>
      <w:numFmt w:val="bullet"/>
      <w:start w:val="1"/>
    </w:lvl>
  </w:abstractNum>
  <w:abstractNum w:abstractNumId="17">
    <w:nsid w:val="2AE05A34"/>
    <w:multiLevelType w:val="hybridMultilevel"/>
    <w:lvl w:ilvl="0">
      <w:lvlJc w:val="left"/>
      <w:lvlText w:val="•"/>
      <w:numFmt w:val="bullet"/>
      <w:start w:val="1"/>
    </w:lvl>
  </w:abstractNum>
  <w:abstractNum w:abstractNumId="18">
    <w:nsid w:val="32794FF7"/>
    <w:multiLevelType w:val="hybridMultilevel"/>
    <w:lvl w:ilvl="0">
      <w:lvlJc w:val="left"/>
      <w:lvlText w:val="•"/>
      <w:numFmt w:val="bullet"/>
      <w:start w:val="1"/>
    </w:lvl>
  </w:abstractNum>
  <w:abstractNum w:abstractNumId="19">
    <w:nsid w:val="5454945E"/>
    <w:multiLevelType w:val="hybridMultilevel"/>
    <w:lvl w:ilvl="0">
      <w:lvlJc w:val="left"/>
      <w:lvlText w:val="•"/>
      <w:numFmt w:val="bullet"/>
      <w:start w:val="1"/>
    </w:lvl>
  </w:abstractNum>
  <w:abstractNum w:abstractNumId="20">
    <w:nsid w:val="4DEFDFA0"/>
    <w:multiLevelType w:val="hybridMultilevel"/>
    <w:lvl w:ilvl="0">
      <w:lvlJc w:val="left"/>
      <w:lvlText w:val="•"/>
      <w:numFmt w:val="bullet"/>
      <w:start w:val="1"/>
    </w:lvl>
  </w:abstractNum>
  <w:abstractNum w:abstractNumId="21">
    <w:nsid w:val="2123D5F2"/>
    <w:multiLevelType w:val="hybridMultilevel"/>
    <w:lvl w:ilvl="0">
      <w:lvlJc w:val="left"/>
      <w:lvlText w:val="•"/>
      <w:numFmt w:val="bullet"/>
      <w:start w:val="1"/>
    </w:lvl>
  </w:abstractNum>
  <w:abstractNum w:abstractNumId="22">
    <w:nsid w:val="135B8110"/>
    <w:multiLevelType w:val="hybridMultilevel"/>
    <w:lvl w:ilvl="0">
      <w:lvlJc w:val="left"/>
      <w:lvlText w:val="•"/>
      <w:numFmt w:val="bullet"/>
      <w:start w:val="1"/>
    </w:lvl>
  </w:abstractNum>
  <w:abstractNum w:abstractNumId="23">
    <w:nsid w:val="94927A8"/>
    <w:multiLevelType w:val="hybridMultilevel"/>
    <w:lvl w:ilvl="0">
      <w:lvlJc w:val="left"/>
      <w:lvlText w:val="•"/>
      <w:numFmt w:val="bullet"/>
      <w:start w:val="1"/>
    </w:lvl>
  </w:abstractNum>
  <w:abstractNum w:abstractNumId="24">
    <w:nsid w:val="DCDF8F6"/>
    <w:multiLevelType w:val="hybridMultilevel"/>
    <w:lvl w:ilvl="0">
      <w:lvlJc w:val="left"/>
      <w:lvlText w:val="•"/>
      <w:numFmt w:val="bullet"/>
      <w:start w:val="1"/>
    </w:lvl>
  </w:abstractNum>
  <w:abstractNum w:abstractNumId="25">
    <w:nsid w:val="52D7B105"/>
    <w:multiLevelType w:val="hybridMultilevel"/>
    <w:lvl w:ilvl="0">
      <w:lvlJc w:val="left"/>
      <w:lvlText w:val="•"/>
      <w:numFmt w:val="bullet"/>
      <w:start w:val="1"/>
    </w:lvl>
  </w:abstractNum>
  <w:abstractNum w:abstractNumId="26">
    <w:nsid w:val="2E8A6394"/>
    <w:multiLevelType w:val="hybridMultilevel"/>
    <w:lvl w:ilvl="0">
      <w:lvlJc w:val="left"/>
      <w:lvlText w:val="•"/>
      <w:numFmt w:val="bullet"/>
      <w:start w:val="1"/>
    </w:lvl>
  </w:abstractNum>
  <w:abstractNum w:abstractNumId="27">
    <w:nsid w:val="24E60401"/>
    <w:multiLevelType w:val="hybridMultilevel"/>
    <w:lvl w:ilvl="0">
      <w:lvlJc w:val="left"/>
      <w:lvlText w:val="•"/>
      <w:numFmt w:val="bullet"/>
      <w:start w:val="1"/>
    </w:lvl>
  </w:abstractNum>
  <w:abstractNum w:abstractNumId="28">
    <w:nsid w:val="2A6AD9BE"/>
    <w:multiLevelType w:val="hybridMultilevel"/>
    <w:lvl w:ilvl="0">
      <w:lvlJc w:val="left"/>
      <w:lvlText w:val="•"/>
      <w:numFmt w:val="bullet"/>
      <w:start w:val="1"/>
    </w:lvl>
  </w:abstractNum>
  <w:abstractNum w:abstractNumId="29">
    <w:nsid w:val="BAAC1B4"/>
    <w:multiLevelType w:val="hybridMultilevel"/>
    <w:lvl w:ilvl="0">
      <w:lvlJc w:val="left"/>
      <w:lvlText w:val="•"/>
      <w:numFmt w:val="bullet"/>
      <w:start w:val="1"/>
    </w:lvl>
  </w:abstractNum>
  <w:abstractNum w:abstractNumId="30">
    <w:nsid w:val="36B2ACBC"/>
    <w:multiLevelType w:val="hybridMultilevel"/>
    <w:lvl w:ilvl="0">
      <w:lvlJc w:val="left"/>
      <w:lvlText w:val="•"/>
      <w:numFmt w:val="bullet"/>
      <w:start w:val="1"/>
    </w:lvl>
  </w:abstractNum>
  <w:abstractNum w:abstractNumId="31">
    <w:nsid w:val="779D8544"/>
    <w:multiLevelType w:val="hybridMultilevel"/>
    <w:lvl w:ilvl="0">
      <w:lvlJc w:val="left"/>
      <w:lvlText w:val="•"/>
      <w:numFmt w:val="bullet"/>
      <w:start w:val="1"/>
    </w:lvl>
  </w:abstractNum>
  <w:abstractNum w:abstractNumId="32">
    <w:nsid w:val="4AB26E78"/>
    <w:multiLevelType w:val="hybridMultilevel"/>
    <w:lvl w:ilvl="0">
      <w:lvlJc w:val="left"/>
      <w:lvlText w:val="•"/>
      <w:numFmt w:val="bullet"/>
      <w:start w:val="1"/>
    </w:lvl>
  </w:abstractNum>
  <w:abstractNum w:abstractNumId="33">
    <w:nsid w:val="21FAA2FA"/>
    <w:multiLevelType w:val="hybridMultilevel"/>
    <w:lvl w:ilvl="0">
      <w:lvlJc w:val="left"/>
      <w:lvlText w:val="•"/>
      <w:numFmt w:val="bullet"/>
      <w:start w:val="1"/>
    </w:lvl>
  </w:abstractNum>
  <w:abstractNum w:abstractNumId="34">
    <w:nsid w:val="5451CF49"/>
    <w:multiLevelType w:val="hybridMultilevel"/>
    <w:lvl w:ilvl="0">
      <w:lvlJc w:val="left"/>
      <w:lvlText w:val="•"/>
      <w:numFmt w:val="bullet"/>
      <w:start w:val="1"/>
    </w:lvl>
  </w:abstractNum>
  <w:abstractNum w:abstractNumId="35">
    <w:nsid w:val="6181EF69"/>
    <w:multiLevelType w:val="hybridMultilevel"/>
    <w:lvl w:ilvl="0">
      <w:lvlJc w:val="left"/>
      <w:lvlText w:val="•"/>
      <w:numFmt w:val="bullet"/>
      <w:start w:val="1"/>
    </w:lvl>
  </w:abstractNum>
  <w:abstractNum w:abstractNumId="36">
    <w:nsid w:val="3E6400E6"/>
    <w:multiLevelType w:val="hybridMultilevel"/>
    <w:lvl w:ilvl="0">
      <w:lvlJc w:val="left"/>
      <w:lvlText w:val="•"/>
      <w:numFmt w:val="bullet"/>
      <w:start w:val="1"/>
    </w:lvl>
  </w:abstractNum>
  <w:abstractNum w:abstractNumId="37">
    <w:nsid w:val="14217E23"/>
    <w:multiLevelType w:val="hybridMultilevel"/>
    <w:lvl w:ilvl="0">
      <w:lvlJc w:val="left"/>
      <w:lvlText w:val="•"/>
      <w:numFmt w:val="bullet"/>
      <w:start w:val="1"/>
    </w:lvl>
  </w:abstractNum>
  <w:abstractNum w:abstractNumId="38">
    <w:nsid w:val="710757D0"/>
    <w:multiLevelType w:val="hybridMultilevel"/>
    <w:lvl w:ilvl="0">
      <w:lvlJc w:val="left"/>
      <w:lvlText w:val="•"/>
      <w:numFmt w:val="bullet"/>
      <w:start w:val="1"/>
    </w:lvl>
  </w:abstractNum>
  <w:abstractNum w:abstractNumId="39">
    <w:nsid w:val="5015CD1A"/>
    <w:multiLevelType w:val="hybridMultilevel"/>
    <w:lvl w:ilvl="0">
      <w:lvlJc w:val="left"/>
      <w:lvlText w:val="•"/>
      <w:numFmt w:val="bullet"/>
      <w:start w:val="1"/>
    </w:lvl>
  </w:abstractNum>
  <w:abstractNum w:abstractNumId="40">
    <w:nsid w:val="424479DA"/>
    <w:multiLevelType w:val="hybridMultilevel"/>
    <w:lvl w:ilvl="0">
      <w:lvlJc w:val="left"/>
      <w:lvlText w:val="•"/>
      <w:numFmt w:val="bullet"/>
      <w:start w:val="1"/>
    </w:lvl>
  </w:abstractNum>
  <w:abstractNum w:abstractNumId="41">
    <w:nsid w:val="1A9A9E69"/>
    <w:multiLevelType w:val="hybridMultilevel"/>
    <w:lvl w:ilvl="0">
      <w:lvlJc w:val="left"/>
      <w:lvlText w:val="•"/>
      <w:numFmt w:val="bullet"/>
      <w:start w:val="1"/>
    </w:lvl>
  </w:abstractNum>
  <w:abstractNum w:abstractNumId="42">
    <w:nsid w:val="475E256A"/>
    <w:multiLevelType w:val="hybridMultilevel"/>
    <w:lvl w:ilvl="0">
      <w:lvlJc w:val="left"/>
      <w:lvlText w:val="•"/>
      <w:numFmt w:val="bullet"/>
      <w:start w:val="1"/>
    </w:lvl>
  </w:abstractNum>
  <w:abstractNum w:abstractNumId="43">
    <w:nsid w:val="368DB37E"/>
    <w:multiLevelType w:val="hybridMultilevel"/>
    <w:lvl w:ilvl="0">
      <w:lvlJc w:val="left"/>
      <w:lvlText w:val="•"/>
      <w:numFmt w:val="bullet"/>
      <w:start w:val="1"/>
    </w:lvl>
  </w:abstractNum>
  <w:abstractNum w:abstractNumId="44">
    <w:nsid w:val="6A3B714C"/>
    <w:multiLevelType w:val="hybridMultilevel"/>
    <w:lvl w:ilvl="0">
      <w:lvlJc w:val="left"/>
      <w:lvlText w:val="•"/>
      <w:numFmt w:val="bullet"/>
      <w:start w:val="1"/>
    </w:lvl>
  </w:abstractNum>
  <w:abstractNum w:abstractNumId="45">
    <w:nsid w:val="327B517E"/>
    <w:multiLevelType w:val="hybridMultilevel"/>
    <w:lvl w:ilvl="0">
      <w:lvlJc w:val="left"/>
      <w:lvlText w:val="•"/>
      <w:numFmt w:val="bullet"/>
      <w:start w:val="1"/>
    </w:lvl>
  </w:abstractNum>
  <w:abstractNum w:abstractNumId="46">
    <w:nsid w:val="1F461B51"/>
    <w:multiLevelType w:val="hybridMultilevel"/>
    <w:lvl w:ilvl="0">
      <w:lvlJc w:val="left"/>
      <w:lvlText w:val="•"/>
      <w:numFmt w:val="bullet"/>
      <w:start w:val="1"/>
    </w:lvl>
  </w:abstractNum>
  <w:abstractNum w:abstractNumId="47">
    <w:nsid w:val="29BACF25"/>
    <w:multiLevelType w:val="hybridMultilevel"/>
    <w:lvl w:ilvl="0">
      <w:lvlJc w:val="left"/>
      <w:lvlText w:val="•"/>
      <w:numFmt w:val="bullet"/>
      <w:start w:val="1"/>
    </w:lvl>
  </w:abstractNum>
  <w:abstractNum w:abstractNumId="48">
    <w:nsid w:val="5D5BABB3"/>
    <w:multiLevelType w:val="hybridMultilevel"/>
    <w:lvl w:ilvl="0">
      <w:lvlJc w:val="left"/>
      <w:lvlText w:val="•"/>
      <w:numFmt w:val="bullet"/>
      <w:start w:val="1"/>
    </w:lvl>
  </w:abstractNum>
  <w:abstractNum w:abstractNumId="49">
    <w:nsid w:val="51BF6B48"/>
    <w:multiLevelType w:val="hybridMultilevel"/>
    <w:lvl w:ilvl="0">
      <w:lvlJc w:val="left"/>
      <w:lvlText w:val="•"/>
      <w:numFmt w:val="bullet"/>
      <w:start w:val="1"/>
    </w:lvl>
  </w:abstractNum>
  <w:abstractNum w:abstractNumId="50">
    <w:nsid w:val="7E0F6384"/>
    <w:multiLevelType w:val="hybridMultilevel"/>
    <w:lvl w:ilvl="0">
      <w:lvlJc w:val="left"/>
      <w:lvlText w:val="•"/>
      <w:numFmt w:val="bullet"/>
      <w:start w:val="1"/>
    </w:lvl>
  </w:abstractNum>
  <w:abstractNum w:abstractNumId="51">
    <w:nsid w:val="2B4B8B53"/>
    <w:multiLevelType w:val="hybridMultilevel"/>
    <w:lvl w:ilvl="0">
      <w:lvlJc w:val="left"/>
      <w:lvlText w:val="•"/>
      <w:numFmt w:val="bullet"/>
      <w:start w:val="1"/>
    </w:lvl>
  </w:abstractNum>
  <w:abstractNum w:abstractNumId="52">
    <w:nsid w:val="72E3413A"/>
    <w:multiLevelType w:val="hybridMultilevel"/>
    <w:lvl w:ilvl="0">
      <w:lvlJc w:val="left"/>
      <w:lvlText w:val="•"/>
      <w:numFmt w:val="bullet"/>
      <w:start w:val="1"/>
    </w:lvl>
  </w:abstractNum>
  <w:abstractNum w:abstractNumId="53">
    <w:nsid w:val="116AE494"/>
    <w:multiLevelType w:val="hybridMultilevel"/>
    <w:lvl w:ilvl="0">
      <w:lvlJc w:val="left"/>
      <w:lvlText w:val="•"/>
      <w:numFmt w:val="bullet"/>
      <w:start w:val="1"/>
    </w:lvl>
  </w:abstractNum>
  <w:abstractNum w:abstractNumId="54">
    <w:nsid w:val="3494B2FB"/>
    <w:multiLevelType w:val="hybridMultilevel"/>
    <w:lvl w:ilvl="0">
      <w:lvlJc w:val="left"/>
      <w:lvlText w:val="•"/>
      <w:numFmt w:val="bullet"/>
      <w:start w:val="1"/>
    </w:lvl>
  </w:abstractNum>
  <w:abstractNum w:abstractNumId="55">
    <w:nsid w:val="B13A31"/>
    <w:multiLevelType w:val="hybridMultilevel"/>
    <w:lvl w:ilvl="0">
      <w:lvlJc w:val="left"/>
      <w:lvlText w:val="•"/>
      <w:numFmt w:val="bullet"/>
      <w:start w:val="1"/>
    </w:lvl>
  </w:abstractNum>
  <w:abstractNum w:abstractNumId="56">
    <w:nsid w:val="64429599"/>
    <w:multiLevelType w:val="hybridMultilevel"/>
    <w:lvl w:ilvl="0">
      <w:lvlJc w:val="left"/>
      <w:lvlText w:val="•"/>
      <w:numFmt w:val="bullet"/>
      <w:start w:val="1"/>
    </w:lvl>
  </w:abstractNum>
  <w:abstractNum w:abstractNumId="57">
    <w:nsid w:val="631F1690"/>
    <w:multiLevelType w:val="hybridMultilevel"/>
    <w:lvl w:ilvl="0">
      <w:lvlJc w:val="left"/>
      <w:lvlText w:val="•"/>
      <w:numFmt w:val="bullet"/>
      <w:start w:val="1"/>
    </w:lvl>
  </w:abstractNum>
  <w:abstractNum w:abstractNumId="58">
    <w:nsid w:val="25973E32"/>
    <w:multiLevelType w:val="hybridMultilevel"/>
    <w:lvl w:ilvl="0">
      <w:lvlJc w:val="left"/>
      <w:lvlText w:val="•"/>
      <w:numFmt w:val="bullet"/>
      <w:start w:val="1"/>
    </w:lvl>
  </w:abstractNum>
  <w:abstractNum w:abstractNumId="59">
    <w:nsid w:val="EAD6F57"/>
    <w:multiLevelType w:val="hybridMultilevel"/>
    <w:lvl w:ilvl="0">
      <w:lvlJc w:val="left"/>
      <w:lvlText w:val="•"/>
      <w:numFmt w:val="bullet"/>
      <w:start w:val="1"/>
    </w:lvl>
  </w:abstractNum>
  <w:abstractNum w:abstractNumId="60">
    <w:nsid w:val="6EC9D844"/>
    <w:multiLevelType w:val="hybridMultilevel"/>
    <w:lvl w:ilvl="0">
      <w:lvlJc w:val="left"/>
      <w:lvlText w:val="•"/>
      <w:numFmt w:val="bullet"/>
      <w:start w:val="1"/>
    </w:lvl>
  </w:abstractNum>
  <w:abstractNum w:abstractNumId="61">
    <w:nsid w:val="5C49EAEE"/>
    <w:multiLevelType w:val="hybridMultilevel"/>
    <w:lvl w:ilvl="0">
      <w:lvlJc w:val="left"/>
      <w:lvlText w:val="•"/>
      <w:numFmt w:val="bullet"/>
      <w:start w:val="1"/>
    </w:lvl>
  </w:abstractNum>
  <w:abstractNum w:abstractNumId="62">
    <w:nsid w:val="64AF49B"/>
    <w:multiLevelType w:val="hybridMultilevel"/>
    <w:lvl w:ilvl="0">
      <w:lvlJc w:val="left"/>
      <w:lvlText w:val="•"/>
      <w:numFmt w:val="bullet"/>
      <w:start w:val="1"/>
    </w:lvl>
  </w:abstractNum>
  <w:abstractNum w:abstractNumId="63">
    <w:nsid w:val="397C46BC"/>
    <w:multiLevelType w:val="hybridMultilevel"/>
    <w:lvl w:ilvl="0">
      <w:lvlJc w:val="left"/>
      <w:lvlText w:val="•"/>
      <w:numFmt w:val="bullet"/>
      <w:start w:val="1"/>
    </w:lvl>
  </w:abstractNum>
  <w:abstractNum w:abstractNumId="64">
    <w:nsid w:val="7E448DE9"/>
    <w:multiLevelType w:val="hybridMultilevel"/>
    <w:lvl w:ilvl="0">
      <w:lvlJc w:val="left"/>
      <w:lvlText w:val="•"/>
      <w:numFmt w:val="bullet"/>
      <w:start w:val="1"/>
    </w:lvl>
  </w:abstractNum>
  <w:abstractNum w:abstractNumId="65">
    <w:nsid w:val="5A9CC3E5"/>
    <w:multiLevelType w:val="hybridMultilevel"/>
    <w:lvl w:ilvl="0">
      <w:lvlJc w:val="left"/>
      <w:lvlText w:val="•"/>
      <w:numFmt w:val="bullet"/>
      <w:start w:val="1"/>
    </w:lvl>
  </w:abstractNum>
  <w:abstractNum w:abstractNumId="66">
    <w:nsid w:val="1AFE3625"/>
    <w:multiLevelType w:val="hybridMultilevel"/>
    <w:lvl w:ilvl="0">
      <w:lvlJc w:val="left"/>
      <w:lvlText w:val="•"/>
      <w:numFmt w:val="bullet"/>
      <w:start w:val="1"/>
    </w:lvl>
  </w:abstractNum>
  <w:abstractNum w:abstractNumId="67">
    <w:nsid w:val="3CA88ECF"/>
    <w:multiLevelType w:val="hybridMultilevel"/>
    <w:lvl w:ilvl="0">
      <w:lvlJc w:val="left"/>
      <w:lvlText w:val="•"/>
      <w:numFmt w:val="bullet"/>
      <w:start w:val="1"/>
    </w:lvl>
  </w:abstractNum>
  <w:abstractNum w:abstractNumId="68">
    <w:nsid w:val="6EBE4208"/>
    <w:multiLevelType w:val="hybridMultilevel"/>
    <w:lvl w:ilvl="0">
      <w:lvlJc w:val="left"/>
      <w:lvlText w:val=")"/>
      <w:numFmt w:val="bullet"/>
      <w:start w:val="1"/>
    </w:lvl>
  </w:abstractNum>
  <w:abstractNum w:abstractNumId="69">
    <w:nsid w:val="C058DF5"/>
    <w:multiLevelType w:val="hybridMultilevel"/>
    <w:lvl w:ilvl="0">
      <w:lvlJc w:val="left"/>
      <w:lvlText w:val="•"/>
      <w:numFmt w:val="bullet"/>
      <w:start w:val="1"/>
    </w:lvl>
  </w:abstractNum>
  <w:abstractNum w:abstractNumId="70">
    <w:nsid w:val="CBE5BE9"/>
    <w:multiLevelType w:val="hybridMultilevel"/>
    <w:lvl w:ilvl="0">
      <w:lvlJc w:val="left"/>
      <w:lvlText w:val="•"/>
      <w:numFmt w:val="bullet"/>
      <w:start w:val="1"/>
    </w:lvl>
  </w:abstractNum>
  <w:abstractNum w:abstractNumId="71">
    <w:nsid w:val="3102BBE2"/>
    <w:multiLevelType w:val="hybridMultilevel"/>
    <w:lvl w:ilvl="0">
      <w:lvlJc w:val="left"/>
      <w:lvlText w:val="•"/>
      <w:numFmt w:val="bullet"/>
      <w:start w:val="1"/>
    </w:lvl>
  </w:abstractNum>
  <w:abstractNum w:abstractNumId="72">
    <w:nsid w:val="26A02C5E"/>
    <w:multiLevelType w:val="hybridMultilevel"/>
    <w:lvl w:ilvl="0">
      <w:lvlJc w:val="left"/>
      <w:lvlText w:val="•"/>
      <w:numFmt w:val="bullet"/>
      <w:start w:val="1"/>
    </w:lvl>
  </w:abstractNum>
  <w:abstractNum w:abstractNumId="73">
    <w:nsid w:val="541C8153"/>
    <w:multiLevelType w:val="hybridMultilevel"/>
    <w:lvl w:ilvl="0">
      <w:lvlJc w:val="left"/>
      <w:lvlText w:val="•"/>
      <w:numFmt w:val="bullet"/>
      <w:start w:val="1"/>
    </w:lvl>
  </w:abstractNum>
  <w:abstractNum w:abstractNumId="74">
    <w:nsid w:val="67906F60"/>
    <w:multiLevelType w:val="hybridMultilevel"/>
    <w:lvl w:ilvl="0">
      <w:lvlJc w:val="left"/>
      <w:lvlText w:val="•"/>
      <w:numFmt w:val="bullet"/>
      <w:start w:val="1"/>
    </w:lvl>
  </w:abstractNum>
  <w:abstractNum w:abstractNumId="75">
    <w:nsid w:val="10DB9DAA"/>
    <w:multiLevelType w:val="hybridMultilevel"/>
    <w:lvl w:ilvl="0">
      <w:lvlJc w:val="left"/>
      <w:lvlText w:val="•"/>
      <w:numFmt w:val="bullet"/>
      <w:start w:val="1"/>
    </w:lvl>
  </w:abstractNum>
  <w:abstractNum w:abstractNumId="76">
    <w:nsid w:val="697D2D2"/>
    <w:multiLevelType w:val="hybridMultilevel"/>
    <w:lvl w:ilvl="0">
      <w:lvlJc w:val="left"/>
      <w:lvlText w:val="•"/>
      <w:numFmt w:val="bullet"/>
      <w:start w:val="1"/>
    </w:lvl>
  </w:abstractNum>
  <w:abstractNum w:abstractNumId="77">
    <w:nsid w:val="6D68AB2"/>
    <w:multiLevelType w:val="hybridMultilevel"/>
    <w:lvl w:ilvl="0">
      <w:lvlJc w:val="left"/>
      <w:lvlText w:val="•"/>
      <w:numFmt w:val="bullet"/>
      <w:start w:val="1"/>
    </w:lvl>
  </w:abstractNum>
  <w:abstractNum w:abstractNumId="78">
    <w:nsid w:val="3A966CD0"/>
    <w:multiLevelType w:val="hybridMultilevel"/>
    <w:lvl w:ilvl="0">
      <w:lvlJc w:val="left"/>
      <w:lvlText w:val="•"/>
      <w:numFmt w:val="bullet"/>
      <w:start w:val="1"/>
    </w:lvl>
  </w:abstractNum>
  <w:abstractNum w:abstractNumId="79">
    <w:nsid w:val="63F37E85"/>
    <w:multiLevelType w:val="hybridMultilevel"/>
    <w:lvl w:ilvl="0">
      <w:lvlJc w:val="left"/>
      <w:lvlText w:val="%1."/>
      <w:numFmt w:val="upperLetter"/>
      <w:start w:val="9"/>
    </w:lvl>
  </w:abstractNum>
  <w:abstractNum w:abstractNumId="80">
    <w:nsid w:val="5895F5FA"/>
    <w:multiLevelType w:val="hybridMultilevel"/>
    <w:lvl w:ilvl="0">
      <w:lvlJc w:val="left"/>
      <w:lvlText w:val="•"/>
      <w:numFmt w:val="bullet"/>
      <w:start w:val="1"/>
    </w:lvl>
  </w:abstractNum>
  <w:abstractNum w:abstractNumId="81">
    <w:nsid w:val="38A5D054"/>
    <w:multiLevelType w:val="hybridMultilevel"/>
    <w:lvl w:ilvl="0">
      <w:lvlJc w:val="left"/>
      <w:lvlText w:val="%1."/>
      <w:numFmt w:val="upperLetter"/>
      <w:start w:val="1"/>
    </w:lvl>
  </w:abstractNum>
  <w:abstractNum w:abstractNumId="82">
    <w:nsid w:val="F3F09D8"/>
    <w:multiLevelType w:val="hybridMultilevel"/>
    <w:lvl w:ilvl="0">
      <w:lvlJc w:val="left"/>
      <w:lvlText w:val="1"/>
      <w:numFmt w:val="bullet"/>
      <w:start w:val="1"/>
    </w:lvl>
  </w:abstractNum>
  <w:abstractNum w:abstractNumId="83">
    <w:nsid w:val="4B793735"/>
    <w:multiLevelType w:val="hybridMultilevel"/>
    <w:lvl w:ilvl="0">
      <w:lvlJc w:val="left"/>
      <w:lvlText w:val="%1."/>
      <w:numFmt w:val="decimal"/>
      <w:start w:val="1"/>
    </w:lvl>
  </w:abstractNum>
  <w:abstractNum w:abstractNumId="84">
    <w:nsid w:val="4A10B4E8"/>
    <w:multiLevelType w:val="hybridMultilevel"/>
    <w:lvl w:ilvl="0">
      <w:lvlJc w:val="left"/>
      <w:lvlText w:val="•"/>
      <w:numFmt w:val="bullet"/>
      <w:start w:val="1"/>
    </w:lvl>
  </w:abstractNum>
  <w:abstractNum w:abstractNumId="85">
    <w:nsid w:val="43D3BCD4"/>
    <w:multiLevelType w:val="hybridMultilevel"/>
    <w:lvl w:ilvl="0">
      <w:lvlJc w:val="left"/>
      <w:lvlText w:val="%1."/>
      <w:numFmt w:val="decimal"/>
      <w:start w:val="2"/>
    </w:lvl>
  </w:abstractNum>
  <w:abstractNum w:abstractNumId="86">
    <w:nsid w:val="4C2A7166"/>
    <w:multiLevelType w:val="hybridMultilevel"/>
    <w:lvl w:ilvl="0">
      <w:lvlJc w:val="left"/>
      <w:lvlText w:val="•"/>
      <w:numFmt w:val="bullet"/>
      <w:start w:val="1"/>
    </w:lvl>
  </w:abstractNum>
  <w:abstractNum w:abstractNumId="87">
    <w:nsid w:val="2E534A82"/>
    <w:multiLevelType w:val="hybridMultilevel"/>
    <w:lvl w:ilvl="0">
      <w:lvlJc w:val="left"/>
      <w:lvlText w:val="%1."/>
      <w:numFmt w:val="decimal"/>
      <w:start w:val="3"/>
    </w:lvl>
  </w:abstractNum>
  <w:abstractNum w:abstractNumId="88">
    <w:nsid w:val="26F2D364"/>
    <w:multiLevelType w:val="hybridMultilevel"/>
    <w:lvl w:ilvl="0">
      <w:lvlJc w:val="left"/>
      <w:lvlText w:val="%1."/>
      <w:numFmt w:val="upperLetter"/>
      <w:start w:val="35"/>
    </w:lvl>
  </w:abstractNum>
  <w:abstractNum w:abstractNumId="89">
    <w:nsid w:val="71C1AF98"/>
    <w:multiLevelType w:val="hybridMultilevel"/>
    <w:lvl w:ilvl="0">
      <w:lvlJc w:val="left"/>
      <w:lvlText w:val="•"/>
      <w:numFmt w:val="bullet"/>
      <w:start w:val="1"/>
    </w:lvl>
  </w:abstractNum>
  <w:abstractNum w:abstractNumId="90">
    <w:nsid w:val="3D00B9D9"/>
    <w:multiLevelType w:val="hybridMultilevel"/>
    <w:lvl w:ilvl="0">
      <w:lvlJc w:val="left"/>
      <w:lvlText w:val="•"/>
      <w:numFmt w:val="bullet"/>
      <w:start w:val="1"/>
    </w:lvl>
  </w:abstractNum>
  <w:abstractNum w:abstractNumId="91">
    <w:nsid w:val="15BCABA8"/>
    <w:multiLevelType w:val="hybridMultilevel"/>
    <w:lvl w:ilvl="0">
      <w:lvlJc w:val="left"/>
      <w:lvlText w:val="•"/>
      <w:numFmt w:val="bullet"/>
      <w:start w:val="1"/>
    </w:lvl>
  </w:abstractNum>
  <w:abstractNum w:abstractNumId="92">
    <w:nsid w:val="4E0B9A87"/>
    <w:multiLevelType w:val="hybridMultilevel"/>
    <w:lvl w:ilvl="0">
      <w:lvlJc w:val="left"/>
      <w:lvlText w:val="•"/>
      <w:numFmt w:val="bullet"/>
      <w:start w:val="1"/>
    </w:lvl>
  </w:abstractNum>
  <w:abstractNum w:abstractNumId="93">
    <w:nsid w:val="434BAE75"/>
    <w:multiLevelType w:val="hybridMultilevel"/>
    <w:lvl w:ilvl="0">
      <w:lvlJc w:val="left"/>
      <w:lvlText w:val="•"/>
      <w:numFmt w:val="bullet"/>
      <w:start w:val="1"/>
    </w:lvl>
  </w:abstractNum>
  <w:abstractNum w:abstractNumId="94">
    <w:nsid w:val="4F38F265"/>
    <w:multiLevelType w:val="hybridMultilevel"/>
    <w:lvl w:ilvl="0">
      <w:lvlJc w:val="left"/>
      <w:lvlText w:val="•"/>
      <w:numFmt w:val="bullet"/>
      <w:start w:val="1"/>
    </w:lvl>
  </w:abstractNum>
  <w:abstractNum w:abstractNumId="95">
    <w:nsid w:val="4C502870"/>
    <w:multiLevelType w:val="hybridMultilevel"/>
    <w:lvl w:ilvl="0">
      <w:lvlJc w:val="left"/>
      <w:lvlText w:val="•"/>
      <w:numFmt w:val="bullet"/>
      <w:start w:val="1"/>
    </w:lvl>
    <w:lvl w:ilvl="1">
      <w:lvlJc w:val="left"/>
      <w:lvlText w:val="•"/>
      <w:numFmt w:val="bullet"/>
      <w:start w:val="1"/>
    </w:lvl>
  </w:abstractNum>
  <w:abstractNum w:abstractNumId="96">
    <w:nsid w:val="1DE8725A"/>
    <w:multiLevelType w:val="hybridMultilevel"/>
    <w:lvl w:ilvl="0">
      <w:lvlJc w:val="left"/>
      <w:lvlText w:val="•"/>
      <w:numFmt w:val="bullet"/>
      <w:start w:val="1"/>
    </w:lvl>
  </w:abstractNum>
  <w:abstractNum w:abstractNumId="97">
    <w:nsid w:val="6A37288A"/>
    <w:multiLevelType w:val="hybridMultilevel"/>
    <w:lvl w:ilvl="0">
      <w:lvlJc w:val="left"/>
      <w:lvlText w:val="•"/>
      <w:numFmt w:val="bullet"/>
      <w:start w:val="1"/>
    </w:lvl>
  </w:abstractNum>
  <w:abstractNum w:abstractNumId="98">
    <w:nsid w:val="8F8B73F"/>
    <w:multiLevelType w:val="hybridMultilevel"/>
    <w:lvl w:ilvl="0">
      <w:lvlJc w:val="left"/>
      <w:lvlText w:val="•"/>
      <w:numFmt w:val="bullet"/>
      <w:start w:val="1"/>
    </w:lvl>
  </w:abstractNum>
  <w:abstractNum w:abstractNumId="99">
    <w:nsid w:val="CA6B462"/>
    <w:multiLevelType w:val="hybridMultilevel"/>
    <w:lvl w:ilvl="0">
      <w:lvlJc w:val="left"/>
      <w:lvlText w:val="•"/>
      <w:numFmt w:val="bullet"/>
      <w:start w:val="1"/>
    </w:lvl>
  </w:abstractNum>
  <w:abstractNum w:abstractNumId="100">
    <w:nsid w:val="763CB680"/>
    <w:multiLevelType w:val="hybridMultilevel"/>
    <w:lvl w:ilvl="0">
      <w:lvlJc w:val="left"/>
      <w:lvlText w:val="•"/>
      <w:numFmt w:val="bullet"/>
      <w:start w:val="1"/>
    </w:lvl>
  </w:abstractNum>
  <w:abstractNum w:abstractNumId="101">
    <w:nsid w:val="15B71329"/>
    <w:multiLevelType w:val="hybridMultilevel"/>
    <w:lvl w:ilvl="0">
      <w:lvlJc w:val="left"/>
      <w:lvlText w:val="•"/>
      <w:numFmt w:val="bullet"/>
      <w:start w:val="1"/>
    </w:lvl>
  </w:abstractNum>
  <w:abstractNum w:abstractNumId="102">
    <w:nsid w:val="3DA97044"/>
    <w:multiLevelType w:val="hybridMultilevel"/>
    <w:lvl w:ilvl="0">
      <w:lvlJc w:val="left"/>
      <w:lvlText w:val="•"/>
      <w:numFmt w:val="bullet"/>
      <w:start w:val="1"/>
    </w:lvl>
  </w:abstractNum>
  <w:abstractNum w:abstractNumId="103">
    <w:nsid w:val="1CDCE2DE"/>
    <w:multiLevelType w:val="hybridMultilevel"/>
    <w:lvl w:ilvl="0">
      <w:lvlJc w:val="left"/>
      <w:lvlText w:val="•"/>
      <w:numFmt w:val="bullet"/>
      <w:start w:val="1"/>
    </w:lvl>
  </w:abstractNum>
  <w:abstractNum w:abstractNumId="104">
    <w:nsid w:val="69D3947C"/>
    <w:multiLevelType w:val="hybridMultilevel"/>
    <w:lvl w:ilvl="0">
      <w:lvlJc w:val="left"/>
      <w:lvlText w:val="•"/>
      <w:numFmt w:val="bullet"/>
      <w:start w:val="1"/>
    </w:lvl>
  </w:abstractNum>
  <w:abstractNum w:abstractNumId="105">
    <w:nsid w:val="2539DFA5"/>
    <w:multiLevelType w:val="hybridMultilevel"/>
    <w:lvl w:ilvl="0">
      <w:lvlJc w:val="left"/>
      <w:lvlText w:val="•"/>
      <w:numFmt w:val="bullet"/>
      <w:start w:val="1"/>
    </w:lvl>
  </w:abstractNum>
  <w:abstractNum w:abstractNumId="106">
    <w:nsid w:val="2DB88089"/>
    <w:multiLevelType w:val="hybridMultilevel"/>
    <w:lvl w:ilvl="0">
      <w:lvlJc w:val="left"/>
      <w:lvlText w:val="•"/>
      <w:numFmt w:val="bullet"/>
      <w:start w:val="1"/>
    </w:lvl>
  </w:abstractNum>
  <w:abstractNum w:abstractNumId="107">
    <w:nsid w:val="706B674E"/>
    <w:multiLevelType w:val="hybridMultilevel"/>
    <w:lvl w:ilvl="0">
      <w:lvlJc w:val="left"/>
      <w:lvlText w:val="%1."/>
      <w:numFmt w:val="upperLetter"/>
      <w:start w:val="22"/>
    </w:lvl>
  </w:abstractNum>
  <w:abstractNum w:abstractNumId="108">
    <w:nsid w:val="2C106A57"/>
    <w:multiLevelType w:val="hybridMultilevel"/>
    <w:lvl w:ilvl="0">
      <w:lvlJc w:val="left"/>
      <w:lvlText w:val="•"/>
      <w:numFmt w:val="bullet"/>
      <w:start w:val="1"/>
    </w:lvl>
  </w:abstractNum>
  <w:abstractNum w:abstractNumId="109">
    <w:nsid w:val="684EED59"/>
    <w:multiLevelType w:val="hybridMultilevel"/>
    <w:lvl w:ilvl="0">
      <w:lvlJc w:val="left"/>
      <w:lvlText w:val="•"/>
      <w:numFmt w:val="bullet"/>
      <w:start w:val="1"/>
    </w:lvl>
  </w:abstractNum>
  <w:abstractNum w:abstractNumId="110">
    <w:nsid w:val="545EE5D3"/>
    <w:multiLevelType w:val="hybridMultilevel"/>
    <w:lvl w:ilvl="0">
      <w:lvlJc w:val="left"/>
      <w:lvlText w:val="%1."/>
      <w:numFmt w:val="decimal"/>
      <w:start w:val="1"/>
    </w:lvl>
  </w:abstractNum>
  <w:abstractNum w:abstractNumId="111">
    <w:nsid w:val="4A66051"/>
    <w:multiLevelType w:val="hybridMultilevel"/>
    <w:lvl w:ilvl="0">
      <w:lvlJc w:val="left"/>
      <w:lvlText w:val="%1."/>
      <w:numFmt w:val="upperLetter"/>
      <w:start w:val="1"/>
    </w:lvl>
  </w:abstractNum>
  <w:abstractNum w:abstractNumId="112">
    <w:nsid w:val="20F4BDAD"/>
    <w:multiLevelType w:val="hybridMultilevel"/>
    <w:lvl w:ilvl="0">
      <w:lvlJc w:val="left"/>
      <w:lvlText w:val="%1."/>
      <w:numFmt w:val="decimal"/>
      <w:start w:val="1"/>
    </w:lvl>
  </w:abstractNum>
  <w:abstractNum w:abstractNumId="113">
    <w:nsid w:val="639DEFAC"/>
    <w:multiLevelType w:val="hybridMultilevel"/>
    <w:lvl w:ilvl="0">
      <w:lvlJc w:val="left"/>
      <w:lvlText w:val="•"/>
      <w:numFmt w:val="bullet"/>
      <w:start w:val="1"/>
    </w:lvl>
  </w:abstractNum>
  <w:abstractNum w:abstractNumId="114">
    <w:nsid w:val="501F9786"/>
    <w:multiLevelType w:val="hybridMultilevel"/>
    <w:lvl w:ilvl="0">
      <w:lvlJc w:val="left"/>
      <w:lvlText w:val="•"/>
      <w:numFmt w:val="bullet"/>
      <w:start w:val="1"/>
    </w:lvl>
  </w:abstractNum>
  <w:abstractNum w:abstractNumId="115">
    <w:nsid w:val="6B057295"/>
    <w:multiLevelType w:val="hybridMultilevel"/>
    <w:lvl w:ilvl="0">
      <w:lvlJc w:val="left"/>
      <w:lvlText w:val="%1."/>
      <w:numFmt w:val="decimal"/>
      <w:start w:val="2"/>
    </w:lvl>
  </w:abstractNum>
  <w:abstractNum w:abstractNumId="116">
    <w:nsid w:val="2771AC80"/>
    <w:multiLevelType w:val="hybridMultilevel"/>
    <w:lvl w:ilvl="0">
      <w:lvlJc w:val="left"/>
      <w:lvlText w:val="%1."/>
      <w:numFmt w:val="decimal"/>
      <w:start w:val="3"/>
    </w:lvl>
  </w:abstractNum>
  <w:abstractNum w:abstractNumId="117">
    <w:nsid w:val="1C4A08EC"/>
    <w:multiLevelType w:val="hybridMultilevel"/>
    <w:lvl w:ilvl="0">
      <w:lvlJc w:val="left"/>
      <w:lvlText w:val="%1."/>
      <w:numFmt w:val="upperLetter"/>
      <w:start w:val="2"/>
    </w:lvl>
  </w:abstractNum>
  <w:abstractNum w:abstractNumId="118">
    <w:nsid w:val="1958BD17"/>
    <w:multiLevelType w:val="hybridMultilevel"/>
    <w:lvl w:ilvl="0">
      <w:lvlJc w:val="left"/>
      <w:lvlText w:val="%1."/>
      <w:numFmt w:val="decimal"/>
      <w:start w:val="1"/>
    </w:lvl>
  </w:abstractNum>
  <w:abstractNum w:abstractNumId="119">
    <w:nsid w:val="4E647FE4"/>
    <w:multiLevelType w:val="hybridMultilevel"/>
    <w:lvl w:ilvl="0">
      <w:lvlJc w:val="left"/>
      <w:lvlText w:val="%1."/>
      <w:numFmt w:val="decimal"/>
      <w:start w:val="2"/>
    </w:lvl>
  </w:abstractNum>
  <w:abstractNum w:abstractNumId="120">
    <w:nsid w:val="E0BB885"/>
    <w:multiLevelType w:val="hybridMultilevel"/>
    <w:lvl w:ilvl="0">
      <w:lvlJc w:val="left"/>
      <w:lvlText w:val="%1."/>
      <w:numFmt w:val="upperLetter"/>
      <w:start w:val="3"/>
    </w:lvl>
  </w:abstractNum>
  <w:abstractNum w:abstractNumId="121">
    <w:nsid w:val="565976F1"/>
    <w:multiLevelType w:val="hybridMultilevel"/>
    <w:lvl w:ilvl="0">
      <w:lvlJc w:val="left"/>
      <w:lvlText w:val="%1."/>
      <w:numFmt w:val="decimal"/>
      <w:start w:val="1"/>
    </w:lvl>
  </w:abstractNum>
  <w:abstractNum w:abstractNumId="122">
    <w:nsid w:val="64212B8C"/>
    <w:multiLevelType w:val="hybridMultilevel"/>
    <w:lvl w:ilvl="0">
      <w:lvlJc w:val="left"/>
      <w:lvlText w:val="%1."/>
      <w:numFmt w:val="decimal"/>
      <w:start w:val="2"/>
    </w:lvl>
  </w:abstractNum>
  <w:abstractNum w:abstractNumId="123">
    <w:nsid w:val="5C17530C"/>
    <w:multiLevelType w:val="hybridMultilevel"/>
    <w:lvl w:ilvl="0">
      <w:lvlJc w:val="left"/>
      <w:lvlText w:val="•"/>
      <w:numFmt w:val="bullet"/>
      <w:start w:val="1"/>
    </w:lvl>
  </w:abstractNum>
  <w:abstractNum w:abstractNumId="124">
    <w:nsid w:val="19A52566"/>
    <w:multiLevelType w:val="hybridMultilevel"/>
    <w:lvl w:ilvl="0">
      <w:lvlJc w:val="left"/>
      <w:lvlText w:val="%1."/>
      <w:numFmt w:val="decimal"/>
      <w:start w:val="3"/>
    </w:lvl>
  </w:abstractNum>
  <w:abstractNum w:abstractNumId="125">
    <w:nsid w:val="335A1DF1"/>
    <w:multiLevelType w:val="hybridMultilevel"/>
    <w:lvl w:ilvl="0">
      <w:lvlJc w:val="left"/>
      <w:lvlText w:val="•"/>
      <w:numFmt w:val="bullet"/>
      <w:start w:val="1"/>
    </w:lvl>
  </w:abstractNum>
  <w:abstractNum w:abstractNumId="126">
    <w:nsid w:val="28677B7C"/>
    <w:multiLevelType w:val="hybridMultilevel"/>
    <w:lvl w:ilvl="0">
      <w:lvlJc w:val="left"/>
      <w:lvlText w:val="%1."/>
      <w:numFmt w:val="upperLetter"/>
      <w:start w:val="1"/>
    </w:lvl>
  </w:abstractNum>
  <w:abstractNum w:abstractNumId="127">
    <w:nsid w:val="378D97C0"/>
    <w:multiLevelType w:val="hybridMultilevel"/>
    <w:lvl w:ilvl="0">
      <w:lvlJc w:val="left"/>
      <w:lvlText w:val="•"/>
      <w:numFmt w:val="bullet"/>
      <w:start w:val="1"/>
    </w:lvl>
  </w:abstractNum>
  <w:abstractNum w:abstractNumId="128">
    <w:nsid w:val="1D91467C"/>
    <w:multiLevelType w:val="hybridMultilevel"/>
    <w:lvl w:ilvl="0">
      <w:lvlJc w:val="left"/>
      <w:lvlText w:val="•"/>
      <w:numFmt w:val="bullet"/>
      <w:start w:val="1"/>
    </w:lvl>
  </w:abstractNum>
  <w:abstractNum w:abstractNumId="129">
    <w:nsid w:val="316032BB"/>
    <w:multiLevelType w:val="hybridMultilevel"/>
    <w:lvl w:ilvl="0">
      <w:lvlJc w:val="left"/>
      <w:lvlText w:val="%1."/>
      <w:numFmt w:val="upperLetter"/>
      <w:start w:val="2"/>
    </w:lvl>
  </w:abstractNum>
  <w:abstractNum w:abstractNumId="130">
    <w:nsid w:val="44344C22"/>
    <w:multiLevelType w:val="hybridMultilevel"/>
    <w:lvl w:ilvl="0">
      <w:lvlJc w:val="left"/>
      <w:lvlText w:val="•"/>
      <w:numFmt w:val="bullet"/>
      <w:start w:val="1"/>
    </w:lvl>
  </w:abstractNum>
  <w:abstractNum w:abstractNumId="131">
    <w:nsid w:val="13CDFCFC"/>
    <w:multiLevelType w:val="hybridMultilevel"/>
    <w:lvl w:ilvl="0">
      <w:lvlJc w:val="left"/>
      <w:lvlText w:val="%1."/>
      <w:numFmt w:val="decimal"/>
      <w:start w:val="1"/>
    </w:lvl>
  </w:abstractNum>
  <w:abstractNum w:abstractNumId="132">
    <w:nsid w:val="471745E4"/>
    <w:multiLevelType w:val="hybridMultilevel"/>
    <w:lvl w:ilvl="0">
      <w:lvlJc w:val="left"/>
      <w:lvlText w:val="%1."/>
      <w:numFmt w:val="decimal"/>
      <w:start w:val="2"/>
    </w:lvl>
  </w:abstractNum>
  <w:abstractNum w:abstractNumId="133">
    <w:nsid w:val="1DDBC66"/>
    <w:multiLevelType w:val="hybridMultilevel"/>
    <w:lvl w:ilvl="0">
      <w:lvlJc w:val="left"/>
      <w:lvlText w:val="%1."/>
      <w:numFmt w:val="decimal"/>
      <w:start w:val="3"/>
    </w:lvl>
  </w:abstractNum>
  <w:abstractNum w:abstractNumId="134">
    <w:nsid w:val="30AADFDA"/>
    <w:multiLevelType w:val="hybridMultilevel"/>
    <w:lvl w:ilvl="0">
      <w:lvlJc w:val="left"/>
      <w:lvlText w:val="%1."/>
      <w:numFmt w:val="decimal"/>
      <w:start w:val="4"/>
    </w:lvl>
  </w:abstractNum>
  <w:abstractNum w:abstractNumId="135">
    <w:nsid w:val="30EADA61"/>
    <w:multiLevelType w:val="hybridMultilevel"/>
    <w:lvl w:ilvl="0">
      <w:lvlJc w:val="left"/>
      <w:lvlText w:val="%1."/>
      <w:numFmt w:val="upperLetter"/>
      <w:start w:val="3"/>
    </w:lvl>
  </w:abstractNum>
  <w:abstractNum w:abstractNumId="136">
    <w:nsid w:val="27179C0B"/>
    <w:multiLevelType w:val="hybridMultilevel"/>
    <w:lvl w:ilvl="0">
      <w:lvlJc w:val="left"/>
      <w:lvlText w:val="•"/>
      <w:numFmt w:val="bullet"/>
      <w:start w:val="1"/>
    </w:lvl>
  </w:abstractNum>
  <w:abstractNum w:abstractNumId="137">
    <w:nsid w:val="5E636063"/>
    <w:multiLevelType w:val="hybridMultilevel"/>
    <w:lvl w:ilvl="0">
      <w:lvlJc w:val="left"/>
      <w:lvlText w:val="•"/>
      <w:numFmt w:val="bullet"/>
      <w:start w:val="1"/>
    </w:lvl>
  </w:abstractNum>
  <w:abstractNum w:abstractNumId="138">
    <w:nsid w:val="215641AF"/>
    <w:multiLevelType w:val="hybridMultilevel"/>
    <w:lvl w:ilvl="0">
      <w:lvlJc w:val="left"/>
      <w:lvlText w:val="%1."/>
      <w:numFmt w:val="upperLetter"/>
      <w:start w:val="4"/>
    </w:lvl>
  </w:abstractNum>
  <w:abstractNum w:abstractNumId="139">
    <w:nsid w:val="53280662"/>
    <w:multiLevelType w:val="hybridMultilevel"/>
    <w:lvl w:ilvl="0">
      <w:lvlJc w:val="left"/>
      <w:lvlText w:val="%1."/>
      <w:numFmt w:val="decimal"/>
      <w:start w:val="1"/>
    </w:lvl>
  </w:abstractNum>
  <w:abstractNum w:abstractNumId="140">
    <w:nsid w:val="46B24DBC"/>
    <w:multiLevelType w:val="hybridMultilevel"/>
    <w:lvl w:ilvl="0">
      <w:lvlJc w:val="left"/>
      <w:lvlText w:val="•"/>
      <w:numFmt w:val="bullet"/>
      <w:start w:val="1"/>
    </w:lvl>
  </w:abstractNum>
  <w:abstractNum w:abstractNumId="141">
    <w:nsid w:val="75B52783"/>
    <w:multiLevelType w:val="hybridMultilevel"/>
    <w:lvl w:ilvl="0">
      <w:lvlJc w:val="left"/>
      <w:lvlText w:val="%1)"/>
      <w:numFmt w:val="lowerLetter"/>
      <w:start w:val="1"/>
    </w:lvl>
  </w:abstractNum>
  <w:abstractNum w:abstractNumId="142">
    <w:nsid w:val="57CE66B4"/>
    <w:multiLevelType w:val="hybridMultilevel"/>
    <w:lvl w:ilvl="0">
      <w:lvlJc w:val="left"/>
      <w:lvlText w:val="•"/>
      <w:numFmt w:val="bullet"/>
      <w:start w:val="1"/>
    </w:lvl>
  </w:abstractNum>
  <w:abstractNum w:abstractNumId="143">
    <w:nsid w:val="67A70B69"/>
    <w:multiLevelType w:val="hybridMultilevel"/>
    <w:lvl w:ilvl="0">
      <w:lvlJc w:val="left"/>
      <w:lvlText w:val="%1)"/>
      <w:numFmt w:val="lowerLetter"/>
      <w:start w:val="2"/>
    </w:lvl>
  </w:abstractNum>
  <w:abstractNum w:abstractNumId="144">
    <w:nsid w:val="5953172F"/>
    <w:multiLevelType w:val="hybridMultilevel"/>
    <w:lvl w:ilvl="0">
      <w:lvlJc w:val="left"/>
      <w:lvlText w:val="•"/>
      <w:numFmt w:val="bullet"/>
      <w:start w:val="1"/>
    </w:lvl>
  </w:abstractNum>
  <w:abstractNum w:abstractNumId="145">
    <w:nsid w:val="27EDFE3A"/>
    <w:multiLevelType w:val="hybridMultilevel"/>
    <w:lvl w:ilvl="0">
      <w:lvlJc w:val="left"/>
      <w:lvlText w:val="•"/>
      <w:numFmt w:val="bullet"/>
      <w:start w:val="1"/>
    </w:lvl>
  </w:abstractNum>
  <w:abstractNum w:abstractNumId="146">
    <w:nsid w:val="52AC7DFF"/>
    <w:multiLevelType w:val="hybridMultilevel"/>
    <w:lvl w:ilvl="0">
      <w:lvlJc w:val="left"/>
      <w:lvlText w:val="•"/>
      <w:numFmt w:val="bullet"/>
      <w:start w:val="1"/>
    </w:lvl>
  </w:abstractNum>
  <w:abstractNum w:abstractNumId="147">
    <w:nsid w:val="C4C3AF"/>
    <w:multiLevelType w:val="hybridMultilevel"/>
    <w:lvl w:ilvl="0">
      <w:lvlJc w:val="left"/>
      <w:lvlText w:val="%1)"/>
      <w:numFmt w:val="lowerLetter"/>
      <w:start w:val="3"/>
    </w:lvl>
  </w:abstractNum>
  <w:abstractNum w:abstractNumId="148">
    <w:nsid w:val="44380727"/>
    <w:multiLevelType w:val="hybridMultilevel"/>
    <w:lvl w:ilvl="0">
      <w:lvlJc w:val="left"/>
      <w:lvlText w:val="•"/>
      <w:numFmt w:val="bullet"/>
      <w:start w:val="1"/>
    </w:lvl>
  </w:abstractNum>
  <w:abstractNum w:abstractNumId="149">
    <w:nsid w:val="6C053B16"/>
    <w:multiLevelType w:val="hybridMultilevel"/>
    <w:lvl w:ilvl="0">
      <w:lvlJc w:val="left"/>
      <w:lvlText w:val="%1."/>
      <w:numFmt w:val="decimal"/>
      <w:start w:val="2"/>
    </w:lvl>
  </w:abstractNum>
  <w:abstractNum w:abstractNumId="150">
    <w:nsid w:val="4F294393"/>
    <w:multiLevelType w:val="hybridMultilevel"/>
    <w:lvl w:ilvl="0">
      <w:lvlJc w:val="left"/>
      <w:lvlText w:val="•"/>
      <w:numFmt w:val="bullet"/>
      <w:start w:val="1"/>
    </w:lvl>
  </w:abstractNum>
  <w:abstractNum w:abstractNumId="151">
    <w:nsid w:val="5243BFAC"/>
    <w:multiLevelType w:val="hybridMultilevel"/>
    <w:lvl w:ilvl="0">
      <w:lvlJc w:val="left"/>
      <w:lvlText w:val="•"/>
      <w:numFmt w:val="bullet"/>
      <w:start w:val="1"/>
    </w:lvl>
  </w:abstractNum>
  <w:abstractNum w:abstractNumId="152">
    <w:nsid w:val="425EB207"/>
    <w:multiLevelType w:val="hybridMultilevel"/>
    <w:lvl w:ilvl="0">
      <w:lvlJc w:val="left"/>
      <w:lvlText w:val="•"/>
      <w:numFmt w:val="bullet"/>
      <w:start w:val="1"/>
    </w:lvl>
  </w:abstractNum>
  <w:abstractNum w:abstractNumId="153">
    <w:nsid w:val="334A6F1F"/>
    <w:multiLevelType w:val="hybridMultilevel"/>
    <w:lvl w:ilvl="0">
      <w:lvlJc w:val="left"/>
      <w:lvlText w:val="•"/>
      <w:numFmt w:val="bullet"/>
      <w:start w:val="1"/>
    </w:lvl>
  </w:abstractNum>
  <w:abstractNum w:abstractNumId="154">
    <w:nsid w:val="2E5B12B8"/>
    <w:multiLevelType w:val="hybridMultilevel"/>
    <w:lvl w:ilvl="0">
      <w:lvlJc w:val="left"/>
      <w:lvlText w:val="•"/>
      <w:numFmt w:val="bullet"/>
      <w:start w:val="1"/>
    </w:lvl>
  </w:abstractNum>
  <w:abstractNum w:abstractNumId="155">
    <w:nsid w:val="5C03D76D"/>
    <w:multiLevelType w:val="hybridMultilevel"/>
    <w:lvl w:ilvl="0">
      <w:lvlJc w:val="left"/>
      <w:lvlText w:val="%1."/>
      <w:numFmt w:val="decimal"/>
      <w:start w:val="4"/>
    </w:lvl>
  </w:abstractNum>
  <w:abstractNum w:abstractNumId="156">
    <w:nsid w:val="66A48D11"/>
    <w:multiLevelType w:val="hybridMultilevel"/>
    <w:lvl w:ilvl="0">
      <w:lvlJc w:val="left"/>
      <w:lvlText w:val="•"/>
      <w:numFmt w:val="bullet"/>
      <w:start w:val="1"/>
    </w:lvl>
  </w:abstractNum>
  <w:abstractNum w:abstractNumId="157">
    <w:nsid w:val="56C28E34"/>
    <w:multiLevelType w:val="hybridMultilevel"/>
    <w:lvl w:ilvl="0">
      <w:lvlJc w:val="left"/>
      <w:lvlText w:val="%1."/>
      <w:numFmt w:val="decimal"/>
      <w:start w:val="5"/>
    </w:lvl>
  </w:abstractNum>
  <w:abstractNum w:abstractNumId="158">
    <w:nsid w:val="13916F2D"/>
    <w:multiLevelType w:val="hybridMultilevel"/>
    <w:lvl w:ilvl="0">
      <w:lvlJc w:val="left"/>
      <w:lvlText w:val="•"/>
      <w:numFmt w:val="bullet"/>
      <w:start w:val="1"/>
    </w:lvl>
  </w:abstractNum>
  <w:abstractNum w:abstractNumId="159">
    <w:nsid w:val="435D38D"/>
    <w:multiLevelType w:val="hybridMultilevel"/>
    <w:lvl w:ilvl="0">
      <w:lvlJc w:val="left"/>
      <w:lvlText w:val="•"/>
      <w:numFmt w:val="bullet"/>
      <w:start w:val="1"/>
    </w:lvl>
  </w:abstractNum>
  <w:abstractNum w:abstractNumId="160">
    <w:nsid w:val="822C0EF"/>
    <w:multiLevelType w:val="hybridMultilevel"/>
    <w:lvl w:ilvl="0">
      <w:lvlJc w:val="left"/>
      <w:lvlText w:val="•"/>
      <w:numFmt w:val="bullet"/>
      <w:start w:val="1"/>
    </w:lvl>
  </w:abstractNum>
  <w:abstractNum w:abstractNumId="161">
    <w:nsid w:val="57C5BB4F"/>
    <w:multiLevelType w:val="hybridMultilevel"/>
    <w:lvl w:ilvl="0">
      <w:lvlJc w:val="left"/>
      <w:lvlText w:val="•"/>
      <w:numFmt w:val="bullet"/>
      <w:start w:val="1"/>
    </w:lvl>
  </w:abstractNum>
  <w:abstractNum w:abstractNumId="162">
    <w:nsid w:val="1803D089"/>
    <w:multiLevelType w:val="hybridMultilevel"/>
    <w:lvl w:ilvl="0">
      <w:lvlJc w:val="left"/>
      <w:lvlText w:val="%1."/>
      <w:numFmt w:val="upperLetter"/>
      <w:start w:val="1"/>
    </w:lvl>
  </w:abstractNum>
  <w:abstractNum w:abstractNumId="163">
    <w:nsid w:val="4F3A06D4"/>
    <w:multiLevelType w:val="hybridMultilevel"/>
    <w:lvl w:ilvl="0">
      <w:lvlJc w:val="left"/>
      <w:lvlText w:val="•"/>
      <w:numFmt w:val="bullet"/>
      <w:start w:val="1"/>
    </w:lvl>
  </w:abstractNum>
  <w:abstractNum w:abstractNumId="164">
    <w:nsid w:val="59A377B6"/>
    <w:multiLevelType w:val="hybridMultilevel"/>
    <w:lvl w:ilvl="0">
      <w:lvlJc w:val="left"/>
      <w:lvlText w:val="•"/>
      <w:numFmt w:val="bullet"/>
      <w:start w:val="1"/>
    </w:lvl>
  </w:abstractNum>
  <w:abstractNum w:abstractNumId="165">
    <w:nsid w:val="48AEB063"/>
    <w:multiLevelType w:val="hybridMultilevel"/>
    <w:lvl w:ilvl="0">
      <w:lvlJc w:val="left"/>
      <w:lvlText w:val="•"/>
      <w:numFmt w:val="bullet"/>
      <w:start w:val="1"/>
    </w:lvl>
  </w:abstractNum>
  <w:abstractNum w:abstractNumId="166">
    <w:nsid w:val="24E135"/>
    <w:multiLevelType w:val="hybridMultilevel"/>
    <w:lvl w:ilvl="0">
      <w:lvlJc w:val="left"/>
      <w:lvlText w:val="•"/>
      <w:numFmt w:val="bullet"/>
      <w:start w:val="1"/>
    </w:lvl>
  </w:abstractNum>
  <w:abstractNum w:abstractNumId="167">
    <w:nsid w:val="BB13C1"/>
    <w:multiLevelType w:val="hybridMultilevel"/>
    <w:lvl w:ilvl="0">
      <w:lvlJc w:val="left"/>
      <w:lvlText w:val="(%1)"/>
      <w:numFmt w:val="upperLetter"/>
      <w:start w:val="2"/>
    </w:lvl>
  </w:abstractNum>
  <w:abstractNum w:abstractNumId="168">
    <w:nsid w:val="271210C7"/>
    <w:multiLevelType w:val="hybridMultilevel"/>
    <w:lvl w:ilvl="0">
      <w:lvlJc w:val="left"/>
      <w:lvlText w:val="%1."/>
      <w:numFmt w:val="upperLetter"/>
      <w:start w:val="2"/>
    </w:lvl>
  </w:abstractNum>
  <w:abstractNum w:abstractNumId="169">
    <w:nsid w:val="217B22E4"/>
    <w:multiLevelType w:val="hybridMultilevel"/>
    <w:lvl w:ilvl="0">
      <w:lvlJc w:val="left"/>
      <w:lvlText w:val="•"/>
      <w:numFmt w:val="bullet"/>
      <w:start w:val="1"/>
    </w:lvl>
  </w:abstractNum>
  <w:abstractNum w:abstractNumId="170">
    <w:nsid w:val="53E31A24"/>
    <w:multiLevelType w:val="hybridMultilevel"/>
    <w:lvl w:ilvl="0">
      <w:lvlJc w:val="left"/>
      <w:lvlText w:val="%1."/>
      <w:numFmt w:val="upperLetter"/>
      <w:start w:val="24"/>
    </w:lvl>
  </w:abstractNum>
  <w:abstractNum w:abstractNumId="171">
    <w:nsid w:val="6DC45E83"/>
    <w:multiLevelType w:val="hybridMultilevel"/>
    <w:lvl w:ilvl="0">
      <w:lvlJc w:val="left"/>
      <w:lvlText w:val="%1."/>
      <w:numFmt w:val="upperLetter"/>
      <w:start w:val="1"/>
    </w:lvl>
  </w:abstractNum>
  <w:abstractNum w:abstractNumId="172">
    <w:nsid w:val="17304A67"/>
    <w:multiLevelType w:val="hybridMultilevel"/>
    <w:lvl w:ilvl="0">
      <w:lvlJc w:val="left"/>
      <w:lvlText w:val="•"/>
      <w:numFmt w:val="bullet"/>
      <w:start w:val="1"/>
    </w:lvl>
  </w:abstractNum>
  <w:abstractNum w:abstractNumId="173">
    <w:nsid w:val="2BB180D8"/>
    <w:multiLevelType w:val="hybridMultilevel"/>
    <w:lvl w:ilvl="0">
      <w:lvlJc w:val="left"/>
      <w:lvlText w:val="•"/>
      <w:numFmt w:val="bullet"/>
      <w:start w:val="1"/>
    </w:lvl>
  </w:abstractNum>
  <w:abstractNum w:abstractNumId="174">
    <w:nsid w:val="556B69ED"/>
    <w:multiLevelType w:val="hybridMultilevel"/>
    <w:lvl w:ilvl="0">
      <w:lvlJc w:val="left"/>
      <w:lvlText w:val="%1."/>
      <w:numFmt w:val="upperLetter"/>
      <w:start w:val="2"/>
    </w:lvl>
  </w:abstractNum>
  <w:abstractNum w:abstractNumId="175">
    <w:nsid w:val="70836196"/>
    <w:multiLevelType w:val="hybridMultilevel"/>
    <w:lvl w:ilvl="0">
      <w:lvlJc w:val="left"/>
      <w:lvlText w:val="%1."/>
      <w:numFmt w:val="decimal"/>
      <w:start w:val="1"/>
    </w:lvl>
  </w:abstractNum>
  <w:abstractNum w:abstractNumId="176">
    <w:nsid w:val="539F7F12"/>
    <w:multiLevelType w:val="hybridMultilevel"/>
    <w:lvl w:ilvl="0">
      <w:lvlJc w:val="left"/>
      <w:lvlText w:val="%1."/>
      <w:numFmt w:val="decimal"/>
      <w:start w:val="2"/>
    </w:lvl>
  </w:abstractNum>
  <w:abstractNum w:abstractNumId="177">
    <w:nsid w:val="2817E7EC"/>
    <w:multiLevelType w:val="hybridMultilevel"/>
    <w:lvl w:ilvl="0">
      <w:lvlJc w:val="left"/>
      <w:lvlText w:val="•"/>
      <w:numFmt w:val="bullet"/>
      <w:start w:val="1"/>
    </w:lvl>
  </w:abstractNum>
  <w:abstractNum w:abstractNumId="178">
    <w:nsid w:val="71482545"/>
    <w:multiLevelType w:val="hybridMultilevel"/>
    <w:lvl w:ilvl="0">
      <w:lvlJc w:val="left"/>
      <w:lvlText w:val="1"/>
      <w:numFmt w:val="bullet"/>
      <w:start w:val="1"/>
    </w:lvl>
  </w:abstractNum>
  <w:abstractNum w:abstractNumId="179">
    <w:nsid w:val="17D78639"/>
    <w:multiLevelType w:val="hybridMultilevel"/>
    <w:lvl w:ilvl="0">
      <w:lvlJc w:val="left"/>
      <w:lvlText w:val="%1."/>
      <w:numFmt w:val="upperLetter"/>
      <w:start w:val="1"/>
    </w:lvl>
  </w:abstractNum>
  <w:abstractNum w:abstractNumId="180">
    <w:nsid w:val="141D2302"/>
    <w:multiLevelType w:val="hybridMultilevel"/>
    <w:lvl w:ilvl="0">
      <w:lvlJc w:val="left"/>
      <w:lvlText w:val="%1."/>
      <w:numFmt w:val="decimal"/>
      <w:start w:val="1"/>
    </w:lvl>
  </w:abstractNum>
  <w:abstractNum w:abstractNumId="181">
    <w:nsid w:val="407168D8"/>
    <w:multiLevelType w:val="hybridMultilevel"/>
    <w:lvl w:ilvl="0">
      <w:lvlJc w:val="left"/>
      <w:lvlText w:val="%1)"/>
      <w:numFmt w:val="lowerLetter"/>
      <w:start w:val="1"/>
    </w:lvl>
  </w:abstractNum>
  <w:abstractNum w:abstractNumId="182">
    <w:nsid w:val="6A1B45E5"/>
    <w:multiLevelType w:val="hybridMultilevel"/>
    <w:lvl w:ilvl="0">
      <w:lvlJc w:val="left"/>
      <w:lvlText w:val="•"/>
      <w:numFmt w:val="bullet"/>
      <w:start w:val="1"/>
    </w:lvl>
  </w:abstractNum>
  <w:abstractNum w:abstractNumId="183">
    <w:nsid w:val="567BD50A"/>
    <w:multiLevelType w:val="hybridMultilevel"/>
    <w:lvl w:ilvl="0">
      <w:lvlJc w:val="left"/>
      <w:lvlText w:val="%1)"/>
      <w:numFmt w:val="lowerLetter"/>
      <w:start w:val="2"/>
    </w:lvl>
  </w:abstractNum>
  <w:abstractNum w:abstractNumId="184">
    <w:nsid w:val="73BBD7F8"/>
    <w:multiLevelType w:val="hybridMultilevel"/>
    <w:lvl w:ilvl="0">
      <w:lvlJc w:val="left"/>
      <w:lvlText w:val="%1)"/>
      <w:numFmt w:val="lowerLetter"/>
      <w:start w:val="3"/>
    </w:lvl>
  </w:abstractNum>
  <w:abstractNum w:abstractNumId="185">
    <w:nsid w:val="1876589D"/>
    <w:multiLevelType w:val="hybridMultilevel"/>
    <w:lvl w:ilvl="0">
      <w:lvlJc w:val="left"/>
      <w:lvlText w:val="%1)"/>
      <w:numFmt w:val="lowerLetter"/>
      <w:start w:val="4"/>
    </w:lvl>
  </w:abstractNum>
  <w:abstractNum w:abstractNumId="186">
    <w:nsid w:val="327FAC77"/>
    <w:multiLevelType w:val="hybridMultilevel"/>
    <w:lvl w:ilvl="0">
      <w:lvlJc w:val="left"/>
      <w:lvlText w:val="%1)"/>
      <w:numFmt w:val="lowerLetter"/>
      <w:start w:val="5"/>
    </w:lvl>
  </w:abstractNum>
  <w:abstractNum w:abstractNumId="187">
    <w:nsid w:val="5A606509"/>
    <w:multiLevelType w:val="hybridMultilevel"/>
    <w:lvl w:ilvl="0">
      <w:lvlJc w:val="left"/>
      <w:lvlText w:val="%1."/>
      <w:numFmt w:val="decimal"/>
      <w:start w:val="2"/>
    </w:lvl>
  </w:abstractNum>
  <w:abstractNum w:abstractNumId="188">
    <w:nsid w:val="6F38E6D1"/>
    <w:multiLevelType w:val="hybridMultilevel"/>
    <w:lvl w:ilvl="0">
      <w:lvlJc w:val="left"/>
      <w:lvlText w:val="%1)"/>
      <w:numFmt w:val="lowerLetter"/>
      <w:start w:val="1"/>
    </w:lvl>
  </w:abstractNum>
  <w:abstractNum w:abstractNumId="189">
    <w:nsid w:val="46111BA5"/>
    <w:multiLevelType w:val="hybridMultilevel"/>
    <w:lvl w:ilvl="0">
      <w:lvlJc w:val="left"/>
      <w:lvlText w:val="•"/>
      <w:numFmt w:val="bullet"/>
      <w:start w:val="1"/>
    </w:lvl>
  </w:abstractNum>
  <w:abstractNum w:abstractNumId="190">
    <w:nsid w:val="5E963896"/>
    <w:multiLevelType w:val="hybridMultilevel"/>
    <w:lvl w:ilvl="0">
      <w:lvlJc w:val="left"/>
      <w:lvlText w:val="•"/>
      <w:numFmt w:val="bullet"/>
      <w:start w:val="1"/>
    </w:lvl>
  </w:abstractNum>
  <w:abstractNum w:abstractNumId="191">
    <w:nsid w:val="775BA7C1"/>
    <w:multiLevelType w:val="hybridMultilevel"/>
    <w:lvl w:ilvl="0">
      <w:lvlJc w:val="left"/>
      <w:lvlText w:val="(%1)"/>
      <w:numFmt w:val="lowerRoman"/>
      <w:start w:val="1"/>
    </w:lvl>
  </w:abstractNum>
  <w:abstractNum w:abstractNumId="192">
    <w:nsid w:val="1DD6D6F4"/>
    <w:multiLevelType w:val="hybridMultilevel"/>
    <w:lvl w:ilvl="0">
      <w:lvlJc w:val="left"/>
      <w:lvlText w:val="%1."/>
      <w:numFmt w:val="decimal"/>
      <w:start w:val="3"/>
    </w:lvl>
  </w:abstractNum>
  <w:abstractNum w:abstractNumId="193">
    <w:nsid w:val="769A091F"/>
    <w:multiLevelType w:val="hybridMultilevel"/>
    <w:lvl w:ilvl="0">
      <w:lvlJc w:val="left"/>
      <w:lvlText w:val="%1)"/>
      <w:numFmt w:val="lowerLetter"/>
      <w:start w:val="1"/>
    </w:lvl>
  </w:abstractNum>
  <w:abstractNum w:abstractNumId="194">
    <w:nsid w:val="4695AE95"/>
    <w:multiLevelType w:val="hybridMultilevel"/>
    <w:lvl w:ilvl="0">
      <w:lvlJc w:val="left"/>
      <w:lvlText w:val="%1."/>
      <w:numFmt w:val="decimal"/>
      <w:start w:val="4"/>
    </w:lvl>
  </w:abstractNum>
  <w:abstractNum w:abstractNumId="195">
    <w:nsid w:val="777A4EAA"/>
    <w:multiLevelType w:val="hybridMultilevel"/>
    <w:lvl w:ilvl="0">
      <w:lvlJc w:val="left"/>
      <w:lvlText w:val="%1)"/>
      <w:numFmt w:val="lowerLetter"/>
      <w:start w:val="1"/>
    </w:lvl>
  </w:abstractNum>
  <w:abstractNum w:abstractNumId="196">
    <w:nsid w:val="3F48B982"/>
    <w:multiLevelType w:val="hybridMultilevel"/>
    <w:lvl w:ilvl="0">
      <w:lvlJc w:val="left"/>
      <w:lvlText w:val="%1)"/>
      <w:numFmt w:val="lowerLetter"/>
      <w:start w:val="2"/>
    </w:lvl>
  </w:abstractNum>
  <w:abstractNum w:abstractNumId="197">
    <w:nsid w:val="46BA8FCA"/>
    <w:multiLevelType w:val="hybridMultilevel"/>
    <w:lvl w:ilvl="0">
      <w:lvlJc w:val="left"/>
      <w:lvlText w:val="%1."/>
      <w:numFmt w:val="decimal"/>
      <w:start w:val="5"/>
    </w:lvl>
  </w:abstractNum>
  <w:abstractNum w:abstractNumId="198">
    <w:nsid w:val="7835626C"/>
    <w:multiLevelType w:val="hybridMultilevel"/>
    <w:lvl w:ilvl="0">
      <w:lvlJc w:val="left"/>
      <w:lvlText w:val="%1)"/>
      <w:numFmt w:val="lowerLetter"/>
      <w:start w:val="1"/>
    </w:lvl>
  </w:abstractNum>
  <w:abstractNum w:abstractNumId="199">
    <w:nsid w:val="665ACA49"/>
    <w:multiLevelType w:val="hybridMultilevel"/>
    <w:lvl w:ilvl="0">
      <w:lvlJc w:val="left"/>
      <w:lvlText w:val="%1)"/>
      <w:numFmt w:val="lowerLetter"/>
      <w:start w:val="2"/>
    </w:lvl>
  </w:abstractNum>
  <w:abstractNum w:abstractNumId="200">
    <w:nsid w:val="6835B2AE"/>
    <w:multiLevelType w:val="hybridMultilevel"/>
    <w:lvl w:ilvl="0">
      <w:lvlJc w:val="left"/>
      <w:lvlText w:val="%1)"/>
      <w:numFmt w:val="lowerLetter"/>
      <w:start w:val="3"/>
    </w:lvl>
  </w:abstractNum>
  <w:abstractNum w:abstractNumId="201">
    <w:nsid w:val="4C187C90"/>
    <w:multiLevelType w:val="hybridMultilevel"/>
    <w:lvl w:ilvl="0">
      <w:lvlJc w:val="left"/>
      <w:lvlText w:val="%1."/>
      <w:numFmt w:val="upperLetter"/>
      <w:start w:val="2"/>
    </w:lvl>
  </w:abstractNum>
  <w:abstractNum w:abstractNumId="202">
    <w:nsid w:val="541F28CD"/>
    <w:multiLevelType w:val="hybridMultilevel"/>
    <w:lvl w:ilvl="0">
      <w:lvlJc w:val="left"/>
      <w:lvlText w:val="%1."/>
      <w:numFmt w:val="decimal"/>
      <w:start w:val="1"/>
    </w:lvl>
  </w:abstractNum>
  <w:abstractNum w:abstractNumId="203">
    <w:nsid w:val="7F65FD16"/>
    <w:multiLevelType w:val="hybridMultilevel"/>
    <w:lvl w:ilvl="0">
      <w:lvlJc w:val="left"/>
      <w:lvlText w:val="%1)"/>
      <w:numFmt w:val="lowerLetter"/>
      <w:start w:val="1"/>
    </w:lvl>
  </w:abstractNum>
  <w:abstractNum w:abstractNumId="204">
    <w:nsid w:val="77C9FD68"/>
    <w:multiLevelType w:val="hybridMultilevel"/>
    <w:lvl w:ilvl="0">
      <w:lvlJc w:val="left"/>
      <w:lvlText w:val="%1)"/>
      <w:numFmt w:val="lowerLetter"/>
      <w:start w:val="2"/>
    </w:lvl>
  </w:abstractNum>
  <w:abstractNum w:abstractNumId="205">
    <w:nsid w:val="298A92BA"/>
    <w:multiLevelType w:val="hybridMultilevel"/>
    <w:lvl w:ilvl="0">
      <w:lvlJc w:val="left"/>
      <w:lvlText w:val="%1."/>
      <w:numFmt w:val="upperLetter"/>
      <w:start w:val="3"/>
    </w:lvl>
  </w:abstractNum>
  <w:abstractNum w:abstractNumId="206">
    <w:nsid w:val="6FE95EAC"/>
    <w:multiLevelType w:val="hybridMultilevel"/>
    <w:lvl w:ilvl="0">
      <w:lvlJc w:val="left"/>
      <w:lvlText w:val="%1."/>
      <w:numFmt w:val="upperLetter"/>
      <w:start w:val="4"/>
    </w:lvl>
  </w:abstractNum>
  <w:abstractNum w:abstractNumId="207">
    <w:nsid w:val="4B697C7A"/>
    <w:multiLevelType w:val="hybridMultilevel"/>
    <w:lvl w:ilvl="0">
      <w:lvlJc w:val="left"/>
      <w:lvlText w:val="%1."/>
      <w:numFmt w:val="decimal"/>
      <w:start w:val="1"/>
    </w:lvl>
  </w:abstractNum>
  <w:abstractNum w:abstractNumId="208">
    <w:nsid w:val="51A27AA6"/>
    <w:multiLevelType w:val="hybridMultilevel"/>
    <w:lvl w:ilvl="0">
      <w:lvlJc w:val="left"/>
      <w:lvlText w:val="%1)"/>
      <w:numFmt w:val="lowerLetter"/>
      <w:start w:val="1"/>
    </w:lvl>
  </w:abstractNum>
  <w:abstractNum w:abstractNumId="209">
    <w:nsid w:val="613183F2"/>
    <w:multiLevelType w:val="hybridMultilevel"/>
    <w:lvl w:ilvl="0">
      <w:lvlJc w:val="left"/>
      <w:lvlText w:val="%1)"/>
      <w:numFmt w:val="lowerLetter"/>
      <w:start w:val="2"/>
    </w:lvl>
  </w:abstractNum>
  <w:abstractNum w:abstractNumId="210">
    <w:nsid w:val="634102B4"/>
    <w:multiLevelType w:val="hybridMultilevel"/>
    <w:lvl w:ilvl="0">
      <w:lvlJc w:val="left"/>
      <w:lvlText w:val="%1."/>
      <w:numFmt w:val="decimal"/>
      <w:start w:val="2"/>
    </w:lvl>
    <w:lvl w:ilvl="1">
      <w:lvlJc w:val="left"/>
      <w:lvlText w:val="%2)"/>
      <w:numFmt w:val="lowerLetter"/>
      <w:start w:val="1"/>
    </w:lvl>
  </w:abstractNum>
  <w:abstractNum w:abstractNumId="211">
    <w:nsid w:val="65BF9DA8"/>
    <w:multiLevelType w:val="hybridMultilevel"/>
    <w:lvl w:ilvl="0">
      <w:lvlJc w:val="left"/>
      <w:lvlText w:val="%1."/>
      <w:numFmt w:val="decimal"/>
      <w:start w:val="1"/>
    </w:lvl>
  </w:abstractNum>
  <w:abstractNum w:abstractNumId="212">
    <w:nsid w:val="21A2ECCA"/>
    <w:multiLevelType w:val="hybridMultilevel"/>
    <w:lvl w:ilvl="0">
      <w:lvlJc w:val="left"/>
      <w:lvlText w:val="%1."/>
      <w:numFmt w:val="upperLetter"/>
      <w:start w:val="6"/>
    </w:lvl>
  </w:abstractNum>
  <w:abstractNum w:abstractNumId="213">
    <w:nsid w:val="4D5C4899"/>
    <w:multiLevelType w:val="hybridMultilevel"/>
    <w:lvl w:ilvl="0">
      <w:lvlJc w:val="left"/>
      <w:lvlText w:val="%1."/>
      <w:numFmt w:val="decimal"/>
      <w:start w:val="2"/>
    </w:lvl>
  </w:abstractNum>
  <w:abstractNum w:abstractNumId="214">
    <w:nsid w:val="3C3B72B2"/>
    <w:multiLevelType w:val="hybridMultilevel"/>
    <w:lvl w:ilvl="0">
      <w:lvlJc w:val="left"/>
      <w:lvlText w:val="%1."/>
      <w:numFmt w:val="upperLetter"/>
      <w:start w:val="7"/>
    </w:lvl>
  </w:abstractNum>
  <w:abstractNum w:abstractNumId="215">
    <w:nsid w:val="155EC4C2"/>
    <w:multiLevelType w:val="hybridMultilevel"/>
    <w:lvl w:ilvl="0">
      <w:lvlJc w:val="left"/>
      <w:lvlText w:val="%1."/>
      <w:numFmt w:val="upperLetter"/>
      <w:start w:val="8"/>
    </w:lvl>
  </w:abstractNum>
  <w:abstractNum w:abstractNumId="216">
    <w:nsid w:val="65D2A137"/>
    <w:multiLevelType w:val="hybridMultilevel"/>
    <w:lvl w:ilvl="0">
      <w:lvlJc w:val="left"/>
      <w:lvlText w:val="•"/>
      <w:numFmt w:val="bullet"/>
      <w:start w:val="1"/>
    </w:lvl>
  </w:abstractNum>
  <w:abstractNum w:abstractNumId="217">
    <w:nsid w:val="6EBB1F2A"/>
    <w:multiLevelType w:val="hybridMultilevel"/>
    <w:lvl w:ilvl="0">
      <w:lvlJc w:val="left"/>
      <w:lvlText w:val="•"/>
      <w:numFmt w:val="bullet"/>
      <w:start w:val="1"/>
    </w:lvl>
  </w:abstractNum>
  <w:abstractNum w:abstractNumId="218">
    <w:nsid w:val="6FBF29CB"/>
    <w:multiLevelType w:val="hybridMultilevel"/>
    <w:lvl w:ilvl="0">
      <w:lvlJc w:val="left"/>
      <w:lvlText w:val="(%1)"/>
      <w:numFmt w:val="lowerRoman"/>
      <w:start w:val="2"/>
    </w:lvl>
  </w:abstractNum>
  <w:abstractNum w:abstractNumId="219">
    <w:nsid w:val="550B8808"/>
    <w:multiLevelType w:val="hybridMultilevel"/>
    <w:lvl w:ilvl="0">
      <w:lvlJc w:val="left"/>
      <w:lvlText w:val="•"/>
      <w:numFmt w:val="bullet"/>
      <w:start w:val="1"/>
    </w:lvl>
  </w:abstractNum>
  <w:abstractNum w:abstractNumId="220">
    <w:nsid w:val="34CC3ACF"/>
    <w:multiLevelType w:val="hybridMultilevel"/>
    <w:lvl w:ilvl="0">
      <w:lvlJc w:val="left"/>
      <w:lvlText w:val="•"/>
      <w:numFmt w:val="bullet"/>
      <w:start w:val="1"/>
    </w:lvl>
  </w:abstractNum>
  <w:abstractNum w:abstractNumId="221">
    <w:nsid w:val="4E556261"/>
    <w:multiLevelType w:val="hybridMultilevel"/>
    <w:lvl w:ilvl="0">
      <w:lvlJc w:val="left"/>
      <w:lvlText w:val="•"/>
      <w:numFmt w:val="bullet"/>
      <w:start w:val="1"/>
    </w:lvl>
  </w:abstractNum>
  <w:abstractNum w:abstractNumId="222">
    <w:nsid w:val="4C672FC9"/>
    <w:multiLevelType w:val="hybridMultilevel"/>
    <w:lvl w:ilvl="0">
      <w:lvlJc w:val="left"/>
      <w:lvlText w:val="•"/>
      <w:numFmt w:val="bullet"/>
      <w:start w:val="1"/>
    </w:lvl>
  </w:abstractNum>
  <w:abstractNum w:abstractNumId="223">
    <w:nsid w:val="52A311C3"/>
    <w:multiLevelType w:val="hybridMultilevel"/>
    <w:lvl w:ilvl="0">
      <w:lvlJc w:val="left"/>
      <w:lvlText w:val="•"/>
      <w:numFmt w:val="bullet"/>
      <w:start w:val="1"/>
    </w:lvl>
  </w:abstractNum>
  <w:abstractNum w:abstractNumId="224">
    <w:nsid w:val="44EF6B80"/>
    <w:multiLevelType w:val="hybridMultilevel"/>
    <w:lvl w:ilvl="0">
      <w:lvlJc w:val="left"/>
      <w:lvlText w:val="•"/>
      <w:numFmt w:val="bullet"/>
      <w:start w:val="1"/>
    </w:lvl>
  </w:abstractNum>
  <w:abstractNum w:abstractNumId="225">
    <w:nsid w:val="12FCDE5E"/>
    <w:multiLevelType w:val="hybridMultilevel"/>
    <w:lvl w:ilvl="0">
      <w:lvlJc w:val="left"/>
      <w:lvlText w:val="•"/>
      <w:numFmt w:val="bullet"/>
      <w:start w:val="1"/>
    </w:lvl>
  </w:abstractNum>
  <w:abstractNum w:abstractNumId="226">
    <w:nsid w:val="4A1D606E"/>
    <w:multiLevelType w:val="hybridMultilevel"/>
    <w:lvl w:ilvl="0">
      <w:lvlJc w:val="left"/>
      <w:lvlText w:val="•"/>
      <w:numFmt w:val="bullet"/>
      <w:start w:val="1"/>
    </w:lvl>
  </w:abstractNum>
  <w:abstractNum w:abstractNumId="227">
    <w:nsid w:val="4382503"/>
    <w:multiLevelType w:val="hybridMultilevel"/>
    <w:lvl w:ilvl="0">
      <w:lvlJc w:val="left"/>
      <w:lvlText w:val="•"/>
      <w:numFmt w:val="bullet"/>
      <w:start w:val="1"/>
    </w:lvl>
  </w:abstractNum>
  <w:abstractNum w:abstractNumId="228">
    <w:nsid w:val="59B76E28"/>
    <w:multiLevelType w:val="hybridMultilevel"/>
    <w:lvl w:ilvl="0">
      <w:lvlJc w:val="left"/>
      <w:lvlText w:val="•"/>
      <w:numFmt w:val="bullet"/>
      <w:start w:val="1"/>
    </w:lvl>
  </w:abstractNum>
  <w:abstractNum w:abstractNumId="229">
    <w:nsid w:val="4252C2DA"/>
    <w:multiLevelType w:val="hybridMultilevel"/>
    <w:lvl w:ilvl="0">
      <w:lvlJc w:val="left"/>
      <w:lvlText w:val="•"/>
      <w:numFmt w:val="bullet"/>
      <w:start w:val="1"/>
    </w:lvl>
  </w:abstractNum>
  <w:abstractNum w:abstractNumId="230">
    <w:nsid w:val="6A92EF4C"/>
    <w:multiLevelType w:val="hybridMultilevel"/>
    <w:lvl w:ilvl="0">
      <w:lvlJc w:val="left"/>
      <w:lvlText w:val="(%1)"/>
      <w:numFmt w:val="lowerRoman"/>
      <w:start w:val="1"/>
    </w:lvl>
  </w:abstractNum>
  <w:abstractNum w:abstractNumId="231">
    <w:nsid w:val="41ED20D7"/>
    <w:multiLevelType w:val="hybridMultilevel"/>
    <w:lvl w:ilvl="0">
      <w:lvlJc w:val="left"/>
      <w:lvlText w:val="(%1)"/>
      <w:numFmt w:val="lowerRoman"/>
      <w:start w:val="4"/>
    </w:lvl>
  </w:abstractNum>
  <w:abstractNum w:abstractNumId="232">
    <w:nsid w:val="E6B3F6A"/>
    <w:multiLevelType w:val="hybridMultilevel"/>
    <w:lvl w:ilvl="0">
      <w:lvlJc w:val="left"/>
      <w:lvlText w:val="%1."/>
      <w:numFmt w:val="upperLetter"/>
      <w:start w:val="1"/>
    </w:lvl>
  </w:abstractNum>
  <w:abstractNum w:abstractNumId="233">
    <w:nsid w:val="3EB21819"/>
    <w:multiLevelType w:val="hybridMultilevel"/>
    <w:lvl w:ilvl="0">
      <w:lvlJc w:val="left"/>
      <w:lvlText w:val="%1."/>
      <w:numFmt w:val="upperLetter"/>
      <w:start w:val="2"/>
    </w:lvl>
  </w:abstractNum>
  <w:abstractNum w:abstractNumId="234">
    <w:nsid w:val="41531DED"/>
    <w:multiLevelType w:val="hybridMultilevel"/>
    <w:lvl w:ilvl="0">
      <w:lvlJc w:val="left"/>
      <w:lvlText w:val="%1."/>
      <w:numFmt w:val="decimal"/>
      <w:start w:val="1"/>
    </w:lvl>
  </w:abstractNum>
  <w:abstractNum w:abstractNumId="235">
    <w:nsid w:val="6353CD2"/>
    <w:multiLevelType w:val="hybridMultilevel"/>
    <w:lvl w:ilvl="0">
      <w:lvlJc w:val="left"/>
      <w:lvlText w:val="%1."/>
      <w:numFmt w:val="decimal"/>
      <w:start w:val="2"/>
    </w:lvl>
  </w:abstractNum>
  <w:abstractNum w:abstractNumId="236">
    <w:nsid w:val="683CAAD3"/>
    <w:multiLevelType w:val="hybridMultilevel"/>
    <w:lvl w:ilvl="0">
      <w:lvlJc w:val="left"/>
      <w:lvlText w:val="%1."/>
      <w:numFmt w:val="decimal"/>
      <w:start w:val="3"/>
    </w:lvl>
  </w:abstractNum>
  <w:abstractNum w:abstractNumId="237">
    <w:nsid w:val="313C7C99"/>
    <w:multiLevelType w:val="hybridMultilevel"/>
    <w:lvl w:ilvl="0">
      <w:lvlJc w:val="left"/>
      <w:lvlText w:val="%1."/>
      <w:numFmt w:val="decimal"/>
      <w:start w:val="4"/>
    </w:lvl>
  </w:abstractNum>
  <w:abstractNum w:abstractNumId="238">
    <w:nsid w:val="519EB94C"/>
    <w:multiLevelType w:val="hybridMultilevel"/>
    <w:lvl w:ilvl="0">
      <w:lvlJc w:val="left"/>
      <w:lvlText w:val="%1."/>
      <w:numFmt w:val="upperLetter"/>
      <w:start w:val="3"/>
    </w:lvl>
  </w:abstractNum>
  <w:abstractNum w:abstractNumId="239">
    <w:nsid w:val="39DF2579"/>
    <w:multiLevelType w:val="hybridMultilevel"/>
    <w:lvl w:ilvl="0">
      <w:lvlJc w:val="left"/>
      <w:lvlText w:val="%1."/>
      <w:numFmt w:val="upperLetter"/>
      <w:start w:val="4"/>
    </w:lvl>
  </w:abstractNum>
  <w:abstractNum w:abstractNumId="240">
    <w:nsid w:val="126E008B"/>
    <w:multiLevelType w:val="hybridMultilevel"/>
    <w:lvl w:ilvl="0">
      <w:lvlJc w:val="left"/>
      <w:lvlText w:val="%1."/>
      <w:numFmt w:val="upperLetter"/>
      <w:start w:val="5"/>
    </w:lvl>
  </w:abstractNum>
  <w:abstractNum w:abstractNumId="241">
    <w:nsid w:val="34DFBC00"/>
    <w:multiLevelType w:val="hybridMultilevel"/>
    <w:lvl w:ilvl="0">
      <w:lvlJc w:val="left"/>
      <w:lvlText w:val="•"/>
      <w:numFmt w:val="bullet"/>
      <w:start w:val="1"/>
    </w:lvl>
  </w:abstractNum>
  <w:abstractNum w:abstractNumId="242">
    <w:nsid w:val="1F9EC322"/>
    <w:multiLevelType w:val="hybridMultilevel"/>
    <w:lvl w:ilvl="0">
      <w:lvlJc w:val="left"/>
      <w:lvlText w:val="•"/>
      <w:numFmt w:val="bullet"/>
      <w:start w:val="1"/>
    </w:lvl>
  </w:abstractNum>
  <w:abstractNum w:abstractNumId="243">
    <w:nsid w:val="3410ED56"/>
    <w:multiLevelType w:val="hybridMultilevel"/>
    <w:lvl w:ilvl="0">
      <w:lvlJc w:val="left"/>
      <w:lvlText w:val="•"/>
      <w:numFmt w:val="bullet"/>
      <w:start w:val="1"/>
    </w:lvl>
  </w:abstractNum>
  <w:abstractNum w:abstractNumId="244">
    <w:nsid w:val="23C049A"/>
    <w:multiLevelType w:val="hybridMultilevel"/>
    <w:lvl w:ilvl="0">
      <w:lvlJc w:val="left"/>
      <w:lvlText w:val="%1."/>
      <w:numFmt w:val="upperLetter"/>
      <w:start w:val="50"/>
    </w:lvl>
  </w:abstractNum>
  <w:abstractNum w:abstractNumId="245">
    <w:nsid w:val="5BDA35D4"/>
    <w:multiLevelType w:val="hybridMultilevel"/>
    <w:lvl w:ilvl="0">
      <w:lvlJc w:val="left"/>
      <w:lvlText w:val="•"/>
      <w:numFmt w:val="bullet"/>
      <w:start w:val="1"/>
    </w:lvl>
  </w:abstractNum>
  <w:abstractNum w:abstractNumId="246">
    <w:nsid w:val="496FB218"/>
    <w:multiLevelType w:val="hybridMultilevel"/>
    <w:lvl w:ilvl="0">
      <w:lvlJc w:val="left"/>
      <w:lvlText w:val="•"/>
      <w:numFmt w:val="bullet"/>
      <w:start w:val="1"/>
    </w:lvl>
  </w:abstractNum>
  <w:abstractNum w:abstractNumId="247">
    <w:nsid w:val="680EA5D1"/>
    <w:multiLevelType w:val="hybridMultilevel"/>
    <w:lvl w:ilvl="0">
      <w:lvlJc w:val="left"/>
      <w:lvlText w:val="•"/>
      <w:numFmt w:val="bullet"/>
      <w:start w:val="1"/>
    </w:lvl>
  </w:abstractNum>
  <w:abstractNum w:abstractNumId="248">
    <w:nsid w:val="4A9554FE"/>
    <w:multiLevelType w:val="hybridMultilevel"/>
    <w:lvl w:ilvl="0">
      <w:lvlJc w:val="left"/>
      <w:lvlText w:val="•"/>
      <w:numFmt w:val="bullet"/>
      <w:start w:val="1"/>
    </w:lvl>
  </w:abstractNum>
  <w:abstractNum w:abstractNumId="249">
    <w:nsid w:val="392EDBE4"/>
    <w:multiLevelType w:val="hybridMultilevel"/>
    <w:lvl w:ilvl="0">
      <w:lvlJc w:val="left"/>
      <w:lvlText w:val="•"/>
      <w:numFmt w:val="bullet"/>
      <w:start w:val="1"/>
    </w:lvl>
  </w:abstractNum>
  <w:abstractNum w:abstractNumId="250">
    <w:nsid w:val="3D1A2DD9"/>
    <w:multiLevelType w:val="hybridMultilevel"/>
    <w:lvl w:ilvl="0">
      <w:lvlJc w:val="left"/>
      <w:lvlText w:val="•"/>
      <w:numFmt w:val="bullet"/>
      <w:start w:val="1"/>
    </w:lvl>
  </w:abstractNum>
  <w:abstractNum w:abstractNumId="251">
    <w:nsid w:val="7F618FCD"/>
    <w:multiLevelType w:val="hybridMultilevel"/>
    <w:lvl w:ilvl="0">
      <w:lvlJc w:val="left"/>
      <w:lvlText w:val="(%1)"/>
      <w:numFmt w:val="decimal"/>
      <w:start w:val="1"/>
    </w:lvl>
  </w:abstractNum>
  <w:abstractNum w:abstractNumId="252">
    <w:nsid w:val="7843E45"/>
    <w:multiLevelType w:val="hybridMultilevel"/>
    <w:lvl w:ilvl="0">
      <w:lvlJc w:val="left"/>
      <w:lvlText w:val="•"/>
      <w:numFmt w:val="bullet"/>
      <w:start w:val="1"/>
    </w:lvl>
  </w:abstractNum>
  <w:abstractNum w:abstractNumId="253">
    <w:nsid w:val="9815DA3"/>
    <w:multiLevelType w:val="hybridMultilevel"/>
    <w:lvl w:ilvl="0">
      <w:lvlJc w:val="left"/>
      <w:lvlText w:val="(%1)"/>
      <w:numFmt w:val="decimal"/>
      <w:start w:val="1"/>
    </w:lvl>
  </w:abstractNum>
  <w:abstractNum w:abstractNumId="254">
    <w:nsid w:val="5204A191"/>
    <w:multiLevelType w:val="hybridMultilevel"/>
    <w:lvl w:ilvl="0">
      <w:lvlJc w:val="left"/>
      <w:lvlText w:val="•"/>
      <w:numFmt w:val="bullet"/>
      <w:start w:val="1"/>
    </w:lvl>
  </w:abstractNum>
  <w:abstractNum w:abstractNumId="255">
    <w:nsid w:val="4C73A9C6"/>
    <w:multiLevelType w:val="hybridMultilevel"/>
    <w:lvl w:ilvl="0">
      <w:lvlJc w:val="left"/>
      <w:lvlText w:val="•"/>
      <w:numFmt w:val="bullet"/>
      <w:start w:val="1"/>
    </w:lvl>
  </w:abstractNum>
  <w:abstractNum w:abstractNumId="256">
    <w:nsid w:val="1C7E3C01"/>
    <w:multiLevelType w:val="hybridMultilevel"/>
    <w:lvl w:ilvl="0">
      <w:lvlJc w:val="left"/>
      <w:lvlText w:val="(%1)"/>
      <w:numFmt w:val="lowerRoman"/>
      <w:start w:val="1"/>
    </w:lvl>
  </w:abstractNum>
  <w:abstractNum w:abstractNumId="257">
    <w:nsid w:val="1C2201FF"/>
    <w:multiLevelType w:val="hybridMultilevel"/>
    <w:lvl w:ilvl="0">
      <w:lvlJc w:val="left"/>
      <w:lvlText w:val="•"/>
      <w:numFmt w:val="bullet"/>
      <w:start w:val="1"/>
    </w:lvl>
  </w:abstractNum>
  <w:abstractNum w:abstractNumId="258">
    <w:nsid w:val="50ABCEC9"/>
    <w:multiLevelType w:val="hybridMultilevel"/>
    <w:lvl w:ilvl="0">
      <w:lvlJc w:val="left"/>
      <w:lvlText w:val="(%1)"/>
      <w:numFmt w:val="lowerRoman"/>
      <w:start w:val="2"/>
    </w:lvl>
  </w:abstractNum>
  <w:abstractNum w:abstractNumId="259">
    <w:nsid w:val="7635AA2A"/>
    <w:multiLevelType w:val="hybridMultilevel"/>
    <w:lvl w:ilvl="0">
      <w:lvlJc w:val="left"/>
      <w:lvlText w:val="•"/>
      <w:numFmt w:val="bullet"/>
      <w:start w:val="1"/>
    </w:lvl>
  </w:abstractNum>
  <w:abstractNum w:abstractNumId="260">
    <w:nsid w:val="5E74C4D9"/>
    <w:multiLevelType w:val="hybridMultilevel"/>
    <w:lvl w:ilvl="0">
      <w:lvlJc w:val="left"/>
      <w:lvlText w:val="•"/>
      <w:numFmt w:val="bullet"/>
      <w:start w:val="1"/>
    </w:lvl>
  </w:abstractNum>
  <w:abstractNum w:abstractNumId="261">
    <w:nsid w:val="3B3EBE15"/>
    <w:multiLevelType w:val="hybridMultilevel"/>
    <w:lvl w:ilvl="0">
      <w:lvlJc w:val="left"/>
      <w:lvlText w:val="•"/>
      <w:numFmt w:val="bullet"/>
      <w:start w:val="1"/>
    </w:lvl>
  </w:abstractNum>
  <w:abstractNum w:abstractNumId="262">
    <w:nsid w:val="3822CB01"/>
    <w:multiLevelType w:val="hybridMultilevel"/>
    <w:lvl w:ilvl="0">
      <w:lvlJc w:val="left"/>
      <w:lvlText w:val="•"/>
      <w:numFmt w:val="bullet"/>
      <w:start w:val="1"/>
    </w:lvl>
  </w:abstractNum>
  <w:abstractNum w:abstractNumId="263">
    <w:nsid w:val="6CE00443"/>
    <w:multiLevelType w:val="hybridMultilevel"/>
    <w:lvl w:ilvl="0">
      <w:lvlJc w:val="left"/>
      <w:lvlText w:val="•"/>
      <w:numFmt w:val="bullet"/>
      <w:start w:val="1"/>
    </w:lvl>
  </w:abstractNum>
  <w:abstractNum w:abstractNumId="264">
    <w:nsid w:val="79F0D62F"/>
    <w:multiLevelType w:val="hybridMultilevel"/>
    <w:lvl w:ilvl="0">
      <w:lvlJc w:val="left"/>
      <w:lvlText w:val="•"/>
      <w:numFmt w:val="bullet"/>
      <w:start w:val="1"/>
    </w:lvl>
  </w:abstractNum>
  <w:abstractNum w:abstractNumId="265">
    <w:nsid w:val="7975E8EE"/>
    <w:multiLevelType w:val="hybridMultilevel"/>
    <w:lvl w:ilvl="0">
      <w:lvlJc w:val="left"/>
      <w:lvlText w:val="•"/>
      <w:numFmt w:val="bullet"/>
      <w:start w:val="1"/>
    </w:lvl>
  </w:abstractNum>
  <w:abstractNum w:abstractNumId="266">
    <w:nsid w:val="73154115"/>
    <w:multiLevelType w:val="hybridMultilevel"/>
    <w:lvl w:ilvl="0">
      <w:lvlJc w:val="left"/>
      <w:lvlText w:val="•"/>
      <w:numFmt w:val="bullet"/>
      <w:start w:val="1"/>
    </w:lvl>
  </w:abstractNum>
  <w:abstractNum w:abstractNumId="267">
    <w:nsid w:val="622D8102"/>
    <w:multiLevelType w:val="hybridMultilevel"/>
    <w:lvl w:ilvl="0">
      <w:lvlJc w:val="left"/>
      <w:lvlText w:val="•"/>
      <w:numFmt w:val="bullet"/>
      <w:start w:val="1"/>
    </w:lvl>
  </w:abstractNum>
  <w:abstractNum w:abstractNumId="268">
    <w:nsid w:val="2AB26587"/>
    <w:multiLevelType w:val="hybridMultilevel"/>
    <w:lvl w:ilvl="0">
      <w:lvlJc w:val="left"/>
      <w:lvlText w:val="•"/>
      <w:numFmt w:val="bullet"/>
      <w:start w:val="1"/>
    </w:lvl>
  </w:abstractNum>
  <w:abstractNum w:abstractNumId="269">
    <w:nsid w:val="44B3FA61"/>
    <w:multiLevelType w:val="hybridMultilevel"/>
    <w:lvl w:ilvl="0">
      <w:lvlJc w:val="left"/>
      <w:lvlText w:val="•"/>
      <w:numFmt w:val="bullet"/>
      <w:start w:val="1"/>
    </w:lvl>
  </w:abstractNum>
  <w:abstractNum w:abstractNumId="270">
    <w:nsid w:val="1C0CA67C"/>
    <w:multiLevelType w:val="hybridMultilevel"/>
    <w:lvl w:ilvl="0">
      <w:lvlJc w:val="left"/>
      <w:lvlText w:val="•"/>
      <w:numFmt w:val="bullet"/>
      <w:start w:val="1"/>
    </w:lvl>
  </w:abstractNum>
  <w:abstractNum w:abstractNumId="271">
    <w:nsid w:val="3D206613"/>
    <w:multiLevelType w:val="hybridMultilevel"/>
    <w:lvl w:ilvl="0">
      <w:lvlJc w:val="left"/>
      <w:lvlText w:val="•"/>
      <w:numFmt w:val="bullet"/>
      <w:start w:val="1"/>
    </w:lvl>
  </w:abstractNum>
  <w:abstractNum w:abstractNumId="272">
    <w:nsid w:val="7993B662"/>
    <w:multiLevelType w:val="hybridMultilevel"/>
    <w:lvl w:ilvl="0">
      <w:lvlJc w:val="left"/>
      <w:lvlText w:val="•"/>
      <w:numFmt w:val="bullet"/>
      <w:start w:val="1"/>
    </w:lvl>
  </w:abstractNum>
  <w:abstractNum w:abstractNumId="273">
    <w:nsid w:val="3BAB699E"/>
    <w:multiLevelType w:val="hybridMultilevel"/>
    <w:lvl w:ilvl="0">
      <w:lvlJc w:val="left"/>
      <w:lvlText w:val="•"/>
      <w:numFmt w:val="bullet"/>
      <w:start w:val="1"/>
    </w:lvl>
  </w:abstractNum>
  <w:abstractNum w:abstractNumId="274">
    <w:nsid w:val="71315369"/>
    <w:multiLevelType w:val="hybridMultilevel"/>
    <w:lvl w:ilvl="0">
      <w:lvlJc w:val="left"/>
      <w:lvlText w:val="•"/>
      <w:numFmt w:val="bullet"/>
      <w:start w:val="1"/>
    </w:lvl>
  </w:abstractNum>
  <w:abstractNum w:abstractNumId="275">
    <w:nsid w:val="7BCFBAFC"/>
    <w:multiLevelType w:val="hybridMultilevel"/>
    <w:lvl w:ilvl="0">
      <w:lvlJc w:val="left"/>
      <w:lvlText w:val="(%1)"/>
      <w:numFmt w:val="lowerRoman"/>
      <w:start w:val="1"/>
    </w:lvl>
  </w:abstractNum>
  <w:abstractNum w:abstractNumId="276">
    <w:nsid w:val="17859F72"/>
    <w:multiLevelType w:val="hybridMultilevel"/>
    <w:lvl w:ilvl="0">
      <w:lvlJc w:val="left"/>
      <w:lvlText w:val="(%1)"/>
      <w:numFmt w:val="lowerRoman"/>
      <w:start w:val="3"/>
    </w:lvl>
  </w:abstractNum>
  <w:abstractNum w:abstractNumId="277">
    <w:nsid w:val="3AA10581"/>
    <w:multiLevelType w:val="hybridMultilevel"/>
    <w:lvl w:ilvl="0">
      <w:lvlJc w:val="left"/>
      <w:lvlText w:val="•"/>
      <w:numFmt w:val="bullet"/>
      <w:start w:val="1"/>
    </w:lvl>
  </w:abstractNum>
  <w:abstractNum w:abstractNumId="278">
    <w:nsid w:val="63DE60CD"/>
    <w:multiLevelType w:val="hybridMultilevel"/>
    <w:lvl w:ilvl="0">
      <w:lvlJc w:val="left"/>
      <w:lvlText w:val="(%1)"/>
      <w:numFmt w:val="lowerRoman"/>
      <w:start w:val="2"/>
    </w:lvl>
  </w:abstractNum>
  <w:abstractNum w:abstractNumId="279">
    <w:nsid w:val="621AF471"/>
    <w:multiLevelType w:val="hybridMultilevel"/>
    <w:lvl w:ilvl="0">
      <w:lvlJc w:val="left"/>
      <w:lvlText w:val="$"/>
      <w:numFmt w:val="bullet"/>
      <w:start w:val="1"/>
    </w:lvl>
  </w:abstractNum>
  <w:abstractNum w:abstractNumId="280">
    <w:nsid w:val="73CFE165"/>
    <w:multiLevelType w:val="hybridMultilevel"/>
    <w:lvl w:ilvl="0">
      <w:lvlJc w:val="left"/>
      <w:lvlText w:val="•"/>
      <w:numFmt w:val="bullet"/>
      <w:start w:val="1"/>
    </w:lvl>
  </w:abstractNum>
  <w:abstractNum w:abstractNumId="281">
    <w:nsid w:val="20F88EA6"/>
    <w:multiLevelType w:val="hybridMultilevel"/>
    <w:lvl w:ilvl="0">
      <w:lvlJc w:val="left"/>
      <w:lvlText w:val="•"/>
      <w:numFmt w:val="bullet"/>
      <w:start w:val="1"/>
    </w:lvl>
  </w:abstractNum>
  <w:abstractNum w:abstractNumId="282">
    <w:nsid w:val="617C843E"/>
    <w:multiLevelType w:val="hybridMultilevel"/>
    <w:lvl w:ilvl="0">
      <w:lvlJc w:val="left"/>
      <w:lvlText w:val="•"/>
      <w:numFmt w:val="bullet"/>
      <w:start w:val="1"/>
    </w:lvl>
  </w:abstractNum>
  <w:abstractNum w:abstractNumId="283">
    <w:nsid w:val="7B541FAB"/>
    <w:multiLevelType w:val="hybridMultilevel"/>
    <w:lvl w:ilvl="0">
      <w:lvlJc w:val="left"/>
      <w:lvlText w:val="%1."/>
      <w:numFmt w:val="upperLetter"/>
      <w:start w:val="1"/>
    </w:lvl>
  </w:abstractNum>
  <w:abstractNum w:abstractNumId="284">
    <w:nsid w:val="2A79EC49"/>
    <w:multiLevelType w:val="hybridMultilevel"/>
    <w:lvl w:ilvl="0">
      <w:lvlJc w:val="left"/>
      <w:lvlText w:val="•"/>
      <w:numFmt w:val="bullet"/>
      <w:start w:val="1"/>
    </w:lvl>
  </w:abstractNum>
  <w:abstractNum w:abstractNumId="285">
    <w:nsid w:val="338125CF"/>
    <w:multiLevelType w:val="hybridMultilevel"/>
    <w:lvl w:ilvl="0">
      <w:lvlJc w:val="left"/>
      <w:lvlText w:val="•"/>
      <w:numFmt w:val="bullet"/>
      <w:start w:val="1"/>
    </w:lvl>
  </w:abstractNum>
  <w:abstractNum w:abstractNumId="286">
    <w:nsid w:val="47C7C971"/>
    <w:multiLevelType w:val="hybridMultilevel"/>
    <w:lvl w:ilvl="0">
      <w:lvlJc w:val="left"/>
      <w:lvlText w:val="1"/>
      <w:numFmt w:val="bullet"/>
      <w:start w:val="1"/>
    </w:lvl>
  </w:abstractNum>
  <w:abstractNum w:abstractNumId="287">
    <w:nsid w:val="46F8284B"/>
    <w:multiLevelType w:val="hybridMultilevel"/>
    <w:lvl w:ilvl="0">
      <w:lvlJc w:val="left"/>
      <w:lvlText w:val="2"/>
      <w:numFmt w:val="bullet"/>
      <w:start w:val="1"/>
    </w:lvl>
  </w:abstractNum>
  <w:abstractNum w:abstractNumId="288">
    <w:nsid w:val="4FA327CE"/>
    <w:multiLevelType w:val="hybridMultilevel"/>
    <w:lvl w:ilvl="0">
      <w:lvlJc w:val="left"/>
      <w:lvlText w:val="•"/>
      <w:numFmt w:val="bullet"/>
      <w:start w:val="1"/>
    </w:lvl>
  </w:abstractNum>
  <w:abstractNum w:abstractNumId="289">
    <w:nsid w:val="1873983A"/>
    <w:multiLevelType w:val="hybridMultilevel"/>
    <w:lvl w:ilvl="0">
      <w:lvlJc w:val="left"/>
      <w:lvlText w:val="•"/>
      <w:numFmt w:val="bullet"/>
      <w:start w:val="1"/>
    </w:lvl>
  </w:abstractNum>
  <w:abstractNum w:abstractNumId="290">
    <w:nsid w:val="3D2DD275"/>
    <w:multiLevelType w:val="hybridMultilevel"/>
    <w:lvl w:ilvl="0">
      <w:lvlJc w:val="left"/>
      <w:lvlText w:val="•"/>
      <w:numFmt w:val="bullet"/>
      <w:start w:val="1"/>
    </w:lvl>
  </w:abstractNum>
  <w:abstractNum w:abstractNumId="291">
    <w:nsid w:val="2E17ECA7"/>
    <w:multiLevelType w:val="hybridMultilevel"/>
    <w:lvl w:ilvl="0">
      <w:lvlJc w:val="left"/>
      <w:lvlText w:val="•"/>
      <w:numFmt w:val="bullet"/>
      <w:start w:val="1"/>
    </w:lvl>
  </w:abstractNum>
  <w:abstractNum w:abstractNumId="292">
    <w:nsid w:val="53B2564F"/>
    <w:multiLevelType w:val="hybridMultilevel"/>
    <w:lvl w:ilvl="0">
      <w:lvlJc w:val="left"/>
      <w:lvlText w:val="•"/>
      <w:numFmt w:val="bullet"/>
      <w:start w:val="1"/>
    </w:lvl>
  </w:abstractNum>
  <w:abstractNum w:abstractNumId="293">
    <w:nsid w:val="75509D76"/>
    <w:multiLevelType w:val="hybridMultilevel"/>
    <w:lvl w:ilvl="0">
      <w:lvlJc w:val="left"/>
      <w:lvlText w:val="•"/>
      <w:numFmt w:val="bullet"/>
      <w:start w:val="1"/>
    </w:lvl>
    <w:lvl w:ilvl="1">
      <w:lvlJc w:val="left"/>
      <w:lvlText w:val="•"/>
      <w:numFmt w:val="bullet"/>
      <w:start w:val="1"/>
    </w:lvl>
  </w:abstractNum>
  <w:abstractNum w:abstractNumId="294">
    <w:nsid w:val="1AF7F0EA"/>
    <w:multiLevelType w:val="hybridMultilevel"/>
    <w:lvl w:ilvl="0">
      <w:lvlJc w:val="left"/>
      <w:lvlText w:val="•"/>
      <w:numFmt w:val="bullet"/>
      <w:start w:val="1"/>
    </w:lvl>
  </w:abstractNum>
  <w:abstractNum w:abstractNumId="295">
    <w:nsid w:val="4DA32C7E"/>
    <w:multiLevelType w:val="hybridMultilevel"/>
    <w:lvl w:ilvl="0">
      <w:lvlJc w:val="left"/>
      <w:lvlText w:val="•"/>
      <w:numFmt w:val="bullet"/>
      <w:start w:val="1"/>
    </w:lvl>
  </w:abstractNum>
  <w:abstractNum w:abstractNumId="296">
    <w:nsid w:val="6EC68664"/>
    <w:multiLevelType w:val="hybridMultilevel"/>
    <w:lvl w:ilvl="0">
      <w:lvlJc w:val="left"/>
      <w:lvlText w:val="•"/>
      <w:numFmt w:val="bullet"/>
      <w:start w:val="1"/>
    </w:lvl>
  </w:abstractNum>
  <w:abstractNum w:abstractNumId="297">
    <w:nsid w:val="E0D31FF"/>
    <w:multiLevelType w:val="hybridMultilevel"/>
    <w:lvl w:ilvl="0">
      <w:lvlJc w:val="left"/>
      <w:lvlText w:val="•"/>
      <w:numFmt w:val="bullet"/>
      <w:start w:val="1"/>
    </w:lvl>
  </w:abstractNum>
  <w:abstractNum w:abstractNumId="298">
    <w:nsid w:val="2FD0AD81"/>
    <w:multiLevelType w:val="hybridMultilevel"/>
    <w:lvl w:ilvl="0">
      <w:lvlJc w:val="left"/>
      <w:lvlText w:val="•"/>
      <w:numFmt w:val="bullet"/>
      <w:start w:val="1"/>
    </w:lvl>
  </w:abstractNum>
  <w:abstractNum w:abstractNumId="299">
    <w:nsid w:val="1978EBEB"/>
    <w:multiLevelType w:val="hybridMultilevel"/>
    <w:lvl w:ilvl="0">
      <w:lvlJc w:val="left"/>
      <w:lvlText w:val="•"/>
      <w:numFmt w:val="bullet"/>
      <w:start w:val="1"/>
    </w:lvl>
  </w:abstractNum>
  <w:abstractNum w:abstractNumId="300">
    <w:nsid w:val="52C12C61"/>
    <w:multiLevelType w:val="hybridMultilevel"/>
    <w:lvl w:ilvl="0">
      <w:lvlJc w:val="left"/>
      <w:lvlText w:val="•"/>
      <w:numFmt w:val="bullet"/>
      <w:start w:val="1"/>
    </w:lvl>
  </w:abstractNum>
  <w:abstractNum w:abstractNumId="301">
    <w:nsid w:val="4BDD53FD"/>
    <w:multiLevelType w:val="hybridMultilevel"/>
    <w:lvl w:ilvl="0">
      <w:lvlJc w:val="left"/>
      <w:lvlText w:val="•"/>
      <w:numFmt w:val="bullet"/>
      <w:start w:val="1"/>
    </w:lvl>
  </w:abstractNum>
  <w:abstractNum w:abstractNumId="302">
    <w:nsid w:val="569951FE"/>
    <w:multiLevelType w:val="hybridMultilevel"/>
    <w:lvl w:ilvl="0">
      <w:lvlJc w:val="left"/>
      <w:lvlText w:val="•"/>
      <w:numFmt w:val="bullet"/>
      <w:start w:val="1"/>
    </w:lvl>
  </w:abstractNum>
  <w:abstractNum w:abstractNumId="303">
    <w:nsid w:val="4C54E2C3"/>
    <w:multiLevelType w:val="hybridMultilevel"/>
    <w:lvl w:ilvl="0">
      <w:lvlJc w:val="left"/>
      <w:lvlText w:val="•"/>
      <w:numFmt w:val="bullet"/>
      <w:start w:val="1"/>
    </w:lvl>
  </w:abstractNum>
  <w:abstractNum w:abstractNumId="304">
    <w:nsid w:val="788BD9B"/>
    <w:multiLevelType w:val="hybridMultilevel"/>
    <w:lvl w:ilvl="0">
      <w:lvlJc w:val="left"/>
      <w:lvlText w:val="•"/>
      <w:numFmt w:val="bullet"/>
      <w:start w:val="1"/>
    </w:lvl>
  </w:abstractNum>
  <w:abstractNum w:abstractNumId="305">
    <w:nsid w:val="47CAA567"/>
    <w:multiLevelType w:val="hybridMultilevel"/>
    <w:lvl w:ilvl="0">
      <w:lvlJc w:val="left"/>
      <w:lvlText w:val="3"/>
      <w:numFmt w:val="bullet"/>
      <w:start w:val="1"/>
    </w:lvl>
  </w:abstractNum>
  <w:abstractNum w:abstractNumId="306">
    <w:nsid w:val="48249DBF"/>
    <w:multiLevelType w:val="hybridMultilevel"/>
    <w:lvl w:ilvl="0">
      <w:lvlJc w:val="left"/>
      <w:lvlText w:val="•"/>
      <w:numFmt w:val="bullet"/>
      <w:start w:val="1"/>
    </w:lvl>
  </w:abstractNum>
  <w:abstractNum w:abstractNumId="307">
    <w:nsid w:val="1F0E5D0D"/>
    <w:multiLevelType w:val="hybridMultilevel"/>
    <w:lvl w:ilvl="0">
      <w:lvlJc w:val="left"/>
      <w:lvlText w:val="•"/>
      <w:numFmt w:val="bullet"/>
      <w:start w:val="1"/>
    </w:lvl>
  </w:abstractNum>
  <w:abstractNum w:abstractNumId="308">
    <w:nsid w:val="26BAAE9"/>
    <w:multiLevelType w:val="hybridMultilevel"/>
    <w:lvl w:ilvl="0">
      <w:lvlJc w:val="left"/>
      <w:lvlText w:val="4"/>
      <w:numFmt w:val="bullet"/>
      <w:start w:val="1"/>
    </w:lvl>
  </w:abstractNum>
  <w:abstractNum w:abstractNumId="309">
    <w:nsid w:val="2C02FE8C"/>
    <w:multiLevelType w:val="hybridMultilevel"/>
    <w:lvl w:ilvl="0">
      <w:lvlJc w:val="left"/>
      <w:lvlText w:val="5"/>
      <w:numFmt w:val="bullet"/>
      <w:start w:val="1"/>
    </w:lvl>
  </w:abstractNum>
  <w:abstractNum w:abstractNumId="310">
    <w:nsid w:val="129517E"/>
    <w:multiLevelType w:val="hybridMultilevel"/>
    <w:lvl w:ilvl="0">
      <w:lvlJc w:val="left"/>
      <w:lvlText w:val="6"/>
      <w:numFmt w:val="bullet"/>
      <w:start w:val="1"/>
    </w:lvl>
  </w:abstractNum>
  <w:abstractNum w:abstractNumId="311">
    <w:nsid w:val="763B8C4E"/>
    <w:multiLevelType w:val="hybridMultilevel"/>
    <w:lvl w:ilvl="0">
      <w:lvlJc w:val="left"/>
      <w:lvlText w:val="8"/>
      <w:numFmt w:val="bullet"/>
      <w:start w:val="1"/>
    </w:lvl>
  </w:abstractNum>
  <w:abstractNum w:abstractNumId="312">
    <w:nsid w:val="4CFB8D32"/>
    <w:multiLevelType w:val="hybridMultilevel"/>
    <w:lvl w:ilvl="0">
      <w:lvlJc w:val="left"/>
      <w:lvlText w:val="%1"/>
      <w:numFmt w:val="decimal"/>
      <w:start w:val="11"/>
    </w:lvl>
  </w:abstractNum>
  <w:abstractNum w:abstractNumId="313">
    <w:nsid w:val="62A5D5BD"/>
    <w:multiLevelType w:val="hybridMultilevel"/>
    <w:lvl w:ilvl="0">
      <w:lvlJc w:val="left"/>
      <w:lvlText w:val="€"/>
      <w:numFmt w:val="bullet"/>
      <w:start w:val="1"/>
    </w:lvl>
  </w:abstractNum>
  <w:abstractNum w:abstractNumId="314">
    <w:nsid w:val="718FABF9"/>
    <w:multiLevelType w:val="hybridMultilevel"/>
    <w:lvl w:ilvl="0">
      <w:lvlJc w:val="left"/>
      <w:lvlText w:val="%1"/>
      <w:numFmt w:val="decimal"/>
      <w:start w:val="15"/>
    </w:lvl>
  </w:abstractNum>
  <w:abstractNum w:abstractNumId="315">
    <w:nsid w:val="7775797C"/>
    <w:multiLevelType w:val="hybridMultilevel"/>
    <w:lvl w:ilvl="0">
      <w:lvlJc w:val="left"/>
      <w:lvlText w:val="*"/>
      <w:numFmt w:val="bullet"/>
      <w:start w:val="1"/>
    </w:lvl>
  </w:abstractNum>
  <w:abstractNum w:abstractNumId="316">
    <w:nsid w:val="1626FB8C"/>
    <w:multiLevelType w:val="hybridMultilevel"/>
    <w:lvl w:ilvl="0">
      <w:lvlJc w:val="left"/>
      <w:lvlText w:val="•"/>
      <w:numFmt w:val="bullet"/>
      <w:start w:val="1"/>
    </w:lvl>
  </w:abstractNum>
  <w:abstractNum w:abstractNumId="317">
    <w:nsid w:val="3957756A"/>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2020-03-14T20:24:16Z</dcterms:created>
  <dcterms:modified xsi:type="dcterms:W3CDTF">2020-03-14T20:24:16Z</dcterms:modified>
</cp:coreProperties>
</file>