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25"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NOVEMBER 2020</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D-55131 Mainz</w:t>
      </w: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175" w:lineRule="exact"/>
        <w:rPr>
          <w:sz w:val="24"/>
          <w:szCs w:val="24"/>
          <w:color w:val="auto"/>
        </w:rPr>
      </w:pPr>
    </w:p>
    <w:p>
      <w:pPr>
        <w:spacing w:after="0" w:line="298"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35"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November 10, 2020, BioNTech SE (the “Company”) provided a development update and reported its financial results for the three and nine months ended September 30, 2020. The interim condensed consolidated financial statements as well as the operating and financial review and prospects of the Company, for the three and nine months ended September 30, 2020, are attached hereto as Exhibit 99.1 and shall be deemed “filed” for purposes of Section 18 of the Securities Exchange Act of 1934, as amended (the “Exchange Act”) and incorporated by reference herein.</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On May 6, 2020, the Company acquired Neon Therapeutics, Inc., a biotechnology company developing novel neoantigen-based T-cell therapies. Certain unaudited pro forma condensed combined financial information is attached hereto as Exhibit 99.2.</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contained in Exhibit 99.2 is furnished only and shall not be deemed “filed” for purposes of Section 18 of the Exchange Act, or incorporated by reference in any filing under the Securities Act of 1933, as amended, or under the Exchange Act, unless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ind w:firstLine="802"/>
        <w:spacing w:after="0" w:line="258" w:lineRule="auto"/>
        <w:rPr>
          <w:sz w:val="20"/>
          <w:szCs w:val="20"/>
          <w:color w:val="auto"/>
        </w:rPr>
      </w:pPr>
      <w:r>
        <w:rPr>
          <w:rFonts w:ascii="Times New Roman" w:cs="Times New Roman" w:eastAsia="Times New Roman" w:hAnsi="Times New Roman"/>
          <w:sz w:val="22"/>
          <w:szCs w:val="22"/>
          <w:color w:val="auto"/>
        </w:rPr>
        <w:t>Pursuant to the requirements of s the registrant has duly caused this report to be signed on its behalf by the undersigned, thereunto duly authorized.</w:t>
      </w:r>
    </w:p>
    <w:p>
      <w:pPr>
        <w:spacing w:after="0" w:line="15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280"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10795</wp:posOffset>
            </wp:positionV>
            <wp:extent cx="3188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ind w:left="6220"/>
        <w:spacing w:after="0"/>
        <w:rPr>
          <w:sz w:val="20"/>
          <w:szCs w:val="20"/>
          <w:color w:val="auto"/>
        </w:rPr>
      </w:pPr>
      <w:r>
        <w:rPr>
          <w:rFonts w:ascii="Times New Roman" w:cs="Times New Roman" w:eastAsia="Times New Roman" w:hAnsi="Times New Roman"/>
          <w:sz w:val="22"/>
          <w:szCs w:val="22"/>
          <w:color w:val="auto"/>
        </w:rPr>
        <w:t>Name: Dr. Sierk Poetting</w:t>
      </w:r>
    </w:p>
    <w:p>
      <w:pPr>
        <w:ind w:left="6220"/>
        <w:spacing w:after="0" w:line="230" w:lineRule="auto"/>
        <w:rPr>
          <w:sz w:val="20"/>
          <w:szCs w:val="20"/>
          <w:color w:val="auto"/>
        </w:rPr>
      </w:pPr>
      <w:r>
        <w:rPr>
          <w:rFonts w:ascii="Times New Roman" w:cs="Times New Roman" w:eastAsia="Times New Roman" w:hAnsi="Times New Roman"/>
          <w:sz w:val="22"/>
          <w:szCs w:val="22"/>
          <w:color w:val="auto"/>
        </w:rPr>
        <w:t>Title:  Chief 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7"/>
        </w:trPr>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650"/>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1002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10020" w:type="dxa"/>
            <w:vAlign w:val="bottom"/>
            <w:gridSpan w:val="4"/>
          </w:tcPr>
          <w:p>
            <w:pPr>
              <w:ind w:left="20"/>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Quarterly Report for the Three and Nine Months Ended September 30, 2020</w:t>
              </w:r>
            </w:hyperlink>
            <w:r>
              <w:rPr>
                <w:rFonts w:ascii="Times New Roman" w:cs="Times New Roman" w:eastAsia="Times New Roman" w:hAnsi="Times New Roman"/>
                <w:sz w:val="22"/>
                <w:szCs w:val="22"/>
                <w:u w:val="single" w:color="auto"/>
                <w:color w:val="000000"/>
              </w:rPr>
              <w:t>.</w:t>
            </w:r>
          </w:p>
        </w:tc>
      </w:tr>
      <w:tr>
        <w:trPr>
          <w:trHeight w:val="230"/>
        </w:trPr>
        <w:tc>
          <w:tcPr>
            <w:tcW w:w="64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99.2</w:t>
            </w:r>
          </w:p>
        </w:tc>
        <w:tc>
          <w:tcPr>
            <w:tcW w:w="600" w:type="dxa"/>
            <w:vAlign w:val="bottom"/>
          </w:tcPr>
          <w:p>
            <w:pPr>
              <w:spacing w:after="0"/>
              <w:rPr>
                <w:sz w:val="19"/>
                <w:szCs w:val="19"/>
                <w:color w:val="auto"/>
              </w:rPr>
            </w:pPr>
          </w:p>
        </w:tc>
        <w:tc>
          <w:tcPr>
            <w:tcW w:w="10020" w:type="dxa"/>
            <w:vAlign w:val="bottom"/>
            <w:gridSpan w:val="4"/>
          </w:tcPr>
          <w:p>
            <w:pPr>
              <w:ind w:left="20"/>
              <w:spacing w:after="0" w:line="230" w:lineRule="exact"/>
              <w:rPr>
                <w:rFonts w:ascii="Times New Roman" w:cs="Times New Roman" w:eastAsia="Times New Roman" w:hAnsi="Times New Roman"/>
                <w:sz w:val="22"/>
                <w:szCs w:val="22"/>
                <w:color w:val="0000EE"/>
              </w:rPr>
            </w:pPr>
            <w:hyperlink w:anchor="page143">
              <w:r>
                <w:rPr>
                  <w:rFonts w:ascii="Times New Roman" w:cs="Times New Roman" w:eastAsia="Times New Roman" w:hAnsi="Times New Roman"/>
                  <w:sz w:val="22"/>
                  <w:szCs w:val="22"/>
                  <w:color w:val="0000EE"/>
                </w:rPr>
                <w:t>Unaudited pro forma condensed combined financial information for the year ended  December 31, 2019 and the</w:t>
              </w:r>
            </w:hyperlink>
          </w:p>
        </w:tc>
      </w:tr>
      <w:tr>
        <w:trPr>
          <w:trHeight w:val="223"/>
        </w:trPr>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0" w:type="dxa"/>
            <w:vAlign w:val="bottom"/>
            <w:tcBorders>
              <w:top w:val="single" w:sz="8" w:color="0000EE"/>
            </w:tcBorders>
            <w:gridSpan w:val="3"/>
          </w:tcPr>
          <w:p>
            <w:pPr>
              <w:ind w:left="20"/>
              <w:spacing w:after="0" w:line="223" w:lineRule="exact"/>
              <w:rPr>
                <w:rFonts w:ascii="Times New Roman" w:cs="Times New Roman" w:eastAsia="Times New Roman" w:hAnsi="Times New Roman"/>
                <w:sz w:val="22"/>
                <w:szCs w:val="22"/>
                <w:color w:val="0000EE"/>
              </w:rPr>
            </w:pPr>
            <w:hyperlink w:anchor="page143">
              <w:r>
                <w:rPr>
                  <w:rFonts w:ascii="Times New Roman" w:cs="Times New Roman" w:eastAsia="Times New Roman" w:hAnsi="Times New Roman"/>
                  <w:sz w:val="22"/>
                  <w:szCs w:val="22"/>
                  <w:color w:val="0000EE"/>
                </w:rPr>
                <w:t>nine months ended September 30, 2020</w:t>
              </w:r>
              <w:r>
                <w:rPr>
                  <w:rFonts w:ascii="Arial" w:cs="Arial" w:eastAsia="Arial" w:hAnsi="Arial"/>
                  <w:sz w:val="22"/>
                  <w:szCs w:val="22"/>
                  <w:color w:val="000000"/>
                </w:rPr>
                <w:t>.</w:t>
              </w:r>
            </w:hyperlink>
          </w:p>
        </w:tc>
        <w:tc>
          <w:tcPr>
            <w:tcW w:w="2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3016885</wp:posOffset>
            </wp:positionV>
            <wp:extent cx="6137910" cy="2194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791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auto"/>
        </w:rPr>
        <w:t>BioNTech 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Quarterly Report for the Three and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320" w:type="dxa"/>
            <w:vAlign w:val="bottom"/>
          </w:tcPr>
          <w:p>
            <w:pPr>
              <w:spacing w:after="0"/>
              <w:rPr>
                <w:sz w:val="22"/>
                <w:szCs w:val="22"/>
                <w:color w:val="auto"/>
              </w:rPr>
            </w:pPr>
          </w:p>
        </w:tc>
        <w:tc>
          <w:tcPr>
            <w:tcW w:w="862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tc>
      </w:tr>
      <w:tr>
        <w:trPr>
          <w:trHeight w:val="1063"/>
        </w:trPr>
        <w:tc>
          <w:tcPr>
            <w:tcW w:w="8940" w:type="dxa"/>
            <w:vAlign w:val="bottom"/>
            <w:gridSpan w:val="2"/>
          </w:tcPr>
          <w:p>
            <w:pPr>
              <w:spacing w:after="0"/>
              <w:rPr>
                <w:sz w:val="20"/>
                <w:szCs w:val="20"/>
                <w:color w:val="auto"/>
              </w:rPr>
            </w:pPr>
            <w:r>
              <w:rPr>
                <w:rFonts w:ascii="Times New Roman" w:cs="Times New Roman" w:eastAsia="Times New Roman" w:hAnsi="Times New Roman"/>
                <w:sz w:val="36"/>
                <w:szCs w:val="36"/>
                <w:color w:val="auto"/>
              </w:rPr>
              <w:t>BioNTech SE</w:t>
            </w:r>
          </w:p>
        </w:tc>
        <w:tc>
          <w:tcPr>
            <w:tcW w:w="2320" w:type="dxa"/>
            <w:vAlign w:val="bottom"/>
          </w:tcPr>
          <w:p>
            <w:pPr>
              <w:spacing w:after="0"/>
              <w:rPr>
                <w:sz w:val="24"/>
                <w:szCs w:val="24"/>
                <w:color w:val="auto"/>
              </w:rPr>
            </w:pPr>
          </w:p>
        </w:tc>
      </w:tr>
      <w:tr>
        <w:trPr>
          <w:trHeight w:val="398"/>
        </w:trPr>
        <w:tc>
          <w:tcPr>
            <w:tcW w:w="8940" w:type="dxa"/>
            <w:vAlign w:val="bottom"/>
            <w:gridSpan w:val="2"/>
          </w:tcPr>
          <w:p>
            <w:pPr>
              <w:spacing w:after="0"/>
              <w:rPr>
                <w:sz w:val="20"/>
                <w:szCs w:val="20"/>
                <w:color w:val="auto"/>
              </w:rPr>
            </w:pPr>
            <w:r>
              <w:rPr>
                <w:rFonts w:ascii="Times New Roman" w:cs="Times New Roman" w:eastAsia="Times New Roman" w:hAnsi="Times New Roman"/>
                <w:sz w:val="25"/>
                <w:szCs w:val="25"/>
                <w:color w:val="auto"/>
              </w:rPr>
              <w:t>Quarterly Report for the Three and Nine Months ended September 30, 2020</w:t>
            </w:r>
          </w:p>
        </w:tc>
        <w:tc>
          <w:tcPr>
            <w:tcW w:w="2320" w:type="dxa"/>
            <w:vAlign w:val="bottom"/>
          </w:tcPr>
          <w:p>
            <w:pPr>
              <w:spacing w:after="0"/>
              <w:rPr>
                <w:sz w:val="24"/>
                <w:szCs w:val="24"/>
                <w:color w:val="auto"/>
              </w:rPr>
            </w:pPr>
          </w:p>
        </w:tc>
      </w:tr>
      <w:tr>
        <w:trPr>
          <w:trHeight w:val="405"/>
        </w:trPr>
        <w:tc>
          <w:tcPr>
            <w:tcW w:w="8940" w:type="dxa"/>
            <w:vAlign w:val="bottom"/>
            <w:gridSpan w:val="2"/>
          </w:tcPr>
          <w:p>
            <w:pPr>
              <w:spacing w:after="0"/>
              <w:rPr>
                <w:sz w:val="20"/>
                <w:szCs w:val="20"/>
                <w:color w:val="auto"/>
              </w:rPr>
            </w:pPr>
            <w:r>
              <w:rPr>
                <w:rFonts w:ascii="Times New Roman" w:cs="Times New Roman" w:eastAsia="Times New Roman" w:hAnsi="Times New Roman"/>
                <w:sz w:val="25"/>
                <w:szCs w:val="25"/>
                <w:color w:val="auto"/>
              </w:rPr>
              <w:t>Index</w:t>
            </w:r>
          </w:p>
        </w:tc>
        <w:tc>
          <w:tcPr>
            <w:tcW w:w="2320" w:type="dxa"/>
            <w:vAlign w:val="bottom"/>
          </w:tcPr>
          <w:p>
            <w:pPr>
              <w:spacing w:after="0"/>
              <w:rPr>
                <w:sz w:val="24"/>
                <w:szCs w:val="24"/>
                <w:color w:val="auto"/>
              </w:rPr>
            </w:pPr>
          </w:p>
        </w:tc>
      </w:tr>
      <w:tr>
        <w:trPr>
          <w:trHeight w:val="621"/>
        </w:trPr>
        <w:tc>
          <w:tcPr>
            <w:tcW w:w="8940" w:type="dxa"/>
            <w:vAlign w:val="bottom"/>
            <w:gridSpan w:val="2"/>
          </w:tcPr>
          <w:p>
            <w:pPr>
              <w:spacing w:after="0"/>
              <w:rPr>
                <w:rFonts w:ascii="Times New Roman" w:cs="Times New Roman" w:eastAsia="Times New Roman" w:hAnsi="Times New Roman"/>
                <w:sz w:val="25"/>
                <w:szCs w:val="25"/>
                <w:b w:val="1"/>
                <w:bCs w:val="1"/>
                <w:u w:val="single" w:color="auto"/>
                <w:color w:val="0000EE"/>
              </w:rPr>
            </w:pPr>
            <w:hyperlink w:anchor="page7">
              <w:r>
                <w:rPr>
                  <w:rFonts w:ascii="Times New Roman" w:cs="Times New Roman" w:eastAsia="Times New Roman" w:hAnsi="Times New Roman"/>
                  <w:sz w:val="25"/>
                  <w:szCs w:val="25"/>
                  <w:b w:val="1"/>
                  <w:bCs w:val="1"/>
                  <w:u w:val="single" w:color="auto"/>
                  <w:color w:val="0000EE"/>
                </w:rPr>
                <w:t>Interim Condensed Consolidated Financial Statements</w:t>
              </w:r>
            </w:hyperlink>
          </w:p>
        </w:tc>
        <w:tc>
          <w:tcPr>
            <w:tcW w:w="2320" w:type="dxa"/>
            <w:vAlign w:val="bottom"/>
          </w:tcPr>
          <w:p>
            <w:pPr>
              <w:spacing w:after="0"/>
              <w:rPr>
                <w:sz w:val="24"/>
                <w:szCs w:val="24"/>
                <w:color w:val="auto"/>
              </w:rPr>
            </w:pPr>
          </w:p>
        </w:tc>
      </w:tr>
      <w:tr>
        <w:trPr>
          <w:trHeight w:val="349"/>
        </w:trPr>
        <w:tc>
          <w:tcPr>
            <w:tcW w:w="894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7">
              <w:r>
                <w:rPr>
                  <w:rFonts w:ascii="Times New Roman" w:cs="Times New Roman" w:eastAsia="Times New Roman" w:hAnsi="Times New Roman"/>
                  <w:sz w:val="20"/>
                  <w:szCs w:val="20"/>
                  <w:b w:val="1"/>
                  <w:bCs w:val="1"/>
                  <w:u w:val="single" w:color="auto"/>
                  <w:color w:val="0000EE"/>
                </w:rPr>
                <w:t>Interim Condensed Consolidated Statements of Financial Position</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r>
      <w:tr>
        <w:trPr>
          <w:trHeight w:val="364"/>
        </w:trPr>
        <w:tc>
          <w:tcPr>
            <w:tcW w:w="894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8">
              <w:r>
                <w:rPr>
                  <w:rFonts w:ascii="Times New Roman" w:cs="Times New Roman" w:eastAsia="Times New Roman" w:hAnsi="Times New Roman"/>
                  <w:sz w:val="20"/>
                  <w:szCs w:val="20"/>
                  <w:b w:val="1"/>
                  <w:bCs w:val="1"/>
                  <w:u w:val="single" w:color="auto"/>
                  <w:color w:val="0000EE"/>
                </w:rPr>
                <w:t>Interim Condensed Consolidated Statements of Operations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r>
      <w:tr>
        <w:trPr>
          <w:trHeight w:val="365"/>
        </w:trPr>
        <w:tc>
          <w:tcPr>
            <w:tcW w:w="894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9">
              <w:r>
                <w:rPr>
                  <w:rFonts w:ascii="Times New Roman" w:cs="Times New Roman" w:eastAsia="Times New Roman" w:hAnsi="Times New Roman"/>
                  <w:sz w:val="20"/>
                  <w:szCs w:val="20"/>
                  <w:b w:val="1"/>
                  <w:bCs w:val="1"/>
                  <w:u w:val="single" w:color="auto"/>
                  <w:color w:val="0000EE"/>
                </w:rPr>
                <w:t>Interim Condensed Consolidated Statements of Comprehensive Loss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r>
      <w:tr>
        <w:trPr>
          <w:trHeight w:val="364"/>
        </w:trPr>
        <w:tc>
          <w:tcPr>
            <w:tcW w:w="894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10">
              <w:r>
                <w:rPr>
                  <w:rFonts w:ascii="Times New Roman" w:cs="Times New Roman" w:eastAsia="Times New Roman" w:hAnsi="Times New Roman"/>
                  <w:sz w:val="20"/>
                  <w:szCs w:val="20"/>
                  <w:b w:val="1"/>
                  <w:bCs w:val="1"/>
                  <w:u w:val="single" w:color="auto"/>
                  <w:color w:val="0000EE"/>
                </w:rPr>
                <w:t>Interim Condensed Consolidated Statements of Changes in Stockholder’s Equity</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r>
      <w:tr>
        <w:trPr>
          <w:trHeight w:val="364"/>
        </w:trPr>
        <w:tc>
          <w:tcPr>
            <w:tcW w:w="894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11">
              <w:r>
                <w:rPr>
                  <w:rFonts w:ascii="Times New Roman" w:cs="Times New Roman" w:eastAsia="Times New Roman" w:hAnsi="Times New Roman"/>
                  <w:sz w:val="20"/>
                  <w:szCs w:val="20"/>
                  <w:b w:val="1"/>
                  <w:bCs w:val="1"/>
                  <w:u w:val="single" w:color="auto"/>
                  <w:color w:val="0000EE"/>
                </w:rPr>
                <w:t>Interim Condensed Consolidated Statements of Cash Flows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r>
      <w:tr>
        <w:trPr>
          <w:trHeight w:val="365"/>
        </w:trPr>
        <w:tc>
          <w:tcPr>
            <w:tcW w:w="894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12">
              <w:r>
                <w:rPr>
                  <w:rFonts w:ascii="Times New Roman" w:cs="Times New Roman" w:eastAsia="Times New Roman" w:hAnsi="Times New Roman"/>
                  <w:sz w:val="20"/>
                  <w:szCs w:val="20"/>
                  <w:b w:val="1"/>
                  <w:bCs w:val="1"/>
                  <w:u w:val="single" w:color="auto"/>
                  <w:color w:val="0000EE"/>
                </w:rPr>
                <w:t>Selected Explanatory Notes to the Interim Condensed Consolidated Financial Statements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r>
      <w:tr>
        <w:trPr>
          <w:trHeight w:val="364"/>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12">
              <w:r>
                <w:rPr>
                  <w:rFonts w:ascii="Times New Roman" w:cs="Times New Roman" w:eastAsia="Times New Roman" w:hAnsi="Times New Roman"/>
                  <w:sz w:val="20"/>
                  <w:szCs w:val="20"/>
                  <w:b w:val="1"/>
                  <w:bCs w:val="1"/>
                  <w:u w:val="single" w:color="auto"/>
                  <w:color w:val="0000EE"/>
                </w:rPr>
                <w:t>Corporate Information</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r>
      <w:tr>
        <w:trPr>
          <w:trHeight w:val="364"/>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12">
              <w:r>
                <w:rPr>
                  <w:rFonts w:ascii="Times New Roman" w:cs="Times New Roman" w:eastAsia="Times New Roman" w:hAnsi="Times New Roman"/>
                  <w:sz w:val="20"/>
                  <w:szCs w:val="20"/>
                  <w:b w:val="1"/>
                  <w:bCs w:val="1"/>
                  <w:u w:val="single" w:color="auto"/>
                  <w:color w:val="0000EE"/>
                </w:rPr>
                <w:t>Basis of Preparation, Significant Accounting Policies and further Accounting Topics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r>
      <w:tr>
        <w:trPr>
          <w:trHeight w:val="365"/>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15">
              <w:r>
                <w:rPr>
                  <w:rFonts w:ascii="Times New Roman" w:cs="Times New Roman" w:eastAsia="Times New Roman" w:hAnsi="Times New Roman"/>
                  <w:sz w:val="20"/>
                  <w:szCs w:val="20"/>
                  <w:b w:val="1"/>
                  <w:bCs w:val="1"/>
                  <w:u w:val="single" w:color="auto"/>
                  <w:color w:val="0000EE"/>
                </w:rPr>
                <w:t>Segment Information</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r>
      <w:tr>
        <w:trPr>
          <w:trHeight w:val="364"/>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18">
              <w:r>
                <w:rPr>
                  <w:rFonts w:ascii="Times New Roman" w:cs="Times New Roman" w:eastAsia="Times New Roman" w:hAnsi="Times New Roman"/>
                  <w:sz w:val="20"/>
                  <w:szCs w:val="20"/>
                  <w:b w:val="1"/>
                  <w:bCs w:val="1"/>
                  <w:u w:val="single" w:color="auto"/>
                  <w:color w:val="0000EE"/>
                </w:rPr>
                <w:t>Revenue from Contracts with Customers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r>
      <w:tr>
        <w:trPr>
          <w:trHeight w:val="365"/>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19">
              <w:r>
                <w:rPr>
                  <w:rFonts w:ascii="Times New Roman" w:cs="Times New Roman" w:eastAsia="Times New Roman" w:hAnsi="Times New Roman"/>
                  <w:sz w:val="20"/>
                  <w:szCs w:val="20"/>
                  <w:b w:val="1"/>
                  <w:bCs w:val="1"/>
                  <w:u w:val="single" w:color="auto"/>
                  <w:color w:val="0000EE"/>
                </w:rPr>
                <w:t>Business Combinations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r>
      <w:tr>
        <w:trPr>
          <w:trHeight w:val="365"/>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22">
              <w:r>
                <w:rPr>
                  <w:rFonts w:ascii="Times New Roman" w:cs="Times New Roman" w:eastAsia="Times New Roman" w:hAnsi="Times New Roman"/>
                  <w:sz w:val="20"/>
                  <w:szCs w:val="20"/>
                  <w:b w:val="1"/>
                  <w:bCs w:val="1"/>
                  <w:u w:val="single" w:color="auto"/>
                  <w:color w:val="0000EE"/>
                </w:rPr>
                <w:t>Research and Development Expenses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w:t>
            </w:r>
          </w:p>
        </w:tc>
      </w:tr>
      <w:tr>
        <w:trPr>
          <w:trHeight w:val="364"/>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23">
              <w:r>
                <w:rPr>
                  <w:rFonts w:ascii="Times New Roman" w:cs="Times New Roman" w:eastAsia="Times New Roman" w:hAnsi="Times New Roman"/>
                  <w:sz w:val="20"/>
                  <w:szCs w:val="20"/>
                  <w:b w:val="1"/>
                  <w:bCs w:val="1"/>
                  <w:u w:val="single" w:color="auto"/>
                  <w:color w:val="0000EE"/>
                </w:rPr>
                <w:t>Income Tax</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w:t>
            </w:r>
          </w:p>
        </w:tc>
      </w:tr>
      <w:tr>
        <w:trPr>
          <w:trHeight w:val="365"/>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8</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23">
              <w:r>
                <w:rPr>
                  <w:rFonts w:ascii="Times New Roman" w:cs="Times New Roman" w:eastAsia="Times New Roman" w:hAnsi="Times New Roman"/>
                  <w:sz w:val="20"/>
                  <w:szCs w:val="20"/>
                  <w:b w:val="1"/>
                  <w:bCs w:val="1"/>
                  <w:u w:val="single" w:color="auto"/>
                  <w:color w:val="0000EE"/>
                </w:rPr>
                <w:t>Intangible Assets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w:t>
            </w:r>
          </w:p>
        </w:tc>
      </w:tr>
      <w:tr>
        <w:trPr>
          <w:trHeight w:val="365"/>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9</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23">
              <w:r>
                <w:rPr>
                  <w:rFonts w:ascii="Times New Roman" w:cs="Times New Roman" w:eastAsia="Times New Roman" w:hAnsi="Times New Roman"/>
                  <w:sz w:val="20"/>
                  <w:szCs w:val="20"/>
                  <w:b w:val="1"/>
                  <w:bCs w:val="1"/>
                  <w:u w:val="single" w:color="auto"/>
                  <w:color w:val="0000EE"/>
                </w:rPr>
                <w:t>Property, Plant and Equipment</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w:t>
            </w:r>
          </w:p>
        </w:tc>
      </w:tr>
      <w:tr>
        <w:trPr>
          <w:trHeight w:val="365"/>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10</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24">
              <w:r>
                <w:rPr>
                  <w:rFonts w:ascii="Times New Roman" w:cs="Times New Roman" w:eastAsia="Times New Roman" w:hAnsi="Times New Roman"/>
                  <w:sz w:val="20"/>
                  <w:szCs w:val="20"/>
                  <w:b w:val="1"/>
                  <w:bCs w:val="1"/>
                  <w:u w:val="single" w:color="auto"/>
                  <w:color w:val="0000EE"/>
                </w:rPr>
                <w:t>Financial Assets and Financial Liabilities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r>
      <w:tr>
        <w:trPr>
          <w:trHeight w:val="364"/>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26">
              <w:r>
                <w:rPr>
                  <w:rFonts w:ascii="Times New Roman" w:cs="Times New Roman" w:eastAsia="Times New Roman" w:hAnsi="Times New Roman"/>
                  <w:sz w:val="20"/>
                  <w:szCs w:val="20"/>
                  <w:b w:val="1"/>
                  <w:bCs w:val="1"/>
                  <w:u w:val="single" w:color="auto"/>
                  <w:color w:val="0000EE"/>
                </w:rPr>
                <w:t>Other Assets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r>
      <w:tr>
        <w:trPr>
          <w:trHeight w:val="365"/>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12</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26">
              <w:r>
                <w:rPr>
                  <w:rFonts w:ascii="Times New Roman" w:cs="Times New Roman" w:eastAsia="Times New Roman" w:hAnsi="Times New Roman"/>
                  <w:sz w:val="20"/>
                  <w:szCs w:val="20"/>
                  <w:b w:val="1"/>
                  <w:bCs w:val="1"/>
                  <w:u w:val="single" w:color="auto"/>
                  <w:color w:val="0000EE"/>
                </w:rPr>
                <w:t>Issued Capital and Reserves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r>
      <w:tr>
        <w:trPr>
          <w:trHeight w:val="365"/>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13</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28">
              <w:r>
                <w:rPr>
                  <w:rFonts w:ascii="Times New Roman" w:cs="Times New Roman" w:eastAsia="Times New Roman" w:hAnsi="Times New Roman"/>
                  <w:sz w:val="20"/>
                  <w:szCs w:val="20"/>
                  <w:b w:val="1"/>
                  <w:bCs w:val="1"/>
                  <w:u w:val="single" w:color="auto"/>
                  <w:color w:val="0000EE"/>
                </w:rPr>
                <w:t>Share-Based Payments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w:t>
            </w:r>
          </w:p>
        </w:tc>
      </w:tr>
      <w:tr>
        <w:trPr>
          <w:trHeight w:val="364"/>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14</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32">
              <w:r>
                <w:rPr>
                  <w:rFonts w:ascii="Times New Roman" w:cs="Times New Roman" w:eastAsia="Times New Roman" w:hAnsi="Times New Roman"/>
                  <w:sz w:val="20"/>
                  <w:szCs w:val="20"/>
                  <w:b w:val="1"/>
                  <w:bCs w:val="1"/>
                  <w:u w:val="single" w:color="auto"/>
                  <w:color w:val="0000EE"/>
                </w:rPr>
                <w:t>Related Party Disclosures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w:t>
            </w:r>
          </w:p>
        </w:tc>
      </w:tr>
      <w:tr>
        <w:trPr>
          <w:trHeight w:val="365"/>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15</w:t>
            </w:r>
          </w:p>
        </w:tc>
        <w:tc>
          <w:tcPr>
            <w:tcW w:w="8620" w:type="dxa"/>
            <w:vAlign w:val="bottom"/>
          </w:tcPr>
          <w:p>
            <w:pPr>
              <w:ind w:left="100"/>
              <w:spacing w:after="0"/>
              <w:rPr>
                <w:rFonts w:ascii="Times New Roman" w:cs="Times New Roman" w:eastAsia="Times New Roman" w:hAnsi="Times New Roman"/>
                <w:sz w:val="20"/>
                <w:szCs w:val="20"/>
                <w:b w:val="1"/>
                <w:bCs w:val="1"/>
                <w:u w:val="single" w:color="auto"/>
                <w:color w:val="0000EE"/>
              </w:rPr>
            </w:pPr>
            <w:hyperlink w:anchor="page33">
              <w:r>
                <w:rPr>
                  <w:rFonts w:ascii="Times New Roman" w:cs="Times New Roman" w:eastAsia="Times New Roman" w:hAnsi="Times New Roman"/>
                  <w:sz w:val="20"/>
                  <w:szCs w:val="20"/>
                  <w:b w:val="1"/>
                  <w:bCs w:val="1"/>
                  <w:u w:val="single" w:color="auto"/>
                  <w:color w:val="0000EE"/>
                </w:rPr>
                <w:t>Events after the Reporting Period</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w:t>
            </w:r>
          </w:p>
        </w:tc>
      </w:tr>
      <w:tr>
        <w:trPr>
          <w:trHeight w:val="637"/>
        </w:trPr>
        <w:tc>
          <w:tcPr>
            <w:tcW w:w="8940" w:type="dxa"/>
            <w:vAlign w:val="bottom"/>
            <w:gridSpan w:val="2"/>
          </w:tcPr>
          <w:p>
            <w:pPr>
              <w:spacing w:after="0"/>
              <w:rPr>
                <w:rFonts w:ascii="Times New Roman" w:cs="Times New Roman" w:eastAsia="Times New Roman" w:hAnsi="Times New Roman"/>
                <w:sz w:val="25"/>
                <w:szCs w:val="25"/>
                <w:b w:val="1"/>
                <w:bCs w:val="1"/>
                <w:u w:val="single" w:color="auto"/>
                <w:color w:val="0000EE"/>
              </w:rPr>
            </w:pPr>
            <w:hyperlink w:anchor="page35">
              <w:r>
                <w:rPr>
                  <w:rFonts w:ascii="Times New Roman" w:cs="Times New Roman" w:eastAsia="Times New Roman" w:hAnsi="Times New Roman"/>
                  <w:sz w:val="25"/>
                  <w:szCs w:val="25"/>
                  <w:b w:val="1"/>
                  <w:bCs w:val="1"/>
                  <w:u w:val="single" w:color="auto"/>
                  <w:color w:val="0000EE"/>
                </w:rPr>
                <w:t>Operating and Financial Review and Prospects</w:t>
              </w:r>
            </w:hyperlink>
          </w:p>
        </w:tc>
        <w:tc>
          <w:tcPr>
            <w:tcW w:w="2320" w:type="dxa"/>
            <w:vAlign w:val="bottom"/>
          </w:tcPr>
          <w:p>
            <w:pPr>
              <w:spacing w:after="0"/>
              <w:rPr>
                <w:sz w:val="24"/>
                <w:szCs w:val="24"/>
                <w:color w:val="auto"/>
              </w:rPr>
            </w:pPr>
          </w:p>
        </w:tc>
      </w:tr>
      <w:tr>
        <w:trPr>
          <w:trHeight w:val="349"/>
        </w:trPr>
        <w:tc>
          <w:tcPr>
            <w:tcW w:w="894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35">
              <w:r>
                <w:rPr>
                  <w:rFonts w:ascii="Times New Roman" w:cs="Times New Roman" w:eastAsia="Times New Roman" w:hAnsi="Times New Roman"/>
                  <w:sz w:val="20"/>
                  <w:szCs w:val="20"/>
                  <w:b w:val="1"/>
                  <w:bCs w:val="1"/>
                  <w:u w:val="single" w:color="auto"/>
                  <w:color w:val="0000EE"/>
                </w:rPr>
                <w:t>Operating Results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r>
      <w:tr>
        <w:trPr>
          <w:trHeight w:val="365"/>
        </w:trPr>
        <w:tc>
          <w:tcPr>
            <w:tcW w:w="894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56">
              <w:r>
                <w:rPr>
                  <w:rFonts w:ascii="Times New Roman" w:cs="Times New Roman" w:eastAsia="Times New Roman" w:hAnsi="Times New Roman"/>
                  <w:sz w:val="20"/>
                  <w:szCs w:val="20"/>
                  <w:b w:val="1"/>
                  <w:bCs w:val="1"/>
                  <w:u w:val="single" w:color="auto"/>
                  <w:color w:val="0000EE"/>
                </w:rPr>
                <w:t>Liquidity and Capital Resources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52</w:t>
            </w:r>
          </w:p>
        </w:tc>
      </w:tr>
      <w:tr>
        <w:trPr>
          <w:trHeight w:val="364"/>
        </w:trPr>
        <w:tc>
          <w:tcPr>
            <w:tcW w:w="894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60">
              <w:r>
                <w:rPr>
                  <w:rFonts w:ascii="Times New Roman" w:cs="Times New Roman" w:eastAsia="Times New Roman" w:hAnsi="Times New Roman"/>
                  <w:sz w:val="20"/>
                  <w:szCs w:val="20"/>
                  <w:b w:val="1"/>
                  <w:bCs w:val="1"/>
                  <w:u w:val="single" w:color="auto"/>
                  <w:color w:val="0000EE"/>
                </w:rPr>
                <w:t>Risk Factors</w:t>
              </w:r>
            </w:hyperlink>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w:t>
            </w:r>
          </w:p>
        </w:tc>
      </w:tr>
      <w:tr>
        <w:trPr>
          <w:trHeight w:val="1216"/>
        </w:trPr>
        <w:tc>
          <w:tcPr>
            <w:tcW w:w="32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6" w:name="page7"/>
    <w:bookmarkEnd w:id="6"/>
    <w:p>
      <w:pPr>
        <w:ind w:left="20" w:right="4580"/>
        <w:spacing w:after="0" w:line="406" w:lineRule="auto"/>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 xml:space="preserve">Interim Condensed Consolidated Financial Statements </w:t>
      </w:r>
      <w:r>
        <w:rPr>
          <w:rFonts w:ascii="Times New Roman" w:cs="Times New Roman" w:eastAsia="Times New Roman" w:hAnsi="Times New Roman"/>
          <w:sz w:val="25"/>
          <w:szCs w:val="25"/>
          <w:color w:val="auto"/>
        </w:rPr>
        <w:t>Interim Condensed Consolidated Statements of Financial Position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00" w:type="dxa"/>
            <w:vAlign w:val="bottom"/>
          </w:tcPr>
          <w:p>
            <w:pPr>
              <w:spacing w:after="0"/>
              <w:rPr>
                <w:sz w:val="20"/>
                <w:szCs w:val="20"/>
                <w:color w:val="auto"/>
              </w:rPr>
            </w:pPr>
          </w:p>
        </w:tc>
        <w:tc>
          <w:tcPr>
            <w:tcW w:w="3320" w:type="dxa"/>
            <w:vAlign w:val="bottom"/>
            <w:tcBorders>
              <w:right w:val="single" w:sz="8" w:color="70AD47"/>
            </w:tcBorders>
          </w:tcPr>
          <w:p>
            <w:pPr>
              <w:spacing w:after="0"/>
              <w:rPr>
                <w:sz w:val="20"/>
                <w:szCs w:val="20"/>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8"/>
        </w:trPr>
        <w:tc>
          <w:tcPr>
            <w:tcW w:w="48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320" w:type="dxa"/>
            <w:vAlign w:val="bottom"/>
            <w:tcBorders>
              <w:right w:val="single" w:sz="8" w:color="70AD47"/>
            </w:tcBorders>
          </w:tcPr>
          <w:p>
            <w:pPr>
              <w:spacing w:after="0"/>
              <w:rPr>
                <w:sz w:val="21"/>
                <w:szCs w:val="21"/>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43"/>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320" w:type="dxa"/>
            <w:vAlign w:val="bottom"/>
            <w:tcBorders>
              <w:bottom w:val="single" w:sz="8" w:color="70AD47"/>
              <w:right w:val="single" w:sz="8" w:color="70AD47"/>
            </w:tcBorders>
          </w:tcPr>
          <w:p>
            <w:pPr>
              <w:ind w:left="284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560" w:type="dxa"/>
            <w:vAlign w:val="bottom"/>
            <w:tcBorders>
              <w:bottom w:val="single" w:sz="8" w:color="70AD47"/>
              <w:right w:val="single" w:sz="8" w:color="70AD47"/>
            </w:tcBorders>
          </w:tcPr>
          <w:p>
            <w:pPr>
              <w:spacing w:after="0"/>
              <w:rPr>
                <w:sz w:val="21"/>
                <w:szCs w:val="2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320" w:type="dxa"/>
            <w:vAlign w:val="bottom"/>
            <w:tcBorders>
              <w:right w:val="single" w:sz="8" w:color="70AD47"/>
            </w:tcBorders>
          </w:tcPr>
          <w:p>
            <w:pPr>
              <w:spacing w:after="0"/>
              <w:rPr>
                <w:sz w:val="19"/>
                <w:szCs w:val="19"/>
                <w:color w:val="auto"/>
              </w:rPr>
            </w:pPr>
          </w:p>
        </w:tc>
        <w:tc>
          <w:tcPr>
            <w:tcW w:w="1560" w:type="dxa"/>
            <w:vAlign w:val="bottom"/>
            <w:tcBorders>
              <w:right w:val="single" w:sz="8" w:color="70AD47"/>
            </w:tcBorders>
            <w:shd w:val="clear" w:color="auto" w:fill="C6E0B4"/>
          </w:tcPr>
          <w:p>
            <w:pPr>
              <w:spacing w:after="0"/>
              <w:rPr>
                <w:sz w:val="19"/>
                <w:szCs w:val="19"/>
                <w:color w:val="auto"/>
              </w:rPr>
            </w:pPr>
          </w:p>
        </w:tc>
        <w:tc>
          <w:tcPr>
            <w:tcW w:w="1560" w:type="dxa"/>
            <w:vAlign w:val="bottom"/>
            <w:tcBorders>
              <w:right w:val="single" w:sz="8" w:color="70AD47"/>
            </w:tcBorders>
          </w:tcPr>
          <w:p>
            <w:pPr>
              <w:spacing w:after="0"/>
              <w:rPr>
                <w:sz w:val="19"/>
                <w:szCs w:val="19"/>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3320" w:type="dxa"/>
            <w:vAlign w:val="bottom"/>
            <w:tcBorders>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8</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€168,733</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€89,434</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320" w:type="dxa"/>
            <w:vAlign w:val="bottom"/>
            <w:tcBorders>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9</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127,739</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93,044</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3320" w:type="dxa"/>
            <w:vAlign w:val="bottom"/>
            <w:tcBorders>
              <w:right w:val="single" w:sz="8" w:color="70AD47"/>
            </w:tcBorders>
          </w:tcPr>
          <w:p>
            <w:pPr>
              <w:spacing w:after="0"/>
              <w:rPr>
                <w:sz w:val="21"/>
                <w:szCs w:val="21"/>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55,764</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55,018</w:t>
            </w:r>
          </w:p>
        </w:tc>
      </w:tr>
      <w:tr>
        <w:trPr>
          <w:trHeight w:val="256"/>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320" w:type="dxa"/>
            <w:vAlign w:val="bottom"/>
            <w:tcBorders>
              <w:bottom w:val="single" w:sz="8" w:color="70AD47"/>
              <w:right w:val="single" w:sz="8" w:color="70AD47"/>
            </w:tcBorders>
          </w:tcPr>
          <w:p>
            <w:pPr>
              <w:jc w:val="center"/>
              <w:ind w:left="2619"/>
              <w:spacing w:after="0"/>
              <w:rPr>
                <w:sz w:val="20"/>
                <w:szCs w:val="20"/>
                <w:color w:val="auto"/>
              </w:rPr>
            </w:pPr>
            <w:r>
              <w:rPr>
                <w:rFonts w:ascii="Times New Roman" w:cs="Times New Roman" w:eastAsia="Times New Roman" w:hAnsi="Times New Roman"/>
                <w:sz w:val="16"/>
                <w:szCs w:val="16"/>
                <w:color w:val="auto"/>
                <w:w w:val="87"/>
              </w:rPr>
              <w:t>11</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5,177</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3320" w:type="dxa"/>
            <w:vAlign w:val="bottom"/>
            <w:tcBorders>
              <w:bottom w:val="single" w:sz="8" w:color="70AD47"/>
              <w:right w:val="single" w:sz="8" w:color="70AD47"/>
            </w:tcBorders>
          </w:tcPr>
          <w:p>
            <w:pPr>
              <w:spacing w:after="0"/>
              <w:rPr>
                <w:sz w:val="20"/>
                <w:szCs w:val="20"/>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€357,413</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€237,496</w:t>
            </w: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320" w:type="dxa"/>
            <w:vAlign w:val="bottom"/>
            <w:tcBorders>
              <w:right w:val="single" w:sz="8" w:color="70AD47"/>
            </w:tcBorders>
          </w:tcPr>
          <w:p>
            <w:pPr>
              <w:spacing w:after="0"/>
              <w:rPr>
                <w:sz w:val="19"/>
                <w:szCs w:val="19"/>
                <w:color w:val="auto"/>
              </w:rPr>
            </w:pPr>
          </w:p>
        </w:tc>
        <w:tc>
          <w:tcPr>
            <w:tcW w:w="1560" w:type="dxa"/>
            <w:vAlign w:val="bottom"/>
            <w:tcBorders>
              <w:right w:val="single" w:sz="8" w:color="70AD47"/>
            </w:tcBorders>
            <w:shd w:val="clear" w:color="auto" w:fill="C6E0B4"/>
          </w:tcPr>
          <w:p>
            <w:pPr>
              <w:spacing w:after="0"/>
              <w:rPr>
                <w:sz w:val="19"/>
                <w:szCs w:val="19"/>
                <w:color w:val="auto"/>
              </w:rPr>
            </w:pPr>
          </w:p>
        </w:tc>
        <w:tc>
          <w:tcPr>
            <w:tcW w:w="1560" w:type="dxa"/>
            <w:vAlign w:val="bottom"/>
            <w:tcBorders>
              <w:right w:val="single" w:sz="8" w:color="70AD47"/>
            </w:tcBorders>
          </w:tcPr>
          <w:p>
            <w:pPr>
              <w:spacing w:after="0"/>
              <w:rPr>
                <w:sz w:val="19"/>
                <w:szCs w:val="19"/>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320" w:type="dxa"/>
            <w:vAlign w:val="bottom"/>
            <w:tcBorders>
              <w:right w:val="single" w:sz="8" w:color="70AD47"/>
            </w:tcBorders>
          </w:tcPr>
          <w:p>
            <w:pPr>
              <w:spacing w:after="0"/>
              <w:rPr>
                <w:sz w:val="21"/>
                <w:szCs w:val="21"/>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12,368</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11,722</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Trade receivables</w:t>
            </w:r>
          </w:p>
        </w:tc>
        <w:tc>
          <w:tcPr>
            <w:tcW w:w="3320" w:type="dxa"/>
            <w:vAlign w:val="bottom"/>
            <w:tcBorders>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10</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11,913</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Other financial assets</w:t>
            </w:r>
          </w:p>
        </w:tc>
        <w:tc>
          <w:tcPr>
            <w:tcW w:w="3320" w:type="dxa"/>
            <w:vAlign w:val="bottom"/>
            <w:tcBorders>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10</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17,843</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1,680</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320" w:type="dxa"/>
            <w:vAlign w:val="bottom"/>
            <w:tcBorders>
              <w:right w:val="single" w:sz="8" w:color="70AD47"/>
            </w:tcBorders>
          </w:tcPr>
          <w:p>
            <w:pPr>
              <w:jc w:val="center"/>
              <w:ind w:left="2619"/>
              <w:spacing w:after="0"/>
              <w:rPr>
                <w:sz w:val="20"/>
                <w:szCs w:val="20"/>
                <w:color w:val="auto"/>
              </w:rPr>
            </w:pPr>
            <w:r>
              <w:rPr>
                <w:rFonts w:ascii="Times New Roman" w:cs="Times New Roman" w:eastAsia="Times New Roman" w:hAnsi="Times New Roman"/>
                <w:sz w:val="16"/>
                <w:szCs w:val="16"/>
                <w:color w:val="auto"/>
                <w:w w:val="87"/>
              </w:rPr>
              <w:t>11</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54,146</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9,069</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Income tax assets</w:t>
            </w:r>
          </w:p>
        </w:tc>
        <w:tc>
          <w:tcPr>
            <w:tcW w:w="3320" w:type="dxa"/>
            <w:vAlign w:val="bottom"/>
            <w:tcBorders>
              <w:right w:val="single" w:sz="8" w:color="70AD47"/>
            </w:tcBorders>
          </w:tcPr>
          <w:p>
            <w:pPr>
              <w:spacing w:after="0"/>
              <w:rPr>
                <w:sz w:val="21"/>
                <w:szCs w:val="21"/>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Deferred expense</w:t>
            </w:r>
          </w:p>
        </w:tc>
        <w:tc>
          <w:tcPr>
            <w:tcW w:w="3320" w:type="dxa"/>
            <w:vAlign w:val="bottom"/>
            <w:tcBorders>
              <w:right w:val="single" w:sz="8" w:color="70AD47"/>
            </w:tcBorders>
          </w:tcPr>
          <w:p>
            <w:pPr>
              <w:spacing w:after="0"/>
              <w:rPr>
                <w:sz w:val="21"/>
                <w:szCs w:val="21"/>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9,127</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5,862</w:t>
            </w:r>
          </w:p>
        </w:tc>
      </w:tr>
      <w:tr>
        <w:trPr>
          <w:trHeight w:val="233"/>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320" w:type="dxa"/>
            <w:vAlign w:val="bottom"/>
            <w:tcBorders>
              <w:bottom w:val="single" w:sz="8" w:color="70AD47"/>
              <w:right w:val="single" w:sz="8" w:color="70AD47"/>
            </w:tcBorders>
          </w:tcPr>
          <w:p>
            <w:pPr>
              <w:spacing w:after="0"/>
              <w:rPr>
                <w:sz w:val="20"/>
                <w:szCs w:val="20"/>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990,461</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519,149</w:t>
            </w:r>
          </w:p>
        </w:tc>
      </w:tr>
      <w:tr>
        <w:trPr>
          <w:trHeight w:val="211"/>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320" w:type="dxa"/>
            <w:vAlign w:val="bottom"/>
            <w:tcBorders>
              <w:bottom w:val="single" w:sz="8" w:color="70AD47"/>
              <w:right w:val="single" w:sz="8" w:color="70AD47"/>
            </w:tcBorders>
          </w:tcPr>
          <w:p>
            <w:pPr>
              <w:spacing w:after="0"/>
              <w:rPr>
                <w:sz w:val="18"/>
                <w:szCs w:val="18"/>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€1,091,839</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€560,151</w:t>
            </w:r>
          </w:p>
        </w:tc>
      </w:tr>
      <w:tr>
        <w:trPr>
          <w:trHeight w:val="232"/>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320" w:type="dxa"/>
            <w:vAlign w:val="bottom"/>
            <w:tcBorders>
              <w:bottom w:val="single" w:sz="8" w:color="70AD47"/>
              <w:right w:val="single" w:sz="8" w:color="70AD47"/>
            </w:tcBorders>
          </w:tcPr>
          <w:p>
            <w:pPr>
              <w:spacing w:after="0"/>
              <w:rPr>
                <w:sz w:val="20"/>
                <w:szCs w:val="20"/>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€1,449,252</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€797,647</w:t>
            </w:r>
          </w:p>
        </w:tc>
      </w:tr>
      <w:tr>
        <w:trPr>
          <w:trHeight w:val="480"/>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3320" w:type="dxa"/>
            <w:vAlign w:val="bottom"/>
            <w:tcBorders>
              <w:bottom w:val="single" w:sz="8" w:color="70AD47"/>
              <w:right w:val="single" w:sz="8" w:color="70AD47"/>
            </w:tcBorders>
          </w:tcPr>
          <w:p>
            <w:pPr>
              <w:spacing w:after="0"/>
              <w:rPr>
                <w:sz w:val="24"/>
                <w:szCs w:val="24"/>
                <w:color w:val="auto"/>
              </w:rPr>
            </w:pPr>
          </w:p>
        </w:tc>
        <w:tc>
          <w:tcPr>
            <w:tcW w:w="1560" w:type="dxa"/>
            <w:vAlign w:val="bottom"/>
            <w:tcBorders>
              <w:bottom w:val="single" w:sz="8" w:color="70AD47"/>
              <w:right w:val="single" w:sz="8" w:color="70AD47"/>
            </w:tcBorders>
            <w:shd w:val="clear" w:color="auto" w:fill="C6E0B4"/>
          </w:tcPr>
          <w:p>
            <w:pPr>
              <w:spacing w:after="0"/>
              <w:rPr>
                <w:sz w:val="24"/>
                <w:szCs w:val="24"/>
                <w:color w:val="auto"/>
              </w:rPr>
            </w:pPr>
          </w:p>
        </w:tc>
        <w:tc>
          <w:tcPr>
            <w:tcW w:w="1560" w:type="dxa"/>
            <w:vAlign w:val="bottom"/>
            <w:tcBorders>
              <w:bottom w:val="single" w:sz="8" w:color="70AD47"/>
              <w:right w:val="single" w:sz="8" w:color="70AD47"/>
            </w:tcBorders>
          </w:tcPr>
          <w:p>
            <w:pPr>
              <w:spacing w:after="0"/>
              <w:rPr>
                <w:sz w:val="24"/>
                <w:szCs w:val="24"/>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320" w:type="dxa"/>
            <w:vAlign w:val="bottom"/>
            <w:tcBorders>
              <w:right w:val="single" w:sz="8" w:color="70AD47"/>
            </w:tcBorders>
          </w:tcPr>
          <w:p>
            <w:pPr>
              <w:spacing w:after="0"/>
              <w:rPr>
                <w:sz w:val="19"/>
                <w:szCs w:val="19"/>
                <w:color w:val="auto"/>
              </w:rPr>
            </w:pPr>
          </w:p>
        </w:tc>
        <w:tc>
          <w:tcPr>
            <w:tcW w:w="1560" w:type="dxa"/>
            <w:vAlign w:val="bottom"/>
            <w:tcBorders>
              <w:right w:val="single" w:sz="8" w:color="70AD47"/>
            </w:tcBorders>
            <w:shd w:val="clear" w:color="auto" w:fill="C6E0B4"/>
          </w:tcPr>
          <w:p>
            <w:pPr>
              <w:spacing w:after="0"/>
              <w:rPr>
                <w:sz w:val="19"/>
                <w:szCs w:val="19"/>
                <w:color w:val="auto"/>
              </w:rPr>
            </w:pPr>
          </w:p>
        </w:tc>
        <w:tc>
          <w:tcPr>
            <w:tcW w:w="1560" w:type="dxa"/>
            <w:vAlign w:val="bottom"/>
            <w:tcBorders>
              <w:right w:val="single" w:sz="8" w:color="70AD47"/>
            </w:tcBorders>
          </w:tcPr>
          <w:p>
            <w:pPr>
              <w:spacing w:after="0"/>
              <w:rPr>
                <w:sz w:val="19"/>
                <w:szCs w:val="19"/>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3320" w:type="dxa"/>
            <w:vAlign w:val="bottom"/>
            <w:tcBorders>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12</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246,310</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232,304</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Capital reserve</w:t>
            </w:r>
          </w:p>
        </w:tc>
        <w:tc>
          <w:tcPr>
            <w:tcW w:w="3320" w:type="dxa"/>
            <w:vAlign w:val="bottom"/>
            <w:tcBorders>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12</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1,441,631</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686,714</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3320" w:type="dxa"/>
            <w:vAlign w:val="bottom"/>
            <w:tcBorders>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12</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(5,525)</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losses</w:t>
            </w:r>
          </w:p>
        </w:tc>
        <w:tc>
          <w:tcPr>
            <w:tcW w:w="3320" w:type="dxa"/>
            <w:vAlign w:val="bottom"/>
            <w:tcBorders>
              <w:right w:val="single" w:sz="8" w:color="70AD47"/>
            </w:tcBorders>
          </w:tcPr>
          <w:p>
            <w:pPr>
              <w:spacing w:after="0"/>
              <w:rPr>
                <w:sz w:val="21"/>
                <w:szCs w:val="21"/>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(776,541)</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(424,827)</w:t>
            </w:r>
          </w:p>
        </w:tc>
      </w:tr>
      <w:tr>
        <w:trPr>
          <w:trHeight w:val="256"/>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color w:val="auto"/>
              </w:rPr>
              <w:t>Other reserves</w:t>
            </w:r>
          </w:p>
        </w:tc>
        <w:tc>
          <w:tcPr>
            <w:tcW w:w="3320" w:type="dxa"/>
            <w:vAlign w:val="bottom"/>
            <w:tcBorders>
              <w:bottom w:val="single" w:sz="8" w:color="70AD47"/>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13</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21,808</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4,826</w:t>
            </w:r>
          </w:p>
        </w:tc>
      </w:tr>
      <w:tr>
        <w:trPr>
          <w:trHeight w:val="237"/>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3320" w:type="dxa"/>
            <w:vAlign w:val="bottom"/>
            <w:tcBorders>
              <w:bottom w:val="single" w:sz="8" w:color="70AD47"/>
              <w:right w:val="single" w:sz="8" w:color="70AD47"/>
            </w:tcBorders>
          </w:tcPr>
          <w:p>
            <w:pPr>
              <w:spacing w:after="0"/>
              <w:rPr>
                <w:sz w:val="20"/>
                <w:szCs w:val="20"/>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€927,683</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€493,492</w:t>
            </w: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320" w:type="dxa"/>
            <w:vAlign w:val="bottom"/>
            <w:tcBorders>
              <w:right w:val="single" w:sz="8" w:color="70AD47"/>
            </w:tcBorders>
          </w:tcPr>
          <w:p>
            <w:pPr>
              <w:spacing w:after="0"/>
              <w:rPr>
                <w:sz w:val="19"/>
                <w:szCs w:val="19"/>
                <w:color w:val="auto"/>
              </w:rPr>
            </w:pPr>
          </w:p>
        </w:tc>
        <w:tc>
          <w:tcPr>
            <w:tcW w:w="1560" w:type="dxa"/>
            <w:vAlign w:val="bottom"/>
            <w:tcBorders>
              <w:right w:val="single" w:sz="8" w:color="70AD47"/>
            </w:tcBorders>
            <w:shd w:val="clear" w:color="auto" w:fill="C6E0B4"/>
          </w:tcPr>
          <w:p>
            <w:pPr>
              <w:spacing w:after="0"/>
              <w:rPr>
                <w:sz w:val="19"/>
                <w:szCs w:val="19"/>
                <w:color w:val="auto"/>
              </w:rPr>
            </w:pPr>
          </w:p>
        </w:tc>
        <w:tc>
          <w:tcPr>
            <w:tcW w:w="1560" w:type="dxa"/>
            <w:vAlign w:val="bottom"/>
            <w:tcBorders>
              <w:right w:val="single" w:sz="8" w:color="70AD47"/>
            </w:tcBorders>
          </w:tcPr>
          <w:p>
            <w:pPr>
              <w:spacing w:after="0"/>
              <w:rPr>
                <w:sz w:val="19"/>
                <w:szCs w:val="19"/>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Financial liabilities</w:t>
            </w:r>
          </w:p>
        </w:tc>
        <w:tc>
          <w:tcPr>
            <w:tcW w:w="3320" w:type="dxa"/>
            <w:vAlign w:val="bottom"/>
            <w:tcBorders>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10</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175,621</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68,904</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3320" w:type="dxa"/>
            <w:vAlign w:val="bottom"/>
            <w:tcBorders>
              <w:right w:val="single" w:sz="8" w:color="70AD47"/>
            </w:tcBorders>
          </w:tcPr>
          <w:p>
            <w:pPr>
              <w:spacing w:after="0"/>
              <w:rPr>
                <w:sz w:val="21"/>
                <w:szCs w:val="21"/>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3320" w:type="dxa"/>
            <w:vAlign w:val="bottom"/>
            <w:tcBorders>
              <w:bottom w:val="single" w:sz="8" w:color="70AD47"/>
              <w:right w:val="single" w:sz="8" w:color="70AD47"/>
            </w:tcBorders>
          </w:tcPr>
          <w:p>
            <w:pPr>
              <w:spacing w:after="0"/>
              <w:rPr>
                <w:sz w:val="22"/>
                <w:szCs w:val="22"/>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76,773</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97,109</w:t>
            </w:r>
          </w:p>
        </w:tc>
      </w:tr>
      <w:tr>
        <w:trPr>
          <w:trHeight w:val="236"/>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3320" w:type="dxa"/>
            <w:vAlign w:val="bottom"/>
            <w:tcBorders>
              <w:bottom w:val="single" w:sz="8" w:color="70AD47"/>
              <w:right w:val="single" w:sz="8" w:color="70AD47"/>
            </w:tcBorders>
          </w:tcPr>
          <w:p>
            <w:pPr>
              <w:spacing w:after="0"/>
              <w:rPr>
                <w:sz w:val="20"/>
                <w:szCs w:val="20"/>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€253,089</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€166,013</w:t>
            </w:r>
          </w:p>
        </w:tc>
      </w:tr>
      <w:tr>
        <w:trPr>
          <w:trHeight w:val="224"/>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320" w:type="dxa"/>
            <w:vAlign w:val="bottom"/>
            <w:tcBorders>
              <w:right w:val="single" w:sz="8" w:color="70AD47"/>
            </w:tcBorders>
          </w:tcPr>
          <w:p>
            <w:pPr>
              <w:spacing w:after="0"/>
              <w:rPr>
                <w:sz w:val="19"/>
                <w:szCs w:val="19"/>
                <w:color w:val="auto"/>
              </w:rPr>
            </w:pPr>
          </w:p>
        </w:tc>
        <w:tc>
          <w:tcPr>
            <w:tcW w:w="1560" w:type="dxa"/>
            <w:vAlign w:val="bottom"/>
            <w:tcBorders>
              <w:right w:val="single" w:sz="8" w:color="70AD47"/>
            </w:tcBorders>
            <w:shd w:val="clear" w:color="auto" w:fill="C6E0B4"/>
          </w:tcPr>
          <w:p>
            <w:pPr>
              <w:spacing w:after="0"/>
              <w:rPr>
                <w:sz w:val="19"/>
                <w:szCs w:val="19"/>
                <w:color w:val="auto"/>
              </w:rPr>
            </w:pPr>
          </w:p>
        </w:tc>
        <w:tc>
          <w:tcPr>
            <w:tcW w:w="1560" w:type="dxa"/>
            <w:vAlign w:val="bottom"/>
            <w:tcBorders>
              <w:right w:val="single" w:sz="8" w:color="70AD47"/>
            </w:tcBorders>
          </w:tcPr>
          <w:p>
            <w:pPr>
              <w:spacing w:after="0"/>
              <w:rPr>
                <w:sz w:val="19"/>
                <w:szCs w:val="19"/>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Tax provisions</w:t>
            </w:r>
          </w:p>
        </w:tc>
        <w:tc>
          <w:tcPr>
            <w:tcW w:w="3320" w:type="dxa"/>
            <w:vAlign w:val="bottom"/>
            <w:tcBorders>
              <w:right w:val="single" w:sz="8" w:color="70AD47"/>
            </w:tcBorders>
          </w:tcPr>
          <w:p>
            <w:pPr>
              <w:spacing w:after="0"/>
              <w:rPr>
                <w:sz w:val="21"/>
                <w:szCs w:val="21"/>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Provisions</w:t>
            </w:r>
          </w:p>
        </w:tc>
        <w:tc>
          <w:tcPr>
            <w:tcW w:w="3320" w:type="dxa"/>
            <w:vAlign w:val="bottom"/>
            <w:tcBorders>
              <w:right w:val="single" w:sz="8" w:color="70AD47"/>
            </w:tcBorders>
          </w:tcPr>
          <w:p>
            <w:pPr>
              <w:spacing w:after="0"/>
              <w:rPr>
                <w:sz w:val="21"/>
                <w:szCs w:val="21"/>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Financial liabilities</w:t>
            </w:r>
          </w:p>
        </w:tc>
        <w:tc>
          <w:tcPr>
            <w:tcW w:w="3320" w:type="dxa"/>
            <w:vAlign w:val="bottom"/>
            <w:tcBorders>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10</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1,823</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3320" w:type="dxa"/>
            <w:vAlign w:val="bottom"/>
            <w:tcBorders>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10</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41,912</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20,498</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3320" w:type="dxa"/>
            <w:vAlign w:val="bottom"/>
            <w:tcBorders>
              <w:right w:val="single" w:sz="8" w:color="70AD47"/>
            </w:tcBorders>
          </w:tcPr>
          <w:p>
            <w:pPr>
              <w:spacing w:after="0"/>
              <w:rPr>
                <w:sz w:val="21"/>
                <w:szCs w:val="21"/>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70,250</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93,583</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Other financial liabilities</w:t>
            </w:r>
          </w:p>
        </w:tc>
        <w:tc>
          <w:tcPr>
            <w:tcW w:w="3320" w:type="dxa"/>
            <w:vAlign w:val="bottom"/>
            <w:tcBorders>
              <w:right w:val="single" w:sz="8" w:color="70AD47"/>
            </w:tcBorders>
          </w:tcPr>
          <w:p>
            <w:pPr>
              <w:jc w:val="center"/>
              <w:ind w:left="2639"/>
              <w:spacing w:after="0"/>
              <w:rPr>
                <w:sz w:val="20"/>
                <w:szCs w:val="20"/>
                <w:color w:val="auto"/>
              </w:rPr>
            </w:pPr>
            <w:r>
              <w:rPr>
                <w:rFonts w:ascii="Times New Roman" w:cs="Times New Roman" w:eastAsia="Times New Roman" w:hAnsi="Times New Roman"/>
                <w:sz w:val="16"/>
                <w:szCs w:val="16"/>
                <w:color w:val="auto"/>
                <w:w w:val="99"/>
              </w:rPr>
              <w:t>10</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132,157</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13,836</w:t>
            </w:r>
          </w:p>
        </w:tc>
      </w:tr>
      <w:tr>
        <w:trPr>
          <w:trHeight w:val="256"/>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3320" w:type="dxa"/>
            <w:vAlign w:val="bottom"/>
            <w:tcBorders>
              <w:bottom w:val="single" w:sz="8" w:color="70AD47"/>
              <w:right w:val="single" w:sz="8" w:color="70AD47"/>
            </w:tcBorders>
          </w:tcPr>
          <w:p>
            <w:pPr>
              <w:spacing w:after="0"/>
              <w:rPr>
                <w:sz w:val="22"/>
                <w:szCs w:val="22"/>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color w:val="auto"/>
              </w:rPr>
              <w:t>20,173</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color w:val="auto"/>
              </w:rPr>
              <w:t>7,490</w:t>
            </w:r>
          </w:p>
        </w:tc>
      </w:tr>
      <w:tr>
        <w:trPr>
          <w:trHeight w:val="236"/>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320" w:type="dxa"/>
            <w:vAlign w:val="bottom"/>
            <w:tcBorders>
              <w:bottom w:val="single" w:sz="8" w:color="70AD47"/>
              <w:right w:val="single" w:sz="8" w:color="70AD47"/>
            </w:tcBorders>
          </w:tcPr>
          <w:p>
            <w:pPr>
              <w:spacing w:after="0"/>
              <w:rPr>
                <w:sz w:val="20"/>
                <w:szCs w:val="20"/>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€268,480</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€138,142</w:t>
            </w:r>
          </w:p>
        </w:tc>
      </w:tr>
      <w:tr>
        <w:trPr>
          <w:trHeight w:val="236"/>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320" w:type="dxa"/>
            <w:vAlign w:val="bottom"/>
            <w:tcBorders>
              <w:bottom w:val="single" w:sz="8" w:color="70AD47"/>
              <w:right w:val="single" w:sz="8" w:color="70AD47"/>
            </w:tcBorders>
          </w:tcPr>
          <w:p>
            <w:pPr>
              <w:spacing w:after="0"/>
              <w:rPr>
                <w:sz w:val="20"/>
                <w:szCs w:val="20"/>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€521,569</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€304,155</w:t>
            </w:r>
          </w:p>
        </w:tc>
      </w:tr>
      <w:tr>
        <w:trPr>
          <w:trHeight w:val="214"/>
        </w:trPr>
        <w:tc>
          <w:tcPr>
            <w:tcW w:w="48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3320" w:type="dxa"/>
            <w:vAlign w:val="bottom"/>
            <w:tcBorders>
              <w:bottom w:val="single" w:sz="8" w:color="70AD47"/>
              <w:right w:val="single" w:sz="8" w:color="70AD47"/>
            </w:tcBorders>
          </w:tcPr>
          <w:p>
            <w:pPr>
              <w:spacing w:after="0"/>
              <w:rPr>
                <w:sz w:val="18"/>
                <w:szCs w:val="18"/>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6"/>
                <w:szCs w:val="16"/>
                <w:b w:val="1"/>
                <w:bCs w:val="1"/>
                <w:color w:val="auto"/>
              </w:rPr>
              <w:t>€1,449,252</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€797,647</w:t>
            </w: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interim condensed consolidated financial statements.</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Interim Condensed Consolidated Statements of Operations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380" w:type="dxa"/>
            <w:vAlign w:val="bottom"/>
          </w:tcPr>
          <w:p>
            <w:pPr>
              <w:spacing w:after="0"/>
              <w:rPr>
                <w:sz w:val="22"/>
                <w:szCs w:val="22"/>
                <w:color w:val="auto"/>
              </w:rPr>
            </w:pPr>
          </w:p>
        </w:tc>
        <w:tc>
          <w:tcPr>
            <w:tcW w:w="620" w:type="dxa"/>
            <w:vAlign w:val="bottom"/>
            <w:tcBorders>
              <w:right w:val="single" w:sz="8" w:color="70AD47"/>
            </w:tcBorders>
          </w:tcPr>
          <w:p>
            <w:pPr>
              <w:spacing w:after="0"/>
              <w:rPr>
                <w:sz w:val="22"/>
                <w:szCs w:val="22"/>
                <w:color w:val="auto"/>
              </w:rPr>
            </w:pP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70AD47"/>
            </w:tcBorders>
            <w:shd w:val="clear" w:color="auto" w:fill="70AD47"/>
          </w:tcPr>
          <w:p>
            <w:pPr>
              <w:spacing w:after="0"/>
              <w:rPr>
                <w:sz w:val="22"/>
                <w:szCs w:val="22"/>
                <w:color w:val="auto"/>
              </w:rPr>
            </w:pP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20" w:type="dxa"/>
            <w:vAlign w:val="bottom"/>
          </w:tcPr>
          <w:p>
            <w:pPr>
              <w:spacing w:after="0"/>
              <w:rPr>
                <w:sz w:val="22"/>
                <w:szCs w:val="22"/>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6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23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40" w:type="dxa"/>
            <w:vAlign w:val="bottom"/>
          </w:tcPr>
          <w:p>
            <w:pPr>
              <w:spacing w:after="0"/>
              <w:rPr>
                <w:sz w:val="22"/>
                <w:szCs w:val="22"/>
                <w:color w:val="auto"/>
              </w:rPr>
            </w:pPr>
          </w:p>
        </w:tc>
        <w:tc>
          <w:tcPr>
            <w:tcW w:w="20" w:type="dxa"/>
            <w:vAlign w:val="bottom"/>
            <w:shd w:val="clear" w:color="auto" w:fill="70AD47"/>
          </w:tcPr>
          <w:p>
            <w:pPr>
              <w:spacing w:after="0"/>
              <w:rPr>
                <w:sz w:val="22"/>
                <w:szCs w:val="22"/>
                <w:color w:val="auto"/>
              </w:rPr>
            </w:pPr>
          </w:p>
        </w:tc>
        <w:tc>
          <w:tcPr>
            <w:tcW w:w="23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84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80" w:type="dxa"/>
            <w:vAlign w:val="bottom"/>
            <w:tcBorders>
              <w:bottom w:val="single" w:sz="8" w:color="70AD47"/>
            </w:tcBorders>
          </w:tcPr>
          <w:p>
            <w:pPr>
              <w:spacing w:after="0"/>
              <w:rPr>
                <w:sz w:val="2"/>
                <w:szCs w:val="2"/>
                <w:color w:val="auto"/>
              </w:rPr>
            </w:pPr>
          </w:p>
        </w:tc>
        <w:tc>
          <w:tcPr>
            <w:tcW w:w="620" w:type="dxa"/>
            <w:vAlign w:val="bottom"/>
            <w:tcBorders>
              <w:bottom w:val="single" w:sz="8" w:color="70AD47"/>
              <w:right w:val="single" w:sz="8" w:color="70AD47"/>
            </w:tcBorders>
          </w:tcPr>
          <w:p>
            <w:pPr>
              <w:spacing w:after="0"/>
              <w:rPr>
                <w:sz w:val="2"/>
                <w:szCs w:val="2"/>
                <w:color w:val="auto"/>
              </w:rPr>
            </w:pPr>
          </w:p>
        </w:tc>
        <w:tc>
          <w:tcPr>
            <w:tcW w:w="1560" w:type="dxa"/>
            <w:vAlign w:val="bottom"/>
            <w:tcBorders>
              <w:bottom w:val="single" w:sz="8" w:color="70AD47"/>
            </w:tcBorders>
          </w:tcPr>
          <w:p>
            <w:pPr>
              <w:spacing w:after="0"/>
              <w:rPr>
                <w:sz w:val="2"/>
                <w:szCs w:val="2"/>
                <w:color w:val="auto"/>
              </w:rPr>
            </w:pPr>
          </w:p>
        </w:tc>
        <w:tc>
          <w:tcPr>
            <w:tcW w:w="800" w:type="dxa"/>
            <w:vAlign w:val="bottom"/>
            <w:tcBorders>
              <w:bottom w:val="single" w:sz="8" w:color="70AD47"/>
            </w:tcBorders>
          </w:tcPr>
          <w:p>
            <w:pPr>
              <w:spacing w:after="0"/>
              <w:rPr>
                <w:sz w:val="2"/>
                <w:szCs w:val="2"/>
                <w:color w:val="auto"/>
              </w:rPr>
            </w:pPr>
          </w:p>
        </w:tc>
        <w:tc>
          <w:tcPr>
            <w:tcW w:w="740" w:type="dxa"/>
            <w:vAlign w:val="bottom"/>
            <w:tcBorders>
              <w:bottom w:val="single" w:sz="8" w:color="70AD47"/>
            </w:tcBorders>
          </w:tcPr>
          <w:p>
            <w:pPr>
              <w:spacing w:after="0"/>
              <w:rPr>
                <w:sz w:val="2"/>
                <w:szCs w:val="2"/>
                <w:color w:val="auto"/>
              </w:rPr>
            </w:pPr>
          </w:p>
        </w:tc>
        <w:tc>
          <w:tcPr>
            <w:tcW w:w="20" w:type="dxa"/>
            <w:vAlign w:val="bottom"/>
            <w:tcBorders>
              <w:bottom w:val="single" w:sz="8" w:color="70AD47"/>
            </w:tcBorders>
            <w:shd w:val="clear" w:color="auto" w:fill="70AD47"/>
          </w:tcPr>
          <w:p>
            <w:pPr>
              <w:spacing w:after="0"/>
              <w:rPr>
                <w:sz w:val="2"/>
                <w:szCs w:val="2"/>
                <w:color w:val="auto"/>
              </w:rPr>
            </w:pPr>
          </w:p>
        </w:tc>
        <w:tc>
          <w:tcPr>
            <w:tcW w:w="1580" w:type="dxa"/>
            <w:vAlign w:val="bottom"/>
            <w:tcBorders>
              <w:bottom w:val="single" w:sz="8" w:color="70AD47"/>
            </w:tcBorders>
          </w:tcPr>
          <w:p>
            <w:pPr>
              <w:spacing w:after="0"/>
              <w:rPr>
                <w:sz w:val="2"/>
                <w:szCs w:val="2"/>
                <w:color w:val="auto"/>
              </w:rPr>
            </w:pPr>
          </w:p>
        </w:tc>
        <w:tc>
          <w:tcPr>
            <w:tcW w:w="720" w:type="dxa"/>
            <w:vAlign w:val="bottom"/>
            <w:tcBorders>
              <w:bottom w:val="single" w:sz="8" w:color="70AD47"/>
            </w:tcBorders>
          </w:tcPr>
          <w:p>
            <w:pPr>
              <w:spacing w:after="0"/>
              <w:rPr>
                <w:sz w:val="2"/>
                <w:szCs w:val="2"/>
                <w:color w:val="auto"/>
              </w:rPr>
            </w:pPr>
          </w:p>
        </w:tc>
        <w:tc>
          <w:tcPr>
            <w:tcW w:w="840" w:type="dxa"/>
            <w:vAlign w:val="bottom"/>
            <w:tcBorders>
              <w:bottom w:val="single" w:sz="8" w:color="70AD47"/>
              <w:right w:val="single" w:sz="8" w:color="70AD47"/>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620" w:type="dxa"/>
            <w:vAlign w:val="bottom"/>
            <w:tcBorders>
              <w:right w:val="single" w:sz="8" w:color="70AD47"/>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€67,458</w:t>
            </w:r>
          </w:p>
        </w:tc>
        <w:tc>
          <w:tcPr>
            <w:tcW w:w="8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€28,662</w:t>
            </w:r>
          </w:p>
        </w:tc>
        <w:tc>
          <w:tcPr>
            <w:tcW w:w="20" w:type="dxa"/>
            <w:vAlign w:val="bottom"/>
            <w:shd w:val="clear" w:color="auto" w:fill="70AD47"/>
          </w:tcPr>
          <w:p>
            <w:pPr>
              <w:spacing w:after="0"/>
              <w:rPr>
                <w:sz w:val="24"/>
                <w:szCs w:val="24"/>
                <w:color w:val="auto"/>
              </w:rPr>
            </w:pP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€136,883</w:t>
            </w:r>
          </w:p>
        </w:tc>
        <w:tc>
          <w:tcPr>
            <w:tcW w:w="720" w:type="dxa"/>
            <w:vAlign w:val="bottom"/>
          </w:tcPr>
          <w:p>
            <w:pPr>
              <w:spacing w:after="0"/>
              <w:rPr>
                <w:sz w:val="24"/>
                <w:szCs w:val="24"/>
                <w:color w:val="auto"/>
              </w:rPr>
            </w:pPr>
          </w:p>
        </w:tc>
        <w:tc>
          <w:tcPr>
            <w:tcW w:w="8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€80,601</w:t>
            </w:r>
          </w:p>
        </w:tc>
        <w:tc>
          <w:tcPr>
            <w:tcW w:w="0" w:type="dxa"/>
            <w:vAlign w:val="bottom"/>
          </w:tcPr>
          <w:p>
            <w:pPr>
              <w:spacing w:after="0"/>
              <w:rPr>
                <w:sz w:val="1"/>
                <w:szCs w:val="1"/>
                <w:color w:val="auto"/>
              </w:rPr>
            </w:pPr>
          </w:p>
        </w:tc>
      </w:tr>
      <w:tr>
        <w:trPr>
          <w:trHeight w:val="263"/>
        </w:trPr>
        <w:tc>
          <w:tcPr>
            <w:tcW w:w="4380" w:type="dxa"/>
            <w:vAlign w:val="bottom"/>
            <w:vMerge w:val="continue"/>
          </w:tcPr>
          <w:p>
            <w:pPr>
              <w:spacing w:after="0"/>
              <w:rPr>
                <w:sz w:val="22"/>
                <w:szCs w:val="22"/>
                <w:color w:val="auto"/>
              </w:rPr>
            </w:pPr>
          </w:p>
        </w:tc>
        <w:tc>
          <w:tcPr>
            <w:tcW w:w="620" w:type="dxa"/>
            <w:vAlign w:val="bottom"/>
            <w:tcBorders>
              <w:right w:val="single" w:sz="8" w:color="70AD47"/>
            </w:tcBorders>
            <w:vMerge w:val="continue"/>
          </w:tcPr>
          <w:p>
            <w:pPr>
              <w:spacing w:after="0"/>
              <w:rPr>
                <w:sz w:val="22"/>
                <w:szCs w:val="22"/>
                <w:color w:val="auto"/>
              </w:rPr>
            </w:pPr>
          </w:p>
        </w:tc>
        <w:tc>
          <w:tcPr>
            <w:tcW w:w="1560" w:type="dxa"/>
            <w:vAlign w:val="bottom"/>
            <w:tcBorders>
              <w:bottom w:val="single" w:sz="8" w:color="C6E0B4"/>
              <w:right w:val="single" w:sz="8" w:color="70AD47"/>
            </w:tcBorders>
            <w:vMerge w:val="continue"/>
            <w:shd w:val="clear" w:color="auto" w:fill="C6E0B4"/>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20" w:type="dxa"/>
            <w:vAlign w:val="bottom"/>
            <w:tcBorders>
              <w:bottom w:val="single" w:sz="8" w:color="C6E0B4"/>
            </w:tcBorders>
            <w:shd w:val="clear" w:color="auto" w:fill="C6E0B4"/>
          </w:tcPr>
          <w:p>
            <w:pPr>
              <w:spacing w:after="0"/>
              <w:rPr>
                <w:sz w:val="22"/>
                <w:szCs w:val="22"/>
                <w:color w:val="auto"/>
              </w:rPr>
            </w:pPr>
          </w:p>
        </w:tc>
        <w:tc>
          <w:tcPr>
            <w:tcW w:w="1580" w:type="dxa"/>
            <w:vAlign w:val="bottom"/>
            <w:tcBorders>
              <w:bottom w:val="single" w:sz="8" w:color="C6E0B4"/>
              <w:right w:val="single" w:sz="8" w:color="70AD47"/>
            </w:tcBorders>
            <w:vMerge w:val="continue"/>
            <w:shd w:val="clear" w:color="auto" w:fill="C6E0B4"/>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Borders>
              <w:right w:val="single" w:sz="8" w:color="70AD47"/>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20" w:type="dxa"/>
            <w:vAlign w:val="bottom"/>
            <w:tcBorders>
              <w:right w:val="single" w:sz="8" w:color="70AD47"/>
            </w:tcBorders>
          </w:tcPr>
          <w:p>
            <w:pPr>
              <w:spacing w:after="0"/>
              <w:rPr>
                <w:sz w:val="24"/>
                <w:szCs w:val="24"/>
                <w:color w:val="auto"/>
              </w:rPr>
            </w:pP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20" w:type="dxa"/>
            <w:vAlign w:val="bottom"/>
            <w:tcBorders>
              <w:bottom w:val="single" w:sz="8" w:color="70AD47"/>
            </w:tcBorders>
            <w:shd w:val="clear" w:color="auto" w:fill="70AD47"/>
          </w:tcPr>
          <w:p>
            <w:pPr>
              <w:spacing w:after="0"/>
              <w:rPr>
                <w:sz w:val="24"/>
                <w:szCs w:val="24"/>
                <w:color w:val="auto"/>
              </w:rPr>
            </w:pP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(18,344)</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0" w:type="dxa"/>
            <w:vAlign w:val="bottom"/>
          </w:tcPr>
          <w:p>
            <w:pPr>
              <w:spacing w:after="0"/>
              <w:rPr>
                <w:sz w:val="1"/>
                <w:szCs w:val="1"/>
                <w:color w:val="auto"/>
              </w:rPr>
            </w:pPr>
          </w:p>
        </w:tc>
      </w:tr>
      <w:tr>
        <w:trPr>
          <w:trHeight w:val="277"/>
        </w:trPr>
        <w:tc>
          <w:tcPr>
            <w:tcW w:w="4380" w:type="dxa"/>
            <w:vAlign w:val="bottom"/>
            <w:tcBorders>
              <w:top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20" w:type="dxa"/>
            <w:vAlign w:val="bottom"/>
            <w:tcBorders>
              <w:top w:val="single" w:sz="8" w:color="70AD47"/>
              <w:right w:val="single" w:sz="8" w:color="70AD47"/>
            </w:tcBorders>
          </w:tcPr>
          <w:p>
            <w:pPr>
              <w:spacing w:after="0"/>
              <w:rPr>
                <w:sz w:val="24"/>
                <w:szCs w:val="24"/>
                <w:color w:val="auto"/>
              </w:rPr>
            </w:pPr>
          </w:p>
        </w:tc>
        <w:tc>
          <w:tcPr>
            <w:tcW w:w="15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€60,618</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€24,432</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15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€118,539</w:t>
            </w:r>
          </w:p>
        </w:tc>
        <w:tc>
          <w:tcPr>
            <w:tcW w:w="72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€67,676</w:t>
            </w:r>
          </w:p>
        </w:tc>
        <w:tc>
          <w:tcPr>
            <w:tcW w:w="0" w:type="dxa"/>
            <w:vAlign w:val="bottom"/>
          </w:tcPr>
          <w:p>
            <w:pPr>
              <w:spacing w:after="0"/>
              <w:rPr>
                <w:sz w:val="1"/>
                <w:szCs w:val="1"/>
                <w:color w:val="auto"/>
              </w:rPr>
            </w:pPr>
          </w:p>
        </w:tc>
      </w:tr>
      <w:tr>
        <w:trPr>
          <w:trHeight w:val="533"/>
        </w:trPr>
        <w:tc>
          <w:tcPr>
            <w:tcW w:w="4380" w:type="dxa"/>
            <w:vAlign w:val="bottom"/>
            <w:tcBorders>
              <w:top w:val="single" w:sz="8" w:color="70AD47"/>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20" w:type="dxa"/>
            <w:vAlign w:val="bottom"/>
            <w:tcBorders>
              <w:top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(227,706)</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(50,396)</w:t>
            </w:r>
          </w:p>
        </w:tc>
        <w:tc>
          <w:tcPr>
            <w:tcW w:w="20" w:type="dxa"/>
            <w:vAlign w:val="bottom"/>
            <w:tcBorders>
              <w:top w:val="single" w:sz="8" w:color="70AD47"/>
            </w:tcBorders>
            <w:shd w:val="clear" w:color="auto" w:fill="70AD47"/>
          </w:tcPr>
          <w:p>
            <w:pPr>
              <w:spacing w:after="0"/>
              <w:rPr>
                <w:sz w:val="24"/>
                <w:szCs w:val="24"/>
                <w:color w:val="auto"/>
              </w:rPr>
            </w:pPr>
          </w:p>
        </w:tc>
        <w:tc>
          <w:tcPr>
            <w:tcW w:w="158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(388,017)</w:t>
            </w:r>
          </w:p>
        </w:tc>
        <w:tc>
          <w:tcPr>
            <w:tcW w:w="72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(161,039)</w:t>
            </w:r>
          </w:p>
        </w:tc>
        <w:tc>
          <w:tcPr>
            <w:tcW w:w="0" w:type="dxa"/>
            <w:vAlign w:val="bottom"/>
          </w:tcPr>
          <w:p>
            <w:pPr>
              <w:spacing w:after="0"/>
              <w:rPr>
                <w:sz w:val="1"/>
                <w:szCs w:val="1"/>
                <w:color w:val="auto"/>
              </w:rPr>
            </w:pPr>
          </w:p>
        </w:tc>
      </w:tr>
      <w:tr>
        <w:trPr>
          <w:trHeight w:val="28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620" w:type="dxa"/>
            <w:vAlign w:val="bottom"/>
            <w:tcBorders>
              <w:right w:val="single" w:sz="8" w:color="70AD47"/>
            </w:tcBorders>
          </w:tcPr>
          <w:p>
            <w:pPr>
              <w:spacing w:after="0"/>
              <w:rPr>
                <w:sz w:val="24"/>
                <w:szCs w:val="24"/>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shd w:val="clear" w:color="auto" w:fill="70AD47"/>
          </w:tcPr>
          <w:p>
            <w:pPr>
              <w:spacing w:after="0"/>
              <w:rPr>
                <w:sz w:val="24"/>
                <w:szCs w:val="24"/>
                <w:color w:val="auto"/>
              </w:rPr>
            </w:pP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8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20" w:type="dxa"/>
            <w:vAlign w:val="bottom"/>
            <w:tcBorders>
              <w:right w:val="single" w:sz="8" w:color="70AD47"/>
            </w:tcBorders>
          </w:tcPr>
          <w:p>
            <w:pPr>
              <w:spacing w:after="0"/>
              <w:rPr>
                <w:sz w:val="24"/>
                <w:szCs w:val="24"/>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(23,324)</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20" w:type="dxa"/>
            <w:vAlign w:val="bottom"/>
            <w:shd w:val="clear" w:color="auto" w:fill="70AD47"/>
          </w:tcPr>
          <w:p>
            <w:pPr>
              <w:spacing w:after="0"/>
              <w:rPr>
                <w:sz w:val="24"/>
                <w:szCs w:val="24"/>
                <w:color w:val="auto"/>
              </w:rPr>
            </w:pP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(57,952)</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(34,481)</w:t>
            </w:r>
          </w:p>
        </w:tc>
        <w:tc>
          <w:tcPr>
            <w:tcW w:w="0" w:type="dxa"/>
            <w:vAlign w:val="bottom"/>
          </w:tcPr>
          <w:p>
            <w:pPr>
              <w:spacing w:after="0"/>
              <w:rPr>
                <w:sz w:val="1"/>
                <w:szCs w:val="1"/>
                <w:color w:val="auto"/>
              </w:rPr>
            </w:pPr>
          </w:p>
        </w:tc>
      </w:tr>
      <w:tr>
        <w:trPr>
          <w:trHeight w:val="28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620" w:type="dxa"/>
            <w:vAlign w:val="bottom"/>
            <w:tcBorders>
              <w:right w:val="single" w:sz="8" w:color="70AD47"/>
            </w:tcBorders>
          </w:tcPr>
          <w:p>
            <w:pPr>
              <w:spacing w:after="0"/>
              <w:rPr>
                <w:sz w:val="24"/>
                <w:szCs w:val="24"/>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shd w:val="clear" w:color="auto" w:fill="70AD47"/>
          </w:tcPr>
          <w:p>
            <w:pPr>
              <w:spacing w:after="0"/>
              <w:rPr>
                <w:sz w:val="24"/>
                <w:szCs w:val="24"/>
                <w:color w:val="auto"/>
              </w:rPr>
            </w:pP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3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620" w:type="dxa"/>
            <w:vAlign w:val="bottom"/>
            <w:tcBorders>
              <w:right w:val="single" w:sz="8" w:color="70AD47"/>
            </w:tcBorders>
          </w:tcPr>
          <w:p>
            <w:pPr>
              <w:spacing w:after="0"/>
              <w:rPr>
                <w:sz w:val="24"/>
                <w:szCs w:val="24"/>
                <w:color w:val="auto"/>
              </w:rPr>
            </w:pP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70AD47"/>
            </w:tcBorders>
            <w:shd w:val="clear" w:color="auto" w:fill="70AD47"/>
          </w:tcPr>
          <w:p>
            <w:pPr>
              <w:spacing w:after="0"/>
              <w:rPr>
                <w:sz w:val="24"/>
                <w:szCs w:val="24"/>
                <w:color w:val="auto"/>
              </w:rPr>
            </w:pP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7"/>
        </w:trPr>
        <w:tc>
          <w:tcPr>
            <w:tcW w:w="4380" w:type="dxa"/>
            <w:vAlign w:val="bottom"/>
            <w:tcBorders>
              <w:top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620" w:type="dxa"/>
            <w:vAlign w:val="bottom"/>
            <w:tcBorders>
              <w:top w:val="single" w:sz="8" w:color="70AD47"/>
              <w:right w:val="single" w:sz="8" w:color="70AD47"/>
            </w:tcBorders>
          </w:tcPr>
          <w:p>
            <w:pPr>
              <w:spacing w:after="0"/>
              <w:rPr>
                <w:sz w:val="24"/>
                <w:szCs w:val="24"/>
                <w:color w:val="auto"/>
              </w:rPr>
            </w:pPr>
          </w:p>
        </w:tc>
        <w:tc>
          <w:tcPr>
            <w:tcW w:w="15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€(186,382)</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€(36,874)</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15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€(326,601)</w:t>
            </w:r>
          </w:p>
        </w:tc>
        <w:tc>
          <w:tcPr>
            <w:tcW w:w="72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€(128,575)</w:t>
            </w:r>
          </w:p>
        </w:tc>
        <w:tc>
          <w:tcPr>
            <w:tcW w:w="0" w:type="dxa"/>
            <w:vAlign w:val="bottom"/>
          </w:tcPr>
          <w:p>
            <w:pPr>
              <w:spacing w:after="0"/>
              <w:rPr>
                <w:sz w:val="1"/>
                <w:szCs w:val="1"/>
                <w:color w:val="auto"/>
              </w:rPr>
            </w:pPr>
          </w:p>
        </w:tc>
      </w:tr>
      <w:tr>
        <w:trPr>
          <w:trHeight w:val="533"/>
        </w:trPr>
        <w:tc>
          <w:tcPr>
            <w:tcW w:w="4380" w:type="dxa"/>
            <w:vAlign w:val="bottom"/>
            <w:tcBorders>
              <w:top w:val="single" w:sz="8" w:color="70AD47"/>
            </w:tcBorders>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620" w:type="dxa"/>
            <w:vAlign w:val="bottom"/>
            <w:tcBorders>
              <w:top w:val="single" w:sz="8" w:color="70AD47"/>
              <w:right w:val="single" w:sz="8" w:color="70AD47"/>
            </w:tcBorders>
          </w:tcPr>
          <w:p>
            <w:pPr>
              <w:spacing w:after="0"/>
              <w:rPr>
                <w:sz w:val="24"/>
                <w:szCs w:val="24"/>
                <w:color w:val="auto"/>
              </w:rPr>
            </w:pPr>
          </w:p>
        </w:tc>
        <w:tc>
          <w:tcPr>
            <w:tcW w:w="15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20" w:type="dxa"/>
            <w:vAlign w:val="bottom"/>
            <w:tcBorders>
              <w:top w:val="single" w:sz="8" w:color="70AD47"/>
            </w:tcBorders>
            <w:shd w:val="clear" w:color="auto" w:fill="70AD47"/>
          </w:tcPr>
          <w:p>
            <w:pPr>
              <w:spacing w:after="0"/>
              <w:rPr>
                <w:sz w:val="24"/>
                <w:szCs w:val="24"/>
                <w:color w:val="auto"/>
              </w:rPr>
            </w:pPr>
          </w:p>
        </w:tc>
        <w:tc>
          <w:tcPr>
            <w:tcW w:w="158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72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0" w:type="dxa"/>
            <w:vAlign w:val="bottom"/>
          </w:tcPr>
          <w:p>
            <w:pPr>
              <w:spacing w:after="0"/>
              <w:rPr>
                <w:sz w:val="1"/>
                <w:szCs w:val="1"/>
                <w:color w:val="auto"/>
              </w:rPr>
            </w:pPr>
          </w:p>
        </w:tc>
      </w:tr>
      <w:tr>
        <w:trPr>
          <w:trHeight w:val="28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620" w:type="dxa"/>
            <w:vAlign w:val="bottom"/>
            <w:tcBorders>
              <w:right w:val="single" w:sz="8" w:color="70AD47"/>
            </w:tcBorders>
          </w:tcPr>
          <w:p>
            <w:pPr>
              <w:spacing w:after="0"/>
              <w:rPr>
                <w:sz w:val="24"/>
                <w:szCs w:val="24"/>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70AD47"/>
          </w:tcPr>
          <w:p>
            <w:pPr>
              <w:spacing w:after="0"/>
              <w:rPr>
                <w:sz w:val="24"/>
                <w:szCs w:val="24"/>
                <w:color w:val="auto"/>
              </w:rPr>
            </w:pP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(24,455)</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3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lease liability</w:t>
            </w:r>
          </w:p>
        </w:tc>
        <w:tc>
          <w:tcPr>
            <w:tcW w:w="620" w:type="dxa"/>
            <w:vAlign w:val="bottom"/>
            <w:tcBorders>
              <w:right w:val="single" w:sz="8" w:color="70AD47"/>
            </w:tcBorders>
          </w:tcPr>
          <w:p>
            <w:pPr>
              <w:spacing w:after="0"/>
              <w:rPr>
                <w:sz w:val="24"/>
                <w:szCs w:val="24"/>
                <w:color w:val="auto"/>
              </w:rPr>
            </w:pP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Borders>
              <w:bottom w:val="single" w:sz="8" w:color="70AD47"/>
            </w:tcBorders>
            <w:shd w:val="clear" w:color="auto" w:fill="70AD47"/>
          </w:tcPr>
          <w:p>
            <w:pPr>
              <w:spacing w:after="0"/>
              <w:rPr>
                <w:sz w:val="24"/>
                <w:szCs w:val="24"/>
                <w:color w:val="auto"/>
              </w:rPr>
            </w:pP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77"/>
        </w:trPr>
        <w:tc>
          <w:tcPr>
            <w:tcW w:w="4380" w:type="dxa"/>
            <w:vAlign w:val="bottom"/>
            <w:tcBorders>
              <w:top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620" w:type="dxa"/>
            <w:vAlign w:val="bottom"/>
            <w:tcBorders>
              <w:top w:val="single" w:sz="8" w:color="70AD47"/>
              <w:right w:val="single" w:sz="8" w:color="70AD47"/>
            </w:tcBorders>
          </w:tcPr>
          <w:p>
            <w:pPr>
              <w:spacing w:after="0"/>
              <w:rPr>
                <w:sz w:val="24"/>
                <w:szCs w:val="24"/>
                <w:color w:val="auto"/>
              </w:rPr>
            </w:pPr>
          </w:p>
        </w:tc>
        <w:tc>
          <w:tcPr>
            <w:tcW w:w="15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€(207,541)</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€(30,095)</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15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€(351,421)</w:t>
            </w:r>
          </w:p>
        </w:tc>
        <w:tc>
          <w:tcPr>
            <w:tcW w:w="72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€(120,921)</w:t>
            </w:r>
          </w:p>
        </w:tc>
        <w:tc>
          <w:tcPr>
            <w:tcW w:w="0" w:type="dxa"/>
            <w:vAlign w:val="bottom"/>
          </w:tcPr>
          <w:p>
            <w:pPr>
              <w:spacing w:after="0"/>
              <w:rPr>
                <w:sz w:val="1"/>
                <w:szCs w:val="1"/>
                <w:color w:val="auto"/>
              </w:rPr>
            </w:pPr>
          </w:p>
        </w:tc>
      </w:tr>
      <w:tr>
        <w:trPr>
          <w:trHeight w:val="560"/>
        </w:trPr>
        <w:tc>
          <w:tcPr>
            <w:tcW w:w="4380" w:type="dxa"/>
            <w:vAlign w:val="bottom"/>
            <w:tcBorders>
              <w:top w:val="single" w:sz="8" w:color="70AD47"/>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20" w:type="dxa"/>
            <w:vAlign w:val="bottom"/>
            <w:tcBorders>
              <w:top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5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15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72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7"/>
        </w:trPr>
        <w:tc>
          <w:tcPr>
            <w:tcW w:w="4380" w:type="dxa"/>
            <w:vAlign w:val="bottom"/>
            <w:tcBorders>
              <w:top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620" w:type="dxa"/>
            <w:vAlign w:val="bottom"/>
            <w:tcBorders>
              <w:top w:val="single" w:sz="8" w:color="70AD47"/>
              <w:right w:val="single" w:sz="8" w:color="70AD47"/>
            </w:tcBorders>
          </w:tcPr>
          <w:p>
            <w:pPr>
              <w:spacing w:after="0"/>
              <w:rPr>
                <w:sz w:val="24"/>
                <w:szCs w:val="24"/>
                <w:color w:val="auto"/>
              </w:rPr>
            </w:pPr>
          </w:p>
        </w:tc>
        <w:tc>
          <w:tcPr>
            <w:tcW w:w="15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€(210,032)</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€(30,103)</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15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€(351,714)</w:t>
            </w:r>
          </w:p>
        </w:tc>
        <w:tc>
          <w:tcPr>
            <w:tcW w:w="72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€(120,949)</w:t>
            </w:r>
          </w:p>
        </w:tc>
        <w:tc>
          <w:tcPr>
            <w:tcW w:w="0" w:type="dxa"/>
            <w:vAlign w:val="bottom"/>
          </w:tcPr>
          <w:p>
            <w:pPr>
              <w:spacing w:after="0"/>
              <w:rPr>
                <w:sz w:val="1"/>
                <w:szCs w:val="1"/>
                <w:color w:val="auto"/>
              </w:rPr>
            </w:pPr>
          </w:p>
        </w:tc>
      </w:tr>
      <w:tr>
        <w:trPr>
          <w:trHeight w:val="533"/>
        </w:trPr>
        <w:tc>
          <w:tcPr>
            <w:tcW w:w="4380" w:type="dxa"/>
            <w:vAlign w:val="bottom"/>
            <w:tcBorders>
              <w:top w:val="single" w:sz="8" w:color="70AD47"/>
            </w:tcBorders>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620" w:type="dxa"/>
            <w:vAlign w:val="bottom"/>
            <w:tcBorders>
              <w:top w:val="single" w:sz="8" w:color="70AD47"/>
              <w:right w:val="single" w:sz="8" w:color="70AD47"/>
            </w:tcBorders>
          </w:tcPr>
          <w:p>
            <w:pPr>
              <w:spacing w:after="0"/>
              <w:rPr>
                <w:sz w:val="24"/>
                <w:szCs w:val="24"/>
                <w:color w:val="auto"/>
              </w:rPr>
            </w:pPr>
          </w:p>
        </w:tc>
        <w:tc>
          <w:tcPr>
            <w:tcW w:w="1560" w:type="dxa"/>
            <w:vAlign w:val="bottom"/>
            <w:tcBorders>
              <w:top w:val="single" w:sz="8" w:color="70AD47"/>
              <w:right w:val="single" w:sz="8" w:color="70AD47"/>
            </w:tcBorders>
            <w:shd w:val="clear" w:color="auto" w:fill="C6E0B4"/>
          </w:tcPr>
          <w:p>
            <w:pPr>
              <w:spacing w:after="0"/>
              <w:rPr>
                <w:sz w:val="24"/>
                <w:szCs w:val="24"/>
                <w:color w:val="auto"/>
              </w:rPr>
            </w:pP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spacing w:after="0"/>
              <w:rPr>
                <w:sz w:val="24"/>
                <w:szCs w:val="24"/>
                <w:color w:val="auto"/>
              </w:rPr>
            </w:pPr>
          </w:p>
        </w:tc>
        <w:tc>
          <w:tcPr>
            <w:tcW w:w="20" w:type="dxa"/>
            <w:vAlign w:val="bottom"/>
            <w:tcBorders>
              <w:top w:val="single" w:sz="8" w:color="70AD47"/>
            </w:tcBorders>
            <w:shd w:val="clear" w:color="auto" w:fill="70AD47"/>
          </w:tcPr>
          <w:p>
            <w:pPr>
              <w:spacing w:after="0"/>
              <w:rPr>
                <w:sz w:val="24"/>
                <w:szCs w:val="24"/>
                <w:color w:val="auto"/>
              </w:rPr>
            </w:pPr>
          </w:p>
        </w:tc>
        <w:tc>
          <w:tcPr>
            <w:tcW w:w="1580" w:type="dxa"/>
            <w:vAlign w:val="bottom"/>
            <w:tcBorders>
              <w:top w:val="single" w:sz="8" w:color="70AD47"/>
              <w:right w:val="single" w:sz="8" w:color="70AD47"/>
            </w:tcBorders>
            <w:shd w:val="clear" w:color="auto" w:fill="C6E0B4"/>
          </w:tcPr>
          <w:p>
            <w:pPr>
              <w:spacing w:after="0"/>
              <w:rPr>
                <w:sz w:val="24"/>
                <w:szCs w:val="24"/>
                <w:color w:val="auto"/>
              </w:rPr>
            </w:pPr>
          </w:p>
        </w:tc>
        <w:tc>
          <w:tcPr>
            <w:tcW w:w="72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Equity holders of the parent</w:t>
            </w:r>
          </w:p>
        </w:tc>
        <w:tc>
          <w:tcPr>
            <w:tcW w:w="620" w:type="dxa"/>
            <w:vAlign w:val="bottom"/>
            <w:tcBorders>
              <w:right w:val="single" w:sz="8" w:color="70AD47"/>
            </w:tcBorders>
          </w:tcPr>
          <w:p>
            <w:pPr>
              <w:spacing w:after="0"/>
              <w:rPr>
                <w:sz w:val="24"/>
                <w:szCs w:val="24"/>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(210,032)</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(30,103)</w:t>
            </w:r>
          </w:p>
        </w:tc>
        <w:tc>
          <w:tcPr>
            <w:tcW w:w="20" w:type="dxa"/>
            <w:vAlign w:val="bottom"/>
            <w:shd w:val="clear" w:color="auto" w:fill="70AD47"/>
          </w:tcPr>
          <w:p>
            <w:pPr>
              <w:spacing w:after="0"/>
              <w:rPr>
                <w:sz w:val="24"/>
                <w:szCs w:val="24"/>
                <w:color w:val="auto"/>
              </w:rPr>
            </w:pP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(351,714)</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(120,833)</w:t>
            </w:r>
          </w:p>
        </w:tc>
        <w:tc>
          <w:tcPr>
            <w:tcW w:w="0" w:type="dxa"/>
            <w:vAlign w:val="bottom"/>
          </w:tcPr>
          <w:p>
            <w:pPr>
              <w:spacing w:after="0"/>
              <w:rPr>
                <w:sz w:val="1"/>
                <w:szCs w:val="1"/>
                <w:color w:val="auto"/>
              </w:rPr>
            </w:pPr>
          </w:p>
        </w:tc>
      </w:tr>
      <w:tr>
        <w:trPr>
          <w:trHeight w:val="3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620" w:type="dxa"/>
            <w:vAlign w:val="bottom"/>
            <w:tcBorders>
              <w:right w:val="single" w:sz="8" w:color="70AD47"/>
            </w:tcBorders>
          </w:tcPr>
          <w:p>
            <w:pPr>
              <w:spacing w:after="0"/>
              <w:rPr>
                <w:sz w:val="24"/>
                <w:szCs w:val="24"/>
                <w:color w:val="auto"/>
              </w:rPr>
            </w:pP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70AD47"/>
            </w:tcBorders>
            <w:shd w:val="clear" w:color="auto" w:fill="70AD47"/>
          </w:tcPr>
          <w:p>
            <w:pPr>
              <w:spacing w:after="0"/>
              <w:rPr>
                <w:sz w:val="24"/>
                <w:szCs w:val="24"/>
                <w:color w:val="auto"/>
              </w:rPr>
            </w:pP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50"/>
        </w:trPr>
        <w:tc>
          <w:tcPr>
            <w:tcW w:w="4380" w:type="dxa"/>
            <w:vAlign w:val="bottom"/>
            <w:tcBorders>
              <w:top w:val="single" w:sz="8" w:color="70AD47"/>
            </w:tcBorders>
          </w:tcPr>
          <w:p>
            <w:pPr>
              <w:spacing w:after="0"/>
              <w:rPr>
                <w:sz w:val="21"/>
                <w:szCs w:val="21"/>
                <w:color w:val="auto"/>
              </w:rPr>
            </w:pPr>
          </w:p>
        </w:tc>
        <w:tc>
          <w:tcPr>
            <w:tcW w:w="620" w:type="dxa"/>
            <w:vAlign w:val="bottom"/>
            <w:tcBorders>
              <w:top w:val="single" w:sz="8" w:color="70AD47"/>
              <w:right w:val="single" w:sz="8" w:color="70AD47"/>
            </w:tcBorders>
          </w:tcPr>
          <w:p>
            <w:pPr>
              <w:spacing w:after="0"/>
              <w:rPr>
                <w:sz w:val="21"/>
                <w:szCs w:val="21"/>
                <w:color w:val="auto"/>
              </w:rPr>
            </w:pPr>
          </w:p>
        </w:tc>
        <w:tc>
          <w:tcPr>
            <w:tcW w:w="15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€(210,032)</w:t>
            </w:r>
          </w:p>
        </w:tc>
        <w:tc>
          <w:tcPr>
            <w:tcW w:w="800" w:type="dxa"/>
            <w:vAlign w:val="bottom"/>
            <w:tcBorders>
              <w:top w:val="single" w:sz="8" w:color="70AD47"/>
            </w:tcBorders>
          </w:tcPr>
          <w:p>
            <w:pPr>
              <w:spacing w:after="0"/>
              <w:rPr>
                <w:sz w:val="21"/>
                <w:szCs w:val="21"/>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€(30,103)</w:t>
            </w:r>
          </w:p>
        </w:tc>
        <w:tc>
          <w:tcPr>
            <w:tcW w:w="20" w:type="dxa"/>
            <w:vAlign w:val="bottom"/>
            <w:tcBorders>
              <w:top w:val="single" w:sz="8" w:color="70AD47"/>
            </w:tcBorders>
            <w:shd w:val="clear" w:color="auto" w:fill="70AD47"/>
          </w:tcPr>
          <w:p>
            <w:pPr>
              <w:spacing w:after="0"/>
              <w:rPr>
                <w:sz w:val="21"/>
                <w:szCs w:val="21"/>
                <w:color w:val="auto"/>
              </w:rPr>
            </w:pPr>
          </w:p>
        </w:tc>
        <w:tc>
          <w:tcPr>
            <w:tcW w:w="158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€(351,714)</w:t>
            </w:r>
          </w:p>
        </w:tc>
        <w:tc>
          <w:tcPr>
            <w:tcW w:w="720" w:type="dxa"/>
            <w:vAlign w:val="bottom"/>
            <w:tcBorders>
              <w:top w:val="single" w:sz="8" w:color="70AD47"/>
            </w:tcBorders>
          </w:tcPr>
          <w:p>
            <w:pPr>
              <w:spacing w:after="0"/>
              <w:rPr>
                <w:sz w:val="21"/>
                <w:szCs w:val="21"/>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€(120,949)</w:t>
            </w:r>
          </w:p>
        </w:tc>
        <w:tc>
          <w:tcPr>
            <w:tcW w:w="0" w:type="dxa"/>
            <w:vAlign w:val="bottom"/>
          </w:tcPr>
          <w:p>
            <w:pPr>
              <w:spacing w:after="0"/>
              <w:rPr>
                <w:sz w:val="1"/>
                <w:szCs w:val="1"/>
                <w:color w:val="auto"/>
              </w:rPr>
            </w:pPr>
          </w:p>
        </w:tc>
      </w:tr>
      <w:tr>
        <w:trPr>
          <w:trHeight w:val="567"/>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620" w:type="dxa"/>
            <w:vAlign w:val="bottom"/>
            <w:tcBorders>
              <w:right w:val="single" w:sz="8" w:color="70AD47"/>
            </w:tcBorders>
          </w:tcPr>
          <w:p>
            <w:pPr>
              <w:spacing w:after="0"/>
              <w:rPr>
                <w:sz w:val="24"/>
                <w:szCs w:val="24"/>
                <w:color w:val="auto"/>
              </w:rPr>
            </w:pPr>
          </w:p>
        </w:tc>
        <w:tc>
          <w:tcPr>
            <w:tcW w:w="1560" w:type="dxa"/>
            <w:vAlign w:val="bottom"/>
            <w:tcBorders>
              <w:right w:val="single" w:sz="8" w:color="70AD47"/>
            </w:tcBorders>
            <w:shd w:val="clear" w:color="auto" w:fill="C6E0B4"/>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1580" w:type="dxa"/>
            <w:vAlign w:val="bottom"/>
            <w:tcBorders>
              <w:right w:val="single" w:sz="8" w:color="70AD47"/>
            </w:tcBorders>
            <w:shd w:val="clear" w:color="auto" w:fill="C6E0B4"/>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EUR</w:t>
            </w:r>
          </w:p>
        </w:tc>
        <w:tc>
          <w:tcPr>
            <w:tcW w:w="620" w:type="dxa"/>
            <w:vAlign w:val="bottom"/>
            <w:tcBorders>
              <w:right w:val="single" w:sz="8" w:color="70AD47"/>
            </w:tcBorders>
          </w:tcPr>
          <w:p>
            <w:pPr>
              <w:spacing w:after="0"/>
              <w:rPr>
                <w:sz w:val="24"/>
                <w:szCs w:val="24"/>
                <w:color w:val="auto"/>
              </w:rPr>
            </w:pPr>
          </w:p>
        </w:tc>
        <w:tc>
          <w:tcPr>
            <w:tcW w:w="1560" w:type="dxa"/>
            <w:vAlign w:val="bottom"/>
            <w:tcBorders>
              <w:right w:val="single" w:sz="8" w:color="70AD47"/>
            </w:tcBorders>
            <w:shd w:val="clear" w:color="auto" w:fill="C6E0B4"/>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1580" w:type="dxa"/>
            <w:vAlign w:val="bottom"/>
            <w:tcBorders>
              <w:right w:val="single" w:sz="8" w:color="70AD47"/>
            </w:tcBorders>
            <w:shd w:val="clear" w:color="auto" w:fill="C6E0B4"/>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Basic &amp; diluted, loss per share for the period attributable</w:t>
            </w:r>
          </w:p>
        </w:tc>
        <w:tc>
          <w:tcPr>
            <w:tcW w:w="620" w:type="dxa"/>
            <w:vAlign w:val="bottom"/>
            <w:tcBorders>
              <w:right w:val="single" w:sz="8" w:color="70AD47"/>
            </w:tcBorders>
          </w:tcPr>
          <w:p>
            <w:pPr>
              <w:spacing w:after="0"/>
              <w:rPr>
                <w:sz w:val="20"/>
                <w:szCs w:val="20"/>
                <w:color w:val="auto"/>
              </w:rPr>
            </w:pP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80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 w:type="dxa"/>
            <w:vAlign w:val="bottom"/>
            <w:shd w:val="clear" w:color="auto" w:fill="70AD47"/>
          </w:tcPr>
          <w:p>
            <w:pPr>
              <w:spacing w:after="0"/>
              <w:rPr>
                <w:sz w:val="20"/>
                <w:szCs w:val="20"/>
                <w:color w:val="auto"/>
              </w:rPr>
            </w:pP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720" w:type="dxa"/>
            <w:vAlign w:val="bottom"/>
          </w:tcPr>
          <w:p>
            <w:pPr>
              <w:spacing w:after="0"/>
              <w:rPr>
                <w:sz w:val="20"/>
                <w:szCs w:val="20"/>
                <w:color w:val="auto"/>
              </w:rPr>
            </w:pPr>
          </w:p>
        </w:tc>
        <w:tc>
          <w:tcPr>
            <w:tcW w:w="8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126"/>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 equity holders of the parent**</w:t>
            </w:r>
          </w:p>
        </w:tc>
        <w:tc>
          <w:tcPr>
            <w:tcW w:w="620" w:type="dxa"/>
            <w:vAlign w:val="bottom"/>
            <w:tcBorders>
              <w:right w:val="single" w:sz="8" w:color="70AD47"/>
            </w:tcBorders>
          </w:tcPr>
          <w:p>
            <w:pPr>
              <w:spacing w:after="0"/>
              <w:rPr>
                <w:sz w:val="10"/>
                <w:szCs w:val="10"/>
                <w:color w:val="auto"/>
              </w:rPr>
            </w:pPr>
          </w:p>
        </w:tc>
        <w:tc>
          <w:tcPr>
            <w:tcW w:w="1560" w:type="dxa"/>
            <w:vAlign w:val="bottom"/>
            <w:tcBorders>
              <w:right w:val="single" w:sz="8" w:color="70AD47"/>
            </w:tcBorders>
            <w:vMerge w:val="continue"/>
            <w:shd w:val="clear" w:color="auto" w:fill="C6E0B4"/>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shd w:val="clear" w:color="auto" w:fill="70AD47"/>
          </w:tcPr>
          <w:p>
            <w:pPr>
              <w:spacing w:after="0"/>
              <w:rPr>
                <w:sz w:val="10"/>
                <w:szCs w:val="10"/>
                <w:color w:val="auto"/>
              </w:rPr>
            </w:pPr>
          </w:p>
        </w:tc>
        <w:tc>
          <w:tcPr>
            <w:tcW w:w="1580" w:type="dxa"/>
            <w:vAlign w:val="bottom"/>
            <w:tcBorders>
              <w:right w:val="single" w:sz="8" w:color="70AD47"/>
            </w:tcBorders>
            <w:vMerge w:val="continue"/>
            <w:shd w:val="clear" w:color="auto" w:fill="C6E0B4"/>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Borders>
              <w:right w:val="single" w:sz="8" w:color="70AD47"/>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80" w:type="dxa"/>
            <w:vAlign w:val="bottom"/>
            <w:vMerge w:val="continue"/>
          </w:tcPr>
          <w:p>
            <w:pPr>
              <w:spacing w:after="0"/>
              <w:rPr>
                <w:sz w:val="9"/>
                <w:szCs w:val="9"/>
                <w:color w:val="auto"/>
              </w:rPr>
            </w:pPr>
          </w:p>
        </w:tc>
        <w:tc>
          <w:tcPr>
            <w:tcW w:w="620" w:type="dxa"/>
            <w:vAlign w:val="bottom"/>
            <w:tcBorders>
              <w:right w:val="single" w:sz="8" w:color="70AD47"/>
            </w:tcBorders>
          </w:tcPr>
          <w:p>
            <w:pPr>
              <w:spacing w:after="0"/>
              <w:rPr>
                <w:sz w:val="9"/>
                <w:szCs w:val="9"/>
                <w:color w:val="auto"/>
              </w:rPr>
            </w:pPr>
          </w:p>
        </w:tc>
        <w:tc>
          <w:tcPr>
            <w:tcW w:w="1560" w:type="dxa"/>
            <w:vAlign w:val="bottom"/>
            <w:tcBorders>
              <w:right w:val="single" w:sz="8" w:color="70AD47"/>
            </w:tcBorders>
            <w:shd w:val="clear" w:color="auto" w:fill="C6E0B4"/>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shd w:val="clear" w:color="auto" w:fill="70AD47"/>
          </w:tcPr>
          <w:p>
            <w:pPr>
              <w:spacing w:after="0"/>
              <w:rPr>
                <w:sz w:val="9"/>
                <w:szCs w:val="9"/>
                <w:color w:val="auto"/>
              </w:rPr>
            </w:pPr>
          </w:p>
        </w:tc>
        <w:tc>
          <w:tcPr>
            <w:tcW w:w="1580" w:type="dxa"/>
            <w:vAlign w:val="bottom"/>
            <w:tcBorders>
              <w:right w:val="single" w:sz="8" w:color="70AD47"/>
            </w:tcBorders>
            <w:shd w:val="clear" w:color="auto" w:fill="C6E0B4"/>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Borders>
              <w:right w:val="single" w:sz="8" w:color="70AD47"/>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31" w:lineRule="auto"/>
        <w:rPr>
          <w:sz w:val="20"/>
          <w:szCs w:val="20"/>
          <w:color w:val="auto"/>
        </w:rPr>
      </w:pPr>
      <w:r>
        <w:rPr>
          <w:rFonts w:ascii="Times New Roman" w:cs="Times New Roman" w:eastAsia="Times New Roman" w:hAnsi="Times New Roman"/>
          <w:sz w:val="14"/>
          <w:szCs w:val="14"/>
          <w:color w:val="auto"/>
        </w:rPr>
        <w:t>* Foreign exchange differences on a cumulative basis are either shown as finance income or expenses and might switch between those two positions during the year-to-date reporting periods.</w:t>
      </w:r>
    </w:p>
    <w:p>
      <w:pPr>
        <w:ind w:right="40" w:firstLine="8"/>
        <w:spacing w:after="0" w:line="239" w:lineRule="auto"/>
        <w:tabs>
          <w:tab w:leader="none" w:pos="18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Numbers of shares for calculating the earnings per share for the three and nine months ended September 30, 2019 have been adjusted to reflect capital increase due to 1:18 share split which occurred on September 18, 2019.</w:t>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interim consolidated financial statements.</w:t>
      </w:r>
    </w:p>
    <w:p>
      <w:pPr>
        <w:spacing w:after="0" w:line="230"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Interim Condensed Consolidated Statements of Comprehensive Loss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18"/>
                <w:szCs w:val="18"/>
                <w:color w:val="auto"/>
              </w:rPr>
            </w:pPr>
          </w:p>
        </w:tc>
        <w:tc>
          <w:tcPr>
            <w:tcW w:w="230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Pr>
          <w:p>
            <w:pPr>
              <w:spacing w:after="0"/>
              <w:rPr>
                <w:sz w:val="20"/>
                <w:szCs w:val="20"/>
                <w:color w:val="auto"/>
              </w:rPr>
            </w:pPr>
          </w:p>
        </w:tc>
        <w:tc>
          <w:tcPr>
            <w:tcW w:w="23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0" w:type="dxa"/>
            <w:vAlign w:val="bottom"/>
          </w:tcPr>
          <w:p>
            <w:pPr>
              <w:spacing w:after="0"/>
              <w:rPr>
                <w:sz w:val="22"/>
                <w:szCs w:val="22"/>
                <w:color w:val="auto"/>
              </w:rPr>
            </w:pPr>
          </w:p>
        </w:tc>
        <w:tc>
          <w:tcPr>
            <w:tcW w:w="1000" w:type="dxa"/>
            <w:vAlign w:val="bottom"/>
            <w:tcBorders>
              <w:right w:val="single" w:sz="8" w:color="70AD47"/>
            </w:tcBorders>
          </w:tcPr>
          <w:p>
            <w:pPr>
              <w:spacing w:after="0"/>
              <w:rPr>
                <w:sz w:val="22"/>
                <w:szCs w:val="22"/>
                <w:color w:val="auto"/>
              </w:rPr>
            </w:pP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Pr>
          <w:p>
            <w:pPr>
              <w:spacing w:after="0"/>
              <w:rPr>
                <w:sz w:val="22"/>
                <w:szCs w:val="22"/>
                <w:color w:val="auto"/>
              </w:rPr>
            </w:pPr>
          </w:p>
        </w:tc>
        <w:tc>
          <w:tcPr>
            <w:tcW w:w="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20" w:type="dxa"/>
            <w:vAlign w:val="bottom"/>
          </w:tcPr>
          <w:p>
            <w:pPr>
              <w:spacing w:after="0"/>
              <w:rPr>
                <w:sz w:val="22"/>
                <w:szCs w:val="22"/>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3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60" w:type="dxa"/>
            <w:vAlign w:val="bottom"/>
            <w:tcBorders>
              <w:right w:val="single" w:sz="8" w:color="70AD47"/>
            </w:tcBorders>
          </w:tcPr>
          <w:p>
            <w:pPr>
              <w:spacing w:after="0"/>
              <w:rPr>
                <w:sz w:val="22"/>
                <w:szCs w:val="22"/>
                <w:color w:val="auto"/>
              </w:rPr>
            </w:pPr>
          </w:p>
        </w:tc>
        <w:tc>
          <w:tcPr>
            <w:tcW w:w="230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84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70AD47"/>
            </w:tcBorders>
          </w:tcPr>
          <w:p>
            <w:pPr>
              <w:spacing w:after="0"/>
              <w:rPr>
                <w:sz w:val="2"/>
                <w:szCs w:val="2"/>
                <w:color w:val="auto"/>
              </w:rPr>
            </w:pPr>
          </w:p>
        </w:tc>
        <w:tc>
          <w:tcPr>
            <w:tcW w:w="1000" w:type="dxa"/>
            <w:vAlign w:val="bottom"/>
            <w:tcBorders>
              <w:bottom w:val="single" w:sz="8" w:color="70AD47"/>
              <w:right w:val="single" w:sz="8" w:color="70AD47"/>
            </w:tcBorders>
          </w:tcPr>
          <w:p>
            <w:pPr>
              <w:spacing w:after="0"/>
              <w:rPr>
                <w:sz w:val="2"/>
                <w:szCs w:val="2"/>
                <w:color w:val="auto"/>
              </w:rPr>
            </w:pPr>
          </w:p>
        </w:tc>
        <w:tc>
          <w:tcPr>
            <w:tcW w:w="1560" w:type="dxa"/>
            <w:vAlign w:val="bottom"/>
            <w:tcBorders>
              <w:bottom w:val="single" w:sz="8" w:color="70AD47"/>
            </w:tcBorders>
          </w:tcPr>
          <w:p>
            <w:pPr>
              <w:spacing w:after="0"/>
              <w:rPr>
                <w:sz w:val="2"/>
                <w:szCs w:val="2"/>
                <w:color w:val="auto"/>
              </w:rPr>
            </w:pPr>
          </w:p>
        </w:tc>
        <w:tc>
          <w:tcPr>
            <w:tcW w:w="800" w:type="dxa"/>
            <w:vAlign w:val="bottom"/>
            <w:tcBorders>
              <w:bottom w:val="single" w:sz="8" w:color="70AD47"/>
            </w:tcBorders>
          </w:tcPr>
          <w:p>
            <w:pPr>
              <w:spacing w:after="0"/>
              <w:rPr>
                <w:sz w:val="2"/>
                <w:szCs w:val="2"/>
                <w:color w:val="auto"/>
              </w:rPr>
            </w:pPr>
          </w:p>
        </w:tc>
        <w:tc>
          <w:tcPr>
            <w:tcW w:w="760" w:type="dxa"/>
            <w:vAlign w:val="bottom"/>
            <w:tcBorders>
              <w:bottom w:val="single" w:sz="8" w:color="70AD47"/>
              <w:right w:val="single" w:sz="8" w:color="70AD47"/>
            </w:tcBorders>
          </w:tcPr>
          <w:p>
            <w:pPr>
              <w:spacing w:after="0"/>
              <w:rPr>
                <w:sz w:val="2"/>
                <w:szCs w:val="2"/>
                <w:color w:val="auto"/>
              </w:rPr>
            </w:pPr>
          </w:p>
        </w:tc>
        <w:tc>
          <w:tcPr>
            <w:tcW w:w="1580" w:type="dxa"/>
            <w:vAlign w:val="bottom"/>
            <w:tcBorders>
              <w:bottom w:val="single" w:sz="8" w:color="70AD47"/>
            </w:tcBorders>
          </w:tcPr>
          <w:p>
            <w:pPr>
              <w:spacing w:after="0"/>
              <w:rPr>
                <w:sz w:val="2"/>
                <w:szCs w:val="2"/>
                <w:color w:val="auto"/>
              </w:rPr>
            </w:pPr>
          </w:p>
        </w:tc>
        <w:tc>
          <w:tcPr>
            <w:tcW w:w="720" w:type="dxa"/>
            <w:vAlign w:val="bottom"/>
            <w:tcBorders>
              <w:bottom w:val="single" w:sz="8" w:color="70AD47"/>
            </w:tcBorders>
          </w:tcPr>
          <w:p>
            <w:pPr>
              <w:spacing w:after="0"/>
              <w:rPr>
                <w:sz w:val="2"/>
                <w:szCs w:val="2"/>
                <w:color w:val="auto"/>
              </w:rPr>
            </w:pPr>
          </w:p>
        </w:tc>
        <w:tc>
          <w:tcPr>
            <w:tcW w:w="840" w:type="dxa"/>
            <w:vAlign w:val="bottom"/>
            <w:tcBorders>
              <w:bottom w:val="single" w:sz="8" w:color="70AD47"/>
              <w:right w:val="single" w:sz="8" w:color="70AD47"/>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000" w:type="dxa"/>
            <w:vAlign w:val="bottom"/>
            <w:tcBorders>
              <w:right w:val="single" w:sz="8" w:color="70AD47"/>
            </w:tcBorders>
          </w:tcPr>
          <w:p>
            <w:pPr>
              <w:spacing w:after="0"/>
              <w:rPr>
                <w:sz w:val="24"/>
                <w:szCs w:val="24"/>
                <w:color w:val="auto"/>
              </w:rPr>
            </w:pP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€(210,032)</w:t>
            </w:r>
          </w:p>
        </w:tc>
        <w:tc>
          <w:tcPr>
            <w:tcW w:w="800" w:type="dxa"/>
            <w:vAlign w:val="bottom"/>
          </w:tcPr>
          <w:p>
            <w:pPr>
              <w:spacing w:after="0"/>
              <w:rPr>
                <w:sz w:val="24"/>
                <w:szCs w:val="24"/>
                <w:color w:val="auto"/>
              </w:rPr>
            </w:pPr>
          </w:p>
        </w:tc>
        <w:tc>
          <w:tcPr>
            <w:tcW w:w="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€(30,103)</w:t>
            </w: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€(351,714)</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€(120,949)</w:t>
            </w:r>
          </w:p>
        </w:tc>
        <w:tc>
          <w:tcPr>
            <w:tcW w:w="0" w:type="dxa"/>
            <w:vAlign w:val="bottom"/>
          </w:tcPr>
          <w:p>
            <w:pPr>
              <w:spacing w:after="0"/>
              <w:rPr>
                <w:sz w:val="1"/>
                <w:szCs w:val="1"/>
                <w:color w:val="auto"/>
              </w:rPr>
            </w:pPr>
          </w:p>
        </w:tc>
      </w:tr>
      <w:tr>
        <w:trPr>
          <w:trHeight w:val="554"/>
        </w:trPr>
        <w:tc>
          <w:tcPr>
            <w:tcW w:w="4000" w:type="dxa"/>
            <w:vAlign w:val="bottom"/>
            <w:tcBorders>
              <w:top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000" w:type="dxa"/>
            <w:vAlign w:val="bottom"/>
            <w:tcBorders>
              <w:top w:val="single" w:sz="8" w:color="70AD47"/>
              <w:right w:val="single" w:sz="8" w:color="70AD47"/>
            </w:tcBorders>
          </w:tcPr>
          <w:p>
            <w:pPr>
              <w:spacing w:after="0"/>
              <w:rPr>
                <w:sz w:val="24"/>
                <w:szCs w:val="24"/>
                <w:color w:val="auto"/>
              </w:rPr>
            </w:pPr>
          </w:p>
        </w:tc>
        <w:tc>
          <w:tcPr>
            <w:tcW w:w="1560" w:type="dxa"/>
            <w:vAlign w:val="bottom"/>
            <w:tcBorders>
              <w:top w:val="single" w:sz="8" w:color="70AD47"/>
              <w:right w:val="single" w:sz="8" w:color="70AD47"/>
            </w:tcBorders>
            <w:shd w:val="clear" w:color="auto" w:fill="C6E0B4"/>
          </w:tcPr>
          <w:p>
            <w:pPr>
              <w:spacing w:after="0"/>
              <w:rPr>
                <w:sz w:val="24"/>
                <w:szCs w:val="24"/>
                <w:color w:val="auto"/>
              </w:rPr>
            </w:pPr>
          </w:p>
        </w:tc>
        <w:tc>
          <w:tcPr>
            <w:tcW w:w="800" w:type="dxa"/>
            <w:vAlign w:val="bottom"/>
            <w:tcBorders>
              <w:top w:val="single" w:sz="8" w:color="70AD47"/>
            </w:tcBorders>
          </w:tcPr>
          <w:p>
            <w:pPr>
              <w:spacing w:after="0"/>
              <w:rPr>
                <w:sz w:val="24"/>
                <w:szCs w:val="24"/>
                <w:color w:val="auto"/>
              </w:rPr>
            </w:pPr>
          </w:p>
        </w:tc>
        <w:tc>
          <w:tcPr>
            <w:tcW w:w="760" w:type="dxa"/>
            <w:vAlign w:val="bottom"/>
            <w:tcBorders>
              <w:top w:val="single" w:sz="8" w:color="70AD47"/>
              <w:right w:val="single" w:sz="8" w:color="70AD47"/>
            </w:tcBorders>
          </w:tcPr>
          <w:p>
            <w:pPr>
              <w:spacing w:after="0"/>
              <w:rPr>
                <w:sz w:val="24"/>
                <w:szCs w:val="24"/>
                <w:color w:val="auto"/>
              </w:rPr>
            </w:pPr>
          </w:p>
        </w:tc>
        <w:tc>
          <w:tcPr>
            <w:tcW w:w="1580" w:type="dxa"/>
            <w:vAlign w:val="bottom"/>
            <w:tcBorders>
              <w:top w:val="single" w:sz="8" w:color="70AD47"/>
              <w:right w:val="single" w:sz="8" w:color="70AD47"/>
            </w:tcBorders>
            <w:shd w:val="clear" w:color="auto" w:fill="C6E0B4"/>
          </w:tcPr>
          <w:p>
            <w:pPr>
              <w:spacing w:after="0"/>
              <w:rPr>
                <w:sz w:val="24"/>
                <w:szCs w:val="24"/>
                <w:color w:val="auto"/>
              </w:rPr>
            </w:pPr>
          </w:p>
        </w:tc>
        <w:tc>
          <w:tcPr>
            <w:tcW w:w="72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comprehensive income that may be reclassified to</w:t>
            </w:r>
          </w:p>
        </w:tc>
        <w:tc>
          <w:tcPr>
            <w:tcW w:w="1560" w:type="dxa"/>
            <w:vAlign w:val="bottom"/>
            <w:tcBorders>
              <w:right w:val="single" w:sz="8" w:color="70AD47"/>
            </w:tcBorders>
            <w:shd w:val="clear" w:color="auto" w:fill="C6E0B4"/>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Borders>
              <w:right w:val="single" w:sz="8" w:color="70AD47"/>
            </w:tcBorders>
          </w:tcPr>
          <w:p>
            <w:pPr>
              <w:spacing w:after="0"/>
              <w:rPr>
                <w:sz w:val="18"/>
                <w:szCs w:val="18"/>
                <w:color w:val="auto"/>
              </w:rPr>
            </w:pPr>
          </w:p>
        </w:tc>
        <w:tc>
          <w:tcPr>
            <w:tcW w:w="1580" w:type="dxa"/>
            <w:vAlign w:val="bottom"/>
            <w:tcBorders>
              <w:right w:val="single" w:sz="8" w:color="70AD47"/>
            </w:tcBorders>
            <w:shd w:val="clear" w:color="auto" w:fill="C6E0B4"/>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profit or loss in subsequent periods (net of tax)</w:t>
            </w:r>
          </w:p>
        </w:tc>
        <w:tc>
          <w:tcPr>
            <w:tcW w:w="1000" w:type="dxa"/>
            <w:vAlign w:val="bottom"/>
            <w:tcBorders>
              <w:right w:val="single" w:sz="8" w:color="70AD47"/>
            </w:tcBorders>
          </w:tcPr>
          <w:p>
            <w:pPr>
              <w:spacing w:after="0"/>
              <w:rPr>
                <w:sz w:val="20"/>
                <w:szCs w:val="20"/>
                <w:color w:val="auto"/>
              </w:rPr>
            </w:pPr>
          </w:p>
        </w:tc>
        <w:tc>
          <w:tcPr>
            <w:tcW w:w="1560" w:type="dxa"/>
            <w:vAlign w:val="bottom"/>
            <w:tcBorders>
              <w:right w:val="single" w:sz="8" w:color="70AD47"/>
            </w:tcBorders>
            <w:shd w:val="clear" w:color="auto" w:fill="C6E0B4"/>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Borders>
              <w:right w:val="single" w:sz="8" w:color="70AD47"/>
            </w:tcBorders>
          </w:tcPr>
          <w:p>
            <w:pPr>
              <w:spacing w:after="0"/>
              <w:rPr>
                <w:sz w:val="20"/>
                <w:szCs w:val="20"/>
                <w:color w:val="auto"/>
              </w:rPr>
            </w:pPr>
          </w:p>
        </w:tc>
        <w:tc>
          <w:tcPr>
            <w:tcW w:w="1580" w:type="dxa"/>
            <w:vAlign w:val="bottom"/>
            <w:tcBorders>
              <w:right w:val="single" w:sz="8" w:color="70AD47"/>
            </w:tcBorders>
            <w:shd w:val="clear" w:color="auto" w:fill="C6E0B4"/>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Borders>
              <w:right w:val="single" w:sz="8" w:color="70AD47"/>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800" w:type="dxa"/>
            <w:vAlign w:val="bottom"/>
          </w:tcPr>
          <w:p>
            <w:pPr>
              <w:spacing w:after="0"/>
              <w:rPr>
                <w:sz w:val="24"/>
                <w:szCs w:val="24"/>
                <w:color w:val="auto"/>
              </w:rPr>
            </w:pPr>
          </w:p>
        </w:tc>
        <w:tc>
          <w:tcPr>
            <w:tcW w:w="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1"/>
        </w:trPr>
        <w:tc>
          <w:tcPr>
            <w:tcW w:w="4000" w:type="dxa"/>
            <w:vAlign w:val="bottom"/>
            <w:tcBorders>
              <w:top w:val="single" w:sz="8" w:color="70AD47"/>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other  comprehensive  income  that  may</w:t>
            </w:r>
          </w:p>
        </w:tc>
        <w:tc>
          <w:tcPr>
            <w:tcW w:w="1000" w:type="dxa"/>
            <w:vAlign w:val="bottom"/>
            <w:tcBorders>
              <w:top w:val="single" w:sz="8" w:color="70AD47"/>
              <w:right w:val="single" w:sz="8" w:color="70AD47"/>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be</w:t>
            </w:r>
          </w:p>
        </w:tc>
        <w:tc>
          <w:tcPr>
            <w:tcW w:w="1560" w:type="dxa"/>
            <w:vAlign w:val="bottom"/>
            <w:tcBorders>
              <w:top w:val="single" w:sz="8" w:color="70AD47"/>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(3,673)</w:t>
            </w:r>
          </w:p>
        </w:tc>
        <w:tc>
          <w:tcPr>
            <w:tcW w:w="800" w:type="dxa"/>
            <w:vAlign w:val="bottom"/>
            <w:tcBorders>
              <w:top w:val="single" w:sz="8" w:color="70AD47"/>
            </w:tcBorders>
          </w:tcPr>
          <w:p>
            <w:pPr>
              <w:spacing w:after="0"/>
              <w:rPr>
                <w:sz w:val="17"/>
                <w:szCs w:val="17"/>
                <w:color w:val="auto"/>
              </w:rPr>
            </w:pPr>
          </w:p>
        </w:tc>
        <w:tc>
          <w:tcPr>
            <w:tcW w:w="760" w:type="dxa"/>
            <w:vAlign w:val="bottom"/>
            <w:tcBorders>
              <w:top w:val="single" w:sz="8" w:color="70AD47"/>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580" w:type="dxa"/>
            <w:vAlign w:val="bottom"/>
            <w:tcBorders>
              <w:top w:val="single" w:sz="8" w:color="70AD47"/>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720" w:type="dxa"/>
            <w:vAlign w:val="bottom"/>
            <w:tcBorders>
              <w:top w:val="single" w:sz="8" w:color="70AD47"/>
            </w:tcBorders>
          </w:tcPr>
          <w:p>
            <w:pPr>
              <w:spacing w:after="0"/>
              <w:rPr>
                <w:sz w:val="17"/>
                <w:szCs w:val="17"/>
                <w:color w:val="auto"/>
              </w:rPr>
            </w:pPr>
          </w:p>
        </w:tc>
        <w:tc>
          <w:tcPr>
            <w:tcW w:w="840" w:type="dxa"/>
            <w:vAlign w:val="bottom"/>
            <w:tcBorders>
              <w:top w:val="single" w:sz="8" w:color="70AD47"/>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13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reclassified to profit or loss in subsequent periods</w:t>
            </w:r>
          </w:p>
        </w:tc>
        <w:tc>
          <w:tcPr>
            <w:tcW w:w="1000" w:type="dxa"/>
            <w:vAlign w:val="bottom"/>
            <w:tcBorders>
              <w:right w:val="single" w:sz="8" w:color="70AD47"/>
            </w:tcBorders>
          </w:tcPr>
          <w:p>
            <w:pPr>
              <w:spacing w:after="0"/>
              <w:rPr>
                <w:sz w:val="11"/>
                <w:szCs w:val="11"/>
                <w:color w:val="auto"/>
              </w:rPr>
            </w:pPr>
          </w:p>
        </w:tc>
        <w:tc>
          <w:tcPr>
            <w:tcW w:w="1560" w:type="dxa"/>
            <w:vAlign w:val="bottom"/>
            <w:tcBorders>
              <w:right w:val="single" w:sz="8" w:color="70AD47"/>
            </w:tcBorders>
            <w:vMerge w:val="continue"/>
            <w:shd w:val="clear" w:color="auto" w:fill="C6E0B4"/>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Borders>
              <w:right w:val="single" w:sz="8" w:color="70AD47"/>
            </w:tcBorders>
            <w:vMerge w:val="continue"/>
          </w:tcPr>
          <w:p>
            <w:pPr>
              <w:spacing w:after="0"/>
              <w:rPr>
                <w:sz w:val="11"/>
                <w:szCs w:val="11"/>
                <w:color w:val="auto"/>
              </w:rPr>
            </w:pPr>
          </w:p>
        </w:tc>
        <w:tc>
          <w:tcPr>
            <w:tcW w:w="1580" w:type="dxa"/>
            <w:vAlign w:val="bottom"/>
            <w:tcBorders>
              <w:right w:val="single" w:sz="8" w:color="70AD47"/>
            </w:tcBorders>
            <w:vMerge w:val="continue"/>
            <w:shd w:val="clear" w:color="auto" w:fill="C6E0B4"/>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Borders>
              <w:right w:val="single" w:sz="8" w:color="70AD47"/>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00" w:type="dxa"/>
            <w:vAlign w:val="bottom"/>
            <w:tcBorders>
              <w:bottom w:val="single" w:sz="8" w:color="70AD47"/>
            </w:tcBorders>
            <w:vMerge w:val="continue"/>
          </w:tcPr>
          <w:p>
            <w:pPr>
              <w:spacing w:after="0"/>
              <w:rPr>
                <w:sz w:val="9"/>
                <w:szCs w:val="9"/>
                <w:color w:val="auto"/>
              </w:rPr>
            </w:pPr>
          </w:p>
        </w:tc>
        <w:tc>
          <w:tcPr>
            <w:tcW w:w="1000" w:type="dxa"/>
            <w:vAlign w:val="bottom"/>
            <w:tcBorders>
              <w:bottom w:val="single" w:sz="8" w:color="70AD47"/>
              <w:right w:val="single" w:sz="8" w:color="70AD47"/>
            </w:tcBorders>
          </w:tcPr>
          <w:p>
            <w:pPr>
              <w:spacing w:after="0"/>
              <w:rPr>
                <w:sz w:val="9"/>
                <w:szCs w:val="9"/>
                <w:color w:val="auto"/>
              </w:rPr>
            </w:pPr>
          </w:p>
        </w:tc>
        <w:tc>
          <w:tcPr>
            <w:tcW w:w="1560" w:type="dxa"/>
            <w:vAlign w:val="bottom"/>
            <w:tcBorders>
              <w:bottom w:val="single" w:sz="8" w:color="70AD47"/>
              <w:right w:val="single" w:sz="8" w:color="70AD47"/>
            </w:tcBorders>
            <w:shd w:val="clear" w:color="auto" w:fill="C6E0B4"/>
          </w:tcPr>
          <w:p>
            <w:pPr>
              <w:spacing w:after="0"/>
              <w:rPr>
                <w:sz w:val="9"/>
                <w:szCs w:val="9"/>
                <w:color w:val="auto"/>
              </w:rPr>
            </w:pPr>
          </w:p>
        </w:tc>
        <w:tc>
          <w:tcPr>
            <w:tcW w:w="800" w:type="dxa"/>
            <w:vAlign w:val="bottom"/>
            <w:tcBorders>
              <w:bottom w:val="single" w:sz="8" w:color="70AD47"/>
            </w:tcBorders>
          </w:tcPr>
          <w:p>
            <w:pPr>
              <w:spacing w:after="0"/>
              <w:rPr>
                <w:sz w:val="9"/>
                <w:szCs w:val="9"/>
                <w:color w:val="auto"/>
              </w:rPr>
            </w:pPr>
          </w:p>
        </w:tc>
        <w:tc>
          <w:tcPr>
            <w:tcW w:w="760" w:type="dxa"/>
            <w:vAlign w:val="bottom"/>
            <w:tcBorders>
              <w:bottom w:val="single" w:sz="8" w:color="70AD47"/>
              <w:right w:val="single" w:sz="8" w:color="70AD47"/>
            </w:tcBorders>
          </w:tcPr>
          <w:p>
            <w:pPr>
              <w:spacing w:after="0"/>
              <w:rPr>
                <w:sz w:val="9"/>
                <w:szCs w:val="9"/>
                <w:color w:val="auto"/>
              </w:rPr>
            </w:pPr>
          </w:p>
        </w:tc>
        <w:tc>
          <w:tcPr>
            <w:tcW w:w="1580" w:type="dxa"/>
            <w:vAlign w:val="bottom"/>
            <w:tcBorders>
              <w:bottom w:val="single" w:sz="8" w:color="70AD47"/>
              <w:right w:val="single" w:sz="8" w:color="70AD47"/>
            </w:tcBorders>
            <w:shd w:val="clear" w:color="auto" w:fill="C6E0B4"/>
          </w:tcPr>
          <w:p>
            <w:pPr>
              <w:spacing w:after="0"/>
              <w:rPr>
                <w:sz w:val="9"/>
                <w:szCs w:val="9"/>
                <w:color w:val="auto"/>
              </w:rPr>
            </w:pPr>
          </w:p>
        </w:tc>
        <w:tc>
          <w:tcPr>
            <w:tcW w:w="720" w:type="dxa"/>
            <w:vAlign w:val="bottom"/>
            <w:tcBorders>
              <w:bottom w:val="single" w:sz="8" w:color="70AD47"/>
            </w:tcBorders>
          </w:tcPr>
          <w:p>
            <w:pPr>
              <w:spacing w:after="0"/>
              <w:rPr>
                <w:sz w:val="9"/>
                <w:szCs w:val="9"/>
                <w:color w:val="auto"/>
              </w:rPr>
            </w:pPr>
          </w:p>
        </w:tc>
        <w:tc>
          <w:tcPr>
            <w:tcW w:w="840" w:type="dxa"/>
            <w:vAlign w:val="bottom"/>
            <w:tcBorders>
              <w:bottom w:val="single" w:sz="8" w:color="70AD47"/>
              <w:right w:val="single" w:sz="8" w:color="70AD47"/>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000" w:type="dxa"/>
            <w:vAlign w:val="bottom"/>
            <w:tcBorders>
              <w:bottom w:val="single" w:sz="8" w:color="70AD47"/>
            </w:tcBorders>
          </w:tcPr>
          <w:p>
            <w:pPr>
              <w:spacing w:after="0"/>
              <w:rPr>
                <w:sz w:val="24"/>
                <w:szCs w:val="24"/>
                <w:color w:val="auto"/>
              </w:rPr>
            </w:pPr>
          </w:p>
        </w:tc>
        <w:tc>
          <w:tcPr>
            <w:tcW w:w="1000" w:type="dxa"/>
            <w:vAlign w:val="bottom"/>
            <w:tcBorders>
              <w:bottom w:val="single" w:sz="8" w:color="70AD47"/>
              <w:right w:val="single" w:sz="8" w:color="70AD47"/>
            </w:tcBorders>
          </w:tcPr>
          <w:p>
            <w:pPr>
              <w:spacing w:after="0"/>
              <w:rPr>
                <w:sz w:val="24"/>
                <w:szCs w:val="24"/>
                <w:color w:val="auto"/>
              </w:rPr>
            </w:pPr>
          </w:p>
        </w:tc>
        <w:tc>
          <w:tcPr>
            <w:tcW w:w="1560" w:type="dxa"/>
            <w:vAlign w:val="bottom"/>
            <w:tcBorders>
              <w:bottom w:val="single" w:sz="8" w:color="70AD47"/>
              <w:right w:val="single" w:sz="8" w:color="70AD47"/>
            </w:tcBorders>
            <w:shd w:val="clear" w:color="auto" w:fill="C6E0B4"/>
          </w:tcPr>
          <w:p>
            <w:pPr>
              <w:spacing w:after="0"/>
              <w:rPr>
                <w:sz w:val="24"/>
                <w:szCs w:val="24"/>
                <w:color w:val="auto"/>
              </w:rPr>
            </w:pPr>
          </w:p>
        </w:tc>
        <w:tc>
          <w:tcPr>
            <w:tcW w:w="800" w:type="dxa"/>
            <w:vAlign w:val="bottom"/>
            <w:tcBorders>
              <w:bottom w:val="single" w:sz="8" w:color="70AD47"/>
            </w:tcBorders>
          </w:tcPr>
          <w:p>
            <w:pPr>
              <w:spacing w:after="0"/>
              <w:rPr>
                <w:sz w:val="24"/>
                <w:szCs w:val="24"/>
                <w:color w:val="auto"/>
              </w:rPr>
            </w:pPr>
          </w:p>
        </w:tc>
        <w:tc>
          <w:tcPr>
            <w:tcW w:w="760" w:type="dxa"/>
            <w:vAlign w:val="bottom"/>
            <w:tcBorders>
              <w:bottom w:val="single" w:sz="8" w:color="70AD47"/>
              <w:right w:val="single" w:sz="8" w:color="70AD47"/>
            </w:tcBorders>
          </w:tcPr>
          <w:p>
            <w:pPr>
              <w:spacing w:after="0"/>
              <w:rPr>
                <w:sz w:val="24"/>
                <w:szCs w:val="24"/>
                <w:color w:val="auto"/>
              </w:rPr>
            </w:pPr>
          </w:p>
        </w:tc>
        <w:tc>
          <w:tcPr>
            <w:tcW w:w="1580" w:type="dxa"/>
            <w:vAlign w:val="bottom"/>
            <w:tcBorders>
              <w:bottom w:val="single" w:sz="8" w:color="70AD47"/>
              <w:right w:val="single" w:sz="8" w:color="70AD47"/>
            </w:tcBorders>
            <w:shd w:val="clear" w:color="auto" w:fill="C6E0B4"/>
          </w:tcPr>
          <w:p>
            <w:pPr>
              <w:spacing w:after="0"/>
              <w:rPr>
                <w:sz w:val="24"/>
                <w:szCs w:val="24"/>
                <w:color w:val="auto"/>
              </w:rPr>
            </w:pPr>
          </w:p>
        </w:tc>
        <w:tc>
          <w:tcPr>
            <w:tcW w:w="72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0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for the period, net of tax</w:t>
            </w: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(3,673)</w:t>
            </w:r>
          </w:p>
        </w:tc>
        <w:tc>
          <w:tcPr>
            <w:tcW w:w="800" w:type="dxa"/>
            <w:vAlign w:val="bottom"/>
          </w:tcPr>
          <w:p>
            <w:pPr>
              <w:spacing w:after="0"/>
              <w:rPr>
                <w:sz w:val="24"/>
                <w:szCs w:val="24"/>
                <w:color w:val="auto"/>
              </w:rPr>
            </w:pPr>
          </w:p>
        </w:tc>
        <w:tc>
          <w:tcPr>
            <w:tcW w:w="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77"/>
        </w:trPr>
        <w:tc>
          <w:tcPr>
            <w:tcW w:w="4000" w:type="dxa"/>
            <w:vAlign w:val="bottom"/>
            <w:tcBorders>
              <w:top w:val="single" w:sz="8" w:color="70AD47"/>
              <w:bottom w:val="single" w:sz="8" w:color="70AD47"/>
            </w:tcBorders>
          </w:tcPr>
          <w:p>
            <w:pPr>
              <w:spacing w:after="0"/>
              <w:rPr>
                <w:sz w:val="24"/>
                <w:szCs w:val="24"/>
                <w:color w:val="auto"/>
              </w:rPr>
            </w:pPr>
          </w:p>
        </w:tc>
        <w:tc>
          <w:tcPr>
            <w:tcW w:w="1000" w:type="dxa"/>
            <w:vAlign w:val="bottom"/>
            <w:tcBorders>
              <w:top w:val="single" w:sz="8" w:color="70AD47"/>
              <w:bottom w:val="single" w:sz="8" w:color="70AD47"/>
              <w:right w:val="single" w:sz="8" w:color="70AD47"/>
            </w:tcBorders>
          </w:tcPr>
          <w:p>
            <w:pPr>
              <w:spacing w:after="0"/>
              <w:rPr>
                <w:sz w:val="24"/>
                <w:szCs w:val="24"/>
                <w:color w:val="auto"/>
              </w:rPr>
            </w:pPr>
          </w:p>
        </w:tc>
        <w:tc>
          <w:tcPr>
            <w:tcW w:w="1560" w:type="dxa"/>
            <w:vAlign w:val="bottom"/>
            <w:tcBorders>
              <w:top w:val="single" w:sz="8" w:color="70AD47"/>
              <w:bottom w:val="single" w:sz="8" w:color="70AD47"/>
              <w:right w:val="single" w:sz="8" w:color="70AD47"/>
            </w:tcBorders>
            <w:shd w:val="clear" w:color="auto" w:fill="C6E0B4"/>
          </w:tcPr>
          <w:p>
            <w:pPr>
              <w:spacing w:after="0"/>
              <w:rPr>
                <w:sz w:val="24"/>
                <w:szCs w:val="24"/>
                <w:color w:val="auto"/>
              </w:rPr>
            </w:pPr>
          </w:p>
        </w:tc>
        <w:tc>
          <w:tcPr>
            <w:tcW w:w="800" w:type="dxa"/>
            <w:vAlign w:val="bottom"/>
            <w:tcBorders>
              <w:top w:val="single" w:sz="8" w:color="70AD47"/>
              <w:bottom w:val="single" w:sz="8" w:color="70AD47"/>
            </w:tcBorders>
          </w:tcPr>
          <w:p>
            <w:pPr>
              <w:spacing w:after="0"/>
              <w:rPr>
                <w:sz w:val="24"/>
                <w:szCs w:val="24"/>
                <w:color w:val="auto"/>
              </w:rPr>
            </w:pPr>
          </w:p>
        </w:tc>
        <w:tc>
          <w:tcPr>
            <w:tcW w:w="760" w:type="dxa"/>
            <w:vAlign w:val="bottom"/>
            <w:tcBorders>
              <w:top w:val="single" w:sz="8" w:color="70AD47"/>
              <w:bottom w:val="single" w:sz="8" w:color="70AD47"/>
              <w:right w:val="single" w:sz="8" w:color="70AD47"/>
            </w:tcBorders>
          </w:tcPr>
          <w:p>
            <w:pPr>
              <w:spacing w:after="0"/>
              <w:rPr>
                <w:sz w:val="24"/>
                <w:szCs w:val="24"/>
                <w:color w:val="auto"/>
              </w:rPr>
            </w:pPr>
          </w:p>
        </w:tc>
        <w:tc>
          <w:tcPr>
            <w:tcW w:w="1580" w:type="dxa"/>
            <w:vAlign w:val="bottom"/>
            <w:tcBorders>
              <w:top w:val="single" w:sz="8" w:color="70AD47"/>
              <w:bottom w:val="single" w:sz="8" w:color="70AD47"/>
              <w:right w:val="single" w:sz="8" w:color="70AD47"/>
            </w:tcBorders>
            <w:shd w:val="clear" w:color="auto" w:fill="C6E0B4"/>
          </w:tcPr>
          <w:p>
            <w:pPr>
              <w:spacing w:after="0"/>
              <w:rPr>
                <w:sz w:val="24"/>
                <w:szCs w:val="24"/>
                <w:color w:val="auto"/>
              </w:rPr>
            </w:pPr>
          </w:p>
        </w:tc>
        <w:tc>
          <w:tcPr>
            <w:tcW w:w="720" w:type="dxa"/>
            <w:vAlign w:val="bottom"/>
            <w:tcBorders>
              <w:top w:val="single" w:sz="8" w:color="70AD47"/>
              <w:bottom w:val="single" w:sz="8" w:color="70AD47"/>
            </w:tcBorders>
          </w:tcPr>
          <w:p>
            <w:pPr>
              <w:spacing w:after="0"/>
              <w:rPr>
                <w:sz w:val="24"/>
                <w:szCs w:val="24"/>
                <w:color w:val="auto"/>
              </w:rPr>
            </w:pPr>
          </w:p>
        </w:tc>
        <w:tc>
          <w:tcPr>
            <w:tcW w:w="840" w:type="dxa"/>
            <w:vAlign w:val="bottom"/>
            <w:tcBorders>
              <w:top w:val="single" w:sz="8" w:color="70AD47"/>
              <w:bottom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for the period, net of tax</w:t>
            </w:r>
          </w:p>
        </w:tc>
        <w:tc>
          <w:tcPr>
            <w:tcW w:w="1000" w:type="dxa"/>
            <w:vAlign w:val="bottom"/>
            <w:tcBorders>
              <w:right w:val="single" w:sz="8" w:color="70AD47"/>
            </w:tcBorders>
          </w:tcPr>
          <w:p>
            <w:pPr>
              <w:spacing w:after="0"/>
              <w:rPr>
                <w:sz w:val="24"/>
                <w:szCs w:val="24"/>
                <w:color w:val="auto"/>
              </w:rPr>
            </w:pP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€(213,705)</w:t>
            </w:r>
          </w:p>
        </w:tc>
        <w:tc>
          <w:tcPr>
            <w:tcW w:w="800" w:type="dxa"/>
            <w:vAlign w:val="bottom"/>
          </w:tcPr>
          <w:p>
            <w:pPr>
              <w:spacing w:after="0"/>
              <w:rPr>
                <w:sz w:val="24"/>
                <w:szCs w:val="24"/>
                <w:color w:val="auto"/>
              </w:rPr>
            </w:pPr>
          </w:p>
        </w:tc>
        <w:tc>
          <w:tcPr>
            <w:tcW w:w="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€(30,111)</w:t>
            </w: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€(358,880)</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€(120,951)</w:t>
            </w:r>
          </w:p>
        </w:tc>
        <w:tc>
          <w:tcPr>
            <w:tcW w:w="0" w:type="dxa"/>
            <w:vAlign w:val="bottom"/>
          </w:tcPr>
          <w:p>
            <w:pPr>
              <w:spacing w:after="0"/>
              <w:rPr>
                <w:sz w:val="1"/>
                <w:szCs w:val="1"/>
                <w:color w:val="auto"/>
              </w:rPr>
            </w:pPr>
          </w:p>
        </w:tc>
      </w:tr>
      <w:tr>
        <w:trPr>
          <w:trHeight w:val="561"/>
        </w:trPr>
        <w:tc>
          <w:tcPr>
            <w:tcW w:w="4000" w:type="dxa"/>
            <w:vAlign w:val="bottom"/>
            <w:tcBorders>
              <w:top w:val="single" w:sz="8" w:color="70AD47"/>
            </w:tcBorders>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000" w:type="dxa"/>
            <w:vAlign w:val="bottom"/>
            <w:tcBorders>
              <w:top w:val="single" w:sz="8" w:color="70AD47"/>
              <w:right w:val="single" w:sz="8" w:color="70AD47"/>
            </w:tcBorders>
          </w:tcPr>
          <w:p>
            <w:pPr>
              <w:spacing w:after="0"/>
              <w:rPr>
                <w:sz w:val="24"/>
                <w:szCs w:val="24"/>
                <w:color w:val="auto"/>
              </w:rPr>
            </w:pPr>
          </w:p>
        </w:tc>
        <w:tc>
          <w:tcPr>
            <w:tcW w:w="1560" w:type="dxa"/>
            <w:vAlign w:val="bottom"/>
            <w:tcBorders>
              <w:top w:val="single" w:sz="8" w:color="70AD47"/>
              <w:right w:val="single" w:sz="8" w:color="70AD47"/>
            </w:tcBorders>
            <w:shd w:val="clear" w:color="auto" w:fill="C6E0B4"/>
          </w:tcPr>
          <w:p>
            <w:pPr>
              <w:spacing w:after="0"/>
              <w:rPr>
                <w:sz w:val="24"/>
                <w:szCs w:val="24"/>
                <w:color w:val="auto"/>
              </w:rPr>
            </w:pPr>
          </w:p>
        </w:tc>
        <w:tc>
          <w:tcPr>
            <w:tcW w:w="800" w:type="dxa"/>
            <w:vAlign w:val="bottom"/>
            <w:tcBorders>
              <w:top w:val="single" w:sz="8" w:color="70AD47"/>
            </w:tcBorders>
          </w:tcPr>
          <w:p>
            <w:pPr>
              <w:spacing w:after="0"/>
              <w:rPr>
                <w:sz w:val="24"/>
                <w:szCs w:val="24"/>
                <w:color w:val="auto"/>
              </w:rPr>
            </w:pPr>
          </w:p>
        </w:tc>
        <w:tc>
          <w:tcPr>
            <w:tcW w:w="760" w:type="dxa"/>
            <w:vAlign w:val="bottom"/>
            <w:tcBorders>
              <w:top w:val="single" w:sz="8" w:color="70AD47"/>
              <w:right w:val="single" w:sz="8" w:color="70AD47"/>
            </w:tcBorders>
          </w:tcPr>
          <w:p>
            <w:pPr>
              <w:spacing w:after="0"/>
              <w:rPr>
                <w:sz w:val="24"/>
                <w:szCs w:val="24"/>
                <w:color w:val="auto"/>
              </w:rPr>
            </w:pPr>
          </w:p>
        </w:tc>
        <w:tc>
          <w:tcPr>
            <w:tcW w:w="1580" w:type="dxa"/>
            <w:vAlign w:val="bottom"/>
            <w:tcBorders>
              <w:top w:val="single" w:sz="8" w:color="70AD47"/>
              <w:right w:val="single" w:sz="8" w:color="70AD47"/>
            </w:tcBorders>
            <w:shd w:val="clear" w:color="auto" w:fill="C6E0B4"/>
          </w:tcPr>
          <w:p>
            <w:pPr>
              <w:spacing w:after="0"/>
              <w:rPr>
                <w:sz w:val="24"/>
                <w:szCs w:val="24"/>
                <w:color w:val="auto"/>
              </w:rPr>
            </w:pPr>
          </w:p>
        </w:tc>
        <w:tc>
          <w:tcPr>
            <w:tcW w:w="720" w:type="dxa"/>
            <w:vAlign w:val="bottom"/>
            <w:tcBorders>
              <w:top w:val="single" w:sz="8" w:color="70AD47"/>
            </w:tcBorders>
          </w:tcPr>
          <w:p>
            <w:pPr>
              <w:spacing w:after="0"/>
              <w:rPr>
                <w:sz w:val="24"/>
                <w:szCs w:val="24"/>
                <w:color w:val="auto"/>
              </w:rPr>
            </w:pPr>
          </w:p>
        </w:tc>
        <w:tc>
          <w:tcPr>
            <w:tcW w:w="840" w:type="dxa"/>
            <w:vAlign w:val="bottom"/>
            <w:tcBorders>
              <w:top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Equity holders of the parent</w:t>
            </w:r>
          </w:p>
        </w:tc>
        <w:tc>
          <w:tcPr>
            <w:tcW w:w="1000" w:type="dxa"/>
            <w:vAlign w:val="bottom"/>
            <w:tcBorders>
              <w:right w:val="single" w:sz="8" w:color="70AD47"/>
            </w:tcBorders>
          </w:tcPr>
          <w:p>
            <w:pPr>
              <w:spacing w:after="0"/>
              <w:rPr>
                <w:sz w:val="22"/>
                <w:szCs w:val="22"/>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(213,705)</w:t>
            </w:r>
          </w:p>
        </w:tc>
        <w:tc>
          <w:tcPr>
            <w:tcW w:w="800" w:type="dxa"/>
            <w:vAlign w:val="bottom"/>
          </w:tcPr>
          <w:p>
            <w:pPr>
              <w:spacing w:after="0"/>
              <w:rPr>
                <w:sz w:val="22"/>
                <w:szCs w:val="22"/>
                <w:color w:val="auto"/>
              </w:rPr>
            </w:pPr>
          </w:p>
        </w:tc>
        <w:tc>
          <w:tcPr>
            <w:tcW w:w="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(30,111)</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(358,880)</w:t>
            </w:r>
          </w:p>
        </w:tc>
        <w:tc>
          <w:tcPr>
            <w:tcW w:w="720" w:type="dxa"/>
            <w:vAlign w:val="bottom"/>
          </w:tcPr>
          <w:p>
            <w:pPr>
              <w:spacing w:after="0"/>
              <w:rPr>
                <w:sz w:val="22"/>
                <w:szCs w:val="22"/>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(120,835)</w:t>
            </w:r>
          </w:p>
        </w:tc>
        <w:tc>
          <w:tcPr>
            <w:tcW w:w="0" w:type="dxa"/>
            <w:vAlign w:val="bottom"/>
          </w:tcPr>
          <w:p>
            <w:pPr>
              <w:spacing w:after="0"/>
              <w:rPr>
                <w:sz w:val="1"/>
                <w:szCs w:val="1"/>
                <w:color w:val="auto"/>
              </w:rPr>
            </w:pPr>
          </w:p>
        </w:tc>
      </w:tr>
      <w:tr>
        <w:trPr>
          <w:trHeight w:val="3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tcBorders>
              <w:right w:val="single" w:sz="8" w:color="70AD47"/>
            </w:tcBorders>
          </w:tcPr>
          <w:p>
            <w:pPr>
              <w:spacing w:after="0"/>
              <w:rPr>
                <w:sz w:val="24"/>
                <w:szCs w:val="24"/>
                <w:color w:val="auto"/>
              </w:rPr>
            </w:pP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7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8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57"/>
        </w:trPr>
        <w:tc>
          <w:tcPr>
            <w:tcW w:w="4000" w:type="dxa"/>
            <w:vAlign w:val="bottom"/>
            <w:tcBorders>
              <w:top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 for the period, net of tax</w:t>
            </w:r>
          </w:p>
        </w:tc>
        <w:tc>
          <w:tcPr>
            <w:tcW w:w="1000" w:type="dxa"/>
            <w:vAlign w:val="bottom"/>
            <w:tcBorders>
              <w:top w:val="single" w:sz="8" w:color="70AD47"/>
              <w:right w:val="single" w:sz="8" w:color="70AD47"/>
            </w:tcBorders>
          </w:tcPr>
          <w:p>
            <w:pPr>
              <w:spacing w:after="0"/>
              <w:rPr>
                <w:sz w:val="22"/>
                <w:szCs w:val="22"/>
                <w:color w:val="auto"/>
              </w:rPr>
            </w:pPr>
          </w:p>
        </w:tc>
        <w:tc>
          <w:tcPr>
            <w:tcW w:w="15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€(213,705)</w:t>
            </w:r>
          </w:p>
        </w:tc>
        <w:tc>
          <w:tcPr>
            <w:tcW w:w="800" w:type="dxa"/>
            <w:vAlign w:val="bottom"/>
            <w:tcBorders>
              <w:top w:val="single" w:sz="8" w:color="70AD47"/>
            </w:tcBorders>
          </w:tcPr>
          <w:p>
            <w:pPr>
              <w:spacing w:after="0"/>
              <w:rPr>
                <w:sz w:val="22"/>
                <w:szCs w:val="22"/>
                <w:color w:val="auto"/>
              </w:rPr>
            </w:pPr>
          </w:p>
        </w:tc>
        <w:tc>
          <w:tcPr>
            <w:tcW w:w="76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€(30,111)</w:t>
            </w:r>
          </w:p>
        </w:tc>
        <w:tc>
          <w:tcPr>
            <w:tcW w:w="15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€(358,880)</w:t>
            </w:r>
          </w:p>
        </w:tc>
        <w:tc>
          <w:tcPr>
            <w:tcW w:w="720" w:type="dxa"/>
            <w:vAlign w:val="bottom"/>
            <w:tcBorders>
              <w:top w:val="single" w:sz="8" w:color="70AD47"/>
            </w:tcBorders>
          </w:tcPr>
          <w:p>
            <w:pPr>
              <w:spacing w:after="0"/>
              <w:rPr>
                <w:sz w:val="22"/>
                <w:szCs w:val="22"/>
                <w:color w:val="auto"/>
              </w:rPr>
            </w:pPr>
          </w:p>
        </w:tc>
        <w:tc>
          <w:tcPr>
            <w:tcW w:w="84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€(120,951)</w:t>
            </w:r>
          </w:p>
        </w:tc>
        <w:tc>
          <w:tcPr>
            <w:tcW w:w="0" w:type="dxa"/>
            <w:vAlign w:val="bottom"/>
          </w:tcPr>
          <w:p>
            <w:pPr>
              <w:spacing w:after="0"/>
              <w:rPr>
                <w:sz w:val="1"/>
                <w:szCs w:val="1"/>
                <w:color w:val="auto"/>
              </w:rPr>
            </w:pPr>
          </w:p>
        </w:tc>
      </w:tr>
      <w:tr>
        <w:trPr>
          <w:trHeight w:val="20"/>
        </w:trPr>
        <w:tc>
          <w:tcPr>
            <w:tcW w:w="4000" w:type="dxa"/>
            <w:vAlign w:val="bottom"/>
            <w:shd w:val="clear" w:color="auto" w:fill="70AD47"/>
          </w:tcPr>
          <w:p>
            <w:pPr>
              <w:spacing w:after="0" w:line="20" w:lineRule="exact"/>
              <w:rPr>
                <w:sz w:val="1"/>
                <w:szCs w:val="1"/>
                <w:color w:val="auto"/>
              </w:rPr>
            </w:pPr>
          </w:p>
        </w:tc>
        <w:tc>
          <w:tcPr>
            <w:tcW w:w="1000" w:type="dxa"/>
            <w:vAlign w:val="bottom"/>
            <w:tcBorders>
              <w:right w:val="single" w:sz="8" w:color="70AD47"/>
            </w:tcBorders>
            <w:shd w:val="clear" w:color="auto" w:fill="70AD47"/>
          </w:tcPr>
          <w:p>
            <w:pPr>
              <w:spacing w:after="0" w:line="20" w:lineRule="exact"/>
              <w:rPr>
                <w:sz w:val="1"/>
                <w:szCs w:val="1"/>
                <w:color w:val="auto"/>
              </w:rPr>
            </w:pPr>
          </w:p>
        </w:tc>
        <w:tc>
          <w:tcPr>
            <w:tcW w:w="1560" w:type="dxa"/>
            <w:vAlign w:val="bottom"/>
            <w:tcBorders>
              <w:right w:val="single" w:sz="8" w:color="70AD47"/>
            </w:tcBorders>
            <w:shd w:val="clear" w:color="auto" w:fill="70AD47"/>
          </w:tcPr>
          <w:p>
            <w:pPr>
              <w:spacing w:after="0" w:line="20" w:lineRule="exact"/>
              <w:rPr>
                <w:sz w:val="1"/>
                <w:szCs w:val="1"/>
                <w:color w:val="auto"/>
              </w:rPr>
            </w:pPr>
          </w:p>
        </w:tc>
        <w:tc>
          <w:tcPr>
            <w:tcW w:w="800" w:type="dxa"/>
            <w:vAlign w:val="bottom"/>
            <w:shd w:val="clear" w:color="auto" w:fill="70AD47"/>
          </w:tcPr>
          <w:p>
            <w:pPr>
              <w:spacing w:after="0" w:line="20" w:lineRule="exact"/>
              <w:rPr>
                <w:sz w:val="1"/>
                <w:szCs w:val="1"/>
                <w:color w:val="auto"/>
              </w:rPr>
            </w:pPr>
          </w:p>
        </w:tc>
        <w:tc>
          <w:tcPr>
            <w:tcW w:w="760" w:type="dxa"/>
            <w:vAlign w:val="bottom"/>
            <w:tcBorders>
              <w:right w:val="single" w:sz="8" w:color="70AD47"/>
            </w:tcBorders>
            <w:shd w:val="clear" w:color="auto" w:fill="70AD47"/>
          </w:tcPr>
          <w:p>
            <w:pPr>
              <w:spacing w:after="0" w:line="20" w:lineRule="exact"/>
              <w:rPr>
                <w:sz w:val="1"/>
                <w:szCs w:val="1"/>
                <w:color w:val="auto"/>
              </w:rPr>
            </w:pPr>
          </w:p>
        </w:tc>
        <w:tc>
          <w:tcPr>
            <w:tcW w:w="1580" w:type="dxa"/>
            <w:vAlign w:val="bottom"/>
            <w:tcBorders>
              <w:right w:val="single" w:sz="8" w:color="70AD47"/>
            </w:tcBorders>
            <w:shd w:val="clear" w:color="auto" w:fill="70AD47"/>
          </w:tcPr>
          <w:p>
            <w:pPr>
              <w:spacing w:after="0" w:line="20" w:lineRule="exact"/>
              <w:rPr>
                <w:sz w:val="1"/>
                <w:szCs w:val="1"/>
                <w:color w:val="auto"/>
              </w:rPr>
            </w:pPr>
          </w:p>
        </w:tc>
        <w:tc>
          <w:tcPr>
            <w:tcW w:w="720" w:type="dxa"/>
            <w:vAlign w:val="bottom"/>
            <w:shd w:val="clear" w:color="auto" w:fill="70AD47"/>
          </w:tcPr>
          <w:p>
            <w:pPr>
              <w:spacing w:after="0" w:line="20" w:lineRule="exact"/>
              <w:rPr>
                <w:sz w:val="1"/>
                <w:szCs w:val="1"/>
                <w:color w:val="auto"/>
              </w:rPr>
            </w:pPr>
          </w:p>
        </w:tc>
        <w:tc>
          <w:tcPr>
            <w:tcW w:w="840" w:type="dxa"/>
            <w:vAlign w:val="bottom"/>
            <w:tcBorders>
              <w:right w:val="single" w:sz="8" w:color="70AD47"/>
            </w:tcBorders>
            <w:shd w:val="clear" w:color="auto" w:fill="70AD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Interim Condensed Consolidated Statements of Changes in Stockholders’ Equity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Nine months ended September 30, 2020</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Borders>
              <w:bottom w:val="single" w:sz="8" w:color="70AD47"/>
            </w:tcBorders>
          </w:tcPr>
          <w:p>
            <w:pPr>
              <w:spacing w:after="0"/>
              <w:rPr>
                <w:sz w:val="13"/>
                <w:szCs w:val="13"/>
                <w:color w:val="auto"/>
              </w:rPr>
            </w:pPr>
          </w:p>
        </w:tc>
        <w:tc>
          <w:tcPr>
            <w:tcW w:w="3740" w:type="dxa"/>
            <w:vAlign w:val="bottom"/>
            <w:tcBorders>
              <w:bottom w:val="single" w:sz="8" w:color="70AD47"/>
            </w:tcBorders>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Equity attributable to equity holders of the parent</w:t>
            </w:r>
          </w:p>
        </w:tc>
        <w:tc>
          <w:tcPr>
            <w:tcW w:w="94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720" w:type="dxa"/>
            <w:vAlign w:val="bottom"/>
            <w:tcBorders>
              <w:right w:val="single" w:sz="8" w:color="70AD47"/>
            </w:tcBorders>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Borders>
              <w:right w:val="single" w:sz="8" w:color="70AD47"/>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920" w:type="dxa"/>
            <w:vAlign w:val="bottom"/>
            <w:tcBorders>
              <w:right w:val="single" w:sz="8" w:color="70AD47"/>
            </w:tcBorders>
          </w:tcPr>
          <w:p>
            <w:pPr>
              <w:spacing w:after="0"/>
              <w:rPr>
                <w:sz w:val="10"/>
                <w:szCs w:val="10"/>
                <w:color w:val="auto"/>
              </w:rPr>
            </w:pPr>
          </w:p>
        </w:tc>
        <w:tc>
          <w:tcPr>
            <w:tcW w:w="920" w:type="dxa"/>
            <w:vAlign w:val="bottom"/>
            <w:tcBorders>
              <w:right w:val="single" w:sz="8" w:color="70AD47"/>
            </w:tcBorders>
          </w:tcPr>
          <w:p>
            <w:pPr>
              <w:spacing w:after="0"/>
              <w:rPr>
                <w:sz w:val="10"/>
                <w:szCs w:val="10"/>
                <w:color w:val="auto"/>
              </w:rPr>
            </w:pPr>
          </w:p>
        </w:tc>
        <w:tc>
          <w:tcPr>
            <w:tcW w:w="920" w:type="dxa"/>
            <w:vAlign w:val="bottom"/>
            <w:tcBorders>
              <w:right w:val="single" w:sz="8" w:color="70AD47"/>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720" w:type="dxa"/>
            <w:vAlign w:val="bottom"/>
            <w:tcBorders>
              <w:right w:val="single" w:sz="8" w:color="70AD47"/>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Treasury shares</w:t>
            </w: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940" w:type="dxa"/>
            <w:vAlign w:val="bottom"/>
            <w:tcBorders>
              <w:right w:val="single" w:sz="8" w:color="70AD47"/>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currency</w:t>
            </w:r>
          </w:p>
        </w:tc>
        <w:tc>
          <w:tcPr>
            <w:tcW w:w="920" w:type="dxa"/>
            <w:vAlign w:val="bottom"/>
            <w:tcBorders>
              <w:right w:val="single" w:sz="8" w:color="70AD47"/>
            </w:tcBorders>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tcBorders>
              <w:right w:val="single" w:sz="8" w:color="70AD47"/>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920" w:type="dxa"/>
            <w:vAlign w:val="bottom"/>
            <w:tcBorders>
              <w:right w:val="single" w:sz="8" w:color="70AD47"/>
            </w:tcBorders>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99"/>
        </w:trPr>
        <w:tc>
          <w:tcPr>
            <w:tcW w:w="2200" w:type="dxa"/>
            <w:vAlign w:val="bottom"/>
            <w:vMerge w:val="continue"/>
          </w:tcPr>
          <w:p>
            <w:pPr>
              <w:spacing w:after="0"/>
              <w:rPr>
                <w:sz w:val="8"/>
                <w:szCs w:val="8"/>
                <w:color w:val="auto"/>
              </w:rPr>
            </w:pPr>
          </w:p>
        </w:tc>
        <w:tc>
          <w:tcPr>
            <w:tcW w:w="720" w:type="dxa"/>
            <w:vAlign w:val="bottom"/>
            <w:tcBorders>
              <w:right w:val="single" w:sz="8" w:color="70AD47"/>
            </w:tcBorders>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9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reserve</w:t>
            </w:r>
          </w:p>
        </w:tc>
        <w:tc>
          <w:tcPr>
            <w:tcW w:w="940" w:type="dxa"/>
            <w:vAlign w:val="bottom"/>
            <w:vMerge w:val="continue"/>
          </w:tcPr>
          <w:p>
            <w:pPr>
              <w:spacing w:after="0"/>
              <w:rPr>
                <w:sz w:val="8"/>
                <w:szCs w:val="8"/>
                <w:color w:val="auto"/>
              </w:rPr>
            </w:pPr>
          </w:p>
        </w:tc>
        <w:tc>
          <w:tcPr>
            <w:tcW w:w="920" w:type="dxa"/>
            <w:vAlign w:val="bottom"/>
            <w:vMerge w:val="restart"/>
          </w:tcPr>
          <w:p>
            <w:pPr>
              <w:ind w:left="300"/>
              <w:spacing w:after="0" w:line="135" w:lineRule="exact"/>
              <w:rPr>
                <w:sz w:val="20"/>
                <w:szCs w:val="20"/>
                <w:color w:val="auto"/>
              </w:rPr>
            </w:pPr>
            <w:r>
              <w:rPr>
                <w:rFonts w:ascii="Times New Roman" w:cs="Times New Roman" w:eastAsia="Times New Roman" w:hAnsi="Times New Roman"/>
                <w:sz w:val="13"/>
                <w:szCs w:val="13"/>
                <w:b w:val="1"/>
                <w:bCs w:val="1"/>
                <w:color w:val="auto"/>
              </w:rPr>
              <w:t>losses</w:t>
            </w:r>
          </w:p>
        </w:tc>
        <w:tc>
          <w:tcPr>
            <w:tcW w:w="9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reserves</w:t>
            </w:r>
          </w:p>
        </w:tc>
        <w:tc>
          <w:tcPr>
            <w:tcW w:w="940" w:type="dxa"/>
            <w:vAlign w:val="bottom"/>
            <w:tcBorders>
              <w:right w:val="single" w:sz="8" w:color="70AD47"/>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920" w:type="dxa"/>
            <w:vAlign w:val="bottom"/>
            <w:tcBorders>
              <w:right w:val="single" w:sz="8" w:color="70AD47"/>
            </w:tcBorders>
            <w:vMerge w:val="continue"/>
          </w:tcPr>
          <w:p>
            <w:pPr>
              <w:spacing w:after="0"/>
              <w:rPr>
                <w:sz w:val="8"/>
                <w:szCs w:val="8"/>
                <w:color w:val="auto"/>
              </w:rPr>
            </w:pPr>
          </w:p>
        </w:tc>
        <w:tc>
          <w:tcPr>
            <w:tcW w:w="920" w:type="dxa"/>
            <w:vAlign w:val="bottom"/>
            <w:tcBorders>
              <w:right w:val="single" w:sz="8" w:color="70AD47"/>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interest</w:t>
            </w:r>
          </w:p>
        </w:tc>
        <w:tc>
          <w:tcPr>
            <w:tcW w:w="920" w:type="dxa"/>
            <w:vAlign w:val="bottom"/>
            <w:tcBorders>
              <w:right w:val="single" w:sz="8" w:color="70AD4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720" w:type="dxa"/>
            <w:vAlign w:val="bottom"/>
            <w:tcBorders>
              <w:right w:val="single" w:sz="8" w:color="70AD47"/>
            </w:tcBorders>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40" w:type="dxa"/>
            <w:vAlign w:val="bottom"/>
            <w:tcBorders>
              <w:right w:val="single" w:sz="8" w:color="70AD47"/>
            </w:tcBorders>
            <w:vMerge w:val="continue"/>
          </w:tcPr>
          <w:p>
            <w:pPr>
              <w:spacing w:after="0"/>
              <w:rPr>
                <w:sz w:val="3"/>
                <w:szCs w:val="3"/>
                <w:color w:val="auto"/>
              </w:rPr>
            </w:pPr>
          </w:p>
        </w:tc>
        <w:tc>
          <w:tcPr>
            <w:tcW w:w="920" w:type="dxa"/>
            <w:vAlign w:val="bottom"/>
            <w:tcBorders>
              <w:right w:val="single" w:sz="8" w:color="70AD47"/>
            </w:tcBorders>
          </w:tcPr>
          <w:p>
            <w:pPr>
              <w:spacing w:after="0"/>
              <w:rPr>
                <w:sz w:val="3"/>
                <w:szCs w:val="3"/>
                <w:color w:val="auto"/>
              </w:rPr>
            </w:pPr>
          </w:p>
        </w:tc>
        <w:tc>
          <w:tcPr>
            <w:tcW w:w="920" w:type="dxa"/>
            <w:vAlign w:val="bottom"/>
            <w:tcBorders>
              <w:right w:val="single" w:sz="8" w:color="70AD47"/>
            </w:tcBorders>
            <w:vMerge w:val="continue"/>
          </w:tcPr>
          <w:p>
            <w:pPr>
              <w:spacing w:after="0"/>
              <w:rPr>
                <w:sz w:val="3"/>
                <w:szCs w:val="3"/>
                <w:color w:val="auto"/>
              </w:rPr>
            </w:pPr>
          </w:p>
        </w:tc>
        <w:tc>
          <w:tcPr>
            <w:tcW w:w="920" w:type="dxa"/>
            <w:vAlign w:val="bottom"/>
            <w:tcBorders>
              <w:right w:val="single" w:sz="8" w:color="70AD47"/>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200" w:type="dxa"/>
            <w:vAlign w:val="bottom"/>
            <w:tcBorders>
              <w:bottom w:val="single" w:sz="8" w:color="70AD47"/>
            </w:tcBorders>
          </w:tcPr>
          <w:p>
            <w:pPr>
              <w:spacing w:after="0"/>
              <w:rPr>
                <w:sz w:val="13"/>
                <w:szCs w:val="13"/>
                <w:color w:val="auto"/>
              </w:rPr>
            </w:pPr>
          </w:p>
        </w:tc>
        <w:tc>
          <w:tcPr>
            <w:tcW w:w="720" w:type="dxa"/>
            <w:vAlign w:val="bottom"/>
            <w:tcBorders>
              <w:bottom w:val="single" w:sz="8" w:color="70AD47"/>
              <w:right w:val="single" w:sz="8" w:color="70AD47"/>
            </w:tcBorders>
          </w:tcPr>
          <w:p>
            <w:pPr>
              <w:spacing w:after="0"/>
              <w:rPr>
                <w:sz w:val="13"/>
                <w:szCs w:val="13"/>
                <w:color w:val="auto"/>
              </w:rPr>
            </w:pPr>
          </w:p>
        </w:tc>
        <w:tc>
          <w:tcPr>
            <w:tcW w:w="90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reserve</w:t>
            </w:r>
          </w:p>
        </w:tc>
        <w:tc>
          <w:tcPr>
            <w:tcW w:w="920" w:type="dxa"/>
            <w:vAlign w:val="bottom"/>
            <w:tcBorders>
              <w:bottom w:val="single" w:sz="8" w:color="70AD47"/>
              <w:right w:val="single" w:sz="8" w:color="70AD47"/>
            </w:tcBorders>
          </w:tcPr>
          <w:p>
            <w:pPr>
              <w:spacing w:after="0"/>
              <w:rPr>
                <w:sz w:val="13"/>
                <w:szCs w:val="13"/>
                <w:color w:val="auto"/>
              </w:rPr>
            </w:pPr>
          </w:p>
        </w:tc>
        <w:tc>
          <w:tcPr>
            <w:tcW w:w="920" w:type="dxa"/>
            <w:vAlign w:val="bottom"/>
            <w:tcBorders>
              <w:bottom w:val="single" w:sz="8" w:color="70AD47"/>
              <w:right w:val="single" w:sz="8" w:color="70AD47"/>
            </w:tcBorders>
          </w:tcPr>
          <w:p>
            <w:pPr>
              <w:spacing w:after="0"/>
              <w:rPr>
                <w:sz w:val="13"/>
                <w:szCs w:val="13"/>
                <w:color w:val="auto"/>
              </w:rPr>
            </w:pPr>
          </w:p>
        </w:tc>
        <w:tc>
          <w:tcPr>
            <w:tcW w:w="920" w:type="dxa"/>
            <w:vAlign w:val="bottom"/>
            <w:tcBorders>
              <w:bottom w:val="single" w:sz="8" w:color="70AD47"/>
              <w:right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 of January 1, 2020</w:t>
            </w:r>
          </w:p>
        </w:tc>
        <w:tc>
          <w:tcPr>
            <w:tcW w:w="720" w:type="dxa"/>
            <w:vAlign w:val="bottom"/>
            <w:tcBorders>
              <w:right w:val="single" w:sz="8" w:color="70AD47"/>
            </w:tcBorders>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Borders>
              <w:right w:val="single" w:sz="8" w:color="70AD47"/>
            </w:tcBorders>
          </w:tcPr>
          <w:p>
            <w:pPr>
              <w:spacing w:after="0"/>
              <w:rPr>
                <w:sz w:val="12"/>
                <w:szCs w:val="12"/>
                <w:color w:val="auto"/>
              </w:rPr>
            </w:pPr>
          </w:p>
        </w:tc>
        <w:tc>
          <w:tcPr>
            <w:tcW w:w="920" w:type="dxa"/>
            <w:vAlign w:val="bottom"/>
            <w:tcBorders>
              <w:right w:val="single" w:sz="8" w:color="70AD47"/>
            </w:tcBorders>
          </w:tcPr>
          <w:p>
            <w:pPr>
              <w:spacing w:after="0"/>
              <w:rPr>
                <w:sz w:val="12"/>
                <w:szCs w:val="12"/>
                <w:color w:val="auto"/>
              </w:rPr>
            </w:pPr>
          </w:p>
        </w:tc>
        <w:tc>
          <w:tcPr>
            <w:tcW w:w="920" w:type="dxa"/>
            <w:vAlign w:val="bottom"/>
            <w:tcBorders>
              <w:right w:val="single" w:sz="8" w:color="70AD47"/>
            </w:tcBorders>
          </w:tcPr>
          <w:p>
            <w:pPr>
              <w:spacing w:after="0"/>
              <w:rPr>
                <w:sz w:val="12"/>
                <w:szCs w:val="12"/>
                <w:color w:val="auto"/>
              </w:rPr>
            </w:pPr>
          </w:p>
        </w:tc>
        <w:tc>
          <w:tcPr>
            <w:tcW w:w="920" w:type="dxa"/>
            <w:vAlign w:val="bottom"/>
            <w:tcBorders>
              <w:right w:val="single" w:sz="8" w:color="70AD47"/>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Borders>
              <w:bottom w:val="single" w:sz="8" w:color="70AD47"/>
            </w:tcBorders>
            <w:vMerge w:val="continue"/>
          </w:tcPr>
          <w:p>
            <w:pPr>
              <w:spacing w:after="0"/>
              <w:rPr>
                <w:sz w:val="12"/>
                <w:szCs w:val="12"/>
                <w:color w:val="auto"/>
              </w:rPr>
            </w:pPr>
          </w:p>
        </w:tc>
        <w:tc>
          <w:tcPr>
            <w:tcW w:w="720" w:type="dxa"/>
            <w:vAlign w:val="bottom"/>
            <w:tcBorders>
              <w:bottom w:val="single" w:sz="8" w:color="70AD47"/>
              <w:right w:val="single" w:sz="8" w:color="70AD47"/>
            </w:tcBorders>
          </w:tcPr>
          <w:p>
            <w:pPr>
              <w:spacing w:after="0"/>
              <w:rPr>
                <w:sz w:val="12"/>
                <w:szCs w:val="12"/>
                <w:color w:val="auto"/>
              </w:rPr>
            </w:pPr>
          </w:p>
        </w:tc>
        <w:tc>
          <w:tcPr>
            <w:tcW w:w="90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€232,304</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686,714</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(5,525)</w:t>
            </w:r>
          </w:p>
        </w:tc>
        <w:tc>
          <w:tcPr>
            <w:tcW w:w="92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(424,827)</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4,762</w:t>
            </w: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64</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493,492</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493,492</w:t>
            </w:r>
          </w:p>
        </w:tc>
        <w:tc>
          <w:tcPr>
            <w:tcW w:w="0" w:type="dxa"/>
            <w:vAlign w:val="bottom"/>
          </w:tcPr>
          <w:p>
            <w:pPr>
              <w:spacing w:after="0"/>
              <w:rPr>
                <w:sz w:val="1"/>
                <w:szCs w:val="1"/>
                <w:color w:val="auto"/>
              </w:rPr>
            </w:pPr>
          </w:p>
        </w:tc>
      </w:tr>
      <w:tr>
        <w:trPr>
          <w:trHeight w:val="291"/>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Loss for the period</w:t>
            </w:r>
          </w:p>
        </w:tc>
        <w:tc>
          <w:tcPr>
            <w:tcW w:w="720" w:type="dxa"/>
            <w:vAlign w:val="bottom"/>
            <w:tcBorders>
              <w:right w:val="single" w:sz="8" w:color="70AD47"/>
            </w:tcBorders>
          </w:tcPr>
          <w:p>
            <w:pPr>
              <w:spacing w:after="0"/>
              <w:rPr>
                <w:sz w:val="24"/>
                <w:szCs w:val="24"/>
                <w:color w:val="auto"/>
              </w:rPr>
            </w:pPr>
          </w:p>
        </w:tc>
        <w:tc>
          <w:tcPr>
            <w:tcW w:w="90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(351,714)</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(351,714)</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(351,714)</w:t>
            </w:r>
          </w:p>
        </w:tc>
        <w:tc>
          <w:tcPr>
            <w:tcW w:w="0" w:type="dxa"/>
            <w:vAlign w:val="bottom"/>
          </w:tcPr>
          <w:p>
            <w:pPr>
              <w:spacing w:after="0"/>
              <w:rPr>
                <w:sz w:val="1"/>
                <w:szCs w:val="1"/>
                <w:color w:val="auto"/>
              </w:rPr>
            </w:pPr>
          </w:p>
        </w:tc>
      </w:tr>
      <w:tr>
        <w:trPr>
          <w:trHeight w:val="148"/>
        </w:trPr>
        <w:tc>
          <w:tcPr>
            <w:tcW w:w="22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720" w:type="dxa"/>
            <w:vAlign w:val="bottom"/>
            <w:tcBorders>
              <w:bottom w:val="single" w:sz="8" w:color="70AD47"/>
              <w:right w:val="single" w:sz="8" w:color="70AD47"/>
            </w:tcBorders>
          </w:tcPr>
          <w:p>
            <w:pPr>
              <w:spacing w:after="0"/>
              <w:rPr>
                <w:sz w:val="12"/>
                <w:szCs w:val="12"/>
                <w:color w:val="auto"/>
              </w:rPr>
            </w:pPr>
          </w:p>
        </w:tc>
        <w:tc>
          <w:tcPr>
            <w:tcW w:w="90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(7,166)</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(7,166)</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(7,166)</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70AD47"/>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720" w:type="dxa"/>
            <w:vAlign w:val="bottom"/>
            <w:tcBorders>
              <w:bottom w:val="single" w:sz="8" w:color="70AD47"/>
              <w:right w:val="single" w:sz="8" w:color="70AD47"/>
            </w:tcBorders>
          </w:tcPr>
          <w:p>
            <w:pPr>
              <w:spacing w:after="0"/>
              <w:rPr>
                <w:sz w:val="12"/>
                <w:szCs w:val="12"/>
                <w:color w:val="auto"/>
              </w:rPr>
            </w:pPr>
          </w:p>
        </w:tc>
        <w:tc>
          <w:tcPr>
            <w:tcW w:w="900" w:type="dxa"/>
            <w:vAlign w:val="bottom"/>
            <w:tcBorders>
              <w:bottom w:val="single" w:sz="8" w:color="70AD47"/>
            </w:tcBorders>
            <w:shd w:val="clear" w:color="auto" w:fill="C6E0B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70AD47"/>
            </w:tcBorders>
            <w:shd w:val="clear" w:color="auto" w:fill="C6E0B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70AD47"/>
            </w:tcBorders>
            <w:shd w:val="clear" w:color="auto" w:fill="C6E0B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70AD47"/>
            </w:tcBorders>
            <w:shd w:val="clear" w:color="auto" w:fill="C6E0B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(351,714)</w:t>
            </w:r>
          </w:p>
        </w:tc>
        <w:tc>
          <w:tcPr>
            <w:tcW w:w="940" w:type="dxa"/>
            <w:vAlign w:val="bottom"/>
            <w:tcBorders>
              <w:bottom w:val="single" w:sz="8" w:color="70AD47"/>
            </w:tcBorders>
            <w:shd w:val="clear" w:color="auto" w:fill="C6E0B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70AD47"/>
              <w:right w:val="single" w:sz="8" w:color="70AD47"/>
            </w:tcBorders>
            <w:shd w:val="clear" w:color="auto" w:fill="C6E0B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(7,166)</w:t>
            </w:r>
          </w:p>
        </w:tc>
        <w:tc>
          <w:tcPr>
            <w:tcW w:w="920" w:type="dxa"/>
            <w:vAlign w:val="bottom"/>
            <w:tcBorders>
              <w:bottom w:val="single" w:sz="8" w:color="70AD47"/>
              <w:right w:val="single" w:sz="8" w:color="70AD47"/>
            </w:tcBorders>
            <w:shd w:val="clear" w:color="auto" w:fill="C6E0B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(358,880)</w:t>
            </w:r>
          </w:p>
        </w:tc>
        <w:tc>
          <w:tcPr>
            <w:tcW w:w="920" w:type="dxa"/>
            <w:vAlign w:val="bottom"/>
            <w:tcBorders>
              <w:bottom w:val="single" w:sz="8" w:color="70AD47"/>
              <w:right w:val="single" w:sz="8" w:color="70AD47"/>
            </w:tcBorders>
            <w:shd w:val="clear" w:color="auto" w:fill="C6E0B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70AD47"/>
              <w:right w:val="single" w:sz="8" w:color="70AD47"/>
            </w:tcBorders>
            <w:shd w:val="clear" w:color="auto" w:fill="C6E0B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(358,880)</w:t>
            </w:r>
          </w:p>
        </w:tc>
        <w:tc>
          <w:tcPr>
            <w:tcW w:w="0" w:type="dxa"/>
            <w:vAlign w:val="bottom"/>
          </w:tcPr>
          <w:p>
            <w:pPr>
              <w:spacing w:after="0"/>
              <w:rPr>
                <w:sz w:val="1"/>
                <w:szCs w:val="1"/>
                <w:color w:val="auto"/>
              </w:rPr>
            </w:pPr>
          </w:p>
        </w:tc>
      </w:tr>
      <w:tr>
        <w:trPr>
          <w:trHeight w:val="291"/>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share capital</w:t>
            </w:r>
          </w:p>
        </w:tc>
        <w:tc>
          <w:tcPr>
            <w:tcW w:w="7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90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14,006</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785,150</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799,156</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799,156</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Transaction costs</w:t>
            </w:r>
          </w:p>
        </w:tc>
        <w:tc>
          <w:tcPr>
            <w:tcW w:w="7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90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(30,233)</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(30,233)</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(30,233)</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Share-based payments</w:t>
            </w:r>
          </w:p>
        </w:tc>
        <w:tc>
          <w:tcPr>
            <w:tcW w:w="7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3"/>
                <w:szCs w:val="13"/>
                <w:color w:val="auto"/>
                <w:w w:val="91"/>
              </w:rPr>
              <w:t>13</w:t>
            </w:r>
          </w:p>
        </w:tc>
        <w:tc>
          <w:tcPr>
            <w:tcW w:w="90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24,148</w:t>
            </w:r>
          </w:p>
        </w:tc>
        <w:tc>
          <w:tcPr>
            <w:tcW w:w="9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24,148</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3"/>
                <w:szCs w:val="13"/>
                <w:b w:val="1"/>
                <w:bCs w:val="1"/>
                <w:color w:val="auto"/>
              </w:rPr>
              <w:t>24,148</w:t>
            </w:r>
          </w:p>
        </w:tc>
        <w:tc>
          <w:tcPr>
            <w:tcW w:w="0" w:type="dxa"/>
            <w:vAlign w:val="bottom"/>
          </w:tcPr>
          <w:p>
            <w:pPr>
              <w:spacing w:after="0"/>
              <w:rPr>
                <w:sz w:val="1"/>
                <w:szCs w:val="1"/>
                <w:color w:val="auto"/>
              </w:rPr>
            </w:pPr>
          </w:p>
        </w:tc>
      </w:tr>
      <w:tr>
        <w:trPr>
          <w:trHeight w:val="131"/>
        </w:trPr>
        <w:tc>
          <w:tcPr>
            <w:tcW w:w="2200" w:type="dxa"/>
            <w:vAlign w:val="bottom"/>
            <w:tcBorders>
              <w:bottom w:val="single" w:sz="8" w:color="70AD47"/>
            </w:tcBorders>
          </w:tcPr>
          <w:p>
            <w:pPr>
              <w:spacing w:after="0"/>
              <w:rPr>
                <w:sz w:val="11"/>
                <w:szCs w:val="11"/>
                <w:color w:val="auto"/>
              </w:rPr>
            </w:pPr>
          </w:p>
        </w:tc>
        <w:tc>
          <w:tcPr>
            <w:tcW w:w="720" w:type="dxa"/>
            <w:vAlign w:val="bottom"/>
            <w:tcBorders>
              <w:bottom w:val="single" w:sz="8" w:color="70AD47"/>
              <w:right w:val="single" w:sz="8" w:color="70AD47"/>
            </w:tcBorders>
          </w:tcPr>
          <w:p>
            <w:pPr>
              <w:spacing w:after="0"/>
              <w:rPr>
                <w:sz w:val="11"/>
                <w:szCs w:val="11"/>
                <w:color w:val="auto"/>
              </w:rPr>
            </w:pPr>
          </w:p>
        </w:tc>
        <w:tc>
          <w:tcPr>
            <w:tcW w:w="900" w:type="dxa"/>
            <w:vAlign w:val="bottom"/>
            <w:tcBorders>
              <w:bottom w:val="single" w:sz="8" w:color="70AD47"/>
            </w:tcBorders>
            <w:shd w:val="clear" w:color="auto" w:fill="C6E0B4"/>
          </w:tcPr>
          <w:p>
            <w:pPr>
              <w:spacing w:after="0"/>
              <w:rPr>
                <w:sz w:val="11"/>
                <w:szCs w:val="11"/>
                <w:color w:val="auto"/>
              </w:rPr>
            </w:pPr>
          </w:p>
        </w:tc>
        <w:tc>
          <w:tcPr>
            <w:tcW w:w="940" w:type="dxa"/>
            <w:vAlign w:val="bottom"/>
            <w:tcBorders>
              <w:bottom w:val="single" w:sz="8" w:color="70AD47"/>
            </w:tcBorders>
            <w:shd w:val="clear" w:color="auto" w:fill="C6E0B4"/>
          </w:tcPr>
          <w:p>
            <w:pPr>
              <w:spacing w:after="0"/>
              <w:rPr>
                <w:sz w:val="11"/>
                <w:szCs w:val="11"/>
                <w:color w:val="auto"/>
              </w:rPr>
            </w:pPr>
          </w:p>
        </w:tc>
        <w:tc>
          <w:tcPr>
            <w:tcW w:w="940" w:type="dxa"/>
            <w:vAlign w:val="bottom"/>
            <w:tcBorders>
              <w:bottom w:val="single" w:sz="8" w:color="70AD47"/>
            </w:tcBorders>
            <w:shd w:val="clear" w:color="auto" w:fill="C6E0B4"/>
          </w:tcPr>
          <w:p>
            <w:pPr>
              <w:spacing w:after="0"/>
              <w:rPr>
                <w:sz w:val="11"/>
                <w:szCs w:val="11"/>
                <w:color w:val="auto"/>
              </w:rPr>
            </w:pPr>
          </w:p>
        </w:tc>
        <w:tc>
          <w:tcPr>
            <w:tcW w:w="920" w:type="dxa"/>
            <w:vAlign w:val="bottom"/>
            <w:tcBorders>
              <w:bottom w:val="single" w:sz="8" w:color="70AD47"/>
            </w:tcBorders>
            <w:shd w:val="clear" w:color="auto" w:fill="C6E0B4"/>
          </w:tcPr>
          <w:p>
            <w:pPr>
              <w:spacing w:after="0"/>
              <w:rPr>
                <w:sz w:val="11"/>
                <w:szCs w:val="11"/>
                <w:color w:val="auto"/>
              </w:rPr>
            </w:pPr>
          </w:p>
        </w:tc>
        <w:tc>
          <w:tcPr>
            <w:tcW w:w="940" w:type="dxa"/>
            <w:vAlign w:val="bottom"/>
            <w:tcBorders>
              <w:bottom w:val="single" w:sz="8" w:color="70AD47"/>
            </w:tcBorders>
            <w:shd w:val="clear" w:color="auto" w:fill="C6E0B4"/>
          </w:tcPr>
          <w:p>
            <w:pPr>
              <w:spacing w:after="0"/>
              <w:rPr>
                <w:sz w:val="11"/>
                <w:szCs w:val="11"/>
                <w:color w:val="auto"/>
              </w:rPr>
            </w:pPr>
          </w:p>
        </w:tc>
        <w:tc>
          <w:tcPr>
            <w:tcW w:w="940" w:type="dxa"/>
            <w:vAlign w:val="bottom"/>
            <w:tcBorders>
              <w:bottom w:val="single" w:sz="8" w:color="70AD47"/>
              <w:right w:val="single" w:sz="8" w:color="70AD47"/>
            </w:tcBorders>
            <w:shd w:val="clear" w:color="auto" w:fill="C6E0B4"/>
          </w:tcPr>
          <w:p>
            <w:pPr>
              <w:spacing w:after="0"/>
              <w:rPr>
                <w:sz w:val="11"/>
                <w:szCs w:val="11"/>
                <w:color w:val="auto"/>
              </w:rPr>
            </w:pPr>
          </w:p>
        </w:tc>
        <w:tc>
          <w:tcPr>
            <w:tcW w:w="920" w:type="dxa"/>
            <w:vAlign w:val="bottom"/>
            <w:tcBorders>
              <w:bottom w:val="single" w:sz="8" w:color="70AD47"/>
              <w:right w:val="single" w:sz="8" w:color="70AD47"/>
            </w:tcBorders>
            <w:shd w:val="clear" w:color="auto" w:fill="C6E0B4"/>
          </w:tcPr>
          <w:p>
            <w:pPr>
              <w:spacing w:after="0"/>
              <w:rPr>
                <w:sz w:val="11"/>
                <w:szCs w:val="11"/>
                <w:color w:val="auto"/>
              </w:rPr>
            </w:pPr>
          </w:p>
        </w:tc>
        <w:tc>
          <w:tcPr>
            <w:tcW w:w="920" w:type="dxa"/>
            <w:vAlign w:val="bottom"/>
            <w:tcBorders>
              <w:bottom w:val="single" w:sz="8" w:color="70AD47"/>
              <w:right w:val="single" w:sz="8" w:color="70AD47"/>
            </w:tcBorders>
            <w:shd w:val="clear" w:color="auto" w:fill="C6E0B4"/>
          </w:tcPr>
          <w:p>
            <w:pPr>
              <w:spacing w:after="0"/>
              <w:rPr>
                <w:sz w:val="11"/>
                <w:szCs w:val="11"/>
                <w:color w:val="auto"/>
              </w:rPr>
            </w:pPr>
          </w:p>
        </w:tc>
        <w:tc>
          <w:tcPr>
            <w:tcW w:w="920" w:type="dxa"/>
            <w:vAlign w:val="bottom"/>
            <w:tcBorders>
              <w:bottom w:val="single" w:sz="8" w:color="70AD47"/>
              <w:right w:val="single" w:sz="8" w:color="70AD47"/>
            </w:tcBorders>
            <w:shd w:val="clear" w:color="auto" w:fill="C6E0B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As of September 30, 2020</w:t>
            </w:r>
          </w:p>
        </w:tc>
        <w:tc>
          <w:tcPr>
            <w:tcW w:w="720" w:type="dxa"/>
            <w:vAlign w:val="bottom"/>
            <w:tcBorders>
              <w:right w:val="single" w:sz="8" w:color="70AD47"/>
            </w:tcBorders>
          </w:tcPr>
          <w:p>
            <w:pPr>
              <w:spacing w:after="0"/>
              <w:rPr>
                <w:sz w:val="11"/>
                <w:szCs w:val="11"/>
                <w:color w:val="auto"/>
              </w:rPr>
            </w:pPr>
          </w:p>
        </w:tc>
        <w:tc>
          <w:tcPr>
            <w:tcW w:w="900" w:type="dxa"/>
            <w:vAlign w:val="bottom"/>
            <w:shd w:val="clear" w:color="auto" w:fill="C6E0B4"/>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€246,310</w:t>
            </w:r>
          </w:p>
        </w:tc>
        <w:tc>
          <w:tcPr>
            <w:tcW w:w="940" w:type="dxa"/>
            <w:vAlign w:val="bottom"/>
            <w:shd w:val="clear" w:color="auto" w:fill="C6E0B4"/>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1,441,631</w:t>
            </w:r>
          </w:p>
        </w:tc>
        <w:tc>
          <w:tcPr>
            <w:tcW w:w="940" w:type="dxa"/>
            <w:vAlign w:val="bottom"/>
            <w:shd w:val="clear" w:color="auto" w:fill="C6E0B4"/>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(5,525)</w:t>
            </w:r>
          </w:p>
        </w:tc>
        <w:tc>
          <w:tcPr>
            <w:tcW w:w="920" w:type="dxa"/>
            <w:vAlign w:val="bottom"/>
            <w:shd w:val="clear" w:color="auto" w:fill="C6E0B4"/>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(776,541)</w:t>
            </w:r>
          </w:p>
        </w:tc>
        <w:tc>
          <w:tcPr>
            <w:tcW w:w="940" w:type="dxa"/>
            <w:vAlign w:val="bottom"/>
            <w:shd w:val="clear" w:color="auto" w:fill="C6E0B4"/>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28,910</w:t>
            </w:r>
          </w:p>
        </w:tc>
        <w:tc>
          <w:tcPr>
            <w:tcW w:w="940" w:type="dxa"/>
            <w:vAlign w:val="bottom"/>
            <w:tcBorders>
              <w:right w:val="single" w:sz="8" w:color="70AD47"/>
            </w:tcBorders>
            <w:shd w:val="clear" w:color="auto" w:fill="C6E0B4"/>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(7,102)</w:t>
            </w:r>
          </w:p>
        </w:tc>
        <w:tc>
          <w:tcPr>
            <w:tcW w:w="920" w:type="dxa"/>
            <w:vAlign w:val="bottom"/>
            <w:tcBorders>
              <w:right w:val="single" w:sz="8" w:color="70AD47"/>
            </w:tcBorders>
            <w:shd w:val="clear" w:color="auto" w:fill="C6E0B4"/>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927,683</w:t>
            </w:r>
          </w:p>
        </w:tc>
        <w:tc>
          <w:tcPr>
            <w:tcW w:w="920" w:type="dxa"/>
            <w:vAlign w:val="bottom"/>
            <w:tcBorders>
              <w:right w:val="single" w:sz="8" w:color="70AD47"/>
            </w:tcBorders>
            <w:shd w:val="clear" w:color="auto" w:fill="C6E0B4"/>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right w:val="single" w:sz="8" w:color="70AD47"/>
            </w:tcBorders>
            <w:shd w:val="clear" w:color="auto" w:fill="C6E0B4"/>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927,683</w:t>
            </w:r>
          </w:p>
        </w:tc>
        <w:tc>
          <w:tcPr>
            <w:tcW w:w="0" w:type="dxa"/>
            <w:vAlign w:val="bottom"/>
          </w:tcPr>
          <w:p>
            <w:pPr>
              <w:spacing w:after="0"/>
              <w:rPr>
                <w:sz w:val="1"/>
                <w:szCs w:val="1"/>
                <w:color w:val="auto"/>
              </w:rPr>
            </w:pPr>
          </w:p>
        </w:tc>
      </w:tr>
      <w:tr>
        <w:trPr>
          <w:trHeight w:val="155"/>
        </w:trPr>
        <w:tc>
          <w:tcPr>
            <w:tcW w:w="22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3"/>
                <w:szCs w:val="13"/>
                <w:i w:val="1"/>
                <w:iCs w:val="1"/>
                <w:color w:val="auto"/>
              </w:rPr>
              <w:t>(unaudited)</w:t>
            </w:r>
          </w:p>
        </w:tc>
        <w:tc>
          <w:tcPr>
            <w:tcW w:w="720" w:type="dxa"/>
            <w:vAlign w:val="bottom"/>
            <w:tcBorders>
              <w:bottom w:val="single" w:sz="8" w:color="70AD47"/>
              <w:right w:val="single" w:sz="8" w:color="70AD47"/>
            </w:tcBorders>
          </w:tcPr>
          <w:p>
            <w:pPr>
              <w:spacing w:after="0"/>
              <w:rPr>
                <w:sz w:val="13"/>
                <w:szCs w:val="13"/>
                <w:color w:val="auto"/>
              </w:rPr>
            </w:pPr>
          </w:p>
        </w:tc>
        <w:tc>
          <w:tcPr>
            <w:tcW w:w="900" w:type="dxa"/>
            <w:vAlign w:val="bottom"/>
            <w:tcBorders>
              <w:bottom w:val="single" w:sz="8" w:color="70AD47"/>
            </w:tcBorders>
            <w:shd w:val="clear" w:color="auto" w:fill="C6E0B4"/>
          </w:tcPr>
          <w:p>
            <w:pPr>
              <w:spacing w:after="0"/>
              <w:rPr>
                <w:sz w:val="13"/>
                <w:szCs w:val="13"/>
                <w:color w:val="auto"/>
              </w:rPr>
            </w:pPr>
          </w:p>
        </w:tc>
        <w:tc>
          <w:tcPr>
            <w:tcW w:w="940" w:type="dxa"/>
            <w:vAlign w:val="bottom"/>
            <w:tcBorders>
              <w:bottom w:val="single" w:sz="8" w:color="70AD47"/>
            </w:tcBorders>
            <w:shd w:val="clear" w:color="auto" w:fill="C6E0B4"/>
          </w:tcPr>
          <w:p>
            <w:pPr>
              <w:spacing w:after="0"/>
              <w:rPr>
                <w:sz w:val="13"/>
                <w:szCs w:val="13"/>
                <w:color w:val="auto"/>
              </w:rPr>
            </w:pPr>
          </w:p>
        </w:tc>
        <w:tc>
          <w:tcPr>
            <w:tcW w:w="940" w:type="dxa"/>
            <w:vAlign w:val="bottom"/>
            <w:tcBorders>
              <w:bottom w:val="single" w:sz="8" w:color="70AD47"/>
            </w:tcBorders>
            <w:shd w:val="clear" w:color="auto" w:fill="C6E0B4"/>
          </w:tcPr>
          <w:p>
            <w:pPr>
              <w:spacing w:after="0"/>
              <w:rPr>
                <w:sz w:val="13"/>
                <w:szCs w:val="13"/>
                <w:color w:val="auto"/>
              </w:rPr>
            </w:pPr>
          </w:p>
        </w:tc>
        <w:tc>
          <w:tcPr>
            <w:tcW w:w="920" w:type="dxa"/>
            <w:vAlign w:val="bottom"/>
            <w:tcBorders>
              <w:bottom w:val="single" w:sz="8" w:color="70AD47"/>
            </w:tcBorders>
            <w:shd w:val="clear" w:color="auto" w:fill="C6E0B4"/>
          </w:tcPr>
          <w:p>
            <w:pPr>
              <w:spacing w:after="0"/>
              <w:rPr>
                <w:sz w:val="13"/>
                <w:szCs w:val="13"/>
                <w:color w:val="auto"/>
              </w:rPr>
            </w:pPr>
          </w:p>
        </w:tc>
        <w:tc>
          <w:tcPr>
            <w:tcW w:w="940" w:type="dxa"/>
            <w:vAlign w:val="bottom"/>
            <w:tcBorders>
              <w:bottom w:val="single" w:sz="8" w:color="70AD47"/>
            </w:tcBorders>
            <w:shd w:val="clear" w:color="auto" w:fill="C6E0B4"/>
          </w:tcPr>
          <w:p>
            <w:pPr>
              <w:spacing w:after="0"/>
              <w:rPr>
                <w:sz w:val="13"/>
                <w:szCs w:val="13"/>
                <w:color w:val="auto"/>
              </w:rPr>
            </w:pPr>
          </w:p>
        </w:tc>
        <w:tc>
          <w:tcPr>
            <w:tcW w:w="940" w:type="dxa"/>
            <w:vAlign w:val="bottom"/>
            <w:tcBorders>
              <w:bottom w:val="single" w:sz="8" w:color="70AD47"/>
              <w:right w:val="single" w:sz="8" w:color="70AD47"/>
            </w:tcBorders>
            <w:shd w:val="clear" w:color="auto" w:fill="C6E0B4"/>
          </w:tcPr>
          <w:p>
            <w:pPr>
              <w:spacing w:after="0"/>
              <w:rPr>
                <w:sz w:val="13"/>
                <w:szCs w:val="13"/>
                <w:color w:val="auto"/>
              </w:rPr>
            </w:pPr>
          </w:p>
        </w:tc>
        <w:tc>
          <w:tcPr>
            <w:tcW w:w="920" w:type="dxa"/>
            <w:vAlign w:val="bottom"/>
            <w:tcBorders>
              <w:bottom w:val="single" w:sz="8" w:color="70AD47"/>
              <w:right w:val="single" w:sz="8" w:color="70AD47"/>
            </w:tcBorders>
            <w:shd w:val="clear" w:color="auto" w:fill="C6E0B4"/>
          </w:tcPr>
          <w:p>
            <w:pPr>
              <w:spacing w:after="0"/>
              <w:rPr>
                <w:sz w:val="13"/>
                <w:szCs w:val="13"/>
                <w:color w:val="auto"/>
              </w:rPr>
            </w:pPr>
          </w:p>
        </w:tc>
        <w:tc>
          <w:tcPr>
            <w:tcW w:w="920" w:type="dxa"/>
            <w:vAlign w:val="bottom"/>
            <w:tcBorders>
              <w:bottom w:val="single" w:sz="8" w:color="70AD47"/>
              <w:right w:val="single" w:sz="8" w:color="70AD47"/>
            </w:tcBorders>
            <w:shd w:val="clear" w:color="auto" w:fill="C6E0B4"/>
          </w:tcPr>
          <w:p>
            <w:pPr>
              <w:spacing w:after="0"/>
              <w:rPr>
                <w:sz w:val="13"/>
                <w:szCs w:val="13"/>
                <w:color w:val="auto"/>
              </w:rPr>
            </w:pPr>
          </w:p>
        </w:tc>
        <w:tc>
          <w:tcPr>
            <w:tcW w:w="920" w:type="dxa"/>
            <w:vAlign w:val="bottom"/>
            <w:tcBorders>
              <w:bottom w:val="single" w:sz="8" w:color="70AD47"/>
              <w:right w:val="single" w:sz="8" w:color="70AD47"/>
            </w:tcBorders>
            <w:shd w:val="clear" w:color="auto" w:fill="C6E0B4"/>
          </w:tcPr>
          <w:p>
            <w:pPr>
              <w:spacing w:after="0"/>
              <w:rPr>
                <w:sz w:val="13"/>
                <w:szCs w:val="13"/>
                <w:color w:val="auto"/>
              </w:rPr>
            </w:pPr>
          </w:p>
        </w:tc>
        <w:tc>
          <w:tcPr>
            <w:tcW w:w="0" w:type="dxa"/>
            <w:vAlign w:val="bottom"/>
          </w:tcPr>
          <w:p>
            <w:pPr>
              <w:spacing w:after="0"/>
              <w:rPr>
                <w:sz w:val="1"/>
                <w:szCs w:val="1"/>
                <w:color w:val="auto"/>
              </w:rPr>
            </w:pPr>
          </w:p>
        </w:tc>
      </w:tr>
      <w:tr>
        <w:trPr>
          <w:trHeight w:val="459"/>
        </w:trPr>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Nine months ended September 30, 2019</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Borders>
              <w:bottom w:val="single" w:sz="8" w:color="70AD47"/>
            </w:tcBorders>
          </w:tcPr>
          <w:p>
            <w:pPr>
              <w:spacing w:after="0"/>
              <w:rPr>
                <w:sz w:val="13"/>
                <w:szCs w:val="13"/>
                <w:color w:val="auto"/>
              </w:rPr>
            </w:pPr>
          </w:p>
        </w:tc>
        <w:tc>
          <w:tcPr>
            <w:tcW w:w="3740" w:type="dxa"/>
            <w:vAlign w:val="bottom"/>
            <w:tcBorders>
              <w:bottom w:val="single" w:sz="8" w:color="70AD47"/>
            </w:tcBorders>
            <w:gridSpan w:val="4"/>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Attributable to the equity holders of the parent</w:t>
            </w:r>
          </w:p>
        </w:tc>
        <w:tc>
          <w:tcPr>
            <w:tcW w:w="94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720" w:type="dxa"/>
            <w:vAlign w:val="bottom"/>
            <w:tcBorders>
              <w:right w:val="single" w:sz="8" w:color="70AD47"/>
            </w:tcBorders>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Borders>
              <w:right w:val="single" w:sz="8" w:color="70AD47"/>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920" w:type="dxa"/>
            <w:vAlign w:val="bottom"/>
            <w:tcBorders>
              <w:right w:val="single" w:sz="8" w:color="70AD47"/>
            </w:tcBorders>
          </w:tcPr>
          <w:p>
            <w:pPr>
              <w:spacing w:after="0"/>
              <w:rPr>
                <w:sz w:val="10"/>
                <w:szCs w:val="10"/>
                <w:color w:val="auto"/>
              </w:rPr>
            </w:pPr>
          </w:p>
        </w:tc>
        <w:tc>
          <w:tcPr>
            <w:tcW w:w="920" w:type="dxa"/>
            <w:vAlign w:val="bottom"/>
            <w:tcBorders>
              <w:right w:val="single" w:sz="8" w:color="70AD47"/>
            </w:tcBorders>
          </w:tcPr>
          <w:p>
            <w:pPr>
              <w:spacing w:after="0"/>
              <w:rPr>
                <w:sz w:val="10"/>
                <w:szCs w:val="10"/>
                <w:color w:val="auto"/>
              </w:rPr>
            </w:pPr>
          </w:p>
        </w:tc>
        <w:tc>
          <w:tcPr>
            <w:tcW w:w="920" w:type="dxa"/>
            <w:vAlign w:val="bottom"/>
            <w:tcBorders>
              <w:right w:val="single" w:sz="8" w:color="70AD47"/>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720" w:type="dxa"/>
            <w:vAlign w:val="bottom"/>
            <w:tcBorders>
              <w:right w:val="single" w:sz="8" w:color="70AD47"/>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 shares</w:t>
            </w: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940" w:type="dxa"/>
            <w:vAlign w:val="bottom"/>
            <w:tcBorders>
              <w:right w:val="single" w:sz="8" w:color="70AD47"/>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currency</w:t>
            </w:r>
          </w:p>
        </w:tc>
        <w:tc>
          <w:tcPr>
            <w:tcW w:w="920" w:type="dxa"/>
            <w:vAlign w:val="bottom"/>
            <w:tcBorders>
              <w:right w:val="single" w:sz="8" w:color="70AD47"/>
            </w:tcBorders>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tcBorders>
              <w:right w:val="single" w:sz="8" w:color="70AD47"/>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920" w:type="dxa"/>
            <w:vAlign w:val="bottom"/>
            <w:tcBorders>
              <w:right w:val="single" w:sz="8" w:color="70AD47"/>
            </w:tcBorders>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99"/>
        </w:trPr>
        <w:tc>
          <w:tcPr>
            <w:tcW w:w="2200" w:type="dxa"/>
            <w:vAlign w:val="bottom"/>
            <w:vMerge w:val="continue"/>
          </w:tcPr>
          <w:p>
            <w:pPr>
              <w:spacing w:after="0"/>
              <w:rPr>
                <w:sz w:val="8"/>
                <w:szCs w:val="8"/>
                <w:color w:val="auto"/>
              </w:rPr>
            </w:pPr>
          </w:p>
        </w:tc>
        <w:tc>
          <w:tcPr>
            <w:tcW w:w="720" w:type="dxa"/>
            <w:vAlign w:val="bottom"/>
            <w:tcBorders>
              <w:right w:val="single" w:sz="8" w:color="70AD47"/>
            </w:tcBorders>
            <w:vMerge w:val="continue"/>
          </w:tcPr>
          <w:p>
            <w:pPr>
              <w:spacing w:after="0"/>
              <w:rPr>
                <w:sz w:val="8"/>
                <w:szCs w:val="8"/>
                <w:color w:val="auto"/>
              </w:rPr>
            </w:pPr>
          </w:p>
        </w:tc>
        <w:tc>
          <w:tcPr>
            <w:tcW w:w="9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 *</w:t>
            </w:r>
          </w:p>
        </w:tc>
        <w:tc>
          <w:tcPr>
            <w:tcW w:w="9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reserve *</w:t>
            </w:r>
          </w:p>
        </w:tc>
        <w:tc>
          <w:tcPr>
            <w:tcW w:w="9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vMerge w:val="restart"/>
          </w:tcPr>
          <w:p>
            <w:pPr>
              <w:ind w:left="300"/>
              <w:spacing w:after="0" w:line="135" w:lineRule="exact"/>
              <w:rPr>
                <w:sz w:val="20"/>
                <w:szCs w:val="20"/>
                <w:color w:val="auto"/>
              </w:rPr>
            </w:pPr>
            <w:r>
              <w:rPr>
                <w:rFonts w:ascii="Times New Roman" w:cs="Times New Roman" w:eastAsia="Times New Roman" w:hAnsi="Times New Roman"/>
                <w:sz w:val="13"/>
                <w:szCs w:val="13"/>
                <w:b w:val="1"/>
                <w:bCs w:val="1"/>
                <w:color w:val="auto"/>
              </w:rPr>
              <w:t>losses</w:t>
            </w:r>
          </w:p>
        </w:tc>
        <w:tc>
          <w:tcPr>
            <w:tcW w:w="9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reserves</w:t>
            </w:r>
          </w:p>
        </w:tc>
        <w:tc>
          <w:tcPr>
            <w:tcW w:w="940" w:type="dxa"/>
            <w:vAlign w:val="bottom"/>
            <w:tcBorders>
              <w:right w:val="single" w:sz="8" w:color="70AD47"/>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920" w:type="dxa"/>
            <w:vAlign w:val="bottom"/>
            <w:tcBorders>
              <w:right w:val="single" w:sz="8" w:color="70AD47"/>
            </w:tcBorders>
            <w:vMerge w:val="continue"/>
          </w:tcPr>
          <w:p>
            <w:pPr>
              <w:spacing w:after="0"/>
              <w:rPr>
                <w:sz w:val="8"/>
                <w:szCs w:val="8"/>
                <w:color w:val="auto"/>
              </w:rPr>
            </w:pPr>
          </w:p>
        </w:tc>
        <w:tc>
          <w:tcPr>
            <w:tcW w:w="920" w:type="dxa"/>
            <w:vAlign w:val="bottom"/>
            <w:tcBorders>
              <w:right w:val="single" w:sz="8" w:color="70AD47"/>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interest</w:t>
            </w:r>
          </w:p>
        </w:tc>
        <w:tc>
          <w:tcPr>
            <w:tcW w:w="920" w:type="dxa"/>
            <w:vAlign w:val="bottom"/>
            <w:tcBorders>
              <w:right w:val="single" w:sz="8" w:color="70AD4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720" w:type="dxa"/>
            <w:vAlign w:val="bottom"/>
            <w:tcBorders>
              <w:right w:val="single" w:sz="8" w:color="70AD47"/>
            </w:tcBorders>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40" w:type="dxa"/>
            <w:vAlign w:val="bottom"/>
            <w:tcBorders>
              <w:right w:val="single" w:sz="8" w:color="70AD47"/>
            </w:tcBorders>
            <w:vMerge w:val="continue"/>
          </w:tcPr>
          <w:p>
            <w:pPr>
              <w:spacing w:after="0"/>
              <w:rPr>
                <w:sz w:val="3"/>
                <w:szCs w:val="3"/>
                <w:color w:val="auto"/>
              </w:rPr>
            </w:pPr>
          </w:p>
        </w:tc>
        <w:tc>
          <w:tcPr>
            <w:tcW w:w="920" w:type="dxa"/>
            <w:vAlign w:val="bottom"/>
            <w:tcBorders>
              <w:right w:val="single" w:sz="8" w:color="70AD47"/>
            </w:tcBorders>
          </w:tcPr>
          <w:p>
            <w:pPr>
              <w:spacing w:after="0"/>
              <w:rPr>
                <w:sz w:val="3"/>
                <w:szCs w:val="3"/>
                <w:color w:val="auto"/>
              </w:rPr>
            </w:pPr>
          </w:p>
        </w:tc>
        <w:tc>
          <w:tcPr>
            <w:tcW w:w="920" w:type="dxa"/>
            <w:vAlign w:val="bottom"/>
            <w:tcBorders>
              <w:right w:val="single" w:sz="8" w:color="70AD47"/>
            </w:tcBorders>
            <w:vMerge w:val="continue"/>
          </w:tcPr>
          <w:p>
            <w:pPr>
              <w:spacing w:after="0"/>
              <w:rPr>
                <w:sz w:val="3"/>
                <w:szCs w:val="3"/>
                <w:color w:val="auto"/>
              </w:rPr>
            </w:pPr>
          </w:p>
        </w:tc>
        <w:tc>
          <w:tcPr>
            <w:tcW w:w="920" w:type="dxa"/>
            <w:vAlign w:val="bottom"/>
            <w:tcBorders>
              <w:right w:val="single" w:sz="8" w:color="70AD47"/>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200" w:type="dxa"/>
            <w:vAlign w:val="bottom"/>
            <w:tcBorders>
              <w:bottom w:val="single" w:sz="8" w:color="70AD47"/>
            </w:tcBorders>
          </w:tcPr>
          <w:p>
            <w:pPr>
              <w:spacing w:after="0"/>
              <w:rPr>
                <w:sz w:val="13"/>
                <w:szCs w:val="13"/>
                <w:color w:val="auto"/>
              </w:rPr>
            </w:pPr>
          </w:p>
        </w:tc>
        <w:tc>
          <w:tcPr>
            <w:tcW w:w="720" w:type="dxa"/>
            <w:vAlign w:val="bottom"/>
            <w:tcBorders>
              <w:bottom w:val="single" w:sz="8" w:color="70AD47"/>
              <w:right w:val="single" w:sz="8" w:color="70AD47"/>
            </w:tcBorders>
          </w:tcPr>
          <w:p>
            <w:pPr>
              <w:spacing w:after="0"/>
              <w:rPr>
                <w:sz w:val="13"/>
                <w:szCs w:val="13"/>
                <w:color w:val="auto"/>
              </w:rPr>
            </w:pPr>
          </w:p>
        </w:tc>
        <w:tc>
          <w:tcPr>
            <w:tcW w:w="90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reserve</w:t>
            </w:r>
          </w:p>
        </w:tc>
        <w:tc>
          <w:tcPr>
            <w:tcW w:w="920" w:type="dxa"/>
            <w:vAlign w:val="bottom"/>
            <w:tcBorders>
              <w:bottom w:val="single" w:sz="8" w:color="70AD47"/>
              <w:right w:val="single" w:sz="8" w:color="70AD47"/>
            </w:tcBorders>
          </w:tcPr>
          <w:p>
            <w:pPr>
              <w:spacing w:after="0"/>
              <w:rPr>
                <w:sz w:val="13"/>
                <w:szCs w:val="13"/>
                <w:color w:val="auto"/>
              </w:rPr>
            </w:pPr>
          </w:p>
        </w:tc>
        <w:tc>
          <w:tcPr>
            <w:tcW w:w="920" w:type="dxa"/>
            <w:vAlign w:val="bottom"/>
            <w:tcBorders>
              <w:bottom w:val="single" w:sz="8" w:color="70AD47"/>
              <w:right w:val="single" w:sz="8" w:color="70AD47"/>
            </w:tcBorders>
          </w:tcPr>
          <w:p>
            <w:pPr>
              <w:spacing w:after="0"/>
              <w:rPr>
                <w:sz w:val="13"/>
                <w:szCs w:val="13"/>
                <w:color w:val="auto"/>
              </w:rPr>
            </w:pPr>
          </w:p>
        </w:tc>
        <w:tc>
          <w:tcPr>
            <w:tcW w:w="920" w:type="dxa"/>
            <w:vAlign w:val="bottom"/>
            <w:tcBorders>
              <w:bottom w:val="single" w:sz="8" w:color="70AD47"/>
              <w:right w:val="single" w:sz="8" w:color="70AD47"/>
            </w:tcBorders>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2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3"/>
                <w:szCs w:val="13"/>
                <w:b w:val="1"/>
                <w:bCs w:val="1"/>
                <w:color w:val="auto"/>
              </w:rPr>
              <w:t>As of January 1, 2019</w:t>
            </w:r>
          </w:p>
        </w:tc>
        <w:tc>
          <w:tcPr>
            <w:tcW w:w="720" w:type="dxa"/>
            <w:vAlign w:val="bottom"/>
            <w:tcBorders>
              <w:bottom w:val="single" w:sz="8" w:color="70AD47"/>
              <w:right w:val="single" w:sz="8" w:color="70AD47"/>
            </w:tcBorders>
          </w:tcPr>
          <w:p>
            <w:pPr>
              <w:spacing w:after="0"/>
              <w:rPr>
                <w:sz w:val="24"/>
                <w:szCs w:val="24"/>
                <w:color w:val="auto"/>
              </w:rPr>
            </w:pPr>
          </w:p>
        </w:tc>
        <w:tc>
          <w:tcPr>
            <w:tcW w:w="90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€193,296</w:t>
            </w:r>
          </w:p>
        </w:tc>
        <w:tc>
          <w:tcPr>
            <w:tcW w:w="9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344,115</w:t>
            </w:r>
          </w:p>
        </w:tc>
        <w:tc>
          <w:tcPr>
            <w:tcW w:w="9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(245,771)</w:t>
            </w:r>
          </w:p>
        </w:tc>
        <w:tc>
          <w:tcPr>
            <w:tcW w:w="9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(25,474)</w:t>
            </w:r>
          </w:p>
        </w:tc>
        <w:tc>
          <w:tcPr>
            <w:tcW w:w="9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9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266,153</w:t>
            </w:r>
          </w:p>
        </w:tc>
        <w:tc>
          <w:tcPr>
            <w:tcW w:w="9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847</w:t>
            </w:r>
          </w:p>
        </w:tc>
        <w:tc>
          <w:tcPr>
            <w:tcW w:w="9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267,000</w:t>
            </w:r>
          </w:p>
        </w:tc>
        <w:tc>
          <w:tcPr>
            <w:tcW w:w="0" w:type="dxa"/>
            <w:vAlign w:val="bottom"/>
          </w:tcPr>
          <w:p>
            <w:pPr>
              <w:spacing w:after="0"/>
              <w:rPr>
                <w:sz w:val="1"/>
                <w:szCs w:val="1"/>
                <w:color w:val="auto"/>
              </w:rPr>
            </w:pPr>
          </w:p>
        </w:tc>
      </w:tr>
      <w:tr>
        <w:trPr>
          <w:trHeight w:val="284"/>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Loss for the period</w:t>
            </w:r>
          </w:p>
        </w:tc>
        <w:tc>
          <w:tcPr>
            <w:tcW w:w="720" w:type="dxa"/>
            <w:vAlign w:val="bottom"/>
            <w:tcBorders>
              <w:right w:val="single" w:sz="8" w:color="70AD47"/>
            </w:tcBorders>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(120,833)</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(120,833)</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(120,949)</w:t>
            </w:r>
          </w:p>
        </w:tc>
        <w:tc>
          <w:tcPr>
            <w:tcW w:w="0" w:type="dxa"/>
            <w:vAlign w:val="bottom"/>
          </w:tcPr>
          <w:p>
            <w:pPr>
              <w:spacing w:after="0"/>
              <w:rPr>
                <w:sz w:val="1"/>
                <w:szCs w:val="1"/>
                <w:color w:val="auto"/>
              </w:rPr>
            </w:pPr>
          </w:p>
        </w:tc>
      </w:tr>
      <w:tr>
        <w:trPr>
          <w:trHeight w:val="155"/>
        </w:trPr>
        <w:tc>
          <w:tcPr>
            <w:tcW w:w="22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20" w:type="dxa"/>
            <w:vAlign w:val="bottom"/>
            <w:tcBorders>
              <w:bottom w:val="single" w:sz="8" w:color="70AD47"/>
              <w:right w:val="single" w:sz="8" w:color="70AD47"/>
            </w:tcBorders>
          </w:tcPr>
          <w:p>
            <w:pPr>
              <w:spacing w:after="0"/>
              <w:rPr>
                <w:sz w:val="13"/>
                <w:szCs w:val="13"/>
                <w:color w:val="auto"/>
              </w:rPr>
            </w:pPr>
          </w:p>
        </w:tc>
        <w:tc>
          <w:tcPr>
            <w:tcW w:w="90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9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9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70AD47"/>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comprehensive income / (loss)</w:t>
            </w:r>
          </w:p>
        </w:tc>
        <w:tc>
          <w:tcPr>
            <w:tcW w:w="720" w:type="dxa"/>
            <w:vAlign w:val="bottom"/>
            <w:tcBorders>
              <w:bottom w:val="single" w:sz="8" w:color="70AD47"/>
              <w:right w:val="single" w:sz="8" w:color="70AD47"/>
            </w:tcBorders>
          </w:tcPr>
          <w:p>
            <w:pPr>
              <w:spacing w:after="0"/>
              <w:rPr>
                <w:sz w:val="12"/>
                <w:szCs w:val="12"/>
                <w:color w:val="auto"/>
              </w:rPr>
            </w:pPr>
          </w:p>
        </w:tc>
        <w:tc>
          <w:tcPr>
            <w:tcW w:w="900" w:type="dxa"/>
            <w:vAlign w:val="bottom"/>
            <w:tcBorders>
              <w:bottom w:val="single" w:sz="8" w:color="70AD47"/>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70AD47"/>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70AD47"/>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70AD47"/>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(120,833)</w:t>
            </w:r>
          </w:p>
        </w:tc>
        <w:tc>
          <w:tcPr>
            <w:tcW w:w="940" w:type="dxa"/>
            <w:vAlign w:val="bottom"/>
            <w:tcBorders>
              <w:bottom w:val="single" w:sz="8" w:color="70AD47"/>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70AD47"/>
              <w:right w:val="single" w:sz="8" w:color="70AD47"/>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w:t>
            </w:r>
          </w:p>
        </w:tc>
        <w:tc>
          <w:tcPr>
            <w:tcW w:w="920" w:type="dxa"/>
            <w:vAlign w:val="bottom"/>
            <w:tcBorders>
              <w:bottom w:val="single" w:sz="8" w:color="70AD47"/>
              <w:right w:val="single" w:sz="8" w:color="70AD47"/>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(120,835)</w:t>
            </w:r>
          </w:p>
        </w:tc>
        <w:tc>
          <w:tcPr>
            <w:tcW w:w="920" w:type="dxa"/>
            <w:vAlign w:val="bottom"/>
            <w:tcBorders>
              <w:bottom w:val="single" w:sz="8" w:color="70AD47"/>
              <w:right w:val="single" w:sz="8" w:color="70AD47"/>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(116)</w:t>
            </w:r>
          </w:p>
        </w:tc>
        <w:tc>
          <w:tcPr>
            <w:tcW w:w="920" w:type="dxa"/>
            <w:vAlign w:val="bottom"/>
            <w:tcBorders>
              <w:bottom w:val="single" w:sz="8" w:color="70AD47"/>
              <w:right w:val="single" w:sz="8" w:color="70AD47"/>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(120,951)</w:t>
            </w:r>
          </w:p>
        </w:tc>
        <w:tc>
          <w:tcPr>
            <w:tcW w:w="0" w:type="dxa"/>
            <w:vAlign w:val="bottom"/>
          </w:tcPr>
          <w:p>
            <w:pPr>
              <w:spacing w:after="0"/>
              <w:rPr>
                <w:sz w:val="1"/>
                <w:szCs w:val="1"/>
                <w:color w:val="auto"/>
              </w:rPr>
            </w:pPr>
          </w:p>
        </w:tc>
      </w:tr>
      <w:tr>
        <w:trPr>
          <w:trHeight w:val="284"/>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share capital</w:t>
            </w:r>
          </w:p>
        </w:tc>
        <w:tc>
          <w:tcPr>
            <w:tcW w:w="7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8,126</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41,748</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49,874</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49,874</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Capital increase Series B</w:t>
            </w:r>
          </w:p>
        </w:tc>
        <w:tc>
          <w:tcPr>
            <w:tcW w:w="7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17,990</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186,390</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(5,525)</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198,855</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198,855</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non-controlling interest</w:t>
            </w:r>
          </w:p>
        </w:tc>
        <w:tc>
          <w:tcPr>
            <w:tcW w:w="7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731</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Transaction costs</w:t>
            </w:r>
          </w:p>
        </w:tc>
        <w:tc>
          <w:tcPr>
            <w:tcW w:w="7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(858)</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(858)</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Share based payments</w:t>
            </w:r>
          </w:p>
        </w:tc>
        <w:tc>
          <w:tcPr>
            <w:tcW w:w="720" w:type="dxa"/>
            <w:vAlign w:val="bottom"/>
            <w:tcBorders>
              <w:right w:val="single" w:sz="8" w:color="70AD47"/>
            </w:tcBorders>
          </w:tcPr>
          <w:p>
            <w:pPr>
              <w:jc w:val="center"/>
              <w:spacing w:after="0"/>
              <w:rPr>
                <w:sz w:val="20"/>
                <w:szCs w:val="20"/>
                <w:color w:val="auto"/>
              </w:rPr>
            </w:pPr>
            <w:r>
              <w:rPr>
                <w:rFonts w:ascii="Times New Roman" w:cs="Times New Roman" w:eastAsia="Times New Roman" w:hAnsi="Times New Roman"/>
                <w:sz w:val="13"/>
                <w:szCs w:val="13"/>
                <w:color w:val="auto"/>
                <w:w w:val="91"/>
              </w:rPr>
              <w:t>13</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22,485</w:t>
            </w:r>
          </w:p>
        </w:tc>
        <w:tc>
          <w:tcPr>
            <w:tcW w:w="9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22,485</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22,485</w:t>
            </w:r>
          </w:p>
        </w:tc>
        <w:tc>
          <w:tcPr>
            <w:tcW w:w="0" w:type="dxa"/>
            <w:vAlign w:val="bottom"/>
          </w:tcPr>
          <w:p>
            <w:pPr>
              <w:spacing w:after="0"/>
              <w:rPr>
                <w:sz w:val="1"/>
                <w:szCs w:val="1"/>
                <w:color w:val="auto"/>
              </w:rPr>
            </w:pPr>
          </w:p>
        </w:tc>
      </w:tr>
      <w:tr>
        <w:trPr>
          <w:trHeight w:val="138"/>
        </w:trPr>
        <w:tc>
          <w:tcPr>
            <w:tcW w:w="2200" w:type="dxa"/>
            <w:vAlign w:val="bottom"/>
            <w:tcBorders>
              <w:bottom w:val="single" w:sz="8" w:color="70AD47"/>
            </w:tcBorders>
          </w:tcPr>
          <w:p>
            <w:pPr>
              <w:spacing w:after="0"/>
              <w:rPr>
                <w:sz w:val="11"/>
                <w:szCs w:val="11"/>
                <w:color w:val="auto"/>
              </w:rPr>
            </w:pPr>
          </w:p>
        </w:tc>
        <w:tc>
          <w:tcPr>
            <w:tcW w:w="720" w:type="dxa"/>
            <w:vAlign w:val="bottom"/>
            <w:tcBorders>
              <w:bottom w:val="single" w:sz="8" w:color="70AD47"/>
              <w:right w:val="single" w:sz="8" w:color="70AD47"/>
            </w:tcBorders>
          </w:tcPr>
          <w:p>
            <w:pPr>
              <w:spacing w:after="0"/>
              <w:rPr>
                <w:sz w:val="11"/>
                <w:szCs w:val="11"/>
                <w:color w:val="auto"/>
              </w:rPr>
            </w:pPr>
          </w:p>
        </w:tc>
        <w:tc>
          <w:tcPr>
            <w:tcW w:w="900" w:type="dxa"/>
            <w:vAlign w:val="bottom"/>
            <w:tcBorders>
              <w:bottom w:val="single" w:sz="8" w:color="70AD47"/>
            </w:tcBorders>
          </w:tcPr>
          <w:p>
            <w:pPr>
              <w:spacing w:after="0"/>
              <w:rPr>
                <w:sz w:val="11"/>
                <w:szCs w:val="11"/>
                <w:color w:val="auto"/>
              </w:rPr>
            </w:pPr>
          </w:p>
        </w:tc>
        <w:tc>
          <w:tcPr>
            <w:tcW w:w="940" w:type="dxa"/>
            <w:vAlign w:val="bottom"/>
            <w:tcBorders>
              <w:bottom w:val="single" w:sz="8" w:color="70AD47"/>
            </w:tcBorders>
          </w:tcPr>
          <w:p>
            <w:pPr>
              <w:spacing w:after="0"/>
              <w:rPr>
                <w:sz w:val="11"/>
                <w:szCs w:val="11"/>
                <w:color w:val="auto"/>
              </w:rPr>
            </w:pPr>
          </w:p>
        </w:tc>
        <w:tc>
          <w:tcPr>
            <w:tcW w:w="940" w:type="dxa"/>
            <w:vAlign w:val="bottom"/>
            <w:tcBorders>
              <w:bottom w:val="single" w:sz="8" w:color="70AD47"/>
            </w:tcBorders>
          </w:tcPr>
          <w:p>
            <w:pPr>
              <w:spacing w:after="0"/>
              <w:rPr>
                <w:sz w:val="11"/>
                <w:szCs w:val="11"/>
                <w:color w:val="auto"/>
              </w:rPr>
            </w:pPr>
          </w:p>
        </w:tc>
        <w:tc>
          <w:tcPr>
            <w:tcW w:w="920" w:type="dxa"/>
            <w:vAlign w:val="bottom"/>
            <w:tcBorders>
              <w:bottom w:val="single" w:sz="8" w:color="70AD47"/>
            </w:tcBorders>
          </w:tcPr>
          <w:p>
            <w:pPr>
              <w:spacing w:after="0"/>
              <w:rPr>
                <w:sz w:val="11"/>
                <w:szCs w:val="11"/>
                <w:color w:val="auto"/>
              </w:rPr>
            </w:pPr>
          </w:p>
        </w:tc>
        <w:tc>
          <w:tcPr>
            <w:tcW w:w="940" w:type="dxa"/>
            <w:vAlign w:val="bottom"/>
            <w:tcBorders>
              <w:bottom w:val="single" w:sz="8" w:color="70AD47"/>
            </w:tcBorders>
          </w:tcPr>
          <w:p>
            <w:pPr>
              <w:spacing w:after="0"/>
              <w:rPr>
                <w:sz w:val="11"/>
                <w:szCs w:val="11"/>
                <w:color w:val="auto"/>
              </w:rPr>
            </w:pPr>
          </w:p>
        </w:tc>
        <w:tc>
          <w:tcPr>
            <w:tcW w:w="940" w:type="dxa"/>
            <w:vAlign w:val="bottom"/>
            <w:tcBorders>
              <w:bottom w:val="single" w:sz="8" w:color="70AD47"/>
              <w:right w:val="single" w:sz="8" w:color="70AD47"/>
            </w:tcBorders>
          </w:tcPr>
          <w:p>
            <w:pPr>
              <w:spacing w:after="0"/>
              <w:rPr>
                <w:sz w:val="11"/>
                <w:szCs w:val="11"/>
                <w:color w:val="auto"/>
              </w:rPr>
            </w:pPr>
          </w:p>
        </w:tc>
        <w:tc>
          <w:tcPr>
            <w:tcW w:w="920" w:type="dxa"/>
            <w:vAlign w:val="bottom"/>
            <w:tcBorders>
              <w:bottom w:val="single" w:sz="8" w:color="70AD47"/>
              <w:right w:val="single" w:sz="8" w:color="70AD47"/>
            </w:tcBorders>
          </w:tcPr>
          <w:p>
            <w:pPr>
              <w:spacing w:after="0"/>
              <w:rPr>
                <w:sz w:val="11"/>
                <w:szCs w:val="11"/>
                <w:color w:val="auto"/>
              </w:rPr>
            </w:pPr>
          </w:p>
        </w:tc>
        <w:tc>
          <w:tcPr>
            <w:tcW w:w="920" w:type="dxa"/>
            <w:vAlign w:val="bottom"/>
            <w:tcBorders>
              <w:bottom w:val="single" w:sz="8" w:color="70AD47"/>
              <w:right w:val="single" w:sz="8" w:color="70AD47"/>
            </w:tcBorders>
          </w:tcPr>
          <w:p>
            <w:pPr>
              <w:spacing w:after="0"/>
              <w:rPr>
                <w:sz w:val="11"/>
                <w:szCs w:val="11"/>
                <w:color w:val="auto"/>
              </w:rPr>
            </w:pPr>
          </w:p>
        </w:tc>
        <w:tc>
          <w:tcPr>
            <w:tcW w:w="920" w:type="dxa"/>
            <w:vAlign w:val="bottom"/>
            <w:tcBorders>
              <w:bottom w:val="single" w:sz="8" w:color="70AD47"/>
              <w:right w:val="single" w:sz="8" w:color="70AD47"/>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As of September 30, 2019</w:t>
            </w:r>
          </w:p>
        </w:tc>
        <w:tc>
          <w:tcPr>
            <w:tcW w:w="720" w:type="dxa"/>
            <w:vAlign w:val="bottom"/>
            <w:tcBorders>
              <w:right w:val="single" w:sz="8" w:color="70AD47"/>
            </w:tcBorders>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€221,787</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569,751</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(5,525)</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(366,604)</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(2,989)</w:t>
            </w:r>
          </w:p>
        </w:tc>
        <w:tc>
          <w:tcPr>
            <w:tcW w:w="940" w:type="dxa"/>
            <w:vAlign w:val="bottom"/>
            <w:tcBorders>
              <w:right w:val="single" w:sz="8" w:color="70AD47"/>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(15)</w:t>
            </w:r>
          </w:p>
        </w:tc>
        <w:tc>
          <w:tcPr>
            <w:tcW w:w="920" w:type="dxa"/>
            <w:vAlign w:val="bottom"/>
            <w:tcBorders>
              <w:right w:val="single" w:sz="8" w:color="70AD47"/>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416,405</w:t>
            </w:r>
          </w:p>
        </w:tc>
        <w:tc>
          <w:tcPr>
            <w:tcW w:w="920" w:type="dxa"/>
            <w:vAlign w:val="bottom"/>
            <w:tcBorders>
              <w:right w:val="single" w:sz="8" w:color="70AD47"/>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right w:val="single" w:sz="8" w:color="70AD47"/>
            </w:tcBorders>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416,405</w:t>
            </w:r>
          </w:p>
        </w:tc>
        <w:tc>
          <w:tcPr>
            <w:tcW w:w="0" w:type="dxa"/>
            <w:vAlign w:val="bottom"/>
          </w:tcPr>
          <w:p>
            <w:pPr>
              <w:spacing w:after="0"/>
              <w:rPr>
                <w:sz w:val="1"/>
                <w:szCs w:val="1"/>
                <w:color w:val="auto"/>
              </w:rPr>
            </w:pPr>
          </w:p>
        </w:tc>
      </w:tr>
      <w:tr>
        <w:trPr>
          <w:trHeight w:val="155"/>
        </w:trPr>
        <w:tc>
          <w:tcPr>
            <w:tcW w:w="22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3"/>
                <w:szCs w:val="13"/>
                <w:i w:val="1"/>
                <w:iCs w:val="1"/>
                <w:color w:val="auto"/>
              </w:rPr>
              <w:t>(unaudited)</w:t>
            </w:r>
          </w:p>
        </w:tc>
        <w:tc>
          <w:tcPr>
            <w:tcW w:w="720" w:type="dxa"/>
            <w:vAlign w:val="bottom"/>
            <w:tcBorders>
              <w:bottom w:val="single" w:sz="8" w:color="70AD47"/>
              <w:right w:val="single" w:sz="8" w:color="70AD47"/>
            </w:tcBorders>
          </w:tcPr>
          <w:p>
            <w:pPr>
              <w:spacing w:after="0"/>
              <w:rPr>
                <w:sz w:val="13"/>
                <w:szCs w:val="13"/>
                <w:color w:val="auto"/>
              </w:rPr>
            </w:pPr>
          </w:p>
        </w:tc>
        <w:tc>
          <w:tcPr>
            <w:tcW w:w="90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2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tcBorders>
          </w:tcPr>
          <w:p>
            <w:pPr>
              <w:spacing w:after="0"/>
              <w:rPr>
                <w:sz w:val="13"/>
                <w:szCs w:val="13"/>
                <w:color w:val="auto"/>
              </w:rPr>
            </w:pPr>
          </w:p>
        </w:tc>
        <w:tc>
          <w:tcPr>
            <w:tcW w:w="940" w:type="dxa"/>
            <w:vAlign w:val="bottom"/>
            <w:tcBorders>
              <w:bottom w:val="single" w:sz="8" w:color="70AD47"/>
              <w:right w:val="single" w:sz="8" w:color="70AD47"/>
            </w:tcBorders>
          </w:tcPr>
          <w:p>
            <w:pPr>
              <w:spacing w:after="0"/>
              <w:rPr>
                <w:sz w:val="13"/>
                <w:szCs w:val="13"/>
                <w:color w:val="auto"/>
              </w:rPr>
            </w:pPr>
          </w:p>
        </w:tc>
        <w:tc>
          <w:tcPr>
            <w:tcW w:w="920" w:type="dxa"/>
            <w:vAlign w:val="bottom"/>
            <w:tcBorders>
              <w:bottom w:val="single" w:sz="8" w:color="70AD47"/>
              <w:right w:val="single" w:sz="8" w:color="70AD47"/>
            </w:tcBorders>
          </w:tcPr>
          <w:p>
            <w:pPr>
              <w:spacing w:after="0"/>
              <w:rPr>
                <w:sz w:val="13"/>
                <w:szCs w:val="13"/>
                <w:color w:val="auto"/>
              </w:rPr>
            </w:pPr>
          </w:p>
        </w:tc>
        <w:tc>
          <w:tcPr>
            <w:tcW w:w="920" w:type="dxa"/>
            <w:vAlign w:val="bottom"/>
            <w:tcBorders>
              <w:bottom w:val="single" w:sz="8" w:color="70AD47"/>
              <w:right w:val="single" w:sz="8" w:color="70AD47"/>
            </w:tcBorders>
          </w:tcPr>
          <w:p>
            <w:pPr>
              <w:spacing w:after="0"/>
              <w:rPr>
                <w:sz w:val="13"/>
                <w:szCs w:val="13"/>
                <w:color w:val="auto"/>
              </w:rPr>
            </w:pPr>
          </w:p>
        </w:tc>
        <w:tc>
          <w:tcPr>
            <w:tcW w:w="920" w:type="dxa"/>
            <w:vAlign w:val="bottom"/>
            <w:tcBorders>
              <w:bottom w:val="single" w:sz="8" w:color="70AD47"/>
              <w:right w:val="single" w:sz="8" w:color="70AD47"/>
            </w:tcBorders>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 Numbers as of January 1, 2019 have been adjusted to reflect capital increase due to 1:18 share split which occurred on September 18, 2019.</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Interim Condensed Consolidated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230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20" w:type="dxa"/>
            <w:vAlign w:val="bottom"/>
          </w:tcPr>
          <w:p>
            <w:pPr>
              <w:spacing w:after="0"/>
              <w:rPr>
                <w:sz w:val="20"/>
                <w:szCs w:val="20"/>
                <w:color w:val="auto"/>
              </w:rPr>
            </w:pPr>
          </w:p>
        </w:tc>
        <w:tc>
          <w:tcPr>
            <w:tcW w:w="23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1"/>
                <w:szCs w:val="21"/>
                <w:color w:val="auto"/>
              </w:rPr>
            </w:pP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00" w:type="dxa"/>
            <w:vAlign w:val="bottom"/>
            <w:tcBorders>
              <w:bottom w:val="single" w:sz="8" w:color="70AD47"/>
            </w:tcBorders>
            <w:gridSpan w:val="2"/>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820" w:type="dxa"/>
            <w:vAlign w:val="bottom"/>
            <w:tcBorders>
              <w:bottom w:val="single" w:sz="8" w:color="70AD47"/>
            </w:tcBorders>
          </w:tcPr>
          <w:p>
            <w:pPr>
              <w:spacing w:after="0"/>
              <w:rPr>
                <w:sz w:val="20"/>
                <w:szCs w:val="20"/>
                <w:color w:val="auto"/>
              </w:rPr>
            </w:pP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580" w:type="dxa"/>
            <w:vAlign w:val="bottom"/>
            <w:tcBorders>
              <w:right w:val="single" w:sz="8" w:color="70AD47"/>
            </w:tcBorders>
            <w:shd w:val="clear" w:color="auto" w:fill="C6E0B4"/>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€(351,714)</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€(120,949)</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720" w:type="dxa"/>
            <w:vAlign w:val="bottom"/>
            <w:tcBorders>
              <w:bottom w:val="single" w:sz="8" w:color="70AD47"/>
            </w:tcBorders>
          </w:tcPr>
          <w:p>
            <w:pPr>
              <w:spacing w:after="0"/>
              <w:rPr>
                <w:sz w:val="21"/>
                <w:szCs w:val="21"/>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70AD47"/>
            </w:tcBorders>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€(351,421)</w:t>
            </w:r>
          </w:p>
        </w:tc>
        <w:tc>
          <w:tcPr>
            <w:tcW w:w="72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€(120,921)</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Adjustments to reconcile loss before tax to net cash flows:</w:t>
            </w:r>
          </w:p>
        </w:tc>
        <w:tc>
          <w:tcPr>
            <w:tcW w:w="1580" w:type="dxa"/>
            <w:vAlign w:val="bottom"/>
            <w:tcBorders>
              <w:right w:val="single" w:sz="8" w:color="70AD47"/>
            </w:tcBorders>
            <w:shd w:val="clear" w:color="auto" w:fill="C6E0B4"/>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 of property, plant, equipment and intangible assets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26,202</w:t>
            </w:r>
          </w:p>
        </w:tc>
        <w:tc>
          <w:tcPr>
            <w:tcW w:w="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24,087</w:t>
            </w:r>
          </w:p>
        </w:tc>
        <w:tc>
          <w:tcPr>
            <w:tcW w:w="20" w:type="dxa"/>
            <w:vAlign w:val="bottom"/>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22,485</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Net foreign exchange differences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Finance income</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Finance expense</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Movements in government grants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Other non-cash income</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1580" w:type="dxa"/>
            <w:vAlign w:val="bottom"/>
            <w:tcBorders>
              <w:right w:val="single" w:sz="8" w:color="70AD47"/>
            </w:tcBorders>
            <w:shd w:val="clear" w:color="auto" w:fill="C6E0B4"/>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Decrease/(Increase) in trade receivable and contract assets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(54,881)</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Decrease/(Increase) in inventories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ind w:left="500"/>
              <w:spacing w:after="0"/>
              <w:rPr>
                <w:sz w:val="20"/>
                <w:szCs w:val="20"/>
                <w:color w:val="auto"/>
              </w:rPr>
            </w:pPr>
            <w:r>
              <w:rPr>
                <w:rFonts w:ascii="Times New Roman" w:cs="Times New Roman" w:eastAsia="Times New Roman" w:hAnsi="Times New Roman"/>
                <w:sz w:val="18"/>
                <w:szCs w:val="18"/>
                <w:color w:val="auto"/>
              </w:rPr>
              <w:t>(Decrease)/Increase in trade payables, other liabilities, contract liabilities and provisions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95,058</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(60,003)</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Income tax received (paid), net</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720" w:type="dxa"/>
            <w:vAlign w:val="bottom"/>
            <w:tcBorders>
              <w:bottom w:val="single" w:sz="8" w:color="70AD47"/>
            </w:tcBorders>
          </w:tcPr>
          <w:p>
            <w:pPr>
              <w:spacing w:after="0"/>
              <w:rPr>
                <w:sz w:val="21"/>
                <w:szCs w:val="21"/>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70AD47"/>
            </w:tcBorders>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€(262,738)</w:t>
            </w:r>
          </w:p>
        </w:tc>
        <w:tc>
          <w:tcPr>
            <w:tcW w:w="72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€(134,910)</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580" w:type="dxa"/>
            <w:vAlign w:val="bottom"/>
            <w:tcBorders>
              <w:right w:val="single" w:sz="8" w:color="70AD47"/>
            </w:tcBorders>
            <w:shd w:val="clear" w:color="auto" w:fill="C6E0B4"/>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(40,664)</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(28,621)</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Purchase of intangibles assets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Acquisition of subsidiaries and businesses, net of cash acquired</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720" w:type="dxa"/>
            <w:vAlign w:val="bottom"/>
            <w:tcBorders>
              <w:bottom w:val="single" w:sz="8" w:color="70AD47"/>
            </w:tcBorders>
          </w:tcPr>
          <w:p>
            <w:pPr>
              <w:spacing w:after="0"/>
              <w:rPr>
                <w:sz w:val="21"/>
                <w:szCs w:val="21"/>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20" w:type="dxa"/>
            <w:vAlign w:val="bottom"/>
            <w:tcBorders>
              <w:bottom w:val="single" w:sz="8" w:color="70AD47"/>
            </w:tcBorders>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€(45,012)</w:t>
            </w:r>
          </w:p>
        </w:tc>
        <w:tc>
          <w:tcPr>
            <w:tcW w:w="72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€(67,046)</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580" w:type="dxa"/>
            <w:vAlign w:val="bottom"/>
            <w:tcBorders>
              <w:right w:val="single" w:sz="8" w:color="70AD47"/>
            </w:tcBorders>
            <w:shd w:val="clear" w:color="auto" w:fill="C6E0B4"/>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Proceeds from issuance of share capital, net of costs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680,122</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247,871</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Proceeds from loans and borrowings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102,397</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Payments related to lease liabilities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720" w:type="dxa"/>
            <w:vAlign w:val="bottom"/>
            <w:tcBorders>
              <w:bottom w:val="single" w:sz="8" w:color="70AD47"/>
            </w:tcBorders>
          </w:tcPr>
          <w:p>
            <w:pPr>
              <w:spacing w:after="0"/>
              <w:rPr>
                <w:sz w:val="21"/>
                <w:szCs w:val="21"/>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 w:type="dxa"/>
            <w:vAlign w:val="bottom"/>
            <w:tcBorders>
              <w:bottom w:val="single" w:sz="8" w:color="70AD47"/>
            </w:tcBorders>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from financing activities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€778,427</w:t>
            </w:r>
          </w:p>
        </w:tc>
        <w:tc>
          <w:tcPr>
            <w:tcW w:w="72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€253,723</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470,677</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51,767</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Change in cash resulting from exchange rate differences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7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519,149</w:t>
            </w:r>
          </w:p>
        </w:tc>
        <w:tc>
          <w:tcPr>
            <w:tcW w:w="720" w:type="dxa"/>
            <w:vAlign w:val="bottom"/>
            <w:tcBorders>
              <w:bottom w:val="single" w:sz="8" w:color="70AD47"/>
            </w:tcBorders>
          </w:tcPr>
          <w:p>
            <w:pPr>
              <w:spacing w:after="0"/>
              <w:rPr>
                <w:sz w:val="21"/>
                <w:szCs w:val="21"/>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411,495</w:t>
            </w:r>
          </w:p>
        </w:tc>
        <w:tc>
          <w:tcPr>
            <w:tcW w:w="20" w:type="dxa"/>
            <w:vAlign w:val="bottom"/>
            <w:tcBorders>
              <w:bottom w:val="single" w:sz="8" w:color="70AD47"/>
            </w:tcBorders>
            <w:shd w:val="clear" w:color="auto" w:fill="70AD47"/>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September 30</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€990,461</w:t>
            </w:r>
          </w:p>
        </w:tc>
        <w:tc>
          <w:tcPr>
            <w:tcW w:w="72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€463,308</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The accompanying notes form an integral part of these interim condensed consolidated</w:t>
            </w: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financial statements.</w:t>
            </w: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8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21"/>
        </w:trPr>
        <w:tc>
          <w:tcPr>
            <w:tcW w:w="8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Selected Explanatory Notes to the Interim Condensed Consolidated Financial Statements</w:t>
      </w:r>
    </w:p>
    <w:p>
      <w:pPr>
        <w:spacing w:after="0" w:line="226"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Corporate Information</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BioNTech SE is a limited company incorporated and domiciled in Germany. American Depositary Shares (“ADS”) representing BioNTech’s shares have been publicly traded on the Nasdaq Global Select Market since October 10, 2019. The registered office is located in Mainz, An der Goldgrube 12, 55131 Germany. The accompanying International Financial Reporting Standards, or IFRS, unaudited interim condensed consolidated financial statements present the financial position and the results of operation of BioNTech SE and its subsidiaries, hereinafter also referred to as “BioNTech” or the “Group” and have been prepared on a going concern basis in accordance with the IFRS as issued by the International Accounting Standards Board, or IASB.</w:t>
      </w:r>
    </w:p>
    <w:p>
      <w:pPr>
        <w:spacing w:after="0" w:line="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BioNTech combines decades of groundbreaking research in immunology, cutting-edge therapeutic platforms and a suite of patient profiling and bioinformatic tools to develop immunotherapies for cancer and other diseases. BioNTech leverages powerful new therapeutic mechanisms and exploits a diverse array of biological targets to harness the power of each patient’s immune system to address the unique molecular signature of each patient’s underlying disease. The breadth of BioNTech’s immunotherapy technologies and expertise has enabled the Group to develop therapies to address a range of rare and infectious diseases, and BioNTech has recently rapidly mobilized these with the aim of addressing the COVID-19 pandemic.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nine months ended September 30, 2020, the following changes to the Group structure occurred:</w:t>
      </w:r>
    </w:p>
    <w:p>
      <w:pPr>
        <w:spacing w:after="0" w:line="108" w:lineRule="exact"/>
        <w:rPr>
          <w:sz w:val="20"/>
          <w:szCs w:val="20"/>
          <w:color w:val="auto"/>
        </w:rPr>
      </w:pPr>
    </w:p>
    <w:p>
      <w:pPr>
        <w:jc w:val="both"/>
        <w:ind w:left="880" w:hanging="440"/>
        <w:spacing w:after="0" w:line="258" w:lineRule="auto"/>
        <w:tabs>
          <w:tab w:leader="none" w:pos="88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May 6, 2020 BioNTech SE acquired Neon Therapeutics, Inc., Cambridge, Massachusetts, United States (formerly Nasdaq: NTGN), or Neon. Under the merger agreement by and among BioNTech, Neon and BioNTech’s wholly-owned subsidiary, Endor Lights, Inc., New York, United States, Endor Lights, Inc. merged with and into Neon. The new subsidiary operates under the name BioNTech US Inc., a wholly-owned subsidiary of BioNTech SE, and serves as BioNTech’s headquarters in the United States.</w:t>
      </w:r>
    </w:p>
    <w:p>
      <w:pPr>
        <w:ind w:left="880" w:hanging="440"/>
        <w:spacing w:after="0" w:line="239" w:lineRule="auto"/>
        <w:tabs>
          <w:tab w:leader="none" w:pos="8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July 17, 2020, BioNTech IVAC GmbH was renamed to BioNTech Manufacturing GmbH and on August 7, 2020, BioNTech Small Molecules GmbH was renamed to BioNTech Europe GmbH.</w:t>
      </w:r>
    </w:p>
    <w:p>
      <w:pPr>
        <w:ind w:left="900" w:right="20" w:hanging="447"/>
        <w:spacing w:after="0" w:line="239" w:lineRule="auto"/>
        <w:tabs>
          <w:tab w:leader="none" w:pos="9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September 17, 2020, following the shareholder resolution, the liquidation process for BioNTech Austria Beteiligungen GmbH was initialized.</w:t>
      </w:r>
    </w:p>
    <w:p>
      <w:pPr>
        <w:jc w:val="both"/>
        <w:ind w:left="880" w:hanging="440"/>
        <w:spacing w:after="0" w:line="242" w:lineRule="auto"/>
        <w:tabs>
          <w:tab w:leader="none" w:pos="8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new real estate entities have been founded in Germany: BioNTech Real Estate An der Goldgrube GmbH &amp; Co. KG and BioNTech Real Estate Adam-Opel-Straße GmbH &amp; Co. KG, both Holzkirchen. Both are partnerships wholly-owned by its limited partner BioNTech Real Estate Holding GmbH, a wholly-owned subsidiary of BioNTech SE.</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These unaudited interim condensed consolidated financial statements of the Group as of and for the three and nine months ended September 30, 2020 were authorized for issuance in accordance with a resolution of the audit committee on November 10, 2020.</w:t>
      </w:r>
    </w:p>
    <w:p>
      <w:pPr>
        <w:spacing w:after="0" w:line="366" w:lineRule="exact"/>
        <w:rPr>
          <w:sz w:val="20"/>
          <w:szCs w:val="20"/>
          <w:color w:val="auto"/>
        </w:rPr>
      </w:pPr>
    </w:p>
    <w:p>
      <w:pPr>
        <w:ind w:left="720" w:hanging="712"/>
        <w:spacing w:after="0"/>
        <w:tabs>
          <w:tab w:leader="none" w:pos="720" w:val="left"/>
        </w:tabs>
        <w:numPr>
          <w:ilvl w:val="0"/>
          <w:numId w:val="4"/>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Basis of Preparation, Significant Accounting Policies and further Accounting Topics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Preparation and Principles of Consolidation</w:t>
      </w:r>
    </w:p>
    <w:p>
      <w:pPr>
        <w:spacing w:after="0" w:line="11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accompanying unaudited interim condensed consolidated financial statements as of and for the three and nine months ended September 30, 2020 have been prepared in accordance with IAS 34 Interim Financial Reporting.</w:t>
      </w:r>
    </w:p>
    <w:p>
      <w:pPr>
        <w:spacing w:after="0" w:line="168"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unaudited interim condensed consolidated financial statements do not include all the in-formation and disclosures required in the consolidated financial statements and should be read in conjunction with the Group’s consolidated financial statements and accompanying notes included in the Group’s Annual Report on Form 20-F as of and for the year ended December 31, 2019.</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BioNTech prepares and presents its unaudited interim condensed consolidated financial statements in Euros. Numbers have been rounded, may not add up precisely to the totals provided and percentages may not precisely reflect the absolute figures.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unaudited interim condensed consolidated financial statements as of and for the three and nine months ended September 30, 2020 include BioNTech SE and its subsidiaries. All intercompany transactions and balances have been eliminated in consolidation.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preparation of the unaudited interim condensed consolidated financial statements requires management to make judgments, estimates and assumptions that affect the reported amounts. Management continually evaluates its judgments and estimates in relation to assets, liabilities, which also includes the fair value measurement of derivatives, contingent liabilities, revenue and expenses. Management bases its judgments and estimates on historical experience and on other various factors it believes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Accounting Policies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accounting policies adopted in the preparation of the unaudited interim condensed consolidated financial statements are consistent with those followed in the preparation of the Group’s consolidated financial statements for the year ended December 31, 2019. Certain policies have been further specified as described below due to the activities related to and the progress made in the Covid-19 vaccine development.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Research and development expenses consist of costs incurred in performing research and development activities, including personnel-related expenses, contract services and costs for purchased materials, laboratory supplies and non-capital equipment used in the research and development process. Research and development expenses include BioNTech’s share of expenses under the terms of collaboration agreements and 100% of the expenses for wholly-owned product candidates. Research and development expenses shared under collaboration agreements which are initially incurred by the collaboration partners and subsequently charged to BioNTech are recorded as purchased services classified within research and development. Cost reimbursements from partners for research and development expenses initially incurred by BioNTech and due to BioNTech under the agreements, are recorded as a reduction to purchased services classified within research and development expenses. The value of goods and services received from contract research organizations and contract manufacturing organizations in the reporting period are estimated based on the level of services performed and progress made in the respective period. Amounts are recorded as accrued expenses in cases where BioNTech has not received an invoice from the service provider. Advance payments for goods or services that will be used or rendered for future research and development activities are recognized as other current assets or other current financial assets respectively. The amounts are currently expensed as the related goods are delivered or the services performed. Management’s estimates are based on the best information available at the time. However, additional information may become available in the future and management may adjust the estimate in such future periods. In this event, BioNTech may be required to record adjustments to research and development expenses in future periods when the actual level of activity becomes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3" w:name="page14"/>
    <w:bookmarkEnd w:id="13"/>
    <w:p>
      <w:pPr>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more certain. BioNTech considers resulting increases or decreases in cost as changes in estimates and reflects such changes in research and development expenses in the period identified.</w:t>
      </w:r>
    </w:p>
    <w:p>
      <w:pPr>
        <w:spacing w:after="0" w:line="5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Research costs are expensed as incurred. Development expenditures on an individual project are recognized as an intangible asset if, and only if, all of the following six criteria can be demonstrated by the Group:</w:t>
      </w:r>
    </w:p>
    <w:p>
      <w:pPr>
        <w:spacing w:after="0" w:line="51" w:lineRule="exact"/>
        <w:rPr>
          <w:sz w:val="20"/>
          <w:szCs w:val="20"/>
          <w:color w:val="auto"/>
        </w:rPr>
      </w:pPr>
    </w:p>
    <w:p>
      <w:pPr>
        <w:ind w:left="880" w:hanging="440"/>
        <w:spacing w:after="0"/>
        <w:tabs>
          <w:tab w:leader="none" w:pos="8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technical feasibility of completing the intangible asset so that the asset will be available for use or sale;</w:t>
      </w:r>
    </w:p>
    <w:p>
      <w:pPr>
        <w:spacing w:after="0" w:line="21"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intention to complete the project;</w:t>
      </w:r>
    </w:p>
    <w:p>
      <w:pPr>
        <w:ind w:left="880" w:hanging="440"/>
        <w:spacing w:after="0"/>
        <w:tabs>
          <w:tab w:leader="none" w:pos="8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and intention to use or sell the asset;</w:t>
      </w:r>
    </w:p>
    <w:p>
      <w:pPr>
        <w:ind w:left="880" w:hanging="440"/>
        <w:spacing w:after="0"/>
        <w:tabs>
          <w:tab w:leader="none" w:pos="8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how the asset will generate future economic benefits;</w:t>
      </w:r>
    </w:p>
    <w:p>
      <w:pPr>
        <w:ind w:left="880" w:hanging="440"/>
        <w:spacing w:after="0"/>
        <w:tabs>
          <w:tab w:leader="none" w:pos="8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resources to complete the asset; and</w:t>
      </w:r>
    </w:p>
    <w:p>
      <w:pPr>
        <w:ind w:left="880" w:hanging="440"/>
        <w:spacing w:after="0"/>
        <w:tabs>
          <w:tab w:leader="none" w:pos="8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reliably measure the expenditure during development.</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Due to the inherent risk of failure in drug development and the uncertainty of approval, management has determined that these criteria are not met in the Biotech business sector until regulatory approval has been obtained. Therefore, as the Group has not yet obtained regulatory approval for any of its programs, or product candidates, no development expenditures have been capitalized. The related expenditure is reflected in the statements of operations in the period in which the expenditure is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Pre-launch products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Prior to initial regulatory approval, costs relating to production of products are expensed as research and development expenses in the period incurred. If pre-launch products are sold, the respective product gross margin may be higher compared to the expected recurring margin as the underlying costs will not be included in cost of sales. For the three and nine months ended September 30, 2020 and 2019, no revenues have been recorded related to pre-launch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Government grants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Group has specified its accounting for government grant with respect to the presentation of grants related to assets. In September 2020, in connection with becoming eligible for funding from an initiative by the German Federal Ministry of Education (</w:t>
      </w:r>
      <w:r>
        <w:rPr>
          <w:rFonts w:ascii="Times New Roman" w:cs="Times New Roman" w:eastAsia="Times New Roman" w:hAnsi="Times New Roman"/>
          <w:sz w:val="20"/>
          <w:szCs w:val="20"/>
          <w:i w:val="1"/>
          <w:iCs w:val="1"/>
          <w:color w:val="auto"/>
        </w:rPr>
        <w:t>Bundesministerium für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Bildung und Forschung</w:t>
      </w:r>
      <w:r>
        <w:rPr>
          <w:rFonts w:ascii="Times New Roman" w:cs="Times New Roman" w:eastAsia="Times New Roman" w:hAnsi="Times New Roman"/>
          <w:sz w:val="20"/>
          <w:szCs w:val="20"/>
          <w:color w:val="auto"/>
        </w:rPr>
        <w:t>, or the BMBF), the Group elected to present grants received related to assets as deferred income within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statements of financial position. Income is subsequently recognized in profit or loss over the useful live of the underlying asset subject to funding.</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standards applied for the first time as of January 1, 2020, as disclosed in the notes to the consolidated financial statements as of December 31, 2019, had no impact on the unaudited interim condensed consolidated financial statements of the Group as of September 30, 2020. In the course of 2020 an amendment to IFRS 16 Leases with an effective date June 1, 2020 was issued by the International Accounting Standards Board addressing COVID-19-related rent concessions which does not have an impact on the interim condensed consolidated financial statements of the Group.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of COVID-19</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March 11, 2020, the World Health Organization declared the outbreak of COVID-19 as a pandemic, which continues to spread around the world.</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response, BioNTech’s BNT162 program is evaluating several vaccine candidates against COVID-19, including BNT162b2 as the lead candidate currently being developed in a global Phase 3 trial. As part of the program, BioNTech executed two strategic collaborations with large pharmaceutical companies to globally develop BioNTech’s vaccine candidates and to support a global supply of a vaccine upon approval. The collaboration with Pfizer Inc. (NYSE: PFE), or Pfizer, aims to rapidly advance multiple COVID-19 vaccine candidates based on BioNTech’s proprietary mRNA vaccine technology. As part of their strategic collaboration, BioNTech and Shanghai Fosun Pharmaceutical (Group) Co.,</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4" w:name="page15"/>
    <w:bookmarkEnd w:id="14"/>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Ltd (Stock Symbol: 600196.SH, 02196.HK), or Fosun Pharma, will jointly conduct clinical trials in China, leveraging BioNTech’s proprietary mRNA vaccine technology and Fosun Pharma’s clinical development and commercialization capabilities in China. Fosun Pharma will commercialize the vaccine in China upon regulatory approval.</w:t>
      </w:r>
    </w:p>
    <w:p>
      <w:pPr>
        <w:spacing w:after="0" w:line="174"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As BioNTech advances its clinical programs, it is in close contact with its principal investigators and clinical sites, which are located in jurisdictions affected by the COVID-19 pandemic, and is assessing the impact of the COVID-19 pandemic on its clinical trials, expected timelines and costs on an ongoing basis. BioNTech has modified its business practices, in response to the spread of COVID-19, including restricting employee travel, developing social distancing plans for employees and cancelling physical participation in meetings, events and conferences. In addition, for certain programs, including BNT111, BNT113, BNT122, BNT141 and BNT142 (RiboMabs), BNT151 and BNT152/153 (RiboCytokines), BNT221, BNT161 (Influenza) and BNT171 (Rare Disease), the commencement of trials has been delayed, partially due to slowed patient enrollment or other delays as a result of the COVID-19 pandemic. This delay had an impact on revenue recognition related to non-COVID-19 collaborations. The partial disruption, even temporary, may severely impact BioNTech’s operations and overall business by delaying the progress of its clinical trials and preclinical studies. BioNTech’s operations, including research and manufacturing, could also be disrupted due to the potential of the impact of staff absences as a result of self-isolation procedures or extended illness. Such factors were evaluated and considered carefully when preparing these unaudited interim condensed consolidated financial statements. BioNTech will continue to evaluate potential effects of the COVID-19 pandemic.</w:t>
      </w:r>
    </w:p>
    <w:p>
      <w:pPr>
        <w:spacing w:after="0" w:line="394" w:lineRule="exact"/>
        <w:rPr>
          <w:sz w:val="20"/>
          <w:szCs w:val="20"/>
          <w:color w:val="auto"/>
        </w:rPr>
      </w:pPr>
    </w:p>
    <w:p>
      <w:pPr>
        <w:ind w:left="720" w:hanging="712"/>
        <w:spacing w:after="0"/>
        <w:tabs>
          <w:tab w:leader="none" w:pos="720" w:val="left"/>
        </w:tabs>
        <w:numPr>
          <w:ilvl w:val="0"/>
          <w:numId w:val="6"/>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Segment Information</w:t>
      </w:r>
    </w:p>
    <w:p>
      <w:pPr>
        <w:spacing w:after="0" w:line="12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For the three and nine months ended September 30, 2020 and 2019, respectively, the following tables present revenue and operating results for the Group’s operating segments consistent with the presentation in the notes to the consolidated financial statements as of December 31, 2019. The tables below reconcile segment figures to Group figures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760" w:type="dxa"/>
            <w:vAlign w:val="bottom"/>
            <w:tcBorders>
              <w:right w:val="single" w:sz="8" w:color="70AD47"/>
            </w:tcBorders>
          </w:tcPr>
          <w:p>
            <w:pPr>
              <w:spacing w:after="0"/>
              <w:rPr>
                <w:sz w:val="13"/>
                <w:szCs w:val="13"/>
                <w:color w:val="auto"/>
              </w:rPr>
            </w:pPr>
          </w:p>
        </w:tc>
        <w:tc>
          <w:tcPr>
            <w:tcW w:w="1080" w:type="dxa"/>
            <w:vAlign w:val="bottom"/>
            <w:tcBorders>
              <w:top w:val="single" w:sz="8" w:color="70AD47"/>
            </w:tcBorders>
          </w:tcPr>
          <w:p>
            <w:pPr>
              <w:spacing w:after="0"/>
              <w:rPr>
                <w:sz w:val="13"/>
                <w:szCs w:val="13"/>
                <w:color w:val="auto"/>
              </w:rPr>
            </w:pPr>
          </w:p>
        </w:tc>
        <w:tc>
          <w:tcPr>
            <w:tcW w:w="1060" w:type="dxa"/>
            <w:vAlign w:val="bottom"/>
            <w:tcBorders>
              <w:top w:val="single" w:sz="8" w:color="70AD47"/>
            </w:tcBorders>
          </w:tcPr>
          <w:p>
            <w:pPr>
              <w:spacing w:after="0"/>
              <w:rPr>
                <w:sz w:val="13"/>
                <w:szCs w:val="13"/>
                <w:color w:val="auto"/>
              </w:rPr>
            </w:pPr>
          </w:p>
        </w:tc>
        <w:tc>
          <w:tcPr>
            <w:tcW w:w="1060" w:type="dxa"/>
            <w:vAlign w:val="bottom"/>
            <w:tcBorders>
              <w:top w:val="single" w:sz="8" w:color="70AD47"/>
            </w:tcBorders>
          </w:tcPr>
          <w:p>
            <w:pPr>
              <w:spacing w:after="0"/>
              <w:rPr>
                <w:sz w:val="13"/>
                <w:szCs w:val="13"/>
                <w:color w:val="auto"/>
              </w:rPr>
            </w:pPr>
          </w:p>
        </w:tc>
        <w:tc>
          <w:tcPr>
            <w:tcW w:w="1080" w:type="dxa"/>
            <w:vAlign w:val="bottom"/>
            <w:tcBorders>
              <w:top w:val="single" w:sz="8" w:color="70AD47"/>
              <w:right w:val="single" w:sz="8" w:color="70AD47"/>
            </w:tcBorders>
          </w:tcPr>
          <w:p>
            <w:pPr>
              <w:spacing w:after="0"/>
              <w:rPr>
                <w:sz w:val="13"/>
                <w:szCs w:val="13"/>
                <w:color w:val="auto"/>
              </w:rPr>
            </w:pPr>
          </w:p>
        </w:tc>
        <w:tc>
          <w:tcPr>
            <w:tcW w:w="1060" w:type="dxa"/>
            <w:vAlign w:val="bottom"/>
            <w:tcBorders>
              <w:top w:val="single" w:sz="8" w:color="70AD47"/>
              <w:right w:val="single" w:sz="8" w:color="70AD47"/>
            </w:tcBorders>
          </w:tcPr>
          <w:p>
            <w:pPr>
              <w:jc w:val="center"/>
              <w:ind w:right="8"/>
              <w:spacing w:after="0" w:line="151"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tcBorders>
              <w:right w:val="single" w:sz="8" w:color="70AD47"/>
            </w:tcBorders>
          </w:tcPr>
          <w:p>
            <w:pPr>
              <w:spacing w:after="0"/>
              <w:rPr>
                <w:sz w:val="12"/>
                <w:szCs w:val="12"/>
                <w:color w:val="auto"/>
              </w:rPr>
            </w:pPr>
          </w:p>
        </w:tc>
        <w:tc>
          <w:tcPr>
            <w:tcW w:w="1080" w:type="dxa"/>
            <w:vAlign w:val="bottom"/>
          </w:tcPr>
          <w:p>
            <w:pPr>
              <w:spacing w:after="0"/>
              <w:rPr>
                <w:sz w:val="12"/>
                <w:szCs w:val="12"/>
                <w:color w:val="auto"/>
              </w:rPr>
            </w:pPr>
          </w:p>
        </w:tc>
        <w:tc>
          <w:tcPr>
            <w:tcW w:w="212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Biotech Business Unit</w:t>
            </w:r>
          </w:p>
        </w:tc>
        <w:tc>
          <w:tcPr>
            <w:tcW w:w="1080" w:type="dxa"/>
            <w:vAlign w:val="bottom"/>
            <w:tcBorders>
              <w:right w:val="single" w:sz="8" w:color="70AD47"/>
            </w:tcBorders>
          </w:tcPr>
          <w:p>
            <w:pPr>
              <w:spacing w:after="0"/>
              <w:rPr>
                <w:sz w:val="12"/>
                <w:szCs w:val="12"/>
                <w:color w:val="auto"/>
              </w:rPr>
            </w:pPr>
          </w:p>
        </w:tc>
        <w:tc>
          <w:tcPr>
            <w:tcW w:w="1060" w:type="dxa"/>
            <w:vAlign w:val="bottom"/>
            <w:tcBorders>
              <w:right w:val="single" w:sz="8" w:color="70AD47"/>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760" w:type="dxa"/>
            <w:vAlign w:val="bottom"/>
            <w:tcBorders>
              <w:right w:val="single" w:sz="8" w:color="70AD47"/>
            </w:tcBorders>
          </w:tcPr>
          <w:p>
            <w:pPr>
              <w:spacing w:after="0"/>
              <w:rPr>
                <w:sz w:val="9"/>
                <w:szCs w:val="9"/>
                <w:color w:val="auto"/>
              </w:rPr>
            </w:pPr>
          </w:p>
        </w:tc>
        <w:tc>
          <w:tcPr>
            <w:tcW w:w="108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080" w:type="dxa"/>
            <w:vAlign w:val="bottom"/>
            <w:tcBorders>
              <w:right w:val="single" w:sz="8" w:color="70AD47"/>
            </w:tcBorders>
          </w:tcPr>
          <w:p>
            <w:pPr>
              <w:spacing w:after="0"/>
              <w:rPr>
                <w:sz w:val="9"/>
                <w:szCs w:val="9"/>
                <w:color w:val="auto"/>
              </w:rPr>
            </w:pPr>
          </w:p>
        </w:tc>
        <w:tc>
          <w:tcPr>
            <w:tcW w:w="1060" w:type="dxa"/>
            <w:vAlign w:val="bottom"/>
            <w:tcBorders>
              <w:right w:val="single" w:sz="8" w:color="70AD47"/>
            </w:tcBorders>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760" w:type="dxa"/>
            <w:vAlign w:val="bottom"/>
            <w:tcBorders>
              <w:right w:val="single" w:sz="8" w:color="70AD47"/>
            </w:tcBorders>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760" w:type="dxa"/>
            <w:vAlign w:val="bottom"/>
            <w:tcBorders>
              <w:bottom w:val="single" w:sz="8" w:color="70AD47"/>
              <w:right w:val="single" w:sz="8" w:color="70AD47"/>
            </w:tcBorders>
          </w:tcPr>
          <w:p>
            <w:pPr>
              <w:spacing w:after="0"/>
              <w:rPr>
                <w:sz w:val="15"/>
                <w:szCs w:val="15"/>
                <w:color w:val="auto"/>
              </w:rPr>
            </w:pPr>
          </w:p>
        </w:tc>
        <w:tc>
          <w:tcPr>
            <w:tcW w:w="1080" w:type="dxa"/>
            <w:vAlign w:val="bottom"/>
            <w:tcBorders>
              <w:bottom w:val="single" w:sz="8" w:color="70AD47"/>
            </w:tcBorders>
          </w:tcPr>
          <w:p>
            <w:pPr>
              <w:spacing w:after="0"/>
              <w:rPr>
                <w:sz w:val="15"/>
                <w:szCs w:val="15"/>
                <w:color w:val="auto"/>
              </w:rPr>
            </w:pPr>
          </w:p>
        </w:tc>
        <w:tc>
          <w:tcPr>
            <w:tcW w:w="1060" w:type="dxa"/>
            <w:vAlign w:val="bottom"/>
            <w:tcBorders>
              <w:bottom w:val="single" w:sz="8" w:color="70AD47"/>
            </w:tcBorders>
          </w:tcPr>
          <w:p>
            <w:pPr>
              <w:spacing w:after="0"/>
              <w:rPr>
                <w:sz w:val="15"/>
                <w:szCs w:val="15"/>
                <w:color w:val="auto"/>
              </w:rPr>
            </w:pPr>
          </w:p>
        </w:tc>
        <w:tc>
          <w:tcPr>
            <w:tcW w:w="1060" w:type="dxa"/>
            <w:vAlign w:val="bottom"/>
            <w:tcBorders>
              <w:bottom w:val="single" w:sz="8" w:color="70AD47"/>
            </w:tcBorders>
          </w:tcPr>
          <w:p>
            <w:pPr>
              <w:spacing w:after="0"/>
              <w:rPr>
                <w:sz w:val="15"/>
                <w:szCs w:val="15"/>
                <w:color w:val="auto"/>
              </w:rPr>
            </w:pPr>
          </w:p>
        </w:tc>
        <w:tc>
          <w:tcPr>
            <w:tcW w:w="108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060" w:type="dxa"/>
            <w:vAlign w:val="bottom"/>
            <w:tcBorders>
              <w:bottom w:val="single" w:sz="8" w:color="70AD47"/>
            </w:tcBorders>
          </w:tcPr>
          <w:p>
            <w:pPr>
              <w:spacing w:after="0"/>
              <w:rPr>
                <w:sz w:val="15"/>
                <w:szCs w:val="15"/>
                <w:color w:val="auto"/>
              </w:rPr>
            </w:pPr>
          </w:p>
        </w:tc>
        <w:tc>
          <w:tcPr>
            <w:tcW w:w="1040" w:type="dxa"/>
            <w:vAlign w:val="bottom"/>
            <w:tcBorders>
              <w:bottom w:val="single" w:sz="8" w:color="70AD47"/>
            </w:tcBorders>
          </w:tcPr>
          <w:p>
            <w:pPr>
              <w:spacing w:after="0"/>
              <w:rPr>
                <w:sz w:val="15"/>
                <w:szCs w:val="15"/>
                <w:color w:val="auto"/>
              </w:rPr>
            </w:pPr>
          </w:p>
        </w:tc>
        <w:tc>
          <w:tcPr>
            <w:tcW w:w="1060" w:type="dxa"/>
            <w:vAlign w:val="bottom"/>
            <w:tcBorders>
              <w:bottom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60" w:type="dxa"/>
            <w:vAlign w:val="bottom"/>
            <w:tcBorders>
              <w:right w:val="single" w:sz="8" w:color="70AD47"/>
            </w:tcBorders>
          </w:tcPr>
          <w:p>
            <w:pPr>
              <w:spacing w:after="0"/>
              <w:rPr>
                <w:sz w:val="11"/>
                <w:szCs w:val="11"/>
                <w:color w:val="auto"/>
              </w:rPr>
            </w:pPr>
          </w:p>
        </w:tc>
        <w:tc>
          <w:tcPr>
            <w:tcW w:w="1080" w:type="dxa"/>
            <w:vAlign w:val="bottom"/>
            <w:tcBorders>
              <w:right w:val="single" w:sz="8" w:color="70AD47"/>
            </w:tcBorders>
            <w:shd w:val="clear" w:color="auto" w:fill="C6E0B4"/>
          </w:tcPr>
          <w:p>
            <w:pPr>
              <w:spacing w:after="0"/>
              <w:rPr>
                <w:sz w:val="11"/>
                <w:szCs w:val="11"/>
                <w:color w:val="auto"/>
              </w:rPr>
            </w:pPr>
          </w:p>
        </w:tc>
        <w:tc>
          <w:tcPr>
            <w:tcW w:w="1060" w:type="dxa"/>
            <w:vAlign w:val="bottom"/>
            <w:tcBorders>
              <w:right w:val="single" w:sz="8" w:color="70AD47"/>
            </w:tcBorders>
            <w:vMerge w:val="restart"/>
            <w:shd w:val="clear" w:color="auto" w:fill="C6E0B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060" w:type="dxa"/>
            <w:vAlign w:val="bottom"/>
            <w:tcBorders>
              <w:right w:val="single" w:sz="8" w:color="70AD47"/>
            </w:tcBorders>
            <w:shd w:val="clear" w:color="auto" w:fill="C6E0B4"/>
          </w:tcPr>
          <w:p>
            <w:pPr>
              <w:spacing w:after="0"/>
              <w:rPr>
                <w:sz w:val="11"/>
                <w:szCs w:val="11"/>
                <w:color w:val="auto"/>
              </w:rPr>
            </w:pPr>
          </w:p>
        </w:tc>
        <w:tc>
          <w:tcPr>
            <w:tcW w:w="1080" w:type="dxa"/>
            <w:vAlign w:val="bottom"/>
            <w:tcBorders>
              <w:right w:val="single" w:sz="8" w:color="70AD47"/>
            </w:tcBorders>
            <w:shd w:val="clear" w:color="auto" w:fill="C6E0B4"/>
          </w:tcPr>
          <w:p>
            <w:pPr>
              <w:spacing w:after="0"/>
              <w:rPr>
                <w:sz w:val="11"/>
                <w:szCs w:val="11"/>
                <w:color w:val="auto"/>
              </w:rPr>
            </w:pPr>
          </w:p>
        </w:tc>
        <w:tc>
          <w:tcPr>
            <w:tcW w:w="1060" w:type="dxa"/>
            <w:vAlign w:val="bottom"/>
            <w:tcBorders>
              <w:right w:val="single" w:sz="8" w:color="70AD47"/>
            </w:tcBorders>
            <w:shd w:val="clear" w:color="auto" w:fill="C6E0B4"/>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060" w:type="dxa"/>
            <w:vAlign w:val="bottom"/>
            <w:tcBorders>
              <w:right w:val="single" w:sz="8" w:color="70AD47"/>
            </w:tcBorders>
            <w:shd w:val="clear" w:color="auto" w:fill="C6E0B4"/>
          </w:tcPr>
          <w:p>
            <w:pPr>
              <w:spacing w:after="0"/>
              <w:rPr>
                <w:sz w:val="11"/>
                <w:szCs w:val="11"/>
                <w:color w:val="auto"/>
              </w:rPr>
            </w:pPr>
          </w:p>
        </w:tc>
        <w:tc>
          <w:tcPr>
            <w:tcW w:w="104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right w:val="single" w:sz="8" w:color="70AD47"/>
            </w:tcBorders>
            <w:vMerge w:val="restart"/>
            <w:shd w:val="clear" w:color="auto" w:fill="C6E0B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060" w:type="dxa"/>
            <w:vAlign w:val="bottom"/>
            <w:tcBorders>
              <w:right w:val="single" w:sz="8" w:color="70AD47"/>
            </w:tcBorders>
            <w:vMerge w:val="continue"/>
            <w:shd w:val="clear" w:color="auto" w:fill="C6E0B4"/>
          </w:tcPr>
          <w:p>
            <w:pPr>
              <w:spacing w:after="0"/>
              <w:rPr>
                <w:sz w:val="12"/>
                <w:szCs w:val="12"/>
                <w:color w:val="auto"/>
              </w:rPr>
            </w:pPr>
          </w:p>
        </w:tc>
        <w:tc>
          <w:tcPr>
            <w:tcW w:w="1060" w:type="dxa"/>
            <w:vAlign w:val="bottom"/>
            <w:tcBorders>
              <w:right w:val="single" w:sz="8" w:color="70AD47"/>
            </w:tcBorders>
            <w:vMerge w:val="restart"/>
            <w:shd w:val="clear" w:color="auto" w:fill="C6E0B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0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Business Service</w:t>
            </w:r>
          </w:p>
        </w:tc>
        <w:tc>
          <w:tcPr>
            <w:tcW w:w="1060" w:type="dxa"/>
            <w:vAlign w:val="bottom"/>
            <w:tcBorders>
              <w:right w:val="single" w:sz="8" w:color="70AD47"/>
            </w:tcBorders>
            <w:shd w:val="clear" w:color="auto" w:fill="C6E0B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Sales &amp;</w:t>
            </w:r>
          </w:p>
        </w:tc>
        <w:tc>
          <w:tcPr>
            <w:tcW w:w="1060" w:type="dxa"/>
            <w:vAlign w:val="bottom"/>
            <w:tcBorders>
              <w:right w:val="single" w:sz="8" w:color="70AD47"/>
            </w:tcBorders>
            <w:vMerge w:val="restart"/>
            <w:shd w:val="clear" w:color="auto" w:fill="C6E0B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Borders>
              <w:right w:val="single" w:sz="8" w:color="70AD47"/>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60" w:type="dxa"/>
            <w:vAlign w:val="bottom"/>
            <w:tcBorders>
              <w:right w:val="single" w:sz="8" w:color="70AD47"/>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09"/>
        </w:trPr>
        <w:tc>
          <w:tcPr>
            <w:tcW w:w="2760" w:type="dxa"/>
            <w:vAlign w:val="bottom"/>
            <w:tcBorders>
              <w:right w:val="single" w:sz="8" w:color="70AD47"/>
            </w:tcBorders>
            <w:vMerge w:val="continue"/>
          </w:tcPr>
          <w:p>
            <w:pPr>
              <w:spacing w:after="0"/>
              <w:rPr>
                <w:sz w:val="9"/>
                <w:szCs w:val="9"/>
                <w:color w:val="auto"/>
              </w:rPr>
            </w:pPr>
          </w:p>
        </w:tc>
        <w:tc>
          <w:tcPr>
            <w:tcW w:w="1080" w:type="dxa"/>
            <w:vAlign w:val="bottom"/>
            <w:tcBorders>
              <w:right w:val="single" w:sz="8" w:color="70AD47"/>
            </w:tcBorders>
            <w:vMerge w:val="continue"/>
            <w:shd w:val="clear" w:color="auto" w:fill="C6E0B4"/>
          </w:tcPr>
          <w:p>
            <w:pPr>
              <w:spacing w:after="0"/>
              <w:rPr>
                <w:sz w:val="9"/>
                <w:szCs w:val="9"/>
                <w:color w:val="auto"/>
              </w:rPr>
            </w:pPr>
          </w:p>
        </w:tc>
        <w:tc>
          <w:tcPr>
            <w:tcW w:w="1060" w:type="dxa"/>
            <w:vAlign w:val="bottom"/>
            <w:tcBorders>
              <w:right w:val="single" w:sz="8" w:color="70AD47"/>
            </w:tcBorders>
            <w:vMerge w:val="restart"/>
            <w:shd w:val="clear" w:color="auto" w:fill="C6E0B4"/>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Platform</w:t>
            </w:r>
          </w:p>
        </w:tc>
        <w:tc>
          <w:tcPr>
            <w:tcW w:w="1060" w:type="dxa"/>
            <w:vAlign w:val="bottom"/>
            <w:tcBorders>
              <w:right w:val="single" w:sz="8" w:color="70AD47"/>
            </w:tcBorders>
            <w:vMerge w:val="continue"/>
            <w:shd w:val="clear" w:color="auto" w:fill="C6E0B4"/>
          </w:tcPr>
          <w:p>
            <w:pPr>
              <w:spacing w:after="0"/>
              <w:rPr>
                <w:sz w:val="9"/>
                <w:szCs w:val="9"/>
                <w:color w:val="auto"/>
              </w:rPr>
            </w:pPr>
          </w:p>
        </w:tc>
        <w:tc>
          <w:tcPr>
            <w:tcW w:w="1080" w:type="dxa"/>
            <w:vAlign w:val="bottom"/>
            <w:tcBorders>
              <w:right w:val="single" w:sz="8" w:color="70AD47"/>
            </w:tcBorders>
            <w:vMerge w:val="continue"/>
            <w:shd w:val="clear" w:color="auto" w:fill="C6E0B4"/>
          </w:tcPr>
          <w:p>
            <w:pPr>
              <w:spacing w:after="0"/>
              <w:rPr>
                <w:sz w:val="9"/>
                <w:szCs w:val="9"/>
                <w:color w:val="auto"/>
              </w:rPr>
            </w:pPr>
          </w:p>
        </w:tc>
        <w:tc>
          <w:tcPr>
            <w:tcW w:w="1060" w:type="dxa"/>
            <w:vAlign w:val="bottom"/>
            <w:tcBorders>
              <w:right w:val="single" w:sz="8" w:color="70AD47"/>
            </w:tcBorders>
            <w:vMerge w:val="restart"/>
            <w:shd w:val="clear" w:color="auto" w:fill="C6E0B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1060" w:type="dxa"/>
            <w:vAlign w:val="bottom"/>
            <w:tcBorders>
              <w:right w:val="single" w:sz="8" w:color="70AD47"/>
            </w:tcBorders>
            <w:vMerge w:val="continue"/>
            <w:shd w:val="clear" w:color="auto" w:fill="C6E0B4"/>
          </w:tcPr>
          <w:p>
            <w:pPr>
              <w:spacing w:after="0"/>
              <w:rPr>
                <w:sz w:val="9"/>
                <w:szCs w:val="9"/>
                <w:color w:val="auto"/>
              </w:rPr>
            </w:pPr>
          </w:p>
        </w:tc>
        <w:tc>
          <w:tcPr>
            <w:tcW w:w="104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760" w:type="dxa"/>
            <w:vAlign w:val="bottom"/>
            <w:tcBorders>
              <w:right w:val="single" w:sz="8" w:color="70AD47"/>
            </w:tcBorders>
          </w:tcPr>
          <w:p>
            <w:pPr>
              <w:spacing w:after="0"/>
              <w:rPr>
                <w:sz w:val="3"/>
                <w:szCs w:val="3"/>
                <w:color w:val="auto"/>
              </w:rPr>
            </w:pPr>
          </w:p>
        </w:tc>
        <w:tc>
          <w:tcPr>
            <w:tcW w:w="1080" w:type="dxa"/>
            <w:vAlign w:val="bottom"/>
            <w:tcBorders>
              <w:right w:val="single" w:sz="8" w:color="70AD47"/>
            </w:tcBorders>
            <w:shd w:val="clear" w:color="auto" w:fill="C6E0B4"/>
          </w:tcPr>
          <w:p>
            <w:pPr>
              <w:spacing w:after="0"/>
              <w:rPr>
                <w:sz w:val="3"/>
                <w:szCs w:val="3"/>
                <w:color w:val="auto"/>
              </w:rPr>
            </w:pPr>
          </w:p>
        </w:tc>
        <w:tc>
          <w:tcPr>
            <w:tcW w:w="1060" w:type="dxa"/>
            <w:vAlign w:val="bottom"/>
            <w:tcBorders>
              <w:right w:val="single" w:sz="8" w:color="70AD47"/>
            </w:tcBorders>
            <w:vMerge w:val="continue"/>
            <w:shd w:val="clear" w:color="auto" w:fill="C6E0B4"/>
          </w:tcPr>
          <w:p>
            <w:pPr>
              <w:spacing w:after="0"/>
              <w:rPr>
                <w:sz w:val="3"/>
                <w:szCs w:val="3"/>
                <w:color w:val="auto"/>
              </w:rPr>
            </w:pPr>
          </w:p>
        </w:tc>
        <w:tc>
          <w:tcPr>
            <w:tcW w:w="1060" w:type="dxa"/>
            <w:vAlign w:val="bottom"/>
            <w:tcBorders>
              <w:right w:val="single" w:sz="8" w:color="70AD47"/>
            </w:tcBorders>
            <w:shd w:val="clear" w:color="auto" w:fill="C6E0B4"/>
          </w:tcPr>
          <w:p>
            <w:pPr>
              <w:spacing w:after="0"/>
              <w:rPr>
                <w:sz w:val="3"/>
                <w:szCs w:val="3"/>
                <w:color w:val="auto"/>
              </w:rPr>
            </w:pPr>
          </w:p>
        </w:tc>
        <w:tc>
          <w:tcPr>
            <w:tcW w:w="1080" w:type="dxa"/>
            <w:vAlign w:val="bottom"/>
            <w:tcBorders>
              <w:right w:val="single" w:sz="8" w:color="70AD47"/>
            </w:tcBorders>
            <w:shd w:val="clear" w:color="auto" w:fill="C6E0B4"/>
          </w:tcPr>
          <w:p>
            <w:pPr>
              <w:spacing w:after="0"/>
              <w:rPr>
                <w:sz w:val="3"/>
                <w:szCs w:val="3"/>
                <w:color w:val="auto"/>
              </w:rPr>
            </w:pPr>
          </w:p>
        </w:tc>
        <w:tc>
          <w:tcPr>
            <w:tcW w:w="1060" w:type="dxa"/>
            <w:vAlign w:val="bottom"/>
            <w:tcBorders>
              <w:right w:val="single" w:sz="8" w:color="70AD47"/>
            </w:tcBorders>
            <w:vMerge w:val="continue"/>
            <w:shd w:val="clear" w:color="auto" w:fill="C6E0B4"/>
          </w:tcPr>
          <w:p>
            <w:pPr>
              <w:spacing w:after="0"/>
              <w:rPr>
                <w:sz w:val="3"/>
                <w:szCs w:val="3"/>
                <w:color w:val="auto"/>
              </w:rPr>
            </w:pPr>
          </w:p>
        </w:tc>
        <w:tc>
          <w:tcPr>
            <w:tcW w:w="1060" w:type="dxa"/>
            <w:vAlign w:val="bottom"/>
            <w:tcBorders>
              <w:right w:val="single" w:sz="8" w:color="70AD47"/>
            </w:tcBorders>
            <w:shd w:val="clear" w:color="auto" w:fill="C6E0B4"/>
          </w:tcPr>
          <w:p>
            <w:pPr>
              <w:spacing w:after="0"/>
              <w:rPr>
                <w:sz w:val="3"/>
                <w:szCs w:val="3"/>
                <w:color w:val="auto"/>
              </w:rPr>
            </w:pPr>
          </w:p>
        </w:tc>
        <w:tc>
          <w:tcPr>
            <w:tcW w:w="104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760" w:type="dxa"/>
            <w:vAlign w:val="bottom"/>
            <w:tcBorders>
              <w:bottom w:val="single" w:sz="8" w:color="70AD47"/>
              <w:right w:val="single" w:sz="8" w:color="70AD47"/>
            </w:tcBorders>
          </w:tcPr>
          <w:p>
            <w:pPr>
              <w:spacing w:after="0"/>
              <w:rPr>
                <w:sz w:val="15"/>
                <w:szCs w:val="15"/>
                <w:color w:val="auto"/>
              </w:rPr>
            </w:pPr>
          </w:p>
        </w:tc>
        <w:tc>
          <w:tcPr>
            <w:tcW w:w="1080" w:type="dxa"/>
            <w:vAlign w:val="bottom"/>
            <w:tcBorders>
              <w:bottom w:val="single" w:sz="8" w:color="70AD47"/>
              <w:right w:val="single" w:sz="8" w:color="70AD47"/>
            </w:tcBorders>
            <w:shd w:val="clear" w:color="auto" w:fill="C6E0B4"/>
          </w:tcPr>
          <w:p>
            <w:pPr>
              <w:spacing w:after="0"/>
              <w:rPr>
                <w:sz w:val="15"/>
                <w:szCs w:val="15"/>
                <w:color w:val="auto"/>
              </w:rPr>
            </w:pPr>
          </w:p>
        </w:tc>
        <w:tc>
          <w:tcPr>
            <w:tcW w:w="1060" w:type="dxa"/>
            <w:vAlign w:val="bottom"/>
            <w:tcBorders>
              <w:bottom w:val="single" w:sz="8" w:color="70AD47"/>
              <w:right w:val="single" w:sz="8" w:color="70AD47"/>
            </w:tcBorders>
            <w:shd w:val="clear" w:color="auto" w:fill="C6E0B4"/>
          </w:tcPr>
          <w:p>
            <w:pPr>
              <w:spacing w:after="0"/>
              <w:rPr>
                <w:sz w:val="15"/>
                <w:szCs w:val="15"/>
                <w:color w:val="auto"/>
              </w:rPr>
            </w:pPr>
          </w:p>
        </w:tc>
        <w:tc>
          <w:tcPr>
            <w:tcW w:w="1060" w:type="dxa"/>
            <w:vAlign w:val="bottom"/>
            <w:tcBorders>
              <w:bottom w:val="single" w:sz="8" w:color="70AD47"/>
              <w:right w:val="single" w:sz="8" w:color="70AD47"/>
            </w:tcBorders>
            <w:shd w:val="clear" w:color="auto" w:fill="C6E0B4"/>
          </w:tcPr>
          <w:p>
            <w:pPr>
              <w:spacing w:after="0"/>
              <w:rPr>
                <w:sz w:val="15"/>
                <w:szCs w:val="15"/>
                <w:color w:val="auto"/>
              </w:rPr>
            </w:pPr>
          </w:p>
        </w:tc>
        <w:tc>
          <w:tcPr>
            <w:tcW w:w="1080" w:type="dxa"/>
            <w:vAlign w:val="bottom"/>
            <w:tcBorders>
              <w:bottom w:val="single" w:sz="8" w:color="70AD47"/>
              <w:right w:val="single" w:sz="8" w:color="70AD47"/>
            </w:tcBorders>
            <w:shd w:val="clear" w:color="auto" w:fill="C6E0B4"/>
          </w:tcPr>
          <w:p>
            <w:pPr>
              <w:spacing w:after="0"/>
              <w:rPr>
                <w:sz w:val="15"/>
                <w:szCs w:val="15"/>
                <w:color w:val="auto"/>
              </w:rPr>
            </w:pPr>
          </w:p>
        </w:tc>
        <w:tc>
          <w:tcPr>
            <w:tcW w:w="106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60" w:type="dxa"/>
            <w:vAlign w:val="bottom"/>
            <w:tcBorders>
              <w:bottom w:val="single" w:sz="8" w:color="70AD47"/>
              <w:right w:val="single" w:sz="8" w:color="70AD47"/>
            </w:tcBorders>
            <w:shd w:val="clear" w:color="auto" w:fill="C6E0B4"/>
          </w:tcPr>
          <w:p>
            <w:pPr>
              <w:spacing w:after="0"/>
              <w:rPr>
                <w:sz w:val="15"/>
                <w:szCs w:val="15"/>
                <w:color w:val="auto"/>
              </w:rPr>
            </w:pPr>
          </w:p>
        </w:tc>
        <w:tc>
          <w:tcPr>
            <w:tcW w:w="104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6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108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8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4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8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8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4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Collaboration Revenues</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€41,777</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€13,754</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€59,649</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€59,649</w:t>
            </w: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Revenues from other sales transactions</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7,495</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7,809</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7,809</w:t>
            </w:r>
          </w:p>
        </w:tc>
        <w:tc>
          <w:tcPr>
            <w:tcW w:w="0" w:type="dxa"/>
            <w:vAlign w:val="bottom"/>
          </w:tcPr>
          <w:p>
            <w:pPr>
              <w:spacing w:after="0"/>
              <w:rPr>
                <w:sz w:val="1"/>
                <w:szCs w:val="1"/>
                <w:color w:val="auto"/>
              </w:rPr>
            </w:pPr>
          </w:p>
        </w:tc>
      </w:tr>
      <w:tr>
        <w:trPr>
          <w:trHeight w:val="293"/>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(6,463)</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(6,463)</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(6,840)</w:t>
            </w:r>
          </w:p>
        </w:tc>
        <w:tc>
          <w:tcPr>
            <w:tcW w:w="0" w:type="dxa"/>
            <w:vAlign w:val="bottom"/>
          </w:tcPr>
          <w:p>
            <w:pPr>
              <w:spacing w:after="0"/>
              <w:rPr>
                <w:sz w:val="1"/>
                <w:szCs w:val="1"/>
                <w:color w:val="auto"/>
              </w:rPr>
            </w:pPr>
          </w:p>
        </w:tc>
      </w:tr>
      <w:tr>
        <w:trPr>
          <w:trHeight w:val="250"/>
        </w:trPr>
        <w:tc>
          <w:tcPr>
            <w:tcW w:w="276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€41,993</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€4,184</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€13,786</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€1,032</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€60,995</w:t>
            </w:r>
          </w:p>
        </w:tc>
        <w:tc>
          <w:tcPr>
            <w:tcW w:w="104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€(377)</w:t>
            </w:r>
          </w:p>
        </w:tc>
        <w:tc>
          <w:tcPr>
            <w:tcW w:w="106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€60,618</w:t>
            </w:r>
          </w:p>
        </w:tc>
        <w:tc>
          <w:tcPr>
            <w:tcW w:w="0" w:type="dxa"/>
            <w:vAlign w:val="bottom"/>
          </w:tcPr>
          <w:p>
            <w:pPr>
              <w:spacing w:after="0"/>
              <w:rPr>
                <w:sz w:val="1"/>
                <w:szCs w:val="1"/>
                <w:color w:val="auto"/>
              </w:rPr>
            </w:pPr>
          </w:p>
        </w:tc>
      </w:tr>
      <w:tr>
        <w:trPr>
          <w:trHeight w:val="213"/>
        </w:trPr>
        <w:tc>
          <w:tcPr>
            <w:tcW w:w="2760" w:type="dxa"/>
            <w:vAlign w:val="bottom"/>
            <w:tcBorders>
              <w:top w:val="single" w:sz="8" w:color="70AD47"/>
              <w:right w:val="single" w:sz="8" w:color="70AD47"/>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Income / Expenses</w:t>
            </w:r>
          </w:p>
        </w:tc>
        <w:tc>
          <w:tcPr>
            <w:tcW w:w="108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8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40" w:type="dxa"/>
            <w:vAlign w:val="bottom"/>
            <w:tcBorders>
              <w:top w:val="single" w:sz="8" w:color="70AD47"/>
              <w:right w:val="single" w:sz="8" w:color="70AD47"/>
            </w:tcBorders>
          </w:tcPr>
          <w:p>
            <w:pPr>
              <w:spacing w:after="0"/>
              <w:rPr>
                <w:sz w:val="18"/>
                <w:szCs w:val="18"/>
                <w:color w:val="auto"/>
              </w:rPr>
            </w:pPr>
          </w:p>
        </w:tc>
        <w:tc>
          <w:tcPr>
            <w:tcW w:w="1060" w:type="dxa"/>
            <w:vAlign w:val="bottom"/>
            <w:tcBorders>
              <w:top w:val="single" w:sz="8" w:color="70AD47"/>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(124,275)</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(51,036)</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(52,132)</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(228,081)</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(227,706)</w:t>
            </w:r>
          </w:p>
        </w:tc>
        <w:tc>
          <w:tcPr>
            <w:tcW w:w="0" w:type="dxa"/>
            <w:vAlign w:val="bottom"/>
          </w:tcPr>
          <w:p>
            <w:pPr>
              <w:spacing w:after="0"/>
              <w:rPr>
                <w:sz w:val="1"/>
                <w:szCs w:val="1"/>
                <w:color w:val="auto"/>
              </w:rPr>
            </w:pPr>
          </w:p>
        </w:tc>
      </w:tr>
      <w:tr>
        <w:trPr>
          <w:trHeight w:val="256"/>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(21,241)</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(23,324)</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(23,324)</w:t>
            </w:r>
          </w:p>
        </w:tc>
        <w:tc>
          <w:tcPr>
            <w:tcW w:w="0" w:type="dxa"/>
            <w:vAlign w:val="bottom"/>
          </w:tcPr>
          <w:p>
            <w:pPr>
              <w:spacing w:after="0"/>
              <w:rPr>
                <w:sz w:val="1"/>
                <w:szCs w:val="1"/>
                <w:color w:val="auto"/>
              </w:rPr>
            </w:pPr>
          </w:p>
        </w:tc>
      </w:tr>
      <w:tr>
        <w:trPr>
          <w:trHeight w:val="293"/>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Other result</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8,301</w:t>
            </w:r>
          </w:p>
        </w:tc>
        <w:tc>
          <w:tcPr>
            <w:tcW w:w="10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8,298</w:t>
            </w:r>
          </w:p>
        </w:tc>
        <w:tc>
          <w:tcPr>
            <w:tcW w:w="0" w:type="dxa"/>
            <w:vAlign w:val="bottom"/>
          </w:tcPr>
          <w:p>
            <w:pPr>
              <w:spacing w:after="0"/>
              <w:rPr>
                <w:sz w:val="1"/>
                <w:szCs w:val="1"/>
                <w:color w:val="auto"/>
              </w:rPr>
            </w:pPr>
          </w:p>
        </w:tc>
      </w:tr>
      <w:tr>
        <w:trPr>
          <w:trHeight w:val="230"/>
        </w:trPr>
        <w:tc>
          <w:tcPr>
            <w:tcW w:w="2760" w:type="dxa"/>
            <w:vAlign w:val="bottom"/>
            <w:tcBorders>
              <w:top w:val="single" w:sz="8" w:color="70AD47"/>
              <w:right w:val="single" w:sz="8" w:color="70AD47"/>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Segment operating loss</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€(78,153)</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€(44,970)</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€(37,404)</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€(25,472)</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€(378)</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€(186,377)</w:t>
            </w:r>
          </w:p>
        </w:tc>
        <w:tc>
          <w:tcPr>
            <w:tcW w:w="104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06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€(186,382)</w:t>
            </w:r>
          </w:p>
        </w:tc>
        <w:tc>
          <w:tcPr>
            <w:tcW w:w="0" w:type="dxa"/>
            <w:vAlign w:val="bottom"/>
          </w:tcPr>
          <w:p>
            <w:pPr>
              <w:spacing w:after="0"/>
              <w:rPr>
                <w:sz w:val="1"/>
                <w:szCs w:val="1"/>
                <w:color w:val="auto"/>
              </w:rPr>
            </w:pPr>
          </w:p>
        </w:tc>
      </w:tr>
      <w:tr>
        <w:trPr>
          <w:trHeight w:val="20"/>
        </w:trPr>
        <w:tc>
          <w:tcPr>
            <w:tcW w:w="2760" w:type="dxa"/>
            <w:vAlign w:val="bottom"/>
            <w:tcBorders>
              <w:right w:val="single" w:sz="8" w:color="70AD47"/>
            </w:tcBorders>
            <w:shd w:val="clear" w:color="auto" w:fill="70AD47"/>
          </w:tcPr>
          <w:p>
            <w:pPr>
              <w:spacing w:after="0" w:line="20" w:lineRule="exact"/>
              <w:rPr>
                <w:sz w:val="1"/>
                <w:szCs w:val="1"/>
                <w:color w:val="auto"/>
              </w:rPr>
            </w:pPr>
          </w:p>
        </w:tc>
        <w:tc>
          <w:tcPr>
            <w:tcW w:w="1080" w:type="dxa"/>
            <w:vAlign w:val="bottom"/>
            <w:tcBorders>
              <w:right w:val="single" w:sz="8" w:color="70AD47"/>
            </w:tcBorders>
            <w:shd w:val="clear" w:color="auto" w:fill="70AD47"/>
          </w:tcPr>
          <w:p>
            <w:pPr>
              <w:spacing w:after="0" w:line="20" w:lineRule="exact"/>
              <w:rPr>
                <w:sz w:val="1"/>
                <w:szCs w:val="1"/>
                <w:color w:val="auto"/>
              </w:rPr>
            </w:pPr>
          </w:p>
        </w:tc>
        <w:tc>
          <w:tcPr>
            <w:tcW w:w="1060" w:type="dxa"/>
            <w:vAlign w:val="bottom"/>
            <w:tcBorders>
              <w:right w:val="single" w:sz="8" w:color="70AD47"/>
            </w:tcBorders>
            <w:shd w:val="clear" w:color="auto" w:fill="70AD47"/>
          </w:tcPr>
          <w:p>
            <w:pPr>
              <w:spacing w:after="0" w:line="20" w:lineRule="exact"/>
              <w:rPr>
                <w:sz w:val="1"/>
                <w:szCs w:val="1"/>
                <w:color w:val="auto"/>
              </w:rPr>
            </w:pPr>
          </w:p>
        </w:tc>
        <w:tc>
          <w:tcPr>
            <w:tcW w:w="1060" w:type="dxa"/>
            <w:vAlign w:val="bottom"/>
            <w:tcBorders>
              <w:right w:val="single" w:sz="8" w:color="70AD47"/>
            </w:tcBorders>
            <w:shd w:val="clear" w:color="auto" w:fill="70AD47"/>
          </w:tcPr>
          <w:p>
            <w:pPr>
              <w:spacing w:after="0" w:line="20" w:lineRule="exact"/>
              <w:rPr>
                <w:sz w:val="1"/>
                <w:szCs w:val="1"/>
                <w:color w:val="auto"/>
              </w:rPr>
            </w:pPr>
          </w:p>
        </w:tc>
        <w:tc>
          <w:tcPr>
            <w:tcW w:w="1080" w:type="dxa"/>
            <w:vAlign w:val="bottom"/>
            <w:tcBorders>
              <w:right w:val="single" w:sz="8" w:color="70AD47"/>
            </w:tcBorders>
            <w:shd w:val="clear" w:color="auto" w:fill="70AD47"/>
          </w:tcPr>
          <w:p>
            <w:pPr>
              <w:spacing w:after="0" w:line="20" w:lineRule="exact"/>
              <w:rPr>
                <w:sz w:val="1"/>
                <w:szCs w:val="1"/>
                <w:color w:val="auto"/>
              </w:rPr>
            </w:pPr>
          </w:p>
        </w:tc>
        <w:tc>
          <w:tcPr>
            <w:tcW w:w="1060" w:type="dxa"/>
            <w:vAlign w:val="bottom"/>
            <w:tcBorders>
              <w:right w:val="single" w:sz="8" w:color="70AD47"/>
            </w:tcBorders>
            <w:shd w:val="clear" w:color="auto" w:fill="70AD47"/>
          </w:tcPr>
          <w:p>
            <w:pPr>
              <w:spacing w:after="0" w:line="20" w:lineRule="exact"/>
              <w:rPr>
                <w:sz w:val="1"/>
                <w:szCs w:val="1"/>
                <w:color w:val="auto"/>
              </w:rPr>
            </w:pPr>
          </w:p>
        </w:tc>
        <w:tc>
          <w:tcPr>
            <w:tcW w:w="1060" w:type="dxa"/>
            <w:vAlign w:val="bottom"/>
            <w:tcBorders>
              <w:right w:val="single" w:sz="8" w:color="70AD47"/>
            </w:tcBorders>
            <w:shd w:val="clear" w:color="auto" w:fill="70AD47"/>
          </w:tcPr>
          <w:p>
            <w:pPr>
              <w:spacing w:after="0" w:line="20" w:lineRule="exact"/>
              <w:rPr>
                <w:sz w:val="1"/>
                <w:szCs w:val="1"/>
                <w:color w:val="auto"/>
              </w:rPr>
            </w:pPr>
          </w:p>
        </w:tc>
        <w:tc>
          <w:tcPr>
            <w:tcW w:w="1040" w:type="dxa"/>
            <w:vAlign w:val="bottom"/>
            <w:tcBorders>
              <w:right w:val="single" w:sz="8" w:color="70AD47"/>
            </w:tcBorders>
            <w:shd w:val="clear" w:color="auto" w:fill="70AD47"/>
          </w:tcPr>
          <w:p>
            <w:pPr>
              <w:spacing w:after="0" w:line="20" w:lineRule="exact"/>
              <w:rPr>
                <w:sz w:val="1"/>
                <w:szCs w:val="1"/>
                <w:color w:val="auto"/>
              </w:rPr>
            </w:pPr>
          </w:p>
        </w:tc>
        <w:tc>
          <w:tcPr>
            <w:tcW w:w="1060" w:type="dxa"/>
            <w:vAlign w:val="bottom"/>
            <w:tcBorders>
              <w:right w:val="single" w:sz="8" w:color="70AD47"/>
            </w:tcBorders>
            <w:shd w:val="clear" w:color="auto" w:fill="70AD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1"/>
        </w:trPr>
        <w:tc>
          <w:tcPr>
            <w:tcW w:w="2760" w:type="dxa"/>
            <w:vAlign w:val="bottom"/>
            <w:tcBorders>
              <w:right w:val="single" w:sz="8" w:color="70AD47"/>
            </w:tcBorders>
          </w:tcPr>
          <w:p>
            <w:pPr>
              <w:spacing w:after="0"/>
              <w:rPr>
                <w:sz w:val="13"/>
                <w:szCs w:val="13"/>
                <w:color w:val="auto"/>
              </w:rPr>
            </w:pPr>
          </w:p>
        </w:tc>
        <w:tc>
          <w:tcPr>
            <w:tcW w:w="1080" w:type="dxa"/>
            <w:vAlign w:val="bottom"/>
            <w:tcBorders>
              <w:top w:val="single" w:sz="8" w:color="70AD47"/>
            </w:tcBorders>
          </w:tcPr>
          <w:p>
            <w:pPr>
              <w:spacing w:after="0"/>
              <w:rPr>
                <w:sz w:val="13"/>
                <w:szCs w:val="13"/>
                <w:color w:val="auto"/>
              </w:rPr>
            </w:pPr>
          </w:p>
        </w:tc>
        <w:tc>
          <w:tcPr>
            <w:tcW w:w="1060" w:type="dxa"/>
            <w:vAlign w:val="bottom"/>
            <w:tcBorders>
              <w:top w:val="single" w:sz="8" w:color="70AD47"/>
            </w:tcBorders>
          </w:tcPr>
          <w:p>
            <w:pPr>
              <w:spacing w:after="0"/>
              <w:rPr>
                <w:sz w:val="13"/>
                <w:szCs w:val="13"/>
                <w:color w:val="auto"/>
              </w:rPr>
            </w:pPr>
          </w:p>
        </w:tc>
        <w:tc>
          <w:tcPr>
            <w:tcW w:w="1060" w:type="dxa"/>
            <w:vAlign w:val="bottom"/>
            <w:tcBorders>
              <w:top w:val="single" w:sz="8" w:color="70AD47"/>
            </w:tcBorders>
          </w:tcPr>
          <w:p>
            <w:pPr>
              <w:spacing w:after="0"/>
              <w:rPr>
                <w:sz w:val="13"/>
                <w:szCs w:val="13"/>
                <w:color w:val="auto"/>
              </w:rPr>
            </w:pPr>
          </w:p>
        </w:tc>
        <w:tc>
          <w:tcPr>
            <w:tcW w:w="1080" w:type="dxa"/>
            <w:vAlign w:val="bottom"/>
            <w:tcBorders>
              <w:top w:val="single" w:sz="8" w:color="70AD47"/>
              <w:right w:val="single" w:sz="8" w:color="70AD47"/>
            </w:tcBorders>
          </w:tcPr>
          <w:p>
            <w:pPr>
              <w:spacing w:after="0"/>
              <w:rPr>
                <w:sz w:val="13"/>
                <w:szCs w:val="13"/>
                <w:color w:val="auto"/>
              </w:rPr>
            </w:pPr>
          </w:p>
        </w:tc>
        <w:tc>
          <w:tcPr>
            <w:tcW w:w="1060" w:type="dxa"/>
            <w:vAlign w:val="bottom"/>
            <w:tcBorders>
              <w:top w:val="single" w:sz="8" w:color="70AD47"/>
              <w:right w:val="single" w:sz="8" w:color="70AD47"/>
            </w:tcBorders>
          </w:tcPr>
          <w:p>
            <w:pPr>
              <w:jc w:val="right"/>
              <w:ind w:right="268"/>
              <w:spacing w:after="0" w:line="151"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tcBorders>
              <w:right w:val="single" w:sz="8" w:color="70AD47"/>
            </w:tcBorders>
          </w:tcPr>
          <w:p>
            <w:pPr>
              <w:spacing w:after="0"/>
              <w:rPr>
                <w:sz w:val="12"/>
                <w:szCs w:val="12"/>
                <w:color w:val="auto"/>
              </w:rPr>
            </w:pPr>
          </w:p>
        </w:tc>
        <w:tc>
          <w:tcPr>
            <w:tcW w:w="1080" w:type="dxa"/>
            <w:vAlign w:val="bottom"/>
          </w:tcPr>
          <w:p>
            <w:pPr>
              <w:spacing w:after="0"/>
              <w:rPr>
                <w:sz w:val="12"/>
                <w:szCs w:val="12"/>
                <w:color w:val="auto"/>
              </w:rPr>
            </w:pPr>
          </w:p>
        </w:tc>
        <w:tc>
          <w:tcPr>
            <w:tcW w:w="212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Biotech Business Unit</w:t>
            </w:r>
          </w:p>
        </w:tc>
        <w:tc>
          <w:tcPr>
            <w:tcW w:w="1080" w:type="dxa"/>
            <w:vAlign w:val="bottom"/>
            <w:tcBorders>
              <w:right w:val="single" w:sz="8" w:color="70AD47"/>
            </w:tcBorders>
          </w:tcPr>
          <w:p>
            <w:pPr>
              <w:spacing w:after="0"/>
              <w:rPr>
                <w:sz w:val="12"/>
                <w:szCs w:val="12"/>
                <w:color w:val="auto"/>
              </w:rPr>
            </w:pPr>
          </w:p>
        </w:tc>
        <w:tc>
          <w:tcPr>
            <w:tcW w:w="1060" w:type="dxa"/>
            <w:vAlign w:val="bottom"/>
            <w:tcBorders>
              <w:right w:val="single" w:sz="8" w:color="70AD47"/>
            </w:tcBorders>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760" w:type="dxa"/>
            <w:vAlign w:val="bottom"/>
            <w:tcBorders>
              <w:right w:val="single" w:sz="8" w:color="70AD47"/>
            </w:tcBorders>
          </w:tcPr>
          <w:p>
            <w:pPr>
              <w:spacing w:after="0"/>
              <w:rPr>
                <w:sz w:val="9"/>
                <w:szCs w:val="9"/>
                <w:color w:val="auto"/>
              </w:rPr>
            </w:pPr>
          </w:p>
        </w:tc>
        <w:tc>
          <w:tcPr>
            <w:tcW w:w="108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080" w:type="dxa"/>
            <w:vAlign w:val="bottom"/>
            <w:tcBorders>
              <w:right w:val="single" w:sz="8" w:color="70AD47"/>
            </w:tcBorders>
          </w:tcPr>
          <w:p>
            <w:pPr>
              <w:spacing w:after="0"/>
              <w:rPr>
                <w:sz w:val="9"/>
                <w:szCs w:val="9"/>
                <w:color w:val="auto"/>
              </w:rPr>
            </w:pPr>
          </w:p>
        </w:tc>
        <w:tc>
          <w:tcPr>
            <w:tcW w:w="1060" w:type="dxa"/>
            <w:vAlign w:val="bottom"/>
            <w:tcBorders>
              <w:right w:val="single" w:sz="8" w:color="70AD47"/>
            </w:tcBorders>
            <w:vMerge w:val="restart"/>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760" w:type="dxa"/>
            <w:vAlign w:val="bottom"/>
            <w:tcBorders>
              <w:right w:val="single" w:sz="8" w:color="70AD47"/>
            </w:tcBorders>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760" w:type="dxa"/>
            <w:vAlign w:val="bottom"/>
            <w:tcBorders>
              <w:bottom w:val="single" w:sz="8" w:color="70AD47"/>
              <w:right w:val="single" w:sz="8" w:color="70AD47"/>
            </w:tcBorders>
          </w:tcPr>
          <w:p>
            <w:pPr>
              <w:spacing w:after="0"/>
              <w:rPr>
                <w:sz w:val="15"/>
                <w:szCs w:val="15"/>
                <w:color w:val="auto"/>
              </w:rPr>
            </w:pPr>
          </w:p>
        </w:tc>
        <w:tc>
          <w:tcPr>
            <w:tcW w:w="1080" w:type="dxa"/>
            <w:vAlign w:val="bottom"/>
            <w:tcBorders>
              <w:bottom w:val="single" w:sz="8" w:color="70AD47"/>
            </w:tcBorders>
          </w:tcPr>
          <w:p>
            <w:pPr>
              <w:spacing w:after="0"/>
              <w:rPr>
                <w:sz w:val="15"/>
                <w:szCs w:val="15"/>
                <w:color w:val="auto"/>
              </w:rPr>
            </w:pPr>
          </w:p>
        </w:tc>
        <w:tc>
          <w:tcPr>
            <w:tcW w:w="1060" w:type="dxa"/>
            <w:vAlign w:val="bottom"/>
            <w:tcBorders>
              <w:bottom w:val="single" w:sz="8" w:color="70AD47"/>
            </w:tcBorders>
          </w:tcPr>
          <w:p>
            <w:pPr>
              <w:spacing w:after="0"/>
              <w:rPr>
                <w:sz w:val="15"/>
                <w:szCs w:val="15"/>
                <w:color w:val="auto"/>
              </w:rPr>
            </w:pPr>
          </w:p>
        </w:tc>
        <w:tc>
          <w:tcPr>
            <w:tcW w:w="1060" w:type="dxa"/>
            <w:vAlign w:val="bottom"/>
            <w:tcBorders>
              <w:bottom w:val="single" w:sz="8" w:color="70AD47"/>
            </w:tcBorders>
          </w:tcPr>
          <w:p>
            <w:pPr>
              <w:spacing w:after="0"/>
              <w:rPr>
                <w:sz w:val="15"/>
                <w:szCs w:val="15"/>
                <w:color w:val="auto"/>
              </w:rPr>
            </w:pPr>
          </w:p>
        </w:tc>
        <w:tc>
          <w:tcPr>
            <w:tcW w:w="108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tcBorders>
              <w:bottom w:val="single" w:sz="8" w:color="70AD47"/>
            </w:tcBorders>
          </w:tcPr>
          <w:p>
            <w:pPr>
              <w:spacing w:after="0"/>
              <w:rPr>
                <w:sz w:val="15"/>
                <w:szCs w:val="15"/>
                <w:color w:val="auto"/>
              </w:rPr>
            </w:pPr>
          </w:p>
        </w:tc>
        <w:tc>
          <w:tcPr>
            <w:tcW w:w="1080" w:type="dxa"/>
            <w:vAlign w:val="bottom"/>
            <w:tcBorders>
              <w:bottom w:val="single" w:sz="8" w:color="70AD47"/>
            </w:tcBorders>
          </w:tcPr>
          <w:p>
            <w:pPr>
              <w:spacing w:after="0"/>
              <w:rPr>
                <w:sz w:val="15"/>
                <w:szCs w:val="15"/>
                <w:color w:val="auto"/>
              </w:rPr>
            </w:pPr>
          </w:p>
        </w:tc>
        <w:tc>
          <w:tcPr>
            <w:tcW w:w="1020" w:type="dxa"/>
            <w:vAlign w:val="bottom"/>
            <w:tcBorders>
              <w:bottom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60" w:type="dxa"/>
            <w:vAlign w:val="bottom"/>
            <w:tcBorders>
              <w:right w:val="single" w:sz="8" w:color="70AD47"/>
            </w:tcBorders>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060" w:type="dxa"/>
            <w:vAlign w:val="bottom"/>
            <w:tcBorders>
              <w:right w:val="single" w:sz="8" w:color="70AD47"/>
            </w:tcBorders>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060" w:type="dxa"/>
            <w:vAlign w:val="bottom"/>
            <w:tcBorders>
              <w:right w:val="single" w:sz="8" w:color="70AD47"/>
            </w:tcBorders>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20" w:type="dxa"/>
            <w:vAlign w:val="bottom"/>
            <w:tcBorders>
              <w:right w:val="single" w:sz="8" w:color="70AD47"/>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right w:val="single" w:sz="8" w:color="70AD47"/>
            </w:tcBorders>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060" w:type="dxa"/>
            <w:vAlign w:val="bottom"/>
            <w:tcBorders>
              <w:right w:val="single" w:sz="8" w:color="70AD47"/>
            </w:tcBorders>
            <w:vMerge w:val="continue"/>
          </w:tcPr>
          <w:p>
            <w:pPr>
              <w:spacing w:after="0"/>
              <w:rPr>
                <w:sz w:val="12"/>
                <w:szCs w:val="12"/>
                <w:color w:val="auto"/>
              </w:rPr>
            </w:pPr>
          </w:p>
        </w:tc>
        <w:tc>
          <w:tcPr>
            <w:tcW w:w="1060" w:type="dxa"/>
            <w:vAlign w:val="bottom"/>
            <w:tcBorders>
              <w:right w:val="single" w:sz="8" w:color="70AD47"/>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080" w:type="dxa"/>
            <w:vAlign w:val="bottom"/>
            <w:tcBorders>
              <w:right w:val="single" w:sz="8" w:color="70AD47"/>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Business Service</w:t>
            </w:r>
          </w:p>
        </w:tc>
        <w:tc>
          <w:tcPr>
            <w:tcW w:w="1060" w:type="dxa"/>
            <w:vAlign w:val="bottom"/>
            <w:tcBorders>
              <w:right w:val="single" w:sz="8" w:color="70AD47"/>
            </w:tcBorders>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Sales &amp;</w:t>
            </w:r>
          </w:p>
        </w:tc>
        <w:tc>
          <w:tcPr>
            <w:tcW w:w="1060" w:type="dxa"/>
            <w:vAlign w:val="bottom"/>
            <w:tcBorders>
              <w:right w:val="single" w:sz="8" w:color="70AD47"/>
            </w:tcBorders>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Borders>
              <w:right w:val="single" w:sz="8" w:color="70AD47"/>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tcBorders>
              <w:right w:val="single" w:sz="8" w:color="70AD47"/>
            </w:tcBorders>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09"/>
        </w:trPr>
        <w:tc>
          <w:tcPr>
            <w:tcW w:w="2760" w:type="dxa"/>
            <w:vAlign w:val="bottom"/>
            <w:tcBorders>
              <w:right w:val="single" w:sz="8" w:color="70AD47"/>
            </w:tcBorders>
            <w:vMerge w:val="continue"/>
          </w:tcPr>
          <w:p>
            <w:pPr>
              <w:spacing w:after="0"/>
              <w:rPr>
                <w:sz w:val="9"/>
                <w:szCs w:val="9"/>
                <w:color w:val="auto"/>
              </w:rPr>
            </w:pPr>
          </w:p>
        </w:tc>
        <w:tc>
          <w:tcPr>
            <w:tcW w:w="108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restart"/>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Platform</w:t>
            </w:r>
          </w:p>
        </w:tc>
        <w:tc>
          <w:tcPr>
            <w:tcW w:w="1060" w:type="dxa"/>
            <w:vAlign w:val="bottom"/>
            <w:tcBorders>
              <w:right w:val="single" w:sz="8" w:color="70AD47"/>
            </w:tcBorders>
            <w:vMerge w:val="continue"/>
          </w:tcPr>
          <w:p>
            <w:pPr>
              <w:spacing w:after="0"/>
              <w:rPr>
                <w:sz w:val="9"/>
                <w:szCs w:val="9"/>
                <w:color w:val="auto"/>
              </w:rPr>
            </w:pPr>
          </w:p>
        </w:tc>
        <w:tc>
          <w:tcPr>
            <w:tcW w:w="108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restart"/>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1060" w:type="dxa"/>
            <w:vAlign w:val="bottom"/>
            <w:tcBorders>
              <w:right w:val="single" w:sz="8" w:color="70AD47"/>
            </w:tcBorders>
            <w:vMerge w:val="continue"/>
          </w:tcPr>
          <w:p>
            <w:pPr>
              <w:spacing w:after="0"/>
              <w:rPr>
                <w:sz w:val="9"/>
                <w:szCs w:val="9"/>
                <w:color w:val="auto"/>
              </w:rPr>
            </w:pPr>
          </w:p>
        </w:tc>
        <w:tc>
          <w:tcPr>
            <w:tcW w:w="1080" w:type="dxa"/>
            <w:vAlign w:val="bottom"/>
            <w:tcBorders>
              <w:right w:val="single" w:sz="8" w:color="70AD47"/>
            </w:tcBorders>
            <w:vMerge w:val="continue"/>
          </w:tcPr>
          <w:p>
            <w:pPr>
              <w:spacing w:after="0"/>
              <w:rPr>
                <w:sz w:val="9"/>
                <w:szCs w:val="9"/>
                <w:color w:val="auto"/>
              </w:rPr>
            </w:pPr>
          </w:p>
        </w:tc>
        <w:tc>
          <w:tcPr>
            <w:tcW w:w="1020" w:type="dxa"/>
            <w:vAlign w:val="bottom"/>
            <w:tcBorders>
              <w:right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760" w:type="dxa"/>
            <w:vAlign w:val="bottom"/>
            <w:tcBorders>
              <w:right w:val="single" w:sz="8" w:color="70AD47"/>
            </w:tcBorders>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20" w:type="dxa"/>
            <w:vAlign w:val="bottom"/>
            <w:tcBorders>
              <w:right w:val="single" w:sz="8" w:color="70AD47"/>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760" w:type="dxa"/>
            <w:vAlign w:val="bottom"/>
            <w:tcBorders>
              <w:bottom w:val="single" w:sz="8" w:color="70AD47"/>
              <w:right w:val="single" w:sz="8" w:color="70AD47"/>
            </w:tcBorders>
          </w:tcPr>
          <w:p>
            <w:pPr>
              <w:spacing w:after="0"/>
              <w:rPr>
                <w:sz w:val="15"/>
                <w:szCs w:val="15"/>
                <w:color w:val="auto"/>
              </w:rPr>
            </w:pPr>
          </w:p>
        </w:tc>
        <w:tc>
          <w:tcPr>
            <w:tcW w:w="108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spacing w:after="0"/>
              <w:rPr>
                <w:sz w:val="15"/>
                <w:szCs w:val="15"/>
                <w:color w:val="auto"/>
              </w:rPr>
            </w:pPr>
          </w:p>
        </w:tc>
        <w:tc>
          <w:tcPr>
            <w:tcW w:w="108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60" w:type="dxa"/>
            <w:vAlign w:val="bottom"/>
            <w:tcBorders>
              <w:bottom w:val="single" w:sz="8" w:color="70AD47"/>
              <w:right w:val="single" w:sz="8" w:color="70AD47"/>
            </w:tcBorders>
          </w:tcPr>
          <w:p>
            <w:pPr>
              <w:spacing w:after="0"/>
              <w:rPr>
                <w:sz w:val="15"/>
                <w:szCs w:val="15"/>
                <w:color w:val="auto"/>
              </w:rPr>
            </w:pPr>
          </w:p>
        </w:tc>
        <w:tc>
          <w:tcPr>
            <w:tcW w:w="1080" w:type="dxa"/>
            <w:vAlign w:val="bottom"/>
            <w:tcBorders>
              <w:bottom w:val="single" w:sz="8" w:color="70AD47"/>
              <w:right w:val="single" w:sz="8" w:color="70AD47"/>
            </w:tcBorders>
          </w:tcPr>
          <w:p>
            <w:pPr>
              <w:spacing w:after="0"/>
              <w:rPr>
                <w:sz w:val="15"/>
                <w:szCs w:val="15"/>
                <w:color w:val="auto"/>
              </w:rPr>
            </w:pPr>
          </w:p>
        </w:tc>
        <w:tc>
          <w:tcPr>
            <w:tcW w:w="1020" w:type="dxa"/>
            <w:vAlign w:val="bottom"/>
            <w:tcBorders>
              <w:bottom w:val="single" w:sz="8" w:color="70AD47"/>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6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8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2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Collaboration Revenues</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€7,174</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€1,972</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€13,091</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€22,237</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€22,237</w:t>
            </w: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Revenues from other sales transactions</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142</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6,283</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(4,166)</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0" w:type="dxa"/>
            <w:vAlign w:val="bottom"/>
          </w:tcPr>
          <w:p>
            <w:pPr>
              <w:spacing w:after="0"/>
              <w:rPr>
                <w:sz w:val="1"/>
                <w:szCs w:val="1"/>
                <w:color w:val="auto"/>
              </w:rPr>
            </w:pPr>
          </w:p>
        </w:tc>
      </w:tr>
      <w:tr>
        <w:trPr>
          <w:trHeight w:val="37"/>
        </w:trPr>
        <w:tc>
          <w:tcPr>
            <w:tcW w:w="27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2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76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€7,174</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€2,114</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€13,091</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€2,117</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€24,496</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€(64)</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€24,432</w:t>
            </w:r>
          </w:p>
        </w:tc>
        <w:tc>
          <w:tcPr>
            <w:tcW w:w="0" w:type="dxa"/>
            <w:vAlign w:val="bottom"/>
          </w:tcPr>
          <w:p>
            <w:pPr>
              <w:spacing w:after="0"/>
              <w:rPr>
                <w:sz w:val="1"/>
                <w:szCs w:val="1"/>
                <w:color w:val="auto"/>
              </w:rPr>
            </w:pPr>
          </w:p>
        </w:tc>
      </w:tr>
      <w:tr>
        <w:trPr>
          <w:trHeight w:val="37"/>
        </w:trPr>
        <w:tc>
          <w:tcPr>
            <w:tcW w:w="27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2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Income / Expenses</w:t>
            </w: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(21,948)</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(14,289)</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(1,397)</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(50,460)</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(50,396)</w:t>
            </w: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(355)</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256"/>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(8,702)</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(859)</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(10,444)</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(138)</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(10,582)</w:t>
            </w: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Other result</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37"/>
        </w:trPr>
        <w:tc>
          <w:tcPr>
            <w:tcW w:w="27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2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Segment operating loss</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€(14,727)</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€(12,074)</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€(432)</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€(10,419)</w:t>
            </w:r>
          </w:p>
        </w:tc>
        <w:tc>
          <w:tcPr>
            <w:tcW w:w="106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€916</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€(36,736)</w:t>
            </w:r>
          </w:p>
        </w:tc>
        <w:tc>
          <w:tcPr>
            <w:tcW w:w="1080" w:type="dxa"/>
            <w:vAlign w:val="bottom"/>
            <w:tcBorders>
              <w:right w:val="single" w:sz="8" w:color="70AD47"/>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€(138)</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€(36,874)</w:t>
            </w:r>
          </w:p>
        </w:tc>
        <w:tc>
          <w:tcPr>
            <w:tcW w:w="0" w:type="dxa"/>
            <w:vAlign w:val="bottom"/>
          </w:tcPr>
          <w:p>
            <w:pPr>
              <w:spacing w:after="0"/>
              <w:rPr>
                <w:sz w:val="1"/>
                <w:szCs w:val="1"/>
                <w:color w:val="auto"/>
              </w:rPr>
            </w:pPr>
          </w:p>
        </w:tc>
      </w:tr>
      <w:tr>
        <w:trPr>
          <w:trHeight w:val="37"/>
        </w:trPr>
        <w:tc>
          <w:tcPr>
            <w:tcW w:w="27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2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1080" w:type="dxa"/>
            <w:vAlign w:val="bottom"/>
            <w:tcBorders>
              <w:bottom w:val="single" w:sz="8" w:color="70AD47"/>
            </w:tcBorders>
          </w:tcPr>
          <w:p>
            <w:pPr>
              <w:spacing w:after="0"/>
              <w:rPr>
                <w:sz w:val="20"/>
                <w:szCs w:val="20"/>
                <w:color w:val="auto"/>
              </w:rPr>
            </w:pPr>
          </w:p>
        </w:tc>
        <w:tc>
          <w:tcPr>
            <w:tcW w:w="1060" w:type="dxa"/>
            <w:vAlign w:val="bottom"/>
            <w:tcBorders>
              <w:bottom w:val="single" w:sz="8" w:color="70AD47"/>
            </w:tcBorders>
          </w:tcPr>
          <w:p>
            <w:pPr>
              <w:spacing w:after="0"/>
              <w:rPr>
                <w:sz w:val="20"/>
                <w:szCs w:val="20"/>
                <w:color w:val="auto"/>
              </w:rPr>
            </w:pPr>
          </w:p>
        </w:tc>
        <w:tc>
          <w:tcPr>
            <w:tcW w:w="1060" w:type="dxa"/>
            <w:vAlign w:val="bottom"/>
            <w:tcBorders>
              <w:bottom w:val="single" w:sz="8" w:color="70AD47"/>
            </w:tcBorders>
          </w:tcPr>
          <w:p>
            <w:pPr>
              <w:spacing w:after="0"/>
              <w:rPr>
                <w:sz w:val="20"/>
                <w:szCs w:val="20"/>
                <w:color w:val="auto"/>
              </w:rPr>
            </w:pPr>
          </w:p>
        </w:tc>
        <w:tc>
          <w:tcPr>
            <w:tcW w:w="1080" w:type="dxa"/>
            <w:vAlign w:val="bottom"/>
            <w:tcBorders>
              <w:bottom w:val="single" w:sz="8" w:color="70AD47"/>
            </w:tcBorders>
          </w:tcPr>
          <w:p>
            <w:pPr>
              <w:spacing w:after="0"/>
              <w:rPr>
                <w:sz w:val="20"/>
                <w:szCs w:val="20"/>
                <w:color w:val="auto"/>
              </w:rPr>
            </w:pPr>
          </w:p>
        </w:tc>
        <w:tc>
          <w:tcPr>
            <w:tcW w:w="1060" w:type="dxa"/>
            <w:vAlign w:val="bottom"/>
            <w:tcBorders>
              <w:bottom w:val="single" w:sz="8" w:color="70AD47"/>
            </w:tcBorders>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760" w:type="dxa"/>
            <w:vAlign w:val="bottom"/>
            <w:tcBorders>
              <w:right w:val="single" w:sz="8" w:color="70AD47"/>
            </w:tcBorders>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Borders>
              <w:right w:val="single" w:sz="8" w:color="70AD47"/>
            </w:tcBorders>
          </w:tcPr>
          <w:p>
            <w:pPr>
              <w:spacing w:after="0"/>
              <w:rPr>
                <w:sz w:val="12"/>
                <w:szCs w:val="12"/>
                <w:color w:val="auto"/>
              </w:rPr>
            </w:pPr>
          </w:p>
        </w:tc>
        <w:tc>
          <w:tcPr>
            <w:tcW w:w="1080" w:type="dxa"/>
            <w:vAlign w:val="bottom"/>
          </w:tcPr>
          <w:p>
            <w:pPr>
              <w:spacing w:after="0"/>
              <w:rPr>
                <w:sz w:val="12"/>
                <w:szCs w:val="12"/>
                <w:color w:val="auto"/>
              </w:rPr>
            </w:pPr>
          </w:p>
        </w:tc>
        <w:tc>
          <w:tcPr>
            <w:tcW w:w="212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Biotech Business Unit</w:t>
            </w:r>
          </w:p>
        </w:tc>
        <w:tc>
          <w:tcPr>
            <w:tcW w:w="1080" w:type="dxa"/>
            <w:vAlign w:val="bottom"/>
            <w:tcBorders>
              <w:right w:val="single" w:sz="8" w:color="70AD47"/>
            </w:tcBorders>
          </w:tcPr>
          <w:p>
            <w:pPr>
              <w:spacing w:after="0"/>
              <w:rPr>
                <w:sz w:val="12"/>
                <w:szCs w:val="12"/>
                <w:color w:val="auto"/>
              </w:rPr>
            </w:pPr>
          </w:p>
        </w:tc>
        <w:tc>
          <w:tcPr>
            <w:tcW w:w="1060" w:type="dxa"/>
            <w:vAlign w:val="bottom"/>
            <w:tcBorders>
              <w:right w:val="single" w:sz="8" w:color="70AD47"/>
            </w:tcBorders>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760" w:type="dxa"/>
            <w:vAlign w:val="bottom"/>
            <w:tcBorders>
              <w:right w:val="single" w:sz="8" w:color="70AD47"/>
            </w:tcBorders>
          </w:tcPr>
          <w:p>
            <w:pPr>
              <w:spacing w:after="0"/>
              <w:rPr>
                <w:sz w:val="9"/>
                <w:szCs w:val="9"/>
                <w:color w:val="auto"/>
              </w:rPr>
            </w:pPr>
          </w:p>
        </w:tc>
        <w:tc>
          <w:tcPr>
            <w:tcW w:w="108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080" w:type="dxa"/>
            <w:vAlign w:val="bottom"/>
            <w:tcBorders>
              <w:right w:val="single" w:sz="8" w:color="70AD47"/>
            </w:tcBorders>
          </w:tcPr>
          <w:p>
            <w:pPr>
              <w:spacing w:after="0"/>
              <w:rPr>
                <w:sz w:val="9"/>
                <w:szCs w:val="9"/>
                <w:color w:val="auto"/>
              </w:rPr>
            </w:pPr>
          </w:p>
        </w:tc>
        <w:tc>
          <w:tcPr>
            <w:tcW w:w="1060" w:type="dxa"/>
            <w:vAlign w:val="bottom"/>
            <w:tcBorders>
              <w:right w:val="single" w:sz="8" w:color="70AD47"/>
            </w:tcBorders>
            <w:vMerge w:val="restart"/>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760" w:type="dxa"/>
            <w:vAlign w:val="bottom"/>
            <w:tcBorders>
              <w:right w:val="single" w:sz="8" w:color="70AD47"/>
            </w:tcBorders>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760" w:type="dxa"/>
            <w:vAlign w:val="bottom"/>
            <w:tcBorders>
              <w:bottom w:val="single" w:sz="8" w:color="70AD47"/>
              <w:right w:val="single" w:sz="8" w:color="70AD47"/>
            </w:tcBorders>
          </w:tcPr>
          <w:p>
            <w:pPr>
              <w:spacing w:after="0"/>
              <w:rPr>
                <w:sz w:val="15"/>
                <w:szCs w:val="15"/>
                <w:color w:val="auto"/>
              </w:rPr>
            </w:pPr>
          </w:p>
        </w:tc>
        <w:tc>
          <w:tcPr>
            <w:tcW w:w="1080" w:type="dxa"/>
            <w:vAlign w:val="bottom"/>
            <w:tcBorders>
              <w:bottom w:val="single" w:sz="8" w:color="70AD47"/>
            </w:tcBorders>
          </w:tcPr>
          <w:p>
            <w:pPr>
              <w:spacing w:after="0"/>
              <w:rPr>
                <w:sz w:val="15"/>
                <w:szCs w:val="15"/>
                <w:color w:val="auto"/>
              </w:rPr>
            </w:pPr>
          </w:p>
        </w:tc>
        <w:tc>
          <w:tcPr>
            <w:tcW w:w="1060" w:type="dxa"/>
            <w:vAlign w:val="bottom"/>
            <w:tcBorders>
              <w:bottom w:val="single" w:sz="8" w:color="70AD47"/>
            </w:tcBorders>
          </w:tcPr>
          <w:p>
            <w:pPr>
              <w:spacing w:after="0"/>
              <w:rPr>
                <w:sz w:val="15"/>
                <w:szCs w:val="15"/>
                <w:color w:val="auto"/>
              </w:rPr>
            </w:pPr>
          </w:p>
        </w:tc>
        <w:tc>
          <w:tcPr>
            <w:tcW w:w="1060" w:type="dxa"/>
            <w:vAlign w:val="bottom"/>
            <w:tcBorders>
              <w:bottom w:val="single" w:sz="8" w:color="70AD47"/>
            </w:tcBorders>
          </w:tcPr>
          <w:p>
            <w:pPr>
              <w:spacing w:after="0"/>
              <w:rPr>
                <w:sz w:val="15"/>
                <w:szCs w:val="15"/>
                <w:color w:val="auto"/>
              </w:rPr>
            </w:pPr>
          </w:p>
        </w:tc>
        <w:tc>
          <w:tcPr>
            <w:tcW w:w="108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tcBorders>
              <w:bottom w:val="single" w:sz="8" w:color="70AD47"/>
            </w:tcBorders>
          </w:tcPr>
          <w:p>
            <w:pPr>
              <w:spacing w:after="0"/>
              <w:rPr>
                <w:sz w:val="15"/>
                <w:szCs w:val="15"/>
                <w:color w:val="auto"/>
              </w:rPr>
            </w:pPr>
          </w:p>
        </w:tc>
        <w:tc>
          <w:tcPr>
            <w:tcW w:w="1080" w:type="dxa"/>
            <w:vAlign w:val="bottom"/>
            <w:tcBorders>
              <w:bottom w:val="single" w:sz="8" w:color="70AD47"/>
            </w:tcBorders>
          </w:tcPr>
          <w:p>
            <w:pPr>
              <w:spacing w:after="0"/>
              <w:rPr>
                <w:sz w:val="15"/>
                <w:szCs w:val="15"/>
                <w:color w:val="auto"/>
              </w:rPr>
            </w:pPr>
          </w:p>
        </w:tc>
        <w:tc>
          <w:tcPr>
            <w:tcW w:w="1020" w:type="dxa"/>
            <w:vAlign w:val="bottom"/>
            <w:tcBorders>
              <w:bottom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60" w:type="dxa"/>
            <w:vAlign w:val="bottom"/>
            <w:tcBorders>
              <w:right w:val="single" w:sz="8" w:color="70AD47"/>
            </w:tcBorders>
          </w:tcPr>
          <w:p>
            <w:pPr>
              <w:spacing w:after="0"/>
              <w:rPr>
                <w:sz w:val="11"/>
                <w:szCs w:val="11"/>
                <w:color w:val="auto"/>
              </w:rPr>
            </w:pPr>
          </w:p>
        </w:tc>
        <w:tc>
          <w:tcPr>
            <w:tcW w:w="1080" w:type="dxa"/>
            <w:vAlign w:val="bottom"/>
            <w:tcBorders>
              <w:right w:val="single" w:sz="8" w:color="70AD47"/>
            </w:tcBorders>
            <w:shd w:val="clear" w:color="auto" w:fill="C6E0B4"/>
          </w:tcPr>
          <w:p>
            <w:pPr>
              <w:spacing w:after="0"/>
              <w:rPr>
                <w:sz w:val="11"/>
                <w:szCs w:val="11"/>
                <w:color w:val="auto"/>
              </w:rPr>
            </w:pPr>
          </w:p>
        </w:tc>
        <w:tc>
          <w:tcPr>
            <w:tcW w:w="1060" w:type="dxa"/>
            <w:vAlign w:val="bottom"/>
            <w:tcBorders>
              <w:right w:val="single" w:sz="8" w:color="70AD47"/>
            </w:tcBorders>
            <w:vMerge w:val="restart"/>
            <w:shd w:val="clear" w:color="auto" w:fill="C6E0B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060" w:type="dxa"/>
            <w:vAlign w:val="bottom"/>
            <w:tcBorders>
              <w:right w:val="single" w:sz="8" w:color="70AD47"/>
            </w:tcBorders>
            <w:shd w:val="clear" w:color="auto" w:fill="C6E0B4"/>
          </w:tcPr>
          <w:p>
            <w:pPr>
              <w:spacing w:after="0"/>
              <w:rPr>
                <w:sz w:val="11"/>
                <w:szCs w:val="11"/>
                <w:color w:val="auto"/>
              </w:rPr>
            </w:pPr>
          </w:p>
        </w:tc>
        <w:tc>
          <w:tcPr>
            <w:tcW w:w="1080" w:type="dxa"/>
            <w:vAlign w:val="bottom"/>
            <w:tcBorders>
              <w:right w:val="single" w:sz="8" w:color="70AD47"/>
            </w:tcBorders>
            <w:shd w:val="clear" w:color="auto" w:fill="C6E0B4"/>
          </w:tcPr>
          <w:p>
            <w:pPr>
              <w:spacing w:after="0"/>
              <w:rPr>
                <w:sz w:val="11"/>
                <w:szCs w:val="11"/>
                <w:color w:val="auto"/>
              </w:rPr>
            </w:pPr>
          </w:p>
        </w:tc>
        <w:tc>
          <w:tcPr>
            <w:tcW w:w="1060" w:type="dxa"/>
            <w:vAlign w:val="bottom"/>
            <w:tcBorders>
              <w:right w:val="single" w:sz="8" w:color="70AD47"/>
            </w:tcBorders>
            <w:shd w:val="clear" w:color="auto" w:fill="C6E0B4"/>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060" w:type="dxa"/>
            <w:vAlign w:val="bottom"/>
            <w:tcBorders>
              <w:right w:val="single" w:sz="8" w:color="70AD47"/>
            </w:tcBorders>
            <w:shd w:val="clear" w:color="auto" w:fill="C6E0B4"/>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20" w:type="dxa"/>
            <w:vAlign w:val="bottom"/>
            <w:tcBorders>
              <w:right w:val="single" w:sz="8" w:color="70AD47"/>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right w:val="single" w:sz="8" w:color="70AD47"/>
            </w:tcBorders>
            <w:vMerge w:val="restart"/>
            <w:shd w:val="clear" w:color="auto" w:fill="C6E0B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060" w:type="dxa"/>
            <w:vAlign w:val="bottom"/>
            <w:tcBorders>
              <w:right w:val="single" w:sz="8" w:color="70AD47"/>
            </w:tcBorders>
            <w:vMerge w:val="continue"/>
            <w:shd w:val="clear" w:color="auto" w:fill="C6E0B4"/>
          </w:tcPr>
          <w:p>
            <w:pPr>
              <w:spacing w:after="0"/>
              <w:rPr>
                <w:sz w:val="12"/>
                <w:szCs w:val="12"/>
                <w:color w:val="auto"/>
              </w:rPr>
            </w:pPr>
          </w:p>
        </w:tc>
        <w:tc>
          <w:tcPr>
            <w:tcW w:w="1060" w:type="dxa"/>
            <w:vAlign w:val="bottom"/>
            <w:tcBorders>
              <w:right w:val="single" w:sz="8" w:color="70AD47"/>
            </w:tcBorders>
            <w:vMerge w:val="restart"/>
            <w:shd w:val="clear" w:color="auto" w:fill="C6E0B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0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Business Service</w:t>
            </w:r>
          </w:p>
        </w:tc>
        <w:tc>
          <w:tcPr>
            <w:tcW w:w="1060" w:type="dxa"/>
            <w:vAlign w:val="bottom"/>
            <w:tcBorders>
              <w:right w:val="single" w:sz="8" w:color="70AD47"/>
            </w:tcBorders>
            <w:shd w:val="clear" w:color="auto" w:fill="C6E0B4"/>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Sales &amp;</w:t>
            </w:r>
          </w:p>
        </w:tc>
        <w:tc>
          <w:tcPr>
            <w:tcW w:w="1060" w:type="dxa"/>
            <w:vAlign w:val="bottom"/>
            <w:tcBorders>
              <w:right w:val="single" w:sz="8" w:color="70AD47"/>
            </w:tcBorders>
            <w:vMerge w:val="restart"/>
            <w:shd w:val="clear" w:color="auto" w:fill="C6E0B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Borders>
              <w:right w:val="single" w:sz="8" w:color="70AD47"/>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tcBorders>
              <w:right w:val="single" w:sz="8" w:color="70AD47"/>
            </w:tcBorders>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09"/>
        </w:trPr>
        <w:tc>
          <w:tcPr>
            <w:tcW w:w="2760" w:type="dxa"/>
            <w:vAlign w:val="bottom"/>
            <w:tcBorders>
              <w:right w:val="single" w:sz="8" w:color="70AD47"/>
            </w:tcBorders>
            <w:vMerge w:val="continue"/>
          </w:tcPr>
          <w:p>
            <w:pPr>
              <w:spacing w:after="0"/>
              <w:rPr>
                <w:sz w:val="9"/>
                <w:szCs w:val="9"/>
                <w:color w:val="auto"/>
              </w:rPr>
            </w:pPr>
          </w:p>
        </w:tc>
        <w:tc>
          <w:tcPr>
            <w:tcW w:w="1080" w:type="dxa"/>
            <w:vAlign w:val="bottom"/>
            <w:tcBorders>
              <w:right w:val="single" w:sz="8" w:color="70AD47"/>
            </w:tcBorders>
            <w:vMerge w:val="continue"/>
            <w:shd w:val="clear" w:color="auto" w:fill="C6E0B4"/>
          </w:tcPr>
          <w:p>
            <w:pPr>
              <w:spacing w:after="0"/>
              <w:rPr>
                <w:sz w:val="9"/>
                <w:szCs w:val="9"/>
                <w:color w:val="auto"/>
              </w:rPr>
            </w:pPr>
          </w:p>
        </w:tc>
        <w:tc>
          <w:tcPr>
            <w:tcW w:w="1060" w:type="dxa"/>
            <w:vAlign w:val="bottom"/>
            <w:tcBorders>
              <w:right w:val="single" w:sz="8" w:color="70AD47"/>
            </w:tcBorders>
            <w:vMerge w:val="restart"/>
            <w:shd w:val="clear" w:color="auto" w:fill="C6E0B4"/>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Platform</w:t>
            </w:r>
          </w:p>
        </w:tc>
        <w:tc>
          <w:tcPr>
            <w:tcW w:w="1060" w:type="dxa"/>
            <w:vAlign w:val="bottom"/>
            <w:tcBorders>
              <w:right w:val="single" w:sz="8" w:color="70AD47"/>
            </w:tcBorders>
            <w:vMerge w:val="continue"/>
            <w:shd w:val="clear" w:color="auto" w:fill="C6E0B4"/>
          </w:tcPr>
          <w:p>
            <w:pPr>
              <w:spacing w:after="0"/>
              <w:rPr>
                <w:sz w:val="9"/>
                <w:szCs w:val="9"/>
                <w:color w:val="auto"/>
              </w:rPr>
            </w:pPr>
          </w:p>
        </w:tc>
        <w:tc>
          <w:tcPr>
            <w:tcW w:w="1080" w:type="dxa"/>
            <w:vAlign w:val="bottom"/>
            <w:tcBorders>
              <w:right w:val="single" w:sz="8" w:color="70AD47"/>
            </w:tcBorders>
            <w:vMerge w:val="continue"/>
            <w:shd w:val="clear" w:color="auto" w:fill="C6E0B4"/>
          </w:tcPr>
          <w:p>
            <w:pPr>
              <w:spacing w:after="0"/>
              <w:rPr>
                <w:sz w:val="9"/>
                <w:szCs w:val="9"/>
                <w:color w:val="auto"/>
              </w:rPr>
            </w:pPr>
          </w:p>
        </w:tc>
        <w:tc>
          <w:tcPr>
            <w:tcW w:w="1060" w:type="dxa"/>
            <w:vAlign w:val="bottom"/>
            <w:tcBorders>
              <w:right w:val="single" w:sz="8" w:color="70AD47"/>
            </w:tcBorders>
            <w:vMerge w:val="restart"/>
            <w:shd w:val="clear" w:color="auto" w:fill="C6E0B4"/>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1060" w:type="dxa"/>
            <w:vAlign w:val="bottom"/>
            <w:tcBorders>
              <w:right w:val="single" w:sz="8" w:color="70AD47"/>
            </w:tcBorders>
            <w:vMerge w:val="continue"/>
            <w:shd w:val="clear" w:color="auto" w:fill="C6E0B4"/>
          </w:tcPr>
          <w:p>
            <w:pPr>
              <w:spacing w:after="0"/>
              <w:rPr>
                <w:sz w:val="9"/>
                <w:szCs w:val="9"/>
                <w:color w:val="auto"/>
              </w:rPr>
            </w:pPr>
          </w:p>
        </w:tc>
        <w:tc>
          <w:tcPr>
            <w:tcW w:w="1080" w:type="dxa"/>
            <w:vAlign w:val="bottom"/>
            <w:tcBorders>
              <w:right w:val="single" w:sz="8" w:color="70AD47"/>
            </w:tcBorders>
            <w:vMerge w:val="continue"/>
          </w:tcPr>
          <w:p>
            <w:pPr>
              <w:spacing w:after="0"/>
              <w:rPr>
                <w:sz w:val="9"/>
                <w:szCs w:val="9"/>
                <w:color w:val="auto"/>
              </w:rPr>
            </w:pPr>
          </w:p>
        </w:tc>
        <w:tc>
          <w:tcPr>
            <w:tcW w:w="1020" w:type="dxa"/>
            <w:vAlign w:val="bottom"/>
            <w:tcBorders>
              <w:right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760" w:type="dxa"/>
            <w:vAlign w:val="bottom"/>
            <w:tcBorders>
              <w:right w:val="single" w:sz="8" w:color="70AD47"/>
            </w:tcBorders>
          </w:tcPr>
          <w:p>
            <w:pPr>
              <w:spacing w:after="0"/>
              <w:rPr>
                <w:sz w:val="3"/>
                <w:szCs w:val="3"/>
                <w:color w:val="auto"/>
              </w:rPr>
            </w:pPr>
          </w:p>
        </w:tc>
        <w:tc>
          <w:tcPr>
            <w:tcW w:w="1080" w:type="dxa"/>
            <w:vAlign w:val="bottom"/>
            <w:tcBorders>
              <w:right w:val="single" w:sz="8" w:color="70AD47"/>
            </w:tcBorders>
            <w:shd w:val="clear" w:color="auto" w:fill="C6E0B4"/>
          </w:tcPr>
          <w:p>
            <w:pPr>
              <w:spacing w:after="0"/>
              <w:rPr>
                <w:sz w:val="3"/>
                <w:szCs w:val="3"/>
                <w:color w:val="auto"/>
              </w:rPr>
            </w:pPr>
          </w:p>
        </w:tc>
        <w:tc>
          <w:tcPr>
            <w:tcW w:w="1060" w:type="dxa"/>
            <w:vAlign w:val="bottom"/>
            <w:tcBorders>
              <w:right w:val="single" w:sz="8" w:color="70AD47"/>
            </w:tcBorders>
            <w:vMerge w:val="continue"/>
            <w:shd w:val="clear" w:color="auto" w:fill="C6E0B4"/>
          </w:tcPr>
          <w:p>
            <w:pPr>
              <w:spacing w:after="0"/>
              <w:rPr>
                <w:sz w:val="3"/>
                <w:szCs w:val="3"/>
                <w:color w:val="auto"/>
              </w:rPr>
            </w:pPr>
          </w:p>
        </w:tc>
        <w:tc>
          <w:tcPr>
            <w:tcW w:w="1060" w:type="dxa"/>
            <w:vAlign w:val="bottom"/>
            <w:tcBorders>
              <w:right w:val="single" w:sz="8" w:color="70AD47"/>
            </w:tcBorders>
            <w:shd w:val="clear" w:color="auto" w:fill="C6E0B4"/>
          </w:tcPr>
          <w:p>
            <w:pPr>
              <w:spacing w:after="0"/>
              <w:rPr>
                <w:sz w:val="3"/>
                <w:szCs w:val="3"/>
                <w:color w:val="auto"/>
              </w:rPr>
            </w:pPr>
          </w:p>
        </w:tc>
        <w:tc>
          <w:tcPr>
            <w:tcW w:w="1080" w:type="dxa"/>
            <w:vAlign w:val="bottom"/>
            <w:tcBorders>
              <w:right w:val="single" w:sz="8" w:color="70AD47"/>
            </w:tcBorders>
            <w:shd w:val="clear" w:color="auto" w:fill="C6E0B4"/>
          </w:tcPr>
          <w:p>
            <w:pPr>
              <w:spacing w:after="0"/>
              <w:rPr>
                <w:sz w:val="3"/>
                <w:szCs w:val="3"/>
                <w:color w:val="auto"/>
              </w:rPr>
            </w:pPr>
          </w:p>
        </w:tc>
        <w:tc>
          <w:tcPr>
            <w:tcW w:w="1060" w:type="dxa"/>
            <w:vAlign w:val="bottom"/>
            <w:tcBorders>
              <w:right w:val="single" w:sz="8" w:color="70AD47"/>
            </w:tcBorders>
            <w:vMerge w:val="continue"/>
            <w:shd w:val="clear" w:color="auto" w:fill="C6E0B4"/>
          </w:tcPr>
          <w:p>
            <w:pPr>
              <w:spacing w:after="0"/>
              <w:rPr>
                <w:sz w:val="3"/>
                <w:szCs w:val="3"/>
                <w:color w:val="auto"/>
              </w:rPr>
            </w:pPr>
          </w:p>
        </w:tc>
        <w:tc>
          <w:tcPr>
            <w:tcW w:w="1060" w:type="dxa"/>
            <w:vAlign w:val="bottom"/>
            <w:tcBorders>
              <w:right w:val="single" w:sz="8" w:color="70AD47"/>
            </w:tcBorders>
            <w:shd w:val="clear" w:color="auto" w:fill="C6E0B4"/>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20" w:type="dxa"/>
            <w:vAlign w:val="bottom"/>
            <w:tcBorders>
              <w:right w:val="single" w:sz="8" w:color="70AD47"/>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760" w:type="dxa"/>
            <w:vAlign w:val="bottom"/>
            <w:tcBorders>
              <w:bottom w:val="single" w:sz="8" w:color="70AD47"/>
              <w:right w:val="single" w:sz="8" w:color="70AD47"/>
            </w:tcBorders>
          </w:tcPr>
          <w:p>
            <w:pPr>
              <w:spacing w:after="0"/>
              <w:rPr>
                <w:sz w:val="15"/>
                <w:szCs w:val="15"/>
                <w:color w:val="auto"/>
              </w:rPr>
            </w:pPr>
          </w:p>
        </w:tc>
        <w:tc>
          <w:tcPr>
            <w:tcW w:w="1080" w:type="dxa"/>
            <w:vAlign w:val="bottom"/>
            <w:tcBorders>
              <w:bottom w:val="single" w:sz="8" w:color="70AD47"/>
              <w:right w:val="single" w:sz="8" w:color="70AD47"/>
            </w:tcBorders>
            <w:shd w:val="clear" w:color="auto" w:fill="C6E0B4"/>
          </w:tcPr>
          <w:p>
            <w:pPr>
              <w:spacing w:after="0"/>
              <w:rPr>
                <w:sz w:val="15"/>
                <w:szCs w:val="15"/>
                <w:color w:val="auto"/>
              </w:rPr>
            </w:pPr>
          </w:p>
        </w:tc>
        <w:tc>
          <w:tcPr>
            <w:tcW w:w="1060" w:type="dxa"/>
            <w:vAlign w:val="bottom"/>
            <w:tcBorders>
              <w:bottom w:val="single" w:sz="8" w:color="70AD47"/>
              <w:right w:val="single" w:sz="8" w:color="70AD47"/>
            </w:tcBorders>
            <w:shd w:val="clear" w:color="auto" w:fill="C6E0B4"/>
          </w:tcPr>
          <w:p>
            <w:pPr>
              <w:spacing w:after="0"/>
              <w:rPr>
                <w:sz w:val="15"/>
                <w:szCs w:val="15"/>
                <w:color w:val="auto"/>
              </w:rPr>
            </w:pPr>
          </w:p>
        </w:tc>
        <w:tc>
          <w:tcPr>
            <w:tcW w:w="1060" w:type="dxa"/>
            <w:vAlign w:val="bottom"/>
            <w:tcBorders>
              <w:bottom w:val="single" w:sz="8" w:color="70AD47"/>
              <w:right w:val="single" w:sz="8" w:color="70AD47"/>
            </w:tcBorders>
            <w:shd w:val="clear" w:color="auto" w:fill="C6E0B4"/>
          </w:tcPr>
          <w:p>
            <w:pPr>
              <w:spacing w:after="0"/>
              <w:rPr>
                <w:sz w:val="15"/>
                <w:szCs w:val="15"/>
                <w:color w:val="auto"/>
              </w:rPr>
            </w:pPr>
          </w:p>
        </w:tc>
        <w:tc>
          <w:tcPr>
            <w:tcW w:w="1080" w:type="dxa"/>
            <w:vAlign w:val="bottom"/>
            <w:tcBorders>
              <w:bottom w:val="single" w:sz="8" w:color="70AD47"/>
              <w:right w:val="single" w:sz="8" w:color="70AD47"/>
            </w:tcBorders>
            <w:shd w:val="clear" w:color="auto" w:fill="C6E0B4"/>
          </w:tcPr>
          <w:p>
            <w:pPr>
              <w:spacing w:after="0"/>
              <w:rPr>
                <w:sz w:val="15"/>
                <w:szCs w:val="15"/>
                <w:color w:val="auto"/>
              </w:rPr>
            </w:pPr>
          </w:p>
        </w:tc>
        <w:tc>
          <w:tcPr>
            <w:tcW w:w="1060" w:type="dxa"/>
            <w:vAlign w:val="bottom"/>
            <w:tcBorders>
              <w:bottom w:val="single" w:sz="8" w:color="70AD47"/>
              <w:right w:val="single" w:sz="8" w:color="70AD47"/>
            </w:tcBorders>
            <w:shd w:val="clear" w:color="auto" w:fill="C6E0B4"/>
          </w:tcPr>
          <w:p>
            <w:pPr>
              <w:ind w:lef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60" w:type="dxa"/>
            <w:vAlign w:val="bottom"/>
            <w:tcBorders>
              <w:bottom w:val="single" w:sz="8" w:color="70AD47"/>
              <w:right w:val="single" w:sz="8" w:color="70AD47"/>
            </w:tcBorders>
            <w:shd w:val="clear" w:color="auto" w:fill="C6E0B4"/>
          </w:tcPr>
          <w:p>
            <w:pPr>
              <w:spacing w:after="0"/>
              <w:rPr>
                <w:sz w:val="15"/>
                <w:szCs w:val="15"/>
                <w:color w:val="auto"/>
              </w:rPr>
            </w:pPr>
          </w:p>
        </w:tc>
        <w:tc>
          <w:tcPr>
            <w:tcW w:w="1080" w:type="dxa"/>
            <w:vAlign w:val="bottom"/>
            <w:tcBorders>
              <w:bottom w:val="single" w:sz="8" w:color="70AD47"/>
              <w:right w:val="single" w:sz="8" w:color="70AD47"/>
            </w:tcBorders>
          </w:tcPr>
          <w:p>
            <w:pPr>
              <w:spacing w:after="0"/>
              <w:rPr>
                <w:sz w:val="15"/>
                <w:szCs w:val="15"/>
                <w:color w:val="auto"/>
              </w:rPr>
            </w:pPr>
          </w:p>
        </w:tc>
        <w:tc>
          <w:tcPr>
            <w:tcW w:w="1020" w:type="dxa"/>
            <w:vAlign w:val="bottom"/>
            <w:tcBorders>
              <w:bottom w:val="single" w:sz="8" w:color="70AD47"/>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6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08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8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60" w:type="dxa"/>
            <w:vAlign w:val="bottom"/>
            <w:tcBorders>
              <w:right w:val="single" w:sz="8" w:color="70AD47"/>
            </w:tcBorders>
            <w:shd w:val="clear" w:color="auto" w:fill="C6E0B4"/>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8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8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60" w:type="dxa"/>
            <w:vAlign w:val="bottom"/>
            <w:tcBorders>
              <w:right w:val="single" w:sz="8" w:color="70AD47"/>
            </w:tcBorders>
            <w:shd w:val="clear" w:color="auto" w:fill="C6E0B4"/>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2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Collaboration Revenues</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€60,740</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€11,543</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€41,112</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€113,395</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€113,395</w:t>
            </w: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Revenues from other sales transactions</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22,826</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23,488</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23,488</w:t>
            </w:r>
          </w:p>
        </w:tc>
        <w:tc>
          <w:tcPr>
            <w:tcW w:w="0" w:type="dxa"/>
            <w:vAlign w:val="bottom"/>
          </w:tcPr>
          <w:p>
            <w:pPr>
              <w:spacing w:after="0"/>
              <w:rPr>
                <w:sz w:val="1"/>
                <w:szCs w:val="1"/>
                <w:color w:val="auto"/>
              </w:rPr>
            </w:pPr>
          </w:p>
        </w:tc>
      </w:tr>
      <w:tr>
        <w:trPr>
          <w:trHeight w:val="293"/>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(16,897)</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(16,897)</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(18,344)</w:t>
            </w:r>
          </w:p>
        </w:tc>
        <w:tc>
          <w:tcPr>
            <w:tcW w:w="0" w:type="dxa"/>
            <w:vAlign w:val="bottom"/>
          </w:tcPr>
          <w:p>
            <w:pPr>
              <w:spacing w:after="0"/>
              <w:rPr>
                <w:sz w:val="1"/>
                <w:szCs w:val="1"/>
                <w:color w:val="auto"/>
              </w:rPr>
            </w:pPr>
          </w:p>
        </w:tc>
      </w:tr>
      <w:tr>
        <w:trPr>
          <w:trHeight w:val="250"/>
        </w:trPr>
        <w:tc>
          <w:tcPr>
            <w:tcW w:w="276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€61,059</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€11,854</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€41,144</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€5,929</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€119,986</w:t>
            </w:r>
          </w:p>
        </w:tc>
        <w:tc>
          <w:tcPr>
            <w:tcW w:w="108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€(1,447)</w:t>
            </w:r>
          </w:p>
        </w:tc>
        <w:tc>
          <w:tcPr>
            <w:tcW w:w="102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€118,539</w:t>
            </w:r>
          </w:p>
        </w:tc>
        <w:tc>
          <w:tcPr>
            <w:tcW w:w="0" w:type="dxa"/>
            <w:vAlign w:val="bottom"/>
          </w:tcPr>
          <w:p>
            <w:pPr>
              <w:spacing w:after="0"/>
              <w:rPr>
                <w:sz w:val="1"/>
                <w:szCs w:val="1"/>
                <w:color w:val="auto"/>
              </w:rPr>
            </w:pPr>
          </w:p>
        </w:tc>
      </w:tr>
      <w:tr>
        <w:trPr>
          <w:trHeight w:val="213"/>
        </w:trPr>
        <w:tc>
          <w:tcPr>
            <w:tcW w:w="2760" w:type="dxa"/>
            <w:vAlign w:val="bottom"/>
            <w:tcBorders>
              <w:top w:val="single" w:sz="8" w:color="70AD47"/>
              <w:right w:val="single" w:sz="8" w:color="70AD47"/>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Income / Expenses</w:t>
            </w:r>
          </w:p>
        </w:tc>
        <w:tc>
          <w:tcPr>
            <w:tcW w:w="108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8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60" w:type="dxa"/>
            <w:vAlign w:val="bottom"/>
            <w:tcBorders>
              <w:top w:val="single" w:sz="8" w:color="70AD47"/>
              <w:right w:val="single" w:sz="8" w:color="70AD47"/>
            </w:tcBorders>
            <w:shd w:val="clear" w:color="auto" w:fill="C6E0B4"/>
          </w:tcPr>
          <w:p>
            <w:pPr>
              <w:spacing w:after="0"/>
              <w:rPr>
                <w:sz w:val="18"/>
                <w:szCs w:val="18"/>
                <w:color w:val="auto"/>
              </w:rPr>
            </w:pPr>
          </w:p>
        </w:tc>
        <w:tc>
          <w:tcPr>
            <w:tcW w:w="1080" w:type="dxa"/>
            <w:vAlign w:val="bottom"/>
            <w:tcBorders>
              <w:top w:val="single" w:sz="8" w:color="70AD47"/>
              <w:right w:val="single" w:sz="8" w:color="70AD47"/>
            </w:tcBorders>
          </w:tcPr>
          <w:p>
            <w:pPr>
              <w:spacing w:after="0"/>
              <w:rPr>
                <w:sz w:val="18"/>
                <w:szCs w:val="18"/>
                <w:color w:val="auto"/>
              </w:rPr>
            </w:pPr>
          </w:p>
        </w:tc>
        <w:tc>
          <w:tcPr>
            <w:tcW w:w="1020" w:type="dxa"/>
            <w:vAlign w:val="bottom"/>
            <w:tcBorders>
              <w:top w:val="single" w:sz="8" w:color="70AD47"/>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(182,719)</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(113,740)</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(88,987)</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(389,462)</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(388,017)</w:t>
            </w:r>
          </w:p>
        </w:tc>
        <w:tc>
          <w:tcPr>
            <w:tcW w:w="0" w:type="dxa"/>
            <w:vAlign w:val="bottom"/>
          </w:tcPr>
          <w:p>
            <w:pPr>
              <w:spacing w:after="0"/>
              <w:rPr>
                <w:sz w:val="1"/>
                <w:szCs w:val="1"/>
                <w:color w:val="auto"/>
              </w:rPr>
            </w:pPr>
          </w:p>
        </w:tc>
      </w:tr>
      <w:tr>
        <w:trPr>
          <w:trHeight w:val="256"/>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(6,395)</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0" w:type="dxa"/>
            <w:vAlign w:val="bottom"/>
          </w:tcPr>
          <w:p>
            <w:pPr>
              <w:spacing w:after="0"/>
              <w:rPr>
                <w:sz w:val="1"/>
                <w:szCs w:val="1"/>
                <w:color w:val="auto"/>
              </w:rPr>
            </w:pPr>
          </w:p>
        </w:tc>
      </w:tr>
      <w:tr>
        <w:trPr>
          <w:trHeight w:val="257"/>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10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(52,215)</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0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(57,952)</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(57,952)</w:t>
            </w:r>
          </w:p>
        </w:tc>
        <w:tc>
          <w:tcPr>
            <w:tcW w:w="0" w:type="dxa"/>
            <w:vAlign w:val="bottom"/>
          </w:tcPr>
          <w:p>
            <w:pPr>
              <w:spacing w:after="0"/>
              <w:rPr>
                <w:sz w:val="1"/>
                <w:szCs w:val="1"/>
                <w:color w:val="auto"/>
              </w:rPr>
            </w:pPr>
          </w:p>
        </w:tc>
      </w:tr>
      <w:tr>
        <w:trPr>
          <w:trHeight w:val="293"/>
        </w:trPr>
        <w:tc>
          <w:tcPr>
            <w:tcW w:w="276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Other result</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0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color w:val="auto"/>
              </w:rPr>
              <w:t>8,640</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8,637</w:t>
            </w:r>
          </w:p>
        </w:tc>
        <w:tc>
          <w:tcPr>
            <w:tcW w:w="0" w:type="dxa"/>
            <w:vAlign w:val="bottom"/>
          </w:tcPr>
          <w:p>
            <w:pPr>
              <w:spacing w:after="0"/>
              <w:rPr>
                <w:sz w:val="1"/>
                <w:szCs w:val="1"/>
                <w:color w:val="auto"/>
              </w:rPr>
            </w:pPr>
          </w:p>
        </w:tc>
      </w:tr>
      <w:tr>
        <w:trPr>
          <w:trHeight w:val="230"/>
        </w:trPr>
        <w:tc>
          <w:tcPr>
            <w:tcW w:w="276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4"/>
                <w:szCs w:val="14"/>
                <w:b w:val="1"/>
                <w:bCs w:val="1"/>
                <w:color w:val="auto"/>
              </w:rPr>
              <w:t>Segment operating income / (loss)</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€(117,546)</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€(99,941)</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€(49,035)</w:t>
            </w:r>
          </w:p>
        </w:tc>
        <w:tc>
          <w:tcPr>
            <w:tcW w:w="10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€(61,909)</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€1,835</w:t>
            </w:r>
          </w:p>
        </w:tc>
        <w:tc>
          <w:tcPr>
            <w:tcW w:w="10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4"/>
                <w:szCs w:val="14"/>
                <w:b w:val="1"/>
                <w:bCs w:val="1"/>
                <w:color w:val="auto"/>
              </w:rPr>
              <w:t>€(326,596)</w:t>
            </w:r>
          </w:p>
        </w:tc>
        <w:tc>
          <w:tcPr>
            <w:tcW w:w="108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020" w:type="dxa"/>
            <w:vAlign w:val="bottom"/>
            <w:tcBorders>
              <w:top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€(326,601)</w:t>
            </w:r>
          </w:p>
        </w:tc>
        <w:tc>
          <w:tcPr>
            <w:tcW w:w="0" w:type="dxa"/>
            <w:vAlign w:val="bottom"/>
          </w:tcPr>
          <w:p>
            <w:pPr>
              <w:spacing w:after="0"/>
              <w:rPr>
                <w:sz w:val="1"/>
                <w:szCs w:val="1"/>
                <w:color w:val="auto"/>
              </w:rPr>
            </w:pPr>
          </w:p>
        </w:tc>
      </w:tr>
      <w:tr>
        <w:trPr>
          <w:trHeight w:val="20"/>
        </w:trPr>
        <w:tc>
          <w:tcPr>
            <w:tcW w:w="2760" w:type="dxa"/>
            <w:vAlign w:val="bottom"/>
            <w:tcBorders>
              <w:right w:val="single" w:sz="8" w:color="70AD47"/>
            </w:tcBorders>
            <w:shd w:val="clear" w:color="auto" w:fill="70AD47"/>
          </w:tcPr>
          <w:p>
            <w:pPr>
              <w:spacing w:after="0" w:line="20" w:lineRule="exact"/>
              <w:rPr>
                <w:sz w:val="1"/>
                <w:szCs w:val="1"/>
                <w:color w:val="auto"/>
              </w:rPr>
            </w:pPr>
          </w:p>
        </w:tc>
        <w:tc>
          <w:tcPr>
            <w:tcW w:w="1080" w:type="dxa"/>
            <w:vAlign w:val="bottom"/>
            <w:tcBorders>
              <w:right w:val="single" w:sz="8" w:color="70AD47"/>
            </w:tcBorders>
            <w:shd w:val="clear" w:color="auto" w:fill="70AD47"/>
          </w:tcPr>
          <w:p>
            <w:pPr>
              <w:spacing w:after="0" w:line="20" w:lineRule="exact"/>
              <w:rPr>
                <w:sz w:val="1"/>
                <w:szCs w:val="1"/>
                <w:color w:val="auto"/>
              </w:rPr>
            </w:pPr>
          </w:p>
        </w:tc>
        <w:tc>
          <w:tcPr>
            <w:tcW w:w="1060" w:type="dxa"/>
            <w:vAlign w:val="bottom"/>
            <w:tcBorders>
              <w:right w:val="single" w:sz="8" w:color="70AD47"/>
            </w:tcBorders>
            <w:shd w:val="clear" w:color="auto" w:fill="70AD47"/>
          </w:tcPr>
          <w:p>
            <w:pPr>
              <w:spacing w:after="0" w:line="20" w:lineRule="exact"/>
              <w:rPr>
                <w:sz w:val="1"/>
                <w:szCs w:val="1"/>
                <w:color w:val="auto"/>
              </w:rPr>
            </w:pPr>
          </w:p>
        </w:tc>
        <w:tc>
          <w:tcPr>
            <w:tcW w:w="1060" w:type="dxa"/>
            <w:vAlign w:val="bottom"/>
            <w:tcBorders>
              <w:right w:val="single" w:sz="8" w:color="70AD47"/>
            </w:tcBorders>
            <w:shd w:val="clear" w:color="auto" w:fill="70AD47"/>
          </w:tcPr>
          <w:p>
            <w:pPr>
              <w:spacing w:after="0" w:line="20" w:lineRule="exact"/>
              <w:rPr>
                <w:sz w:val="1"/>
                <w:szCs w:val="1"/>
                <w:color w:val="auto"/>
              </w:rPr>
            </w:pPr>
          </w:p>
        </w:tc>
        <w:tc>
          <w:tcPr>
            <w:tcW w:w="1080" w:type="dxa"/>
            <w:vAlign w:val="bottom"/>
            <w:tcBorders>
              <w:right w:val="single" w:sz="8" w:color="70AD47"/>
            </w:tcBorders>
            <w:shd w:val="clear" w:color="auto" w:fill="70AD47"/>
          </w:tcPr>
          <w:p>
            <w:pPr>
              <w:spacing w:after="0" w:line="20" w:lineRule="exact"/>
              <w:rPr>
                <w:sz w:val="1"/>
                <w:szCs w:val="1"/>
                <w:color w:val="auto"/>
              </w:rPr>
            </w:pPr>
          </w:p>
        </w:tc>
        <w:tc>
          <w:tcPr>
            <w:tcW w:w="1060" w:type="dxa"/>
            <w:vAlign w:val="bottom"/>
            <w:tcBorders>
              <w:right w:val="single" w:sz="8" w:color="70AD47"/>
            </w:tcBorders>
            <w:shd w:val="clear" w:color="auto" w:fill="70AD47"/>
          </w:tcPr>
          <w:p>
            <w:pPr>
              <w:spacing w:after="0" w:line="20" w:lineRule="exact"/>
              <w:rPr>
                <w:sz w:val="1"/>
                <w:szCs w:val="1"/>
                <w:color w:val="auto"/>
              </w:rPr>
            </w:pPr>
          </w:p>
        </w:tc>
        <w:tc>
          <w:tcPr>
            <w:tcW w:w="1060" w:type="dxa"/>
            <w:vAlign w:val="bottom"/>
            <w:tcBorders>
              <w:right w:val="single" w:sz="8" w:color="70AD47"/>
            </w:tcBorders>
            <w:shd w:val="clear" w:color="auto" w:fill="70AD47"/>
          </w:tcPr>
          <w:p>
            <w:pPr>
              <w:spacing w:after="0" w:line="20" w:lineRule="exact"/>
              <w:rPr>
                <w:sz w:val="1"/>
                <w:szCs w:val="1"/>
                <w:color w:val="auto"/>
              </w:rPr>
            </w:pPr>
          </w:p>
        </w:tc>
        <w:tc>
          <w:tcPr>
            <w:tcW w:w="1080" w:type="dxa"/>
            <w:vAlign w:val="bottom"/>
            <w:tcBorders>
              <w:right w:val="single" w:sz="8" w:color="70AD47"/>
            </w:tcBorders>
            <w:shd w:val="clear" w:color="auto" w:fill="70AD47"/>
          </w:tcPr>
          <w:p>
            <w:pPr>
              <w:spacing w:after="0" w:line="20" w:lineRule="exact"/>
              <w:rPr>
                <w:sz w:val="1"/>
                <w:szCs w:val="1"/>
                <w:color w:val="auto"/>
              </w:rPr>
            </w:pPr>
          </w:p>
        </w:tc>
        <w:tc>
          <w:tcPr>
            <w:tcW w:w="1020" w:type="dxa"/>
            <w:vAlign w:val="bottom"/>
            <w:tcBorders>
              <w:right w:val="single" w:sz="8" w:color="70AD47"/>
            </w:tcBorders>
            <w:shd w:val="clear" w:color="auto" w:fill="70AD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5"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754"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51"/>
        </w:trPr>
        <w:tc>
          <w:tcPr>
            <w:tcW w:w="2740" w:type="dxa"/>
            <w:vAlign w:val="bottom"/>
            <w:tcBorders>
              <w:right w:val="single" w:sz="8" w:color="70AD47"/>
            </w:tcBorders>
          </w:tcPr>
          <w:p>
            <w:pPr>
              <w:spacing w:after="0"/>
              <w:rPr>
                <w:sz w:val="13"/>
                <w:szCs w:val="13"/>
                <w:color w:val="auto"/>
              </w:rPr>
            </w:pPr>
          </w:p>
        </w:tc>
        <w:tc>
          <w:tcPr>
            <w:tcW w:w="1060" w:type="dxa"/>
            <w:vAlign w:val="bottom"/>
            <w:tcBorders>
              <w:top w:val="single" w:sz="8" w:color="70AD47"/>
            </w:tcBorders>
          </w:tcPr>
          <w:p>
            <w:pPr>
              <w:spacing w:after="0"/>
              <w:rPr>
                <w:sz w:val="13"/>
                <w:szCs w:val="13"/>
                <w:color w:val="auto"/>
              </w:rPr>
            </w:pPr>
          </w:p>
        </w:tc>
        <w:tc>
          <w:tcPr>
            <w:tcW w:w="1060" w:type="dxa"/>
            <w:vAlign w:val="bottom"/>
            <w:tcBorders>
              <w:top w:val="single" w:sz="8" w:color="70AD47"/>
            </w:tcBorders>
          </w:tcPr>
          <w:p>
            <w:pPr>
              <w:spacing w:after="0"/>
              <w:rPr>
                <w:sz w:val="13"/>
                <w:szCs w:val="13"/>
                <w:color w:val="auto"/>
              </w:rPr>
            </w:pPr>
          </w:p>
        </w:tc>
        <w:tc>
          <w:tcPr>
            <w:tcW w:w="1060" w:type="dxa"/>
            <w:vAlign w:val="bottom"/>
            <w:tcBorders>
              <w:top w:val="single" w:sz="8" w:color="70AD47"/>
            </w:tcBorders>
          </w:tcPr>
          <w:p>
            <w:pPr>
              <w:spacing w:after="0"/>
              <w:rPr>
                <w:sz w:val="13"/>
                <w:szCs w:val="13"/>
                <w:color w:val="auto"/>
              </w:rPr>
            </w:pPr>
          </w:p>
        </w:tc>
        <w:tc>
          <w:tcPr>
            <w:tcW w:w="1080" w:type="dxa"/>
            <w:vAlign w:val="bottom"/>
            <w:tcBorders>
              <w:top w:val="single" w:sz="8" w:color="70AD47"/>
              <w:right w:val="single" w:sz="8" w:color="70AD47"/>
            </w:tcBorders>
          </w:tcPr>
          <w:p>
            <w:pPr>
              <w:spacing w:after="0"/>
              <w:rPr>
                <w:sz w:val="13"/>
                <w:szCs w:val="13"/>
                <w:color w:val="auto"/>
              </w:rPr>
            </w:pPr>
          </w:p>
        </w:tc>
        <w:tc>
          <w:tcPr>
            <w:tcW w:w="1060" w:type="dxa"/>
            <w:vAlign w:val="bottom"/>
            <w:tcBorders>
              <w:top w:val="single" w:sz="8" w:color="70AD47"/>
              <w:right w:val="single" w:sz="8" w:color="70AD47"/>
            </w:tcBorders>
          </w:tcPr>
          <w:p>
            <w:pPr>
              <w:jc w:val="right"/>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Borders>
              <w:right w:val="single" w:sz="8" w:color="70AD47"/>
            </w:tcBorders>
          </w:tcPr>
          <w:p>
            <w:pPr>
              <w:spacing w:after="0"/>
              <w:rPr>
                <w:sz w:val="12"/>
                <w:szCs w:val="12"/>
                <w:color w:val="auto"/>
              </w:rPr>
            </w:pPr>
          </w:p>
        </w:tc>
        <w:tc>
          <w:tcPr>
            <w:tcW w:w="1060" w:type="dxa"/>
            <w:vAlign w:val="bottom"/>
          </w:tcPr>
          <w:p>
            <w:pPr>
              <w:spacing w:after="0"/>
              <w:rPr>
                <w:sz w:val="12"/>
                <w:szCs w:val="12"/>
                <w:color w:val="auto"/>
              </w:rPr>
            </w:pPr>
          </w:p>
        </w:tc>
        <w:tc>
          <w:tcPr>
            <w:tcW w:w="2120" w:type="dxa"/>
            <w:vAlign w:val="bottom"/>
            <w:gridSpan w:val="2"/>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Biotech Business Unit</w:t>
            </w:r>
          </w:p>
        </w:tc>
        <w:tc>
          <w:tcPr>
            <w:tcW w:w="1080" w:type="dxa"/>
            <w:vAlign w:val="bottom"/>
            <w:tcBorders>
              <w:right w:val="single" w:sz="8" w:color="70AD47"/>
            </w:tcBorders>
          </w:tcPr>
          <w:p>
            <w:pPr>
              <w:spacing w:after="0"/>
              <w:rPr>
                <w:sz w:val="12"/>
                <w:szCs w:val="12"/>
                <w:color w:val="auto"/>
              </w:rPr>
            </w:pPr>
          </w:p>
        </w:tc>
        <w:tc>
          <w:tcPr>
            <w:tcW w:w="1060" w:type="dxa"/>
            <w:vAlign w:val="bottom"/>
            <w:tcBorders>
              <w:right w:val="single" w:sz="8" w:color="70AD47"/>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740" w:type="dxa"/>
            <w:vAlign w:val="bottom"/>
            <w:tcBorders>
              <w:right w:val="single" w:sz="8" w:color="70AD47"/>
            </w:tcBorders>
          </w:tcPr>
          <w:p>
            <w:pPr>
              <w:spacing w:after="0"/>
              <w:rPr>
                <w:sz w:val="9"/>
                <w:szCs w:val="9"/>
                <w:color w:val="auto"/>
              </w:rPr>
            </w:pPr>
          </w:p>
        </w:tc>
        <w:tc>
          <w:tcPr>
            <w:tcW w:w="106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080" w:type="dxa"/>
            <w:vAlign w:val="bottom"/>
            <w:tcBorders>
              <w:right w:val="single" w:sz="8" w:color="70AD47"/>
            </w:tcBorders>
          </w:tcPr>
          <w:p>
            <w:pPr>
              <w:spacing w:after="0"/>
              <w:rPr>
                <w:sz w:val="9"/>
                <w:szCs w:val="9"/>
                <w:color w:val="auto"/>
              </w:rPr>
            </w:pPr>
          </w:p>
        </w:tc>
        <w:tc>
          <w:tcPr>
            <w:tcW w:w="1060" w:type="dxa"/>
            <w:vAlign w:val="bottom"/>
            <w:tcBorders>
              <w:right w:val="single" w:sz="8" w:color="70AD47"/>
            </w:tcBorders>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740" w:type="dxa"/>
            <w:vAlign w:val="bottom"/>
            <w:tcBorders>
              <w:right w:val="single" w:sz="8" w:color="70AD47"/>
            </w:tcBorders>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tcBorders>
          </w:tcPr>
          <w:p>
            <w:pPr>
              <w:spacing w:after="0"/>
              <w:rPr>
                <w:sz w:val="15"/>
                <w:szCs w:val="15"/>
                <w:color w:val="auto"/>
              </w:rPr>
            </w:pPr>
          </w:p>
        </w:tc>
        <w:tc>
          <w:tcPr>
            <w:tcW w:w="1060" w:type="dxa"/>
            <w:vAlign w:val="bottom"/>
            <w:tcBorders>
              <w:bottom w:val="single" w:sz="8" w:color="70AD47"/>
            </w:tcBorders>
          </w:tcPr>
          <w:p>
            <w:pPr>
              <w:spacing w:after="0"/>
              <w:rPr>
                <w:sz w:val="15"/>
                <w:szCs w:val="15"/>
                <w:color w:val="auto"/>
              </w:rPr>
            </w:pPr>
          </w:p>
        </w:tc>
        <w:tc>
          <w:tcPr>
            <w:tcW w:w="1060" w:type="dxa"/>
            <w:vAlign w:val="bottom"/>
            <w:tcBorders>
              <w:bottom w:val="single" w:sz="8" w:color="70AD47"/>
            </w:tcBorders>
          </w:tcPr>
          <w:p>
            <w:pPr>
              <w:spacing w:after="0"/>
              <w:rPr>
                <w:sz w:val="15"/>
                <w:szCs w:val="15"/>
                <w:color w:val="auto"/>
              </w:rPr>
            </w:pPr>
          </w:p>
        </w:tc>
        <w:tc>
          <w:tcPr>
            <w:tcW w:w="108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060" w:type="dxa"/>
            <w:vAlign w:val="bottom"/>
            <w:tcBorders>
              <w:bottom w:val="single" w:sz="8" w:color="70AD47"/>
            </w:tcBorders>
          </w:tcPr>
          <w:p>
            <w:pPr>
              <w:spacing w:after="0"/>
              <w:rPr>
                <w:sz w:val="15"/>
                <w:szCs w:val="15"/>
                <w:color w:val="auto"/>
              </w:rPr>
            </w:pPr>
          </w:p>
        </w:tc>
        <w:tc>
          <w:tcPr>
            <w:tcW w:w="1080" w:type="dxa"/>
            <w:vAlign w:val="bottom"/>
            <w:tcBorders>
              <w:bottom w:val="single" w:sz="8" w:color="70AD47"/>
            </w:tcBorders>
          </w:tcPr>
          <w:p>
            <w:pPr>
              <w:spacing w:after="0"/>
              <w:rPr>
                <w:sz w:val="15"/>
                <w:szCs w:val="15"/>
                <w:color w:val="auto"/>
              </w:rPr>
            </w:pPr>
          </w:p>
        </w:tc>
        <w:tc>
          <w:tcPr>
            <w:tcW w:w="1060" w:type="dxa"/>
            <w:vAlign w:val="bottom"/>
            <w:tcBorders>
              <w:bottom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4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060" w:type="dxa"/>
            <w:vAlign w:val="bottom"/>
            <w:tcBorders>
              <w:right w:val="single" w:sz="8" w:color="70AD47"/>
            </w:tcBorders>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060" w:type="dxa"/>
            <w:vAlign w:val="bottom"/>
            <w:tcBorders>
              <w:right w:val="single" w:sz="8" w:color="70AD47"/>
            </w:tcBorders>
          </w:tcPr>
          <w:p>
            <w:pPr>
              <w:spacing w:after="0"/>
              <w:rPr>
                <w:sz w:val="11"/>
                <w:szCs w:val="11"/>
                <w:color w:val="auto"/>
              </w:rPr>
            </w:pPr>
          </w:p>
        </w:tc>
        <w:tc>
          <w:tcPr>
            <w:tcW w:w="1080" w:type="dxa"/>
            <w:vAlign w:val="bottom"/>
            <w:tcBorders>
              <w:right w:val="single" w:sz="8" w:color="70AD47"/>
            </w:tcBorders>
          </w:tcPr>
          <w:p>
            <w:pPr>
              <w:spacing w:after="0"/>
              <w:rPr>
                <w:sz w:val="11"/>
                <w:szCs w:val="11"/>
                <w:color w:val="auto"/>
              </w:rPr>
            </w:pPr>
          </w:p>
        </w:tc>
        <w:tc>
          <w:tcPr>
            <w:tcW w:w="1060" w:type="dxa"/>
            <w:vAlign w:val="bottom"/>
            <w:tcBorders>
              <w:right w:val="single" w:sz="8" w:color="70AD47"/>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right w:val="single" w:sz="8" w:color="70AD47"/>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060" w:type="dxa"/>
            <w:vAlign w:val="bottom"/>
            <w:tcBorders>
              <w:right w:val="single" w:sz="8" w:color="70AD47"/>
            </w:tcBorders>
            <w:vMerge w:val="continue"/>
          </w:tcPr>
          <w:p>
            <w:pPr>
              <w:spacing w:after="0"/>
              <w:rPr>
                <w:sz w:val="12"/>
                <w:szCs w:val="12"/>
                <w:color w:val="auto"/>
              </w:rPr>
            </w:pPr>
          </w:p>
        </w:tc>
        <w:tc>
          <w:tcPr>
            <w:tcW w:w="1060" w:type="dxa"/>
            <w:vAlign w:val="bottom"/>
            <w:tcBorders>
              <w:right w:val="single" w:sz="8" w:color="70AD47"/>
            </w:tcBorders>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08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Business Service</w:t>
            </w:r>
          </w:p>
        </w:tc>
        <w:tc>
          <w:tcPr>
            <w:tcW w:w="1060" w:type="dxa"/>
            <w:vAlign w:val="bottom"/>
            <w:tcBorders>
              <w:right w:val="single" w:sz="8" w:color="70AD47"/>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Sales &amp;</w:t>
            </w:r>
          </w:p>
        </w:tc>
        <w:tc>
          <w:tcPr>
            <w:tcW w:w="1060" w:type="dxa"/>
            <w:vAlign w:val="bottom"/>
            <w:tcBorders>
              <w:right w:val="single" w:sz="8" w:color="70AD47"/>
            </w:tcBorders>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Borders>
              <w:right w:val="single" w:sz="8" w:color="70AD47"/>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60" w:type="dxa"/>
            <w:vAlign w:val="bottom"/>
            <w:tcBorders>
              <w:right w:val="single" w:sz="8" w:color="70AD47"/>
            </w:tcBorders>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09"/>
        </w:trPr>
        <w:tc>
          <w:tcPr>
            <w:tcW w:w="274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Platform</w:t>
            </w:r>
          </w:p>
        </w:tc>
        <w:tc>
          <w:tcPr>
            <w:tcW w:w="1060" w:type="dxa"/>
            <w:vAlign w:val="bottom"/>
            <w:tcBorders>
              <w:right w:val="single" w:sz="8" w:color="70AD47"/>
            </w:tcBorders>
            <w:vMerge w:val="continue"/>
          </w:tcPr>
          <w:p>
            <w:pPr>
              <w:spacing w:after="0"/>
              <w:rPr>
                <w:sz w:val="9"/>
                <w:szCs w:val="9"/>
                <w:color w:val="auto"/>
              </w:rPr>
            </w:pPr>
          </w:p>
        </w:tc>
        <w:tc>
          <w:tcPr>
            <w:tcW w:w="108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External</w:t>
            </w:r>
          </w:p>
        </w:tc>
        <w:tc>
          <w:tcPr>
            <w:tcW w:w="1060" w:type="dxa"/>
            <w:vAlign w:val="bottom"/>
            <w:tcBorders>
              <w:right w:val="single" w:sz="8" w:color="70AD47"/>
            </w:tcBorders>
            <w:vMerge w:val="continue"/>
          </w:tcPr>
          <w:p>
            <w:pPr>
              <w:spacing w:after="0"/>
              <w:rPr>
                <w:sz w:val="9"/>
                <w:szCs w:val="9"/>
                <w:color w:val="auto"/>
              </w:rPr>
            </w:pPr>
          </w:p>
        </w:tc>
        <w:tc>
          <w:tcPr>
            <w:tcW w:w="1080" w:type="dxa"/>
            <w:vAlign w:val="bottom"/>
            <w:tcBorders>
              <w:right w:val="single" w:sz="8" w:color="70AD47"/>
            </w:tcBorders>
            <w:vMerge w:val="continue"/>
          </w:tcPr>
          <w:p>
            <w:pPr>
              <w:spacing w:after="0"/>
              <w:rPr>
                <w:sz w:val="9"/>
                <w:szCs w:val="9"/>
                <w:color w:val="auto"/>
              </w:rPr>
            </w:pPr>
          </w:p>
        </w:tc>
        <w:tc>
          <w:tcPr>
            <w:tcW w:w="1060" w:type="dxa"/>
            <w:vAlign w:val="bottom"/>
            <w:tcBorders>
              <w:right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74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vMerge w:val="continue"/>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1080" w:type="dxa"/>
            <w:vAlign w:val="bottom"/>
            <w:tcBorders>
              <w:right w:val="single" w:sz="8" w:color="70AD47"/>
            </w:tcBorders>
          </w:tcPr>
          <w:p>
            <w:pPr>
              <w:spacing w:after="0"/>
              <w:rPr>
                <w:sz w:val="3"/>
                <w:szCs w:val="3"/>
                <w:color w:val="auto"/>
              </w:rPr>
            </w:pPr>
          </w:p>
        </w:tc>
        <w:tc>
          <w:tcPr>
            <w:tcW w:w="1060" w:type="dxa"/>
            <w:vAlign w:val="bottom"/>
            <w:tcBorders>
              <w:right w:val="single" w:sz="8" w:color="70AD47"/>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74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spacing w:after="0"/>
              <w:rPr>
                <w:sz w:val="15"/>
                <w:szCs w:val="15"/>
                <w:color w:val="auto"/>
              </w:rPr>
            </w:pPr>
          </w:p>
        </w:tc>
        <w:tc>
          <w:tcPr>
            <w:tcW w:w="108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60" w:type="dxa"/>
            <w:vAlign w:val="bottom"/>
            <w:tcBorders>
              <w:bottom w:val="single" w:sz="8" w:color="70AD47"/>
              <w:right w:val="single" w:sz="8" w:color="70AD47"/>
            </w:tcBorders>
          </w:tcPr>
          <w:p>
            <w:pPr>
              <w:spacing w:after="0"/>
              <w:rPr>
                <w:sz w:val="15"/>
                <w:szCs w:val="15"/>
                <w:color w:val="auto"/>
              </w:rPr>
            </w:pPr>
          </w:p>
        </w:tc>
        <w:tc>
          <w:tcPr>
            <w:tcW w:w="1080" w:type="dxa"/>
            <w:vAlign w:val="bottom"/>
            <w:tcBorders>
              <w:bottom w:val="single" w:sz="8" w:color="70AD47"/>
              <w:right w:val="single" w:sz="8" w:color="70AD47"/>
            </w:tcBorders>
          </w:tcPr>
          <w:p>
            <w:pPr>
              <w:spacing w:after="0"/>
              <w:rPr>
                <w:sz w:val="15"/>
                <w:szCs w:val="15"/>
                <w:color w:val="auto"/>
              </w:rPr>
            </w:pPr>
          </w:p>
        </w:tc>
        <w:tc>
          <w:tcPr>
            <w:tcW w:w="1060" w:type="dxa"/>
            <w:vAlign w:val="bottom"/>
            <w:tcBorders>
              <w:bottom w:val="single" w:sz="8" w:color="70AD47"/>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4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6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1080" w:type="dxa"/>
            <w:vAlign w:val="bottom"/>
            <w:tcBorders>
              <w:right w:val="single" w:sz="8" w:color="70AD47"/>
            </w:tcBorders>
          </w:tcPr>
          <w:p>
            <w:pPr>
              <w:spacing w:after="0"/>
              <w:rPr>
                <w:sz w:val="22"/>
                <w:szCs w:val="22"/>
                <w:color w:val="auto"/>
              </w:rPr>
            </w:pPr>
          </w:p>
        </w:tc>
        <w:tc>
          <w:tcPr>
            <w:tcW w:w="106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Collaboration Revenues</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€25,605</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€36,683</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€64,260</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€64,260</w:t>
            </w:r>
          </w:p>
        </w:tc>
        <w:tc>
          <w:tcPr>
            <w:tcW w:w="0" w:type="dxa"/>
            <w:vAlign w:val="bottom"/>
          </w:tcPr>
          <w:p>
            <w:pPr>
              <w:spacing w:after="0"/>
              <w:rPr>
                <w:sz w:val="1"/>
                <w:szCs w:val="1"/>
                <w:color w:val="auto"/>
              </w:rPr>
            </w:pPr>
          </w:p>
        </w:tc>
      </w:tr>
      <w:tr>
        <w:trPr>
          <w:trHeight w:val="256"/>
        </w:trPr>
        <w:tc>
          <w:tcPr>
            <w:tcW w:w="274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Revenues from other sales transactions</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15,726</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16,341</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16,341</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(12,770)</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(12,770)</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(12,925)</w:t>
            </w:r>
          </w:p>
        </w:tc>
        <w:tc>
          <w:tcPr>
            <w:tcW w:w="0" w:type="dxa"/>
            <w:vAlign w:val="bottom"/>
          </w:tcPr>
          <w:p>
            <w:pPr>
              <w:spacing w:after="0"/>
              <w:rPr>
                <w:sz w:val="1"/>
                <w:szCs w:val="1"/>
                <w:color w:val="auto"/>
              </w:rPr>
            </w:pPr>
          </w:p>
        </w:tc>
      </w:tr>
      <w:tr>
        <w:trPr>
          <w:trHeight w:val="37"/>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74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€25,605</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€2,577</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€36,685</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€2,956</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€67,831</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€67,676</w:t>
            </w:r>
          </w:p>
        </w:tc>
        <w:tc>
          <w:tcPr>
            <w:tcW w:w="0" w:type="dxa"/>
            <w:vAlign w:val="bottom"/>
          </w:tcPr>
          <w:p>
            <w:pPr>
              <w:spacing w:after="0"/>
              <w:rPr>
                <w:sz w:val="1"/>
                <w:szCs w:val="1"/>
                <w:color w:val="auto"/>
              </w:rPr>
            </w:pPr>
          </w:p>
        </w:tc>
      </w:tr>
      <w:tr>
        <w:trPr>
          <w:trHeight w:val="37"/>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74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Income / Expenses</w:t>
            </w: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1080" w:type="dxa"/>
            <w:vAlign w:val="bottom"/>
            <w:tcBorders>
              <w:right w:val="single" w:sz="8" w:color="70AD47"/>
            </w:tcBorders>
          </w:tcPr>
          <w:p>
            <w:pPr>
              <w:spacing w:after="0"/>
              <w:rPr>
                <w:sz w:val="18"/>
                <w:szCs w:val="18"/>
                <w:color w:val="auto"/>
              </w:rPr>
            </w:pPr>
          </w:p>
        </w:tc>
        <w:tc>
          <w:tcPr>
            <w:tcW w:w="106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(65,634)</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(52,503)</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(38,905)</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(3,732)</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(161,194)</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(161,039)</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0" w:type="dxa"/>
            <w:vAlign w:val="bottom"/>
          </w:tcPr>
          <w:p>
            <w:pPr>
              <w:spacing w:after="0"/>
              <w:rPr>
                <w:sz w:val="1"/>
                <w:szCs w:val="1"/>
                <w:color w:val="auto"/>
              </w:rPr>
            </w:pPr>
          </w:p>
        </w:tc>
      </w:tr>
      <w:tr>
        <w:trPr>
          <w:trHeight w:val="256"/>
        </w:trPr>
        <w:tc>
          <w:tcPr>
            <w:tcW w:w="274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(29,398)</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(2,204)</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(34,343)</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(34,481)</w:t>
            </w:r>
          </w:p>
        </w:tc>
        <w:tc>
          <w:tcPr>
            <w:tcW w:w="0" w:type="dxa"/>
            <w:vAlign w:val="bottom"/>
          </w:tcPr>
          <w:p>
            <w:pPr>
              <w:spacing w:after="0"/>
              <w:rPr>
                <w:sz w:val="1"/>
                <w:szCs w:val="1"/>
                <w:color w:val="auto"/>
              </w:rPr>
            </w:pPr>
          </w:p>
        </w:tc>
      </w:tr>
      <w:tr>
        <w:trPr>
          <w:trHeight w:val="257"/>
        </w:trPr>
        <w:tc>
          <w:tcPr>
            <w:tcW w:w="274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4"/>
                <w:szCs w:val="14"/>
                <w:color w:val="auto"/>
              </w:rPr>
              <w:t>Other result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0" w:type="dxa"/>
            <w:vAlign w:val="bottom"/>
          </w:tcPr>
          <w:p>
            <w:pPr>
              <w:spacing w:after="0"/>
              <w:rPr>
                <w:sz w:val="1"/>
                <w:szCs w:val="1"/>
                <w:color w:val="auto"/>
              </w:rPr>
            </w:pPr>
          </w:p>
        </w:tc>
      </w:tr>
      <w:tr>
        <w:trPr>
          <w:trHeight w:val="37"/>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74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4"/>
                <w:szCs w:val="14"/>
                <w:b w:val="1"/>
                <w:bCs w:val="1"/>
                <w:color w:val="auto"/>
              </w:rPr>
              <w:t>Segment operating loss</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€(39,722)</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€(49,537)</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€(4,919)</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€(33,985)</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€(274)</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€(128,437)</w:t>
            </w:r>
          </w:p>
        </w:tc>
        <w:tc>
          <w:tcPr>
            <w:tcW w:w="108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10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€(128,575)</w:t>
            </w:r>
          </w:p>
        </w:tc>
        <w:tc>
          <w:tcPr>
            <w:tcW w:w="0" w:type="dxa"/>
            <w:vAlign w:val="bottom"/>
          </w:tcPr>
          <w:p>
            <w:pPr>
              <w:spacing w:after="0"/>
              <w:rPr>
                <w:sz w:val="1"/>
                <w:szCs w:val="1"/>
                <w:color w:val="auto"/>
              </w:rPr>
            </w:pPr>
          </w:p>
        </w:tc>
      </w:tr>
      <w:tr>
        <w:trPr>
          <w:trHeight w:val="37"/>
        </w:trPr>
        <w:tc>
          <w:tcPr>
            <w:tcW w:w="274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1080" w:type="dxa"/>
            <w:vAlign w:val="bottom"/>
            <w:tcBorders>
              <w:bottom w:val="single" w:sz="8" w:color="70AD47"/>
              <w:right w:val="single" w:sz="8" w:color="70AD47"/>
            </w:tcBorders>
          </w:tcPr>
          <w:p>
            <w:pPr>
              <w:spacing w:after="0"/>
              <w:rPr>
                <w:sz w:val="3"/>
                <w:szCs w:val="3"/>
                <w:color w:val="auto"/>
              </w:rPr>
            </w:pPr>
          </w:p>
        </w:tc>
        <w:tc>
          <w:tcPr>
            <w:tcW w:w="1060" w:type="dxa"/>
            <w:vAlign w:val="bottom"/>
            <w:tcBorders>
              <w:bottom w:val="single" w:sz="8" w:color="70AD47"/>
              <w:right w:val="single" w:sz="8" w:color="70AD47"/>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segments are managed based on external sales and operating profit/loss, which represents the operating profit/loss incurred within each segment. Segment figures are reported consolidated, which reflects the way management steers the business.</w:t>
      </w:r>
    </w:p>
    <w:p>
      <w:pPr>
        <w:spacing w:after="0" w:line="15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BioNTech’s internal reporting is generally in accordance with IFRS and in line with the Group’s accounting policies, except for deviations in classification between cost of sales and research and development cost. In order to reconcile the segment figures to the Group’s unaudited interim condensed consolidated financial statements, some of the research and development expenses are reclassified to cost of sales. Whenever revenues are attributable to different segments, these revenues are split based on the cost incurred. Internal overhead costs are allocated to segments based on revenues when they are directly attributable to a service rendered. Sales and marketing expenses, general and administrative expenses and other results that are not directly attributable to one of the segments are allocated to Business Service.</w:t>
      </w:r>
    </w:p>
    <w:p>
      <w:pPr>
        <w:spacing w:after="0" w:line="18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Revenue at BioNTech is differentiated between revenues resulting from collaboration and license agreements and revenues from other sales transactions. The Company collaborates with pharmaceutical and healthcare companies and several global academic collaborators. During the three and nine months ended September 30, 2020, revenue generated from the Genentech, Inc., or Genentech, and Pfizer collaboration agreements each represented more than 10% of BioNTech’s overall revenue from collaboration and license agreements. Revenues were partly recorded in the Clinical and the Manufacturing segment and, with respect to Pfizer, in the Technology Platform segment as well. During the three and nine months ended September 30, 2019, revenue generated from the Genentech and Pfizer collaboration agreements represented more than 10% of BioNTech’s overall revenue from collaboration and license agreements. Revenues were recorded in the Clinical segment and, with respect to Genentech, also in the Manufacturing segment. Total amounts of revenues from these collaboration and license agreements in the periods presented are disclosed in Note 4.</w:t>
      </w:r>
    </w:p>
    <w:p>
      <w:pPr>
        <w:spacing w:after="0" w:line="18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Revenues from other sales transactions are from the sale of medical products (e.g., peptides and retroviral vectors) for clinical supply. Research and development activities are managed on a worldwide basis while manufacturing facilities and sales offices are located and managed in Germany. External sales originate in Germany.</w:t>
      </w:r>
    </w:p>
    <w:p>
      <w:pPr>
        <w:spacing w:after="0" w:line="18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754" w:right="319" w:bottom="1440" w:gutter="0" w:footer="0" w:header="0"/>
        </w:sectPr>
      </w:pPr>
    </w:p>
    <w:bookmarkStart w:id="17" w:name="page18"/>
    <w:bookmarkEnd w:id="17"/>
    <w:p>
      <w:pPr>
        <w:ind w:left="720" w:hanging="712"/>
        <w:spacing w:after="0"/>
        <w:tabs>
          <w:tab w:leader="none" w:pos="720" w:val="left"/>
        </w:tabs>
        <w:numPr>
          <w:ilvl w:val="0"/>
          <w:numId w:val="7"/>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Revenues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Disaggregated revenue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Set out below is the disaggregation of the Group’s revenues from contracts with customers: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18"/>
                <w:szCs w:val="18"/>
                <w:color w:val="auto"/>
              </w:rPr>
            </w:pPr>
          </w:p>
        </w:tc>
        <w:tc>
          <w:tcPr>
            <w:tcW w:w="24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70AD47"/>
            </w:tcBorders>
            <w:vMerge w:val="continue"/>
          </w:tcPr>
          <w:p>
            <w:pPr>
              <w:spacing w:after="0"/>
              <w:rPr>
                <w:sz w:val="19"/>
                <w:szCs w:val="19"/>
                <w:color w:val="auto"/>
              </w:rPr>
            </w:pP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vMerge w:val="continue"/>
          </w:tcPr>
          <w:p>
            <w:pPr>
              <w:spacing w:after="0"/>
              <w:rPr>
                <w:sz w:val="19"/>
                <w:szCs w:val="19"/>
                <w:color w:val="auto"/>
              </w:rPr>
            </w:pP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Borders>
              <w:bottom w:val="single" w:sz="8" w:color="70AD47"/>
            </w:tcBorders>
          </w:tcPr>
          <w:p>
            <w:pPr>
              <w:spacing w:after="0"/>
              <w:rPr>
                <w:sz w:val="19"/>
                <w:szCs w:val="19"/>
                <w:color w:val="auto"/>
              </w:rPr>
            </w:pPr>
          </w:p>
        </w:tc>
        <w:tc>
          <w:tcPr>
            <w:tcW w:w="720" w:type="dxa"/>
            <w:vAlign w:val="bottom"/>
            <w:tcBorders>
              <w:bottom w:val="single" w:sz="8" w:color="70AD47"/>
            </w:tcBorders>
            <w:vMerge w:val="continue"/>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Revenues resulting from collaboration and license agreements</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€59,649</w:t>
            </w:r>
          </w:p>
        </w:tc>
        <w:tc>
          <w:tcPr>
            <w:tcW w:w="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€113,395</w:t>
            </w: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€64,260</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Pfizer Inc.</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i w:val="1"/>
                <w:iCs w:val="1"/>
                <w:color w:val="auto"/>
              </w:rPr>
              <w:t>45,643</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3,587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i w:val="1"/>
                <w:iCs w:val="1"/>
                <w:color w:val="auto"/>
              </w:rPr>
              <w:t>69,843</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10,761</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Genentech Inc.</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i w:val="1"/>
                <w:iCs w:val="1"/>
                <w:color w:val="auto"/>
              </w:rPr>
              <w:t>11,991</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16,677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i w:val="1"/>
                <w:iCs w:val="1"/>
                <w:color w:val="auto"/>
              </w:rPr>
              <w:t>38,877</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47,620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Shanghai Fosun Pharmaceutical (Group) Co., Ltd</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i w:val="1"/>
                <w:iCs w:val="1"/>
                <w:color w:val="auto"/>
              </w:rPr>
              <w:t>1,697</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i w:val="1"/>
                <w:iCs w:val="1"/>
                <w:color w:val="auto"/>
              </w:rPr>
              <w:t>2,598</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Sanofi S.A.</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i w:val="1"/>
                <w:iCs w:val="1"/>
                <w:color w:val="auto"/>
              </w:rPr>
              <w:t>318</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152</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i w:val="1"/>
                <w:iCs w:val="1"/>
                <w:color w:val="auto"/>
              </w:rPr>
              <w:t>2,077</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4,058</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Eli Lilly and Company</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8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1,821</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8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1,821</w:t>
            </w:r>
          </w:p>
        </w:tc>
        <w:tc>
          <w:tcPr>
            <w:tcW w:w="20" w:type="dxa"/>
            <w:vAlign w:val="bottom"/>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6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color w:val="auto"/>
              </w:rPr>
              <w:t>Revenues from other sales transactions</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8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820" w:type="dxa"/>
            <w:vAlign w:val="bottom"/>
            <w:tcBorders>
              <w:bottom w:val="single" w:sz="8" w:color="70AD47"/>
            </w:tcBorders>
          </w:tcPr>
          <w:p>
            <w:pPr>
              <w:spacing w:after="0"/>
              <w:rPr>
                <w:sz w:val="20"/>
                <w:szCs w:val="20"/>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16,341</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€67,458</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€28,662</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€136,883</w:t>
            </w:r>
          </w:p>
        </w:tc>
        <w:tc>
          <w:tcPr>
            <w:tcW w:w="820" w:type="dxa"/>
            <w:vAlign w:val="bottom"/>
            <w:tcBorders>
              <w:bottom w:val="single" w:sz="8" w:color="70AD47"/>
            </w:tcBorders>
          </w:tcPr>
          <w:p>
            <w:pPr>
              <w:spacing w:after="0"/>
              <w:rPr>
                <w:sz w:val="19"/>
                <w:szCs w:val="19"/>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€80,601</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During the nine months ended September 30, 2020, revenues from BioNTech’s two new collaboration agreements aimed at developing a COVID 19 vaccine were recognized for the first time.</w:t>
      </w:r>
    </w:p>
    <w:p>
      <w:pPr>
        <w:spacing w:after="0" w:line="15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On March 13, 2020, BioNTech entered into a collaboration and license agreement with Fosun Pharma. Fosun Pharma paid BioNTech a non-refundable upfront cash payment of k€901 (k$1,000) upon signing the agreement in addition to an equity investment of k€45,568 (k$50,000) (see Note 12 for the capital contribution). BioNTech is eligible to receive future milestone payments of up to k$84,000 for potential aggregate consideration of k$135,000.</w:t>
      </w:r>
    </w:p>
    <w:p>
      <w:pPr>
        <w:spacing w:after="0" w:line="18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non-refundable upfront cash payment received from Fosun Pharma was subsequently fully recognized as revenue. In addition, during the three months ended September 30, 2020, revenue of k€1,697 was recognized by achieving a development milestone. In total, during the nine months ended September 30, 2020, k€2,598 revenue was recognized from the Fosun Pharma collaboration and license agreement.</w:t>
      </w:r>
    </w:p>
    <w:p>
      <w:pPr>
        <w:spacing w:after="0" w:line="17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On April 9, 2020, BioNTech entered into a collaboration and license agreement with Pfizer in which BioNTech and Pfizer equally share development costs. Pfizer agreed to pay BioNTech k€170,146 (k$185,000), including an equity investment of k€103,890 (k$113,000) (see Note 12 for the capital contribution) and a non-refundable upfront cash payment of k€66,256 (k$72,000) which were received in late April 2020 and May 2020, respectively. BioNTech is eligible to receive future milestone payments of up to k$563,000 for potential aggregate consideration of k$748,000.</w:t>
      </w:r>
    </w:p>
    <w:p>
      <w:pPr>
        <w:spacing w:after="0" w:line="18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non-refundable upfront cash payment received from Pfizer that was initially classified as a contract liability was fully recognized as revenue during the nine months ended September 30, 2020 based on costs incurred. During the three and nine months ended September 30, 2020, revenues of k€45,643 and k€66,256 were recorded respectively.</w:t>
      </w:r>
    </w:p>
    <w:p>
      <w:pPr>
        <w:spacing w:after="0" w:line="1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As services are performed under a collaboration agreement, revenue recognition will be continued in future periods in accordance with BioNTech’s accounting policy as described in “—Critical Accounting Policies and Use of Estimates” and Note 2.3.4 to BioNTech’s consolidated financial statements included in its Annual Report on Form 20-F as of and for the year ended December 31, 2019.</w:t>
      </w:r>
    </w:p>
    <w:p>
      <w:pPr>
        <w:spacing w:after="0" w:line="18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1174"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Product sales included within revenue from other sales transactions are displayed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50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40" w:type="dxa"/>
            <w:vAlign w:val="bottom"/>
          </w:tcPr>
          <w:p>
            <w:pPr>
              <w:spacing w:after="0"/>
              <w:rPr>
                <w:sz w:val="18"/>
                <w:szCs w:val="18"/>
                <w:color w:val="auto"/>
              </w:rPr>
            </w:pPr>
          </w:p>
        </w:tc>
        <w:tc>
          <w:tcPr>
            <w:tcW w:w="24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0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70AD47"/>
            </w:tcBorders>
            <w:vMerge w:val="continue"/>
          </w:tcPr>
          <w:p>
            <w:pPr>
              <w:spacing w:after="0"/>
              <w:rPr>
                <w:sz w:val="19"/>
                <w:szCs w:val="19"/>
                <w:color w:val="auto"/>
              </w:rPr>
            </w:pP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90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vMerge w:val="continue"/>
          </w:tcPr>
          <w:p>
            <w:pPr>
              <w:spacing w:after="0"/>
              <w:rPr>
                <w:sz w:val="19"/>
                <w:szCs w:val="19"/>
                <w:color w:val="auto"/>
              </w:rPr>
            </w:pP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vMerge w:val="continue"/>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 of JPT Peptide Technologies GmbH</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hanging="712"/>
        <w:spacing w:after="0"/>
        <w:tabs>
          <w:tab w:leader="none" w:pos="720" w:val="left"/>
        </w:tabs>
        <w:numPr>
          <w:ilvl w:val="0"/>
          <w:numId w:val="8"/>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Lipocalyx GmbH</w:t>
      </w:r>
    </w:p>
    <w:p>
      <w:pPr>
        <w:spacing w:after="0" w:line="11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In December 2019, BioNTech Delivery Technologies GmbH (previously BioNTech Protein Therapeutics GmbH), or BioNTech Delivery Technologies, a wholly-owned subsidiary of BioNTech SE, entered into an agreement to acquire all assets, employees and proprietary know-how of Lipocalyx GmbH, or Lipocalyx, and its related parties in exchange for a total consideration of cash at an amount of k€6,516 and additional contingent consideration estimated at the closing date of January 6, 2020 at an amount of k€572. The employees of Lipocalyx were transferred automatically to BioNTech Delivery Technologies with effect as of the closing date.</w:t>
      </w:r>
    </w:p>
    <w:p>
      <w:pPr>
        <w:spacing w:after="0" w:line="18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Group acquired the assets of Lipocalyx and its related parties to combine the acquired technologies and the related know-how with already existing product candidates of the Group to improve their functionality and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final fair values of the identifiable net assets of Lipocalyx as at the date of acquisition were: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on</w:t>
            </w:r>
          </w:p>
        </w:tc>
        <w:tc>
          <w:tcPr>
            <w:tcW w:w="0" w:type="dxa"/>
            <w:vAlign w:val="bottom"/>
          </w:tcPr>
          <w:p>
            <w:pPr>
              <w:spacing w:after="0"/>
              <w:rPr>
                <w:sz w:val="1"/>
                <w:szCs w:val="1"/>
                <w:color w:val="auto"/>
              </w:rPr>
            </w:pPr>
          </w:p>
        </w:tc>
      </w:tr>
      <w:tr>
        <w:trPr>
          <w:trHeight w:val="238"/>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70AD47"/>
            </w:tcBorders>
            <w:vMerge w:val="continue"/>
          </w:tcPr>
          <w:p>
            <w:pPr>
              <w:spacing w:after="0"/>
              <w:rPr>
                <w:sz w:val="19"/>
                <w:szCs w:val="19"/>
                <w:color w:val="auto"/>
              </w:rPr>
            </w:pPr>
          </w:p>
        </w:tc>
        <w:tc>
          <w:tcPr>
            <w:tcW w:w="1580" w:type="dxa"/>
            <w:vAlign w:val="bottom"/>
            <w:tcBorders>
              <w:left w:val="single" w:sz="8" w:color="70AD47"/>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8"/>
                <w:szCs w:val="18"/>
                <w:color w:val="auto"/>
                <w:w w:val="99"/>
              </w:rPr>
              <w:t>Lipocalyx GmbH</w:t>
            </w:r>
          </w:p>
        </w:tc>
        <w:tc>
          <w:tcPr>
            <w:tcW w:w="0" w:type="dxa"/>
            <w:vAlign w:val="bottom"/>
          </w:tcPr>
          <w:p>
            <w:pPr>
              <w:spacing w:after="0"/>
              <w:rPr>
                <w:sz w:val="1"/>
                <w:szCs w:val="1"/>
                <w:color w:val="auto"/>
              </w:rPr>
            </w:pPr>
          </w:p>
        </w:tc>
      </w:tr>
      <w:tr>
        <w:trPr>
          <w:trHeight w:val="21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tcBorders>
              <w:left w:val="single" w:sz="8" w:color="70AD47"/>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58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29"/>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58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0" w:type="dxa"/>
            <w:vAlign w:val="bottom"/>
          </w:tcPr>
          <w:p>
            <w:pPr>
              <w:spacing w:after="0"/>
              <w:rPr>
                <w:sz w:val="1"/>
                <w:szCs w:val="1"/>
                <w:color w:val="auto"/>
              </w:rPr>
            </w:pPr>
          </w:p>
        </w:tc>
      </w:tr>
      <w:tr>
        <w:trPr>
          <w:trHeight w:val="230"/>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58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4"/>
        </w:trPr>
        <w:tc>
          <w:tcPr>
            <w:tcW w:w="9680" w:type="dxa"/>
            <w:vAlign w:val="bottom"/>
            <w:tcBorders>
              <w:bottom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58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 at fair value</w:t>
            </w:r>
          </w:p>
        </w:tc>
        <w:tc>
          <w:tcPr>
            <w:tcW w:w="158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40575" cy="608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608330"/>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paid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Contingent consideration liability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€6,516</w:t>
      </w:r>
    </w:p>
    <w:p>
      <w:pPr>
        <w:spacing w:after="0" w:line="3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572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€7,088</w:t>
      </w:r>
    </w:p>
    <w:p>
      <w:pPr>
        <w:spacing w:after="0" w:line="211" w:lineRule="exact"/>
        <w:rPr>
          <w:sz w:val="20"/>
          <w:szCs w:val="20"/>
          <w:color w:val="auto"/>
        </w:rPr>
      </w:pPr>
    </w:p>
    <w:p>
      <w:pPr>
        <w:sectPr>
          <w:pgSz w:w="11900" w:h="16838" w:orient="portrait"/>
          <w:cols w:equalWidth="0" w:num="2">
            <w:col w:w="10020" w:space="720"/>
            <w:col w:w="520"/>
          </w:cols>
          <w:pgMar w:left="320" w:top="967" w:right="319" w:bottom="1440" w:gutter="0" w:footer="0" w:header="0"/>
          <w:type w:val="continuous"/>
        </w:sectPr>
      </w:pPr>
    </w:p>
    <w:p>
      <w:pPr>
        <w:spacing w:after="0" w:line="28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The interim condensed consolidated statements of operations include the result of Lipocalyx since the acquisition date. From the date of acquisition through September 30, 2020, Lipocalyx contributed k€1,082 to operating loss in the Technology Platform business segment of the Group. From the date of acquisition through September 30, 2020, Lipocalyx generated k€176 in revenues. Given the timing of closing, the contribution to operating loss and revenues, if the transaction had occurred at the beginning of the reporting period, would not differ materially. Goodwill recognized is primarily attributed to the expected synergies and other benefits from combining the assets and activities of Lipocalyx with those of the Group. The goodwill resulting from the Lipocalyx acquisition during the nine months ended September 30, 2020 was allocated to the Technology Platform segment.</w:t>
      </w:r>
    </w:p>
    <w:p>
      <w:pPr>
        <w:spacing w:after="0" w:line="19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type w:val="continuous"/>
        </w:sectPr>
      </w:pPr>
    </w:p>
    <w:bookmarkStart w:id="19" w:name="page20"/>
    <w:bookmarkEnd w:id="19"/>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Transaction costs of k€17 relating to the acquisition have been expensed and are included in the general and administrative expenses in the interim condensed consolidated statements of operations and are included in cash flows used in operating activities in the interim condensed consolidated statements of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purchase agreement with Lipocalyx includes the following contingent cash considerations to the previous owners:</w:t>
      </w:r>
    </w:p>
    <w:p>
      <w:pPr>
        <w:spacing w:after="0" w:line="108" w:lineRule="exact"/>
        <w:rPr>
          <w:sz w:val="20"/>
          <w:szCs w:val="20"/>
          <w:color w:val="auto"/>
        </w:rPr>
      </w:pPr>
    </w:p>
    <w:p>
      <w:pPr>
        <w:jc w:val="both"/>
        <w:ind w:left="900" w:right="20" w:hanging="447"/>
        <w:spacing w:after="0" w:line="24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k€1,000 upon successful completion of a Phase 1 clinical trial designed to show and establish a sufficient safety margin justifying further development of the first pharmaceutical product relating to acquired technologies formulated in a manner covered by a valid granted claim in a major country of a patent within the assigned IP rights; and</w:t>
      </w:r>
    </w:p>
    <w:p>
      <w:pPr>
        <w:jc w:val="both"/>
        <w:ind w:left="900" w:right="20" w:hanging="447"/>
        <w:spacing w:after="0" w:line="271" w:lineRule="auto"/>
        <w:tabs>
          <w:tab w:leader="none" w:pos="9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k€1,000 upon successful completion of the first Phase 2 clinical trial of the first pharmaceutical product relating to acquired technologies formulated in a manner covered by a valid granted claim in a major country of a patent within the assigned IP rights.</w:t>
      </w:r>
    </w:p>
    <w:p>
      <w:pPr>
        <w:spacing w:after="0" w:line="16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At the acquisition date, the fair value of the contingent consideration was k€572. The contingent consideration is presented in ‘non-current financial liabilities’ in the interim condensed consolidated statements of financial position (see Note 10).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BioNTech US Inc. (formerly Neon Therapeutics, Inc.)</w:t>
      </w:r>
    </w:p>
    <w:p>
      <w:pPr>
        <w:spacing w:after="0" w:line="11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On May 6, 2020, BioNTech acquired Neon, a biotechnology company developing novel neoantigen-based T-cell therapies (“the Merger”). Through the acquisition, BioNTech will be able to leverage Neon’s expertise in the development of neoantigen therapies, with both vaccine and T cell capabilities.</w:t>
      </w:r>
    </w:p>
    <w:p>
      <w:pPr>
        <w:spacing w:after="0" w:line="1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Based on the acquisition date share price, the aggregate value of the merger consideration was k€89,890 (k$97,144) financed by issuing 1,935,488 American Depositary Shares representing BioNTech’s ordinary shares as a stock transaction and including a de minimis cash consideration which was paid to settle Neon’s outstanding stock options.</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fair values and values in accordance with IFRS 3 of the identifiable net assets of BioNTech US Inc. as at the date of acquisition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16"/>
        </w:trPr>
        <w:tc>
          <w:tcPr>
            <w:tcW w:w="96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on</w:t>
            </w:r>
          </w:p>
        </w:tc>
        <w:tc>
          <w:tcPr>
            <w:tcW w:w="0" w:type="dxa"/>
            <w:vAlign w:val="bottom"/>
          </w:tcPr>
          <w:p>
            <w:pPr>
              <w:spacing w:after="0"/>
              <w:rPr>
                <w:sz w:val="1"/>
                <w:szCs w:val="1"/>
                <w:color w:val="auto"/>
              </w:rPr>
            </w:pPr>
          </w:p>
        </w:tc>
      </w:tr>
      <w:tr>
        <w:trPr>
          <w:trHeight w:val="238"/>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70AD47"/>
            </w:tcBorders>
            <w:vMerge w:val="continue"/>
          </w:tcPr>
          <w:p>
            <w:pPr>
              <w:spacing w:after="0"/>
              <w:rPr>
                <w:sz w:val="19"/>
                <w:szCs w:val="19"/>
                <w:color w:val="auto"/>
              </w:rPr>
            </w:pPr>
          </w:p>
        </w:tc>
        <w:tc>
          <w:tcPr>
            <w:tcW w:w="1580" w:type="dxa"/>
            <w:vAlign w:val="bottom"/>
            <w:tcBorders>
              <w:left w:val="single" w:sz="8" w:color="70AD47"/>
              <w:bottom w:val="single" w:sz="8" w:color="70AD47"/>
              <w:right w:val="single" w:sz="8" w:color="70AD47"/>
            </w:tcBorders>
          </w:tcPr>
          <w:p>
            <w:pPr>
              <w:jc w:val="center"/>
              <w:spacing w:after="0"/>
              <w:rPr>
                <w:sz w:val="20"/>
                <w:szCs w:val="20"/>
                <w:color w:val="auto"/>
              </w:rPr>
            </w:pPr>
            <w:r>
              <w:rPr>
                <w:rFonts w:ascii="Times New Roman" w:cs="Times New Roman" w:eastAsia="Times New Roman" w:hAnsi="Times New Roman"/>
                <w:sz w:val="18"/>
                <w:szCs w:val="18"/>
                <w:color w:val="auto"/>
                <w:w w:val="98"/>
              </w:rPr>
              <w:t>BioNTech US Inc.</w:t>
            </w:r>
          </w:p>
        </w:tc>
        <w:tc>
          <w:tcPr>
            <w:tcW w:w="0" w:type="dxa"/>
            <w:vAlign w:val="bottom"/>
          </w:tcPr>
          <w:p>
            <w:pPr>
              <w:spacing w:after="0"/>
              <w:rPr>
                <w:sz w:val="1"/>
                <w:szCs w:val="1"/>
                <w:color w:val="auto"/>
              </w:rPr>
            </w:pPr>
          </w:p>
        </w:tc>
      </w:tr>
      <w:tr>
        <w:trPr>
          <w:trHeight w:val="21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tcBorders>
              <w:left w:val="single" w:sz="8" w:color="70AD47"/>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58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€29,867</w:t>
            </w:r>
          </w:p>
        </w:tc>
        <w:tc>
          <w:tcPr>
            <w:tcW w:w="0" w:type="dxa"/>
            <w:vAlign w:val="bottom"/>
          </w:tcPr>
          <w:p>
            <w:pPr>
              <w:spacing w:after="0"/>
              <w:rPr>
                <w:sz w:val="1"/>
                <w:szCs w:val="1"/>
                <w:color w:val="auto"/>
              </w:rPr>
            </w:pPr>
          </w:p>
        </w:tc>
      </w:tr>
      <w:tr>
        <w:trPr>
          <w:trHeight w:val="230"/>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58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0" w:type="dxa"/>
            <w:vAlign w:val="bottom"/>
          </w:tcPr>
          <w:p>
            <w:pPr>
              <w:spacing w:after="0"/>
              <w:rPr>
                <w:sz w:val="1"/>
                <w:szCs w:val="1"/>
                <w:color w:val="auto"/>
              </w:rPr>
            </w:pPr>
          </w:p>
        </w:tc>
      </w:tr>
      <w:tr>
        <w:trPr>
          <w:trHeight w:val="230"/>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58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30"/>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 non-current and current</w:t>
            </w:r>
          </w:p>
        </w:tc>
        <w:tc>
          <w:tcPr>
            <w:tcW w:w="158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34"/>
        </w:trPr>
        <w:tc>
          <w:tcPr>
            <w:tcW w:w="9680" w:type="dxa"/>
            <w:vAlign w:val="bottom"/>
            <w:tcBorders>
              <w:bottom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8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€52,833</w:t>
            </w:r>
          </w:p>
        </w:tc>
        <w:tc>
          <w:tcPr>
            <w:tcW w:w="0" w:type="dxa"/>
            <w:vAlign w:val="bottom"/>
          </w:tcPr>
          <w:p>
            <w:pPr>
              <w:spacing w:after="0"/>
              <w:rPr>
                <w:sz w:val="1"/>
                <w:szCs w:val="1"/>
                <w:color w:val="auto"/>
              </w:rPr>
            </w:pPr>
          </w:p>
        </w:tc>
      </w:tr>
      <w:tr>
        <w:trPr>
          <w:trHeight w:val="44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tcBorders>
              <w:left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payables</w:t>
            </w:r>
          </w:p>
        </w:tc>
        <w:tc>
          <w:tcPr>
            <w:tcW w:w="1580" w:type="dxa"/>
            <w:vAlign w:val="bottom"/>
            <w:tcBorders>
              <w:left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34"/>
        </w:trPr>
        <w:tc>
          <w:tcPr>
            <w:tcW w:w="9680" w:type="dxa"/>
            <w:vAlign w:val="bottom"/>
            <w:tcBorders>
              <w:bottom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 and current</w:t>
            </w:r>
          </w:p>
        </w:tc>
        <w:tc>
          <w:tcPr>
            <w:tcW w:w="158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58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€19,516</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70AD47"/>
            </w:tcBorders>
          </w:tcPr>
          <w:p>
            <w:pPr>
              <w:spacing w:after="0"/>
              <w:rPr>
                <w:sz w:val="19"/>
                <w:szCs w:val="19"/>
                <w:color w:val="auto"/>
              </w:rPr>
            </w:pPr>
          </w:p>
        </w:tc>
        <w:tc>
          <w:tcPr>
            <w:tcW w:w="1580" w:type="dxa"/>
            <w:vAlign w:val="bottom"/>
            <w:tcBorders>
              <w:left w:val="single" w:sz="8" w:color="70AD47"/>
              <w:bottom w:val="single" w:sz="8" w:color="70AD47"/>
              <w:right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8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 at fair value</w:t>
            </w:r>
          </w:p>
        </w:tc>
        <w:tc>
          <w:tcPr>
            <w:tcW w:w="1580" w:type="dxa"/>
            <w:vAlign w:val="bottom"/>
            <w:tcBorders>
              <w:left w:val="single" w:sz="8" w:color="70AD47"/>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€33,317</w:t>
            </w:r>
          </w:p>
        </w:tc>
        <w:tc>
          <w:tcPr>
            <w:tcW w:w="0" w:type="dxa"/>
            <w:vAlign w:val="bottom"/>
          </w:tcPr>
          <w:p>
            <w:pPr>
              <w:spacing w:after="0"/>
              <w:rPr>
                <w:sz w:val="1"/>
                <w:szCs w:val="1"/>
                <w:color w:val="auto"/>
              </w:rPr>
            </w:pPr>
          </w:p>
        </w:tc>
      </w:tr>
      <w:tr>
        <w:trPr>
          <w:trHeight w:val="649"/>
        </w:trPr>
        <w:tc>
          <w:tcPr>
            <w:tcW w:w="96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21"/>
        </w:trPr>
        <w:tc>
          <w:tcPr>
            <w:tcW w:w="96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40575" cy="7626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76263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identifiable net assets at fair value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from the acquisition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608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60833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Shares issued, at fair value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paid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recognized on</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BioNTech US Inc.</w:t>
      </w:r>
    </w:p>
    <w:p>
      <w:pPr>
        <w:spacing w:after="0" w:line="3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€33,317</w:t>
      </w:r>
    </w:p>
    <w:p>
      <w:pPr>
        <w:spacing w:after="0" w:line="27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56,573</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€89,890</w:t>
      </w:r>
    </w:p>
    <w:p>
      <w:pPr>
        <w:spacing w:after="0" w:line="200" w:lineRule="exact"/>
        <w:rPr>
          <w:sz w:val="20"/>
          <w:szCs w:val="20"/>
          <w:color w:val="auto"/>
        </w:rPr>
      </w:pPr>
    </w:p>
    <w:p>
      <w:pPr>
        <w:spacing w:after="0" w:line="31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89,548</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342</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€89,890</w:t>
      </w:r>
    </w:p>
    <w:p>
      <w:pPr>
        <w:spacing w:after="0" w:line="200" w:lineRule="exact"/>
        <w:rPr>
          <w:sz w:val="20"/>
          <w:szCs w:val="20"/>
          <w:color w:val="auto"/>
        </w:rPr>
      </w:pPr>
    </w:p>
    <w:p>
      <w:pPr>
        <w:sectPr>
          <w:pgSz w:w="11900" w:h="16838" w:orient="portrait"/>
          <w:cols w:equalWidth="0" w:num="2">
            <w:col w:w="9080" w:space="720"/>
            <w:col w:w="1440"/>
          </w:cols>
          <w:pgMar w:left="320" w:top="765" w:right="339" w:bottom="1440" w:gutter="0" w:footer="0" w:header="0"/>
        </w:sectPr>
      </w:pP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at the date of acquisition, k€8,043 of deferred tax liabilities had been provisionally recorded arising from the assets acquired in the business combination. Provisionally, tax benefits acquired as part of the business combination were assessed as not satisfying the criteria for separate recognition. During the three months ended September 30, 2020, BioNTech finalized its assessment of deferred taxes related to the acquisition of Neon and determined that loss carryforwards which existed as of the acquisition date, should be recognized to the extent of acquired deferred tax liabilities (k€8,043) and therefore recorded a deferred tax asset of k€8,043 against goodwill. Since the conditions to offset were fulfilled, the deferred tax assets and liabilities were offset. Additionally, the deferred tax asset on tax losses incurred since acquisition through June 30, 2020 (k€2,317) which had been offset against the acquired deferred tax liability as of June 30, 2020, was reversed through income tax expense during the three months ended September 30, 2020 as this deferred tax asset was no longer deemed recoverable as the entire acquired deferred tax liability was offset with the acquired deferred tax asset with the finalization of the purchase price allocation. The net impact on income tax expense in the nine months ended September 30, 2020 is nil.</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interim condensed consolidated statements of operations include the results of BioNTech US since the acquisition date. From the date of acquisition through September 30, 2020, BioNTech US contributed k€17,912 to the operating loss in all biotech business unit operating segments of the Group, primarily in the Technology Platform segment. If the transaction had occurred at the beginning of the reporting period, k€49,202 would have contributed to the operating loss. This amount includes expenses resulting from the Merger and should not necessarily be considered representative of the future consolidated results of operations or financial condition on a consolidated basis. From the date of acquisition, BioNTech US did not generate any revenue and no revenue would have been generated if the transaction had occurred at the beginning of the reporting period.</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Goodwill recognized is primarily attributable to the expected synergies and other benefits from combining two organizations with a common culture of pioneering translational science and a shared vision for the future of cancer immunotherapy as described above. The goodwill resulting from the BioNTech US acquisition during the nine months ended September 30, 2020 was allocated to the Technology Platform segment.</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Transaction costs of k€1,073 relating to the acquisition have been expensed and are included in the general and administrative expenses in the interim condensed consolidated statements of operations. In the interim condensed consolidated statements of cash flows they are included in cash flows used in operating activities. The attributable costs of the issuance of the shares of k€1,320 were recorded in equity as a deduction from the capital reserve and are included in cash flows from financing activities in the interim condensed consolidated statements of cash flows.</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Reconciliation of goodwill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reconciliation of the carrying amount of goodwill at the beginning and end of the reporting period is presented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Borders>
              <w:bottom w:val="single" w:sz="8" w:color="70AD47"/>
              <w:right w:val="single" w:sz="8" w:color="70AD47"/>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23"/>
        </w:trPr>
        <w:tc>
          <w:tcPr>
            <w:tcW w:w="968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Acquisition costs</w:t>
            </w:r>
          </w:p>
        </w:tc>
        <w:tc>
          <w:tcPr>
            <w:tcW w:w="1560" w:type="dxa"/>
            <w:vAlign w:val="bottom"/>
            <w:tcBorders>
              <w:bottom w:val="single" w:sz="8" w:color="70AD47"/>
              <w:right w:val="single" w:sz="8" w:color="70AD47"/>
            </w:tcBorders>
          </w:tcPr>
          <w:p>
            <w:pPr>
              <w:spacing w:after="0"/>
              <w:rPr>
                <w:sz w:val="19"/>
                <w:szCs w:val="19"/>
                <w:color w:val="auto"/>
              </w:rPr>
            </w:pPr>
          </w:p>
        </w:tc>
      </w:tr>
      <w:tr>
        <w:trPr>
          <w:trHeight w:val="218"/>
        </w:trPr>
        <w:tc>
          <w:tcPr>
            <w:tcW w:w="96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As of January 1, 2020</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€2,978</w:t>
            </w:r>
          </w:p>
        </w:tc>
      </w:tr>
      <w:tr>
        <w:trPr>
          <w:trHeight w:val="229"/>
        </w:trPr>
        <w:tc>
          <w:tcPr>
            <w:tcW w:w="9680" w:type="dxa"/>
            <w:vAlign w:val="bottom"/>
            <w:tcBorders>
              <w:right w:val="single" w:sz="8" w:color="70AD47"/>
            </w:tcBorders>
          </w:tcPr>
          <w:p>
            <w:pPr>
              <w:ind w:left="260"/>
              <w:spacing w:after="0"/>
              <w:rPr>
                <w:sz w:val="20"/>
                <w:szCs w:val="20"/>
                <w:color w:val="auto"/>
              </w:rPr>
            </w:pPr>
            <w:r>
              <w:rPr>
                <w:rFonts w:ascii="Times New Roman" w:cs="Times New Roman" w:eastAsia="Times New Roman" w:hAnsi="Times New Roman"/>
                <w:sz w:val="18"/>
                <w:szCs w:val="18"/>
                <w:color w:val="auto"/>
              </w:rPr>
              <w:t>Acquisition of subsidiaries and businesses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57,469</w:t>
            </w:r>
          </w:p>
        </w:tc>
      </w:tr>
      <w:tr>
        <w:trPr>
          <w:trHeight w:val="234"/>
        </w:trPr>
        <w:tc>
          <w:tcPr>
            <w:tcW w:w="9680" w:type="dxa"/>
            <w:vAlign w:val="bottom"/>
            <w:tcBorders>
              <w:bottom w:val="single" w:sz="8" w:color="70AD47"/>
              <w:right w:val="single" w:sz="8" w:color="70AD47"/>
            </w:tcBorders>
          </w:tcPr>
          <w:p>
            <w:pPr>
              <w:ind w:left="260"/>
              <w:spacing w:after="0"/>
              <w:rPr>
                <w:sz w:val="20"/>
                <w:szCs w:val="20"/>
                <w:color w:val="auto"/>
              </w:rPr>
            </w:pPr>
            <w:r>
              <w:rPr>
                <w:rFonts w:ascii="Times New Roman" w:cs="Times New Roman" w:eastAsia="Times New Roman" w:hAnsi="Times New Roman"/>
                <w:sz w:val="18"/>
                <w:szCs w:val="18"/>
                <w:color w:val="auto"/>
              </w:rPr>
              <w:t>Currency differences</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(4,355)</w:t>
            </w:r>
          </w:p>
        </w:tc>
      </w:tr>
      <w:tr>
        <w:trPr>
          <w:trHeight w:val="223"/>
        </w:trPr>
        <w:tc>
          <w:tcPr>
            <w:tcW w:w="9680" w:type="dxa"/>
            <w:vAlign w:val="bottom"/>
            <w:tcBorders>
              <w:bottom w:val="single" w:sz="8" w:color="70AD47"/>
              <w:right w:val="single" w:sz="8" w:color="70AD47"/>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€56,092</w:t>
            </w:r>
          </w:p>
        </w:tc>
      </w:tr>
    </w:tbl>
    <w:p>
      <w:pPr>
        <w:spacing w:after="0" w:line="200" w:lineRule="exact"/>
        <w:rPr>
          <w:sz w:val="20"/>
          <w:szCs w:val="20"/>
          <w:color w:val="auto"/>
        </w:rPr>
      </w:pPr>
    </w:p>
    <w:p>
      <w:pPr>
        <w:sectPr>
          <w:pgSz w:w="11900" w:h="16838" w:orient="portrait"/>
          <w:cols w:equalWidth="0" w:num="1">
            <w:col w:w="11260"/>
          </w:cols>
          <w:pgMar w:left="320" w:top="963" w:right="31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462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 of January 1, 2020</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As of September 30, 2020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4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€2,978</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€56,092</w:t>
      </w:r>
    </w:p>
    <w:p>
      <w:pPr>
        <w:spacing w:after="0" w:line="200" w:lineRule="exact"/>
        <w:rPr>
          <w:sz w:val="20"/>
          <w:szCs w:val="20"/>
          <w:color w:val="auto"/>
        </w:rPr>
      </w:pPr>
    </w:p>
    <w:p>
      <w:pPr>
        <w:sectPr>
          <w:pgSz w:w="11900" w:h="16838" w:orient="portrait"/>
          <w:cols w:equalWidth="0" w:num="2">
            <w:col w:w="9380" w:space="720"/>
            <w:col w:w="1160"/>
          </w:cols>
          <w:pgMar w:left="320" w:top="963" w:right="319" w:bottom="1440" w:gutter="0" w:footer="0" w:header="0"/>
          <w:type w:val="continuous"/>
        </w:sectPr>
      </w:pPr>
    </w:p>
    <w:p>
      <w:pPr>
        <w:spacing w:after="0" w:line="28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amount of goodwill recognized from acquiring subsidiaries and businesses includes the measurement period adjustment of k€8,043 resulting from the subsequent recognition of deferred tax assets during the reporting period (see above and Note 7).</w:t>
      </w:r>
    </w:p>
    <w:p>
      <w:pPr>
        <w:spacing w:after="0" w:line="366" w:lineRule="exact"/>
        <w:rPr>
          <w:sz w:val="20"/>
          <w:szCs w:val="20"/>
          <w:color w:val="auto"/>
        </w:rPr>
      </w:pPr>
    </w:p>
    <w:p>
      <w:pPr>
        <w:ind w:left="720" w:hanging="712"/>
        <w:spacing w:after="0"/>
        <w:tabs>
          <w:tab w:leader="none" w:pos="720" w:val="left"/>
        </w:tabs>
        <w:numPr>
          <w:ilvl w:val="0"/>
          <w:numId w:val="10"/>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Research and Development Expenses</w:t>
      </w:r>
    </w:p>
    <w:p>
      <w:pPr>
        <w:spacing w:after="0" w:line="12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BioNTech’s nature of business and primary focus of activities, including development of its platforms and manufacturing technologies, generate a significant amount of research and development expenses which are the largest component of total operating expenses.</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research and development expenses recognized during the three and nine months ended September 30, 2020 and September 30, 2019 are shown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18"/>
                <w:szCs w:val="18"/>
                <w:color w:val="auto"/>
              </w:rPr>
            </w:pPr>
          </w:p>
        </w:tc>
        <w:tc>
          <w:tcPr>
            <w:tcW w:w="238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38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70AD47"/>
            </w:tcBorders>
            <w:vMerge w:val="continue"/>
          </w:tcPr>
          <w:p>
            <w:pPr>
              <w:spacing w:after="0"/>
              <w:rPr>
                <w:sz w:val="19"/>
                <w:szCs w:val="19"/>
                <w:color w:val="auto"/>
              </w:rPr>
            </w:pP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vMerge w:val="continue"/>
          </w:tcPr>
          <w:p>
            <w:pPr>
              <w:spacing w:after="0"/>
              <w:rPr>
                <w:sz w:val="19"/>
                <w:szCs w:val="19"/>
                <w:color w:val="auto"/>
              </w:rPr>
            </w:pP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Borders>
              <w:bottom w:val="single" w:sz="8" w:color="70AD47"/>
            </w:tcBorders>
          </w:tcPr>
          <w:p>
            <w:pPr>
              <w:spacing w:after="0"/>
              <w:rPr>
                <w:sz w:val="19"/>
                <w:szCs w:val="19"/>
                <w:color w:val="auto"/>
              </w:rPr>
            </w:pPr>
          </w:p>
        </w:tc>
        <w:tc>
          <w:tcPr>
            <w:tcW w:w="760" w:type="dxa"/>
            <w:vAlign w:val="bottom"/>
            <w:tcBorders>
              <w:bottom w:val="single" w:sz="8" w:color="70AD47"/>
            </w:tcBorders>
            <w:vMerge w:val="continue"/>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Purchased services</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€143,104</w:t>
            </w:r>
          </w:p>
        </w:tc>
        <w:tc>
          <w:tcPr>
            <w:tcW w:w="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€201,142</w:t>
            </w:r>
          </w:p>
        </w:tc>
        <w:tc>
          <w:tcPr>
            <w:tcW w:w="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€45,434</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Wages, benefits and social security expense</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88,694</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43,971</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65,148</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27,701</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IT costs</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Lease and lease related cost</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Transport costs</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780" w:type="dxa"/>
            <w:vAlign w:val="bottom"/>
            <w:tcBorders>
              <w:bottom w:val="single" w:sz="8" w:color="70AD47"/>
            </w:tcBorders>
          </w:tcPr>
          <w:p>
            <w:pPr>
              <w:spacing w:after="0"/>
              <w:rPr>
                <w:sz w:val="20"/>
                <w:szCs w:val="20"/>
                <w:color w:val="auto"/>
              </w:rPr>
            </w:pPr>
          </w:p>
        </w:tc>
        <w:tc>
          <w:tcPr>
            <w:tcW w:w="7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€227,706</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€50,396</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€388,017</w:t>
            </w:r>
          </w:p>
        </w:tc>
        <w:tc>
          <w:tcPr>
            <w:tcW w:w="780" w:type="dxa"/>
            <w:vAlign w:val="bottom"/>
            <w:tcBorders>
              <w:bottom w:val="single" w:sz="8" w:color="70AD47"/>
            </w:tcBorders>
          </w:tcPr>
          <w:p>
            <w:pPr>
              <w:spacing w:after="0"/>
              <w:rPr>
                <w:sz w:val="19"/>
                <w:szCs w:val="19"/>
                <w:color w:val="auto"/>
              </w:rPr>
            </w:pPr>
          </w:p>
        </w:tc>
        <w:tc>
          <w:tcPr>
            <w:tcW w:w="7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€161,039</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During the three and nine months ended September 30, 2020, research and development expenses increased mainly due to an increase in development expenses from BioNTech’s BNT162 program, the vaccine program against COVID-19. Research and development expenses include BioNTech’s share of expenses derived from the collaboration with Pfizer under which shared development costs are shared equally between the partners.</w:t>
      </w:r>
    </w:p>
    <w:p>
      <w:pPr>
        <w:spacing w:after="0" w:line="189"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type w:val="continuous"/>
        </w:sectPr>
      </w:pPr>
    </w:p>
    <w:bookmarkStart w:id="22" w:name="page23"/>
    <w:bookmarkEnd w:id="22"/>
    <w:p>
      <w:pPr>
        <w:ind w:left="720" w:hanging="712"/>
        <w:spacing w:after="0"/>
        <w:tabs>
          <w:tab w:leader="none" w:pos="720" w:val="left"/>
        </w:tabs>
        <w:numPr>
          <w:ilvl w:val="0"/>
          <w:numId w:val="11"/>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Income Tax</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Group calculates the interim income tax expense using the tax rate that would be applicable to the expected total annual earnings. Deferred tax assets on tax losses of subsidiaries incorporated in Germany have not been capitalized as there is not sufficient probability that there will be future taxable profits against which the unused tax losses can be utilized. During the three months ended September 30, 2020, BioNTech finalized its assessment of deferred taxes related to the acquisition of Neon and determined that loss carryforwards which existed as of the acquisition date, should be recognized to the extent of acquired deferred tax liabilities (k€8,043) and therefore recorded a deferred tax asset of k€8,043 against goodwill. Since the conditions to offset were fulfilled, the deferred tax assets and liabilities were offset. Additionally, the deferred tax asset on tax losses incurred since acquisition through June 30, 2020 (k€2,317) which had been offset against the acquired deferred tax liability as of June 30, 2020, was reversed through income tax expense during the three months ended September 30, 2020 as this deferred tax asset was no longer deemed recoverable as the entire acquired deferred tax liability was offset with the acquired deferred tax asset with the finalization of the purchase price allocation. The net impact on income tax expense in the nine months ended September 30, 2020 is nil. Accumulated tax losses relate to Germany and the United States. There is no expiration date for any of the accumulated tax losses under German tax law. With respect to accumulated losses incurred at the level of BioNTech USA Holding LLC and BioNTech Research and Development Inc. since their incorporation and tax losses of BioNTech US incurred since 2018 have no expiration date under U.S. tax law. The carry forward of tax losses prior 2018 of BioNTech US is partially limited in time and amount. Deviating federal and state rules apply.</w:t>
      </w:r>
    </w:p>
    <w:p>
      <w:pPr>
        <w:spacing w:after="0" w:line="200" w:lineRule="exact"/>
        <w:rPr>
          <w:sz w:val="20"/>
          <w:szCs w:val="20"/>
          <w:color w:val="auto"/>
        </w:rPr>
      </w:pPr>
    </w:p>
    <w:p>
      <w:pPr>
        <w:spacing w:after="0" w:line="201" w:lineRule="exact"/>
        <w:rPr>
          <w:sz w:val="20"/>
          <w:szCs w:val="20"/>
          <w:color w:val="auto"/>
        </w:rPr>
      </w:pPr>
    </w:p>
    <w:p>
      <w:pPr>
        <w:ind w:left="720" w:hanging="712"/>
        <w:spacing w:after="0"/>
        <w:tabs>
          <w:tab w:leader="none" w:pos="720" w:val="left"/>
        </w:tabs>
        <w:numPr>
          <w:ilvl w:val="0"/>
          <w:numId w:val="12"/>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Intangible Assets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nine months ended September 30, 2020, the Group acquired intangible assets with a cost of k€5,248 (nine months ended September 30, 2019: k€13,721), excluding intangible assets acquired through business combinations (see Note 5). The acquisitions during the nine months ended September 30, 2020 mainly related to advance payments (k€2,626) as well as concessions, licenses, in-process R&amp;D and similar rights (k€2,622). During the nine months ended September 30, 2019, the acquisitions mainly related to concessions, licenses, in-process R&amp;D and similar rights (k€8,318) as well as advance payments (k€5,403).</w:t>
      </w:r>
    </w:p>
    <w:p>
      <w:pPr>
        <w:spacing w:after="0" w:line="392" w:lineRule="exact"/>
        <w:rPr>
          <w:sz w:val="20"/>
          <w:szCs w:val="20"/>
          <w:color w:val="auto"/>
        </w:rPr>
      </w:pPr>
    </w:p>
    <w:p>
      <w:pPr>
        <w:ind w:left="720" w:hanging="712"/>
        <w:spacing w:after="0"/>
        <w:tabs>
          <w:tab w:leader="none" w:pos="720" w:val="left"/>
        </w:tabs>
        <w:numPr>
          <w:ilvl w:val="0"/>
          <w:numId w:val="13"/>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Property, Plant and Equipment</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nine months ended September 30, 2020, the Group acquired property, plant and equipment with a cost of k€40,664 (nine months ended September 30, 2019: k€28,621), excluding property, plant and equipment acquired through business combinations (see Note 5). The acquisitions during the nine months ended September 30, 2020 were related to construction in progress and advance payments (k€30,036), equipment, tools and installations (k€8,034) as well as land and buildings (k€2,594). During the nine months ended September 30, 2019, the acquisitions were related to construction in progress and advance payments (k€12,012), equipment, tools and installations (k€9,433) as well as land and buildings (k€7,176).</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3" w:name="page24"/>
    <w:bookmarkEnd w:id="23"/>
    <w:p>
      <w:pPr>
        <w:spacing w:after="0"/>
        <w:tabs>
          <w:tab w:leader="none" w:pos="700" w:val="left"/>
        </w:tabs>
        <w:rPr>
          <w:sz w:val="20"/>
          <w:szCs w:val="20"/>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10</w:t>
        <w:tab/>
        <w:t>Financial Assets and Financial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Set out below, is an overview of financial assets, other than cash and cash equivalents, held by the Group as of September 30, 2020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1740" w:type="dxa"/>
            <w:vAlign w:val="bottom"/>
          </w:tcPr>
          <w:p>
            <w:pPr>
              <w:spacing w:after="0"/>
              <w:rPr>
                <w:sz w:val="20"/>
                <w:szCs w:val="20"/>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76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740" w:type="dxa"/>
            <w:vAlign w:val="bottom"/>
            <w:vMerge w:val="continue"/>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7760" w:type="dxa"/>
            <w:vAlign w:val="bottom"/>
            <w:tcBorders>
              <w:right w:val="single" w:sz="8" w:color="70AD47"/>
            </w:tcBorders>
            <w:vMerge w:val="continue"/>
          </w:tcPr>
          <w:p>
            <w:pPr>
              <w:spacing w:after="0"/>
              <w:rPr>
                <w:sz w:val="11"/>
                <w:szCs w:val="11"/>
                <w:color w:val="auto"/>
              </w:rPr>
            </w:pPr>
          </w:p>
        </w:tc>
        <w:tc>
          <w:tcPr>
            <w:tcW w:w="174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shd w:val="clear" w:color="auto" w:fill="70AD47"/>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760" w:type="dxa"/>
            <w:vAlign w:val="bottom"/>
            <w:tcBorders>
              <w:bottom w:val="single" w:sz="8" w:color="70AD47"/>
              <w:right w:val="single" w:sz="8" w:color="70AD47"/>
            </w:tcBorders>
          </w:tcPr>
          <w:p>
            <w:pPr>
              <w:spacing w:after="0"/>
              <w:rPr>
                <w:sz w:val="9"/>
                <w:szCs w:val="9"/>
                <w:color w:val="auto"/>
              </w:rPr>
            </w:pPr>
          </w:p>
        </w:tc>
        <w:tc>
          <w:tcPr>
            <w:tcW w:w="174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740" w:type="dxa"/>
            <w:vAlign w:val="bottom"/>
            <w:tcBorders>
              <w:bottom w:val="single" w:sz="8" w:color="70AD47"/>
            </w:tcBorders>
            <w:vMerge w:val="continue"/>
          </w:tcPr>
          <w:p>
            <w:pPr>
              <w:spacing w:after="0"/>
              <w:rPr>
                <w:sz w:val="9"/>
                <w:szCs w:val="9"/>
                <w:color w:val="auto"/>
              </w:rPr>
            </w:pPr>
          </w:p>
        </w:tc>
        <w:tc>
          <w:tcPr>
            <w:tcW w:w="20" w:type="dxa"/>
            <w:vAlign w:val="bottom"/>
            <w:tcBorders>
              <w:bottom w:val="single" w:sz="8" w:color="70AD47"/>
            </w:tcBorders>
            <w:shd w:val="clear" w:color="auto" w:fill="70AD47"/>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776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€25,013</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€13,593</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6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25,013</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Total non-current</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Set out below, is an overview of financial liabilities, other financial liabilities and trade payables held by the Group as of September 30, 2020 and December 31,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Interest-bearing loans and borrowings</w:t>
            </w:r>
          </w:p>
        </w:tc>
        <w:tc>
          <w:tcPr>
            <w:tcW w:w="2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4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740" w:type="dxa"/>
            <w:vAlign w:val="bottom"/>
            <w:vMerge w:val="continue"/>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5520" w:type="dxa"/>
            <w:vAlign w:val="bottom"/>
            <w:vMerge w:val="continue"/>
          </w:tcPr>
          <w:p>
            <w:pPr>
              <w:spacing w:after="0"/>
              <w:rPr>
                <w:sz w:val="11"/>
                <w:szCs w:val="11"/>
                <w:color w:val="auto"/>
              </w:rPr>
            </w:pPr>
          </w:p>
        </w:tc>
        <w:tc>
          <w:tcPr>
            <w:tcW w:w="2240" w:type="dxa"/>
            <w:vAlign w:val="bottom"/>
            <w:tcBorders>
              <w:right w:val="single" w:sz="8" w:color="70AD47"/>
            </w:tcBorders>
            <w:vMerge w:val="continue"/>
          </w:tcPr>
          <w:p>
            <w:pPr>
              <w:spacing w:after="0"/>
              <w:rPr>
                <w:sz w:val="11"/>
                <w:szCs w:val="11"/>
                <w:color w:val="auto"/>
              </w:rPr>
            </w:pPr>
          </w:p>
        </w:tc>
        <w:tc>
          <w:tcPr>
            <w:tcW w:w="174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shd w:val="clear" w:color="auto" w:fill="70AD47"/>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20" w:type="dxa"/>
            <w:vAlign w:val="bottom"/>
            <w:tcBorders>
              <w:bottom w:val="single" w:sz="8" w:color="70AD47"/>
            </w:tcBorders>
          </w:tcPr>
          <w:p>
            <w:pPr>
              <w:spacing w:after="0"/>
              <w:rPr>
                <w:sz w:val="9"/>
                <w:szCs w:val="9"/>
                <w:color w:val="auto"/>
              </w:rPr>
            </w:pPr>
          </w:p>
        </w:tc>
        <w:tc>
          <w:tcPr>
            <w:tcW w:w="2240" w:type="dxa"/>
            <w:vAlign w:val="bottom"/>
            <w:tcBorders>
              <w:bottom w:val="single" w:sz="8" w:color="70AD47"/>
              <w:right w:val="single" w:sz="8" w:color="70AD47"/>
            </w:tcBorders>
          </w:tcPr>
          <w:p>
            <w:pPr>
              <w:spacing w:after="0"/>
              <w:rPr>
                <w:sz w:val="9"/>
                <w:szCs w:val="9"/>
                <w:color w:val="auto"/>
              </w:rPr>
            </w:pPr>
          </w:p>
        </w:tc>
        <w:tc>
          <w:tcPr>
            <w:tcW w:w="174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740" w:type="dxa"/>
            <w:vAlign w:val="bottom"/>
            <w:tcBorders>
              <w:bottom w:val="single" w:sz="8" w:color="70AD47"/>
            </w:tcBorders>
            <w:vMerge w:val="continue"/>
          </w:tcPr>
          <w:p>
            <w:pPr>
              <w:spacing w:after="0"/>
              <w:rPr>
                <w:sz w:val="9"/>
                <w:szCs w:val="9"/>
                <w:color w:val="auto"/>
              </w:rPr>
            </w:pPr>
          </w:p>
        </w:tc>
        <w:tc>
          <w:tcPr>
            <w:tcW w:w="20" w:type="dxa"/>
            <w:vAlign w:val="bottom"/>
            <w:tcBorders>
              <w:bottom w:val="single" w:sz="8" w:color="70AD47"/>
            </w:tcBorders>
            <w:shd w:val="clear" w:color="auto" w:fill="70AD47"/>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 host contract</w:t>
            </w:r>
          </w:p>
        </w:tc>
        <w:tc>
          <w:tcPr>
            <w:tcW w:w="2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08/28/2024</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€86,695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2.15% € 10,000,000 secured bank loan</w:t>
            </w:r>
          </w:p>
        </w:tc>
        <w:tc>
          <w:tcPr>
            <w:tcW w:w="224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12/30/2027</w:t>
            </w: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color w:val="auto"/>
              </w:rPr>
              <w:t>2.08% € 9,450,000 secured bank loan</w:t>
            </w:r>
          </w:p>
        </w:tc>
        <w:tc>
          <w:tcPr>
            <w:tcW w:w="224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09/30/2028</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40" w:type="dxa"/>
            <w:vAlign w:val="bottom"/>
            <w:tcBorders>
              <w:bottom w:val="single" w:sz="8" w:color="70AD47"/>
              <w:right w:val="single" w:sz="8" w:color="70AD47"/>
            </w:tcBorders>
          </w:tcPr>
          <w:p>
            <w:pPr>
              <w:spacing w:after="0"/>
              <w:rPr>
                <w:sz w:val="19"/>
                <w:szCs w:val="19"/>
                <w:color w:val="auto"/>
              </w:rPr>
            </w:pP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€105,315</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€16,600</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240" w:type="dxa"/>
            <w:vAlign w:val="bottom"/>
            <w:tcBorders>
              <w:right w:val="single" w:sz="8" w:color="70AD47"/>
            </w:tcBorders>
          </w:tcPr>
          <w:p>
            <w:pPr>
              <w:spacing w:after="0"/>
              <w:rPr>
                <w:sz w:val="18"/>
                <w:szCs w:val="18"/>
                <w:color w:val="auto"/>
              </w:rPr>
            </w:pP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color w:val="auto"/>
              </w:rPr>
              <w:t>Total non-current</w:t>
            </w:r>
          </w:p>
        </w:tc>
        <w:tc>
          <w:tcPr>
            <w:tcW w:w="2240" w:type="dxa"/>
            <w:vAlign w:val="bottom"/>
            <w:tcBorders>
              <w:bottom w:val="single" w:sz="8" w:color="70AD47"/>
              <w:right w:val="single" w:sz="8" w:color="70AD47"/>
            </w:tcBorders>
          </w:tcPr>
          <w:p>
            <w:pPr>
              <w:spacing w:after="0"/>
              <w:rPr>
                <w:sz w:val="20"/>
                <w:szCs w:val="20"/>
                <w:color w:val="auto"/>
              </w:rPr>
            </w:pP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102,371</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14,777</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financial liabilities</w:t>
            </w:r>
          </w:p>
        </w:tc>
        <w:tc>
          <w:tcPr>
            <w:tcW w:w="2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40" w:type="dxa"/>
            <w:vAlign w:val="bottom"/>
            <w:tcBorders>
              <w:right w:val="single" w:sz="8" w:color="70AD47"/>
            </w:tcBorders>
          </w:tcPr>
          <w:p>
            <w:pPr>
              <w:spacing w:after="0"/>
              <w:rPr>
                <w:sz w:val="18"/>
                <w:szCs w:val="18"/>
                <w:color w:val="auto"/>
              </w:rPr>
            </w:pP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740" w:type="dxa"/>
            <w:vAlign w:val="bottom"/>
            <w:vMerge w:val="continue"/>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5520" w:type="dxa"/>
            <w:vAlign w:val="bottom"/>
            <w:vMerge w:val="continue"/>
          </w:tcPr>
          <w:p>
            <w:pPr>
              <w:spacing w:after="0"/>
              <w:rPr>
                <w:sz w:val="11"/>
                <w:szCs w:val="11"/>
                <w:color w:val="auto"/>
              </w:rPr>
            </w:pPr>
          </w:p>
        </w:tc>
        <w:tc>
          <w:tcPr>
            <w:tcW w:w="2240" w:type="dxa"/>
            <w:vAlign w:val="bottom"/>
            <w:tcBorders>
              <w:right w:val="single" w:sz="8" w:color="70AD47"/>
            </w:tcBorders>
          </w:tcPr>
          <w:p>
            <w:pPr>
              <w:spacing w:after="0"/>
              <w:rPr>
                <w:sz w:val="11"/>
                <w:szCs w:val="11"/>
                <w:color w:val="auto"/>
              </w:rPr>
            </w:pPr>
          </w:p>
        </w:tc>
        <w:tc>
          <w:tcPr>
            <w:tcW w:w="174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shd w:val="clear" w:color="auto" w:fill="70AD47"/>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20" w:type="dxa"/>
            <w:vAlign w:val="bottom"/>
            <w:tcBorders>
              <w:bottom w:val="single" w:sz="8" w:color="70AD47"/>
            </w:tcBorders>
          </w:tcPr>
          <w:p>
            <w:pPr>
              <w:spacing w:after="0"/>
              <w:rPr>
                <w:sz w:val="9"/>
                <w:szCs w:val="9"/>
                <w:color w:val="auto"/>
              </w:rPr>
            </w:pPr>
          </w:p>
        </w:tc>
        <w:tc>
          <w:tcPr>
            <w:tcW w:w="2240" w:type="dxa"/>
            <w:vAlign w:val="bottom"/>
            <w:tcBorders>
              <w:bottom w:val="single" w:sz="8" w:color="70AD47"/>
              <w:right w:val="single" w:sz="8" w:color="70AD47"/>
            </w:tcBorders>
          </w:tcPr>
          <w:p>
            <w:pPr>
              <w:spacing w:after="0"/>
              <w:rPr>
                <w:sz w:val="9"/>
                <w:szCs w:val="9"/>
                <w:color w:val="auto"/>
              </w:rPr>
            </w:pPr>
          </w:p>
        </w:tc>
        <w:tc>
          <w:tcPr>
            <w:tcW w:w="174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740" w:type="dxa"/>
            <w:vAlign w:val="bottom"/>
            <w:tcBorders>
              <w:bottom w:val="single" w:sz="8" w:color="70AD47"/>
            </w:tcBorders>
            <w:vMerge w:val="continue"/>
          </w:tcPr>
          <w:p>
            <w:pPr>
              <w:spacing w:after="0"/>
              <w:rPr>
                <w:sz w:val="9"/>
                <w:szCs w:val="9"/>
                <w:color w:val="auto"/>
              </w:rPr>
            </w:pPr>
          </w:p>
        </w:tc>
        <w:tc>
          <w:tcPr>
            <w:tcW w:w="20" w:type="dxa"/>
            <w:vAlign w:val="bottom"/>
            <w:tcBorders>
              <w:bottom w:val="single" w:sz="8" w:color="70AD47"/>
            </w:tcBorders>
            <w:shd w:val="clear" w:color="auto" w:fill="70AD47"/>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w:t>
            </w:r>
          </w:p>
        </w:tc>
        <w:tc>
          <w:tcPr>
            <w:tcW w:w="2240" w:type="dxa"/>
            <w:vAlign w:val="bottom"/>
            <w:tcBorders>
              <w:right w:val="single" w:sz="8" w:color="70AD47"/>
            </w:tcBorders>
          </w:tcPr>
          <w:p>
            <w:pPr>
              <w:spacing w:after="0"/>
              <w:rPr>
                <w:sz w:val="18"/>
                <w:szCs w:val="18"/>
                <w:color w:val="auto"/>
              </w:rPr>
            </w:pPr>
          </w:p>
        </w:tc>
        <w:tc>
          <w:tcPr>
            <w:tcW w:w="1740" w:type="dxa"/>
            <w:vAlign w:val="bottom"/>
            <w:tcBorders>
              <w:right w:val="single" w:sz="8" w:color="70AD47"/>
            </w:tcBorders>
            <w:shd w:val="clear" w:color="auto" w:fill="C6E0B4"/>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 - embedded derivative</w:t>
            </w:r>
          </w:p>
        </w:tc>
        <w:tc>
          <w:tcPr>
            <w:tcW w:w="2240" w:type="dxa"/>
            <w:vAlign w:val="bottom"/>
            <w:tcBorders>
              <w:right w:val="single" w:sz="8" w:color="70AD47"/>
            </w:tcBorders>
          </w:tcPr>
          <w:p>
            <w:pPr>
              <w:spacing w:after="0"/>
              <w:rPr>
                <w:sz w:val="19"/>
                <w:szCs w:val="19"/>
                <w:color w:val="auto"/>
              </w:rPr>
            </w:pP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€19,910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or loss</w:t>
            </w:r>
          </w:p>
        </w:tc>
        <w:tc>
          <w:tcPr>
            <w:tcW w:w="2240" w:type="dxa"/>
            <w:vAlign w:val="bottom"/>
            <w:tcBorders>
              <w:right w:val="single" w:sz="8" w:color="70AD47"/>
            </w:tcBorders>
          </w:tcPr>
          <w:p>
            <w:pPr>
              <w:spacing w:after="0"/>
              <w:rPr>
                <w:sz w:val="20"/>
                <w:szCs w:val="20"/>
                <w:color w:val="auto"/>
              </w:rPr>
            </w:pPr>
          </w:p>
        </w:tc>
        <w:tc>
          <w:tcPr>
            <w:tcW w:w="1740" w:type="dxa"/>
            <w:vAlign w:val="bottom"/>
            <w:tcBorders>
              <w:right w:val="single" w:sz="8" w:color="70AD47"/>
            </w:tcBorders>
            <w:shd w:val="clear" w:color="auto" w:fill="C6E0B4"/>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40" w:type="dxa"/>
            <w:vAlign w:val="bottom"/>
            <w:tcBorders>
              <w:bottom w:val="single" w:sz="8" w:color="70AD47"/>
              <w:right w:val="single" w:sz="8" w:color="70AD47"/>
            </w:tcBorders>
          </w:tcPr>
          <w:p>
            <w:pPr>
              <w:spacing w:after="0"/>
              <w:rPr>
                <w:sz w:val="20"/>
                <w:szCs w:val="20"/>
                <w:color w:val="auto"/>
              </w:rPr>
            </w:pP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 at fair value</w:t>
            </w:r>
          </w:p>
        </w:tc>
        <w:tc>
          <w:tcPr>
            <w:tcW w:w="2240" w:type="dxa"/>
            <w:vAlign w:val="bottom"/>
            <w:tcBorders>
              <w:bottom w:val="single" w:sz="8" w:color="70AD47"/>
              <w:right w:val="single" w:sz="8" w:color="70AD47"/>
            </w:tcBorders>
          </w:tcPr>
          <w:p>
            <w:pPr>
              <w:spacing w:after="0"/>
              <w:rPr>
                <w:sz w:val="19"/>
                <w:szCs w:val="19"/>
                <w:color w:val="auto"/>
              </w:rPr>
            </w:pP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€20,482</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776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financial liabilities at amortized cost, other than interest-bearing loans and borrowings</w:t>
            </w:r>
          </w:p>
        </w:tc>
        <w:tc>
          <w:tcPr>
            <w:tcW w:w="1740" w:type="dxa"/>
            <w:vAlign w:val="bottom"/>
            <w:tcBorders>
              <w:right w:val="single" w:sz="8" w:color="70AD47"/>
            </w:tcBorders>
            <w:shd w:val="clear" w:color="auto" w:fill="C6E0B4"/>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payables</w:t>
            </w:r>
          </w:p>
        </w:tc>
        <w:tc>
          <w:tcPr>
            <w:tcW w:w="2240" w:type="dxa"/>
            <w:vAlign w:val="bottom"/>
            <w:tcBorders>
              <w:right w:val="single" w:sz="8" w:color="70AD47"/>
            </w:tcBorders>
          </w:tcPr>
          <w:p>
            <w:pPr>
              <w:spacing w:after="0"/>
              <w:rPr>
                <w:sz w:val="19"/>
                <w:szCs w:val="19"/>
                <w:color w:val="auto"/>
              </w:rPr>
            </w:pP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41,912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240" w:type="dxa"/>
            <w:vAlign w:val="bottom"/>
            <w:tcBorders>
              <w:right w:val="single" w:sz="8" w:color="70AD47"/>
            </w:tcBorders>
          </w:tcPr>
          <w:p>
            <w:pPr>
              <w:spacing w:after="0"/>
              <w:rPr>
                <w:sz w:val="19"/>
                <w:szCs w:val="19"/>
                <w:color w:val="auto"/>
              </w:rPr>
            </w:pP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58,224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57,612</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240" w:type="dxa"/>
            <w:vAlign w:val="bottom"/>
            <w:tcBorders>
              <w:bottom w:val="single" w:sz="8" w:color="70AD47"/>
              <w:right w:val="single" w:sz="8" w:color="70AD47"/>
            </w:tcBorders>
          </w:tcPr>
          <w:p>
            <w:pPr>
              <w:spacing w:after="0"/>
              <w:rPr>
                <w:sz w:val="20"/>
                <w:szCs w:val="20"/>
                <w:color w:val="auto"/>
              </w:rPr>
            </w:pP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126,778</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70AD47"/>
              <w:right w:val="single" w:sz="8" w:color="70AD47"/>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financial liabilities at amortized cost, other than interest-bearing loans and borrowings</w:t>
            </w: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€226,914</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€88,461</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52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financial liabilities</w:t>
            </w:r>
          </w:p>
        </w:tc>
        <w:tc>
          <w:tcPr>
            <w:tcW w:w="2240" w:type="dxa"/>
            <w:vAlign w:val="bottom"/>
            <w:tcBorders>
              <w:bottom w:val="single" w:sz="8" w:color="70AD47"/>
              <w:right w:val="single" w:sz="8" w:color="70AD47"/>
            </w:tcBorders>
          </w:tcPr>
          <w:p>
            <w:pPr>
              <w:spacing w:after="0"/>
              <w:rPr>
                <w:sz w:val="24"/>
                <w:szCs w:val="24"/>
                <w:color w:val="auto"/>
              </w:rPr>
            </w:pP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€247,396</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€88,461</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240" w:type="dxa"/>
            <w:vAlign w:val="bottom"/>
            <w:tcBorders>
              <w:right w:val="single" w:sz="8" w:color="70AD47"/>
            </w:tcBorders>
          </w:tcPr>
          <w:p>
            <w:pPr>
              <w:spacing w:after="0"/>
              <w:rPr>
                <w:sz w:val="18"/>
                <w:szCs w:val="18"/>
                <w:color w:val="auto"/>
              </w:rPr>
            </w:pPr>
          </w:p>
        </w:tc>
        <w:tc>
          <w:tcPr>
            <w:tcW w:w="174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174,146</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34,334</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color w:val="auto"/>
              </w:rPr>
              <w:t>Total non-current</w:t>
            </w:r>
          </w:p>
        </w:tc>
        <w:tc>
          <w:tcPr>
            <w:tcW w:w="2240" w:type="dxa"/>
            <w:vAlign w:val="bottom"/>
            <w:tcBorders>
              <w:bottom w:val="single" w:sz="8" w:color="70AD47"/>
              <w:right w:val="single" w:sz="8" w:color="70AD47"/>
            </w:tcBorders>
          </w:tcPr>
          <w:p>
            <w:pPr>
              <w:spacing w:after="0"/>
              <w:rPr>
                <w:sz w:val="20"/>
                <w:szCs w:val="20"/>
                <w:color w:val="auto"/>
              </w:rPr>
            </w:pPr>
          </w:p>
        </w:tc>
        <w:tc>
          <w:tcPr>
            <w:tcW w:w="174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73,250</w:t>
            </w:r>
          </w:p>
        </w:tc>
        <w:tc>
          <w:tcPr>
            <w:tcW w:w="1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54,127</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1174"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Manufacturing Financing</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BioNTech entered into an agreement with the European Investment Bank (EIB) for a €100 million credit facility to partially support the development of BNT162 and fund expansion of BioNTech’s manufacturing capacity to provide worldwide supply of BNT162 in response to the COVID-19 pandemic. Under this arrangement, the EIB agreed to provide BioNTech with a credit in an amount up to €100 million to partially finance such development and expansion. The credit consists of (i) a term loan in the amount of €50 million that may be drawn in a single tranche upon the achievement of certain milestone events (Credit A), and (ii) a term loan in the amount of €50 million that may be drawn in a single tranche (Credit B). Credit B may only be drawn after Credit A has been drawn down and upon the additional achievement of certain milestone events. Each tranche under Credit A and Credit B must be repaid within six years from the date on which the tranche is disbursed. As of September 30, 2020, there has been no draw down.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June 2020 Private Placement – Convertible Note</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 fund associated with Temasek Capital Management Pte. Ltd., or Temasek, and another accredited investor have contributed a private investment which BioNTech refers to as the “June 2020 Private Placement”. The private placement includes an investment in ordinary shares (see Note 12) and a k€100,000 investment in a 4-year mandatory convertible note. The four-year mandatory convertible note has a coupon of 4.5% per annum and a conversion premium of 20% above its reference price. Subject to customary closing conditions, the investment closed as of August 28, 2020. As of that date, the convertible note has been classified as a financial liability according to IAS 32 because the conversion features of the note lead to a conversion into a variable number of shares and is measured at amortized costs since the fair value option was not applied. On initial recognition, the financial liability was measured at the present value of the contractually determined future cash flows discounted at the effective interest rate of 9.0%. The financial liability is subsequently measured at amortized cost by using the effective interest rate method until extinguished upon conversion. The conversion features provided for in the contract were identified as a combined embedded derivative since they share the same risk exposure and are interdependent. The embedded derivative was bifurcated from the convertible note, as host contract, and is recognized as a separate financial instrument. Based on the classification as derivative, the instrument is measured at fair value through profit and loss until it is extinguished upon conversion. The fair value of the embedded derivative is determined by modeling the stock price movement using the Cox-Rubinstein binomial tree model to derive the value of the conversion right. The primary inputs used in the model include stock price volatility, credit spreads, risk-free interest rate and foreign exchange forward rates. Stock price volatility is based on implied volatility for BioNTech, credit risk is model implied and adjusted for movement in credit spreads for B-rated corporates at each valuation date, the risk-free interest rate is based on currency specific time congruent IBOR and swap rates whereas the foreign exchange forward rates are based on observable market data.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activities</w:t>
      </w:r>
    </w:p>
    <w:p>
      <w:pPr>
        <w:spacing w:after="0" w:line="11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No changes have occurred regarding the Group’s risk management activities as disclosed in the notes to the consolidated financial statements as of December 31, 2019.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Fair values of cash and cash equivalents, trade receivables, trade payables, and other current financial assets and liabilities approximate their carrying amounts largely due to the short-term maturities of these instruments.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financial liabilities measured at amortized cost include two fixed-interest rate loans as well as a recently issued convertible note. As of September 30, 2020 and December 31, 2019, the carrying value approximates their fair values as there have been no significant changes in relevant interest rates since the inception of the respective loans and note.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 w:name="page26"/>
    <w:bookmarkEnd w:id="25"/>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fair values of financial instruments measured at fair value are reassessed on a quarterly basis. The valuation technique used for measuring the fair value of the embedded derivative is based on significant observable inputs (Level 2).</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 and nine months ended September 30, 2020, the fair value adjustment derived from remeasuring the embedded derivative was recognized as finance expenses in profit or loss and amounted to k€6,296. The initial fair value of the contingent consideration determined at acquisition remains valid since no changes of the underlying performance criteria have occurred.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580" w:type="dxa"/>
            <w:vAlign w:val="bottom"/>
          </w:tcPr>
          <w:p>
            <w:pPr>
              <w:spacing w:after="0"/>
              <w:rPr>
                <w:sz w:val="20"/>
                <w:szCs w:val="20"/>
                <w:color w:val="auto"/>
              </w:rPr>
            </w:pPr>
            <w:r>
              <w:rPr>
                <w:rFonts w:ascii="Times New Roman" w:cs="Times New Roman" w:eastAsia="Times New Roman" w:hAnsi="Times New Roman"/>
                <w:sz w:val="29"/>
                <w:szCs w:val="29"/>
                <w:color w:val="auto"/>
              </w:rPr>
              <w:t>11</w:t>
            </w:r>
          </w:p>
        </w:tc>
        <w:tc>
          <w:tcPr>
            <w:tcW w:w="7540" w:type="dxa"/>
            <w:vAlign w:val="bottom"/>
          </w:tcPr>
          <w:p>
            <w:pPr>
              <w:ind w:left="140"/>
              <w:spacing w:after="0"/>
              <w:rPr>
                <w:sz w:val="20"/>
                <w:szCs w:val="20"/>
                <w:color w:val="auto"/>
              </w:rPr>
            </w:pPr>
            <w:r>
              <w:rPr>
                <w:rFonts w:ascii="Times New Roman" w:cs="Times New Roman" w:eastAsia="Times New Roman" w:hAnsi="Times New Roman"/>
                <w:sz w:val="29"/>
                <w:szCs w:val="29"/>
                <w:color w:val="auto"/>
              </w:rPr>
              <w:t>Other Assets</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Set out below, is an overview of other assets as of September 30, 2020 and December 31, 2019:</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120" w:type="dxa"/>
            <w:vAlign w:val="bottom"/>
            <w:tcBorders>
              <w:right w:val="single" w:sz="8" w:color="70AD47"/>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40" w:type="dxa"/>
            <w:vAlign w:val="bottom"/>
            <w:vMerge w:val="continue"/>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120" w:type="dxa"/>
            <w:vAlign w:val="bottom"/>
            <w:tcBorders>
              <w:right w:val="single" w:sz="8" w:color="70AD47"/>
            </w:tcBorders>
            <w:gridSpan w:val="2"/>
            <w:vMerge w:val="continue"/>
          </w:tcPr>
          <w:p>
            <w:pPr>
              <w:spacing w:after="0"/>
              <w:rPr>
                <w:sz w:val="11"/>
                <w:szCs w:val="11"/>
                <w:color w:val="auto"/>
              </w:rPr>
            </w:pP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shd w:val="clear" w:color="auto" w:fill="70AD47"/>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70AD47"/>
            </w:tcBorders>
          </w:tcPr>
          <w:p>
            <w:pPr>
              <w:spacing w:after="0"/>
              <w:rPr>
                <w:sz w:val="9"/>
                <w:szCs w:val="9"/>
                <w:color w:val="auto"/>
              </w:rPr>
            </w:pPr>
          </w:p>
        </w:tc>
        <w:tc>
          <w:tcPr>
            <w:tcW w:w="7540" w:type="dxa"/>
            <w:vAlign w:val="bottom"/>
            <w:tcBorders>
              <w:bottom w:val="single" w:sz="8" w:color="70AD47"/>
              <w:right w:val="single" w:sz="8" w:color="70AD47"/>
            </w:tcBorders>
          </w:tcPr>
          <w:p>
            <w:pPr>
              <w:spacing w:after="0"/>
              <w:rPr>
                <w:sz w:val="9"/>
                <w:szCs w:val="9"/>
                <w:color w:val="auto"/>
              </w:rPr>
            </w:pPr>
          </w:p>
        </w:tc>
        <w:tc>
          <w:tcPr>
            <w:tcW w:w="156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540" w:type="dxa"/>
            <w:vAlign w:val="bottom"/>
            <w:tcBorders>
              <w:bottom w:val="single" w:sz="8" w:color="70AD47"/>
            </w:tcBorders>
            <w:vMerge w:val="continue"/>
          </w:tcPr>
          <w:p>
            <w:pPr>
              <w:spacing w:after="0"/>
              <w:rPr>
                <w:sz w:val="9"/>
                <w:szCs w:val="9"/>
                <w:color w:val="auto"/>
              </w:rPr>
            </w:pPr>
          </w:p>
        </w:tc>
        <w:tc>
          <w:tcPr>
            <w:tcW w:w="20" w:type="dxa"/>
            <w:vAlign w:val="bottom"/>
            <w:tcBorders>
              <w:bottom w:val="single" w:sz="8" w:color="70AD47"/>
            </w:tcBorders>
            <w:shd w:val="clear" w:color="auto" w:fill="70AD47"/>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812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8"/>
                <w:szCs w:val="18"/>
                <w:color w:val="auto"/>
              </w:rPr>
              <w:t>Prepayments on inventories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8"/>
                <w:szCs w:val="18"/>
                <w:color w:val="auto"/>
              </w:rPr>
              <w:t>Sales tax receivable</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8"/>
                <w:szCs w:val="18"/>
                <w:color w:val="auto"/>
              </w:rPr>
              <w:t>Receivables from government grants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8"/>
                <w:szCs w:val="18"/>
                <w:color w:val="auto"/>
              </w:rPr>
              <w:t>Deferred exclusivity fee</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540" w:type="dxa"/>
            <w:vAlign w:val="bottom"/>
            <w:tcBorders>
              <w:bottom w:val="single" w:sz="8" w:color="70AD47"/>
              <w:right w:val="single" w:sz="8" w:color="70AD47"/>
            </w:tcBorders>
          </w:tcPr>
          <w:p>
            <w:pPr>
              <w:spacing w:after="0"/>
              <w:rPr>
                <w:sz w:val="20"/>
                <w:szCs w:val="20"/>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5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540" w:type="dxa"/>
            <w:vAlign w:val="bottom"/>
            <w:tcBorders>
              <w:bottom w:val="single" w:sz="8" w:color="70AD47"/>
              <w:right w:val="single" w:sz="8" w:color="70AD47"/>
            </w:tcBorders>
          </w:tcPr>
          <w:p>
            <w:pPr>
              <w:spacing w:after="0"/>
              <w:rPr>
                <w:sz w:val="19"/>
                <w:szCs w:val="19"/>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€59,323</w:t>
            </w:r>
          </w:p>
        </w:tc>
        <w:tc>
          <w:tcPr>
            <w:tcW w:w="15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€9,069</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20" w:type="dxa"/>
            <w:vAlign w:val="bottom"/>
            <w:tcBorders>
              <w:right w:val="single" w:sz="8" w:color="70AD47"/>
            </w:tcBorders>
            <w:gridSpan w:val="2"/>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54,146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tcBorders>
              <w:bottom w:val="single" w:sz="8" w:color="70AD47"/>
              <w:right w:val="single" w:sz="8" w:color="70AD47"/>
            </w:tcBorders>
            <w:gridSpan w:val="2"/>
          </w:tcPr>
          <w:p>
            <w:pPr>
              <w:spacing w:after="0"/>
              <w:rPr>
                <w:sz w:val="20"/>
                <w:szCs w:val="20"/>
                <w:color w:val="auto"/>
              </w:rPr>
            </w:pPr>
            <w:r>
              <w:rPr>
                <w:rFonts w:ascii="Times New Roman" w:cs="Times New Roman" w:eastAsia="Times New Roman" w:hAnsi="Times New Roman"/>
                <w:sz w:val="18"/>
                <w:szCs w:val="18"/>
                <w:color w:val="auto"/>
              </w:rPr>
              <w:t>Total non-current</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5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Grant</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September 2020, BioNTech became eligible to receive up to €375.0 million in funding from an initiative by the German Federal Ministry of Education (</w:t>
      </w:r>
      <w:r>
        <w:rPr>
          <w:rFonts w:ascii="Times New Roman" w:cs="Times New Roman" w:eastAsia="Times New Roman" w:hAnsi="Times New Roman"/>
          <w:sz w:val="20"/>
          <w:szCs w:val="20"/>
          <w:i w:val="1"/>
          <w:iCs w:val="1"/>
          <w:color w:val="auto"/>
        </w:rPr>
        <w:t>Bundesministerium für Bildung und Forschung</w:t>
      </w:r>
      <w:r>
        <w:rPr>
          <w:rFonts w:ascii="Times New Roman" w:cs="Times New Roman" w:eastAsia="Times New Roman" w:hAnsi="Times New Roman"/>
          <w:sz w:val="20"/>
          <w:szCs w:val="20"/>
          <w:color w:val="auto"/>
        </w:rPr>
        <w:t>, or the BMBF) to support the COVID-19 vaccine program BNT162. The milestone-based BMBF funding will be used to accelerate BioNTech’s vaccine development, as well as for upscaling of manufacturing capabilities in Germany. As of September 30, 2020, k€8,500 were recorded as other current asset since they relate to amounts drawn down for which there is reasonable assurance that the government grant will be received, and all conditions, wholly in the control of the company, will be complied with. The funding drawn down represents a compensation for expenses already incurred in the period ended September 30, 2020. Therefore, k€8,500 were recognized as other operating income within the statements of operations during the three months ended September 30, 2020.</w:t>
      </w:r>
    </w:p>
    <w:p>
      <w:pPr>
        <w:spacing w:after="0" w:line="3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9"/>
          <w:szCs w:val="29"/>
          <w:color w:val="auto"/>
        </w:rPr>
        <w:t>12</w:t>
        <w:tab/>
        <w:t>Issued Capital and Reserves</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September 18, 2019, BioNTech effected a 1:18 share split by issuing 206,595,492 shares by way of a capital increase from its own funds; thus, no outside proceeds were received. This capital increase came into effect upon registration with the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 The accompanying unaudited interim condensed consolidated financial statements and notes to the unaudited interim condensed consolidated financial statements give retroactive effect to the share split for all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transactions during the nine months ended September 30, 2020</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nine months ended September 30, 2020, the issued share capital of BioNTech increased by k€14,006. Each share has a nominal value of €1.00. As a result of the financing transactions the capital reserve increased by k€785,150. Costs of k€30,233 related to these equity transactions were recorded in equity as deduction from the capital reserve. The financing transactions that occurred during the nine months ended September 30, 2020, were as follows:</w:t>
      </w:r>
    </w:p>
    <w:p>
      <w:pPr>
        <w:spacing w:after="0" w:line="189"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Shanghai Fosun Pharmaceuticals (Group) Co., Ltd</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part of the BNT162 program, BioNTech entered a strategic alliance with Fosun Pharma to develop COVID-19 vaccine candidates in China. Fosun Pharma agreed to make an equity investment of k€45,568 (k$50,000) for 1,580,777 ordinary shares in BioNTech via Fosun Industrial Co., Limited, Hong Kong. The increase in share capital with a nominal amount of k€1,581 was subject to execution of share subscription documentation and approval from regulatory authorities in China and became effective with the registration with the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 on April 23, 2020. As a result of the transaction the capital reserve increased by k€43,987.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Pfizer Inc., New York, New York, United States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part of the collaboration between BioNTech and Pfizer, for the co-development of BNT162, Pfizer agreed to make an equity investment of k€103,890 (k$113,000). The issuance of 2,377,446 ordinary shares with the nominal amount of k€ 2,377 was registered with the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 on May 5, 2020. As a result of the transaction the capital reserve increased by k€101,513.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Neon Therapeutics, Inc., Cambridge, Massachusetts, United States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BioNTech acquired Neon by issuing 1,935,488 American Depositary Shares representing BioNTech’s ordinary shares with the nominal amount of k€ 1,935 to former stockholders of Neon in the Merger. The capital increase was registered with the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 on May 8, 2020. As a result of the transaction the capital reserve increased by k€87,613.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Global Offering</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July 27, 2020 BioNTech increased its share capital by k€5,500 (k$6,379) in conjunction with the underwritten offering of 5,500,000 ADS each representing one of BioNTech’s ordinary shares at a public offering price of $93.00 per ADS (“Underwritten Offering”). On August 27, 2020, following the Underwritten Offering, BioNTech increased its share capital by additional k€16 (k$19) in conjunction with the rights offering of 16,124 ADS each representing one of BioNTech’s ordinary shares at a public offering price of $93.00 per ADS (“Rights Offering”). The Underwritten Offering and the Rights Offering are part of a single, global offering which BioNTech refers to as the Global Offering. The gross proceeds of the Global Offering were k€436,295 (k$513,000) including k€5,516 increase in share capital and k€430,779 increase in capital reserve.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June 2020 Private Placement – Equity Investment</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fund associated with Temasek Capital Management Pte. Ltd., or Temasek, and another accredited investor have contributed a private investment which BioNTech refers to as the “June 2020 Private Placement”. The private placement includes an investment in a 4-year mandatory convertible note (see Note 10) and an investment of k€123,855 in ordinary shares. The issuance of 2,595,996 ordinary shares with the nominal amount of k€ 2,596 was registered with the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 on September 8, 2020. As result of the transaction the capital reserve increased by k€121,259.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transactions during the nine months ended September 30, 2019</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comparative period of nine months ended September 30, 2019, the issued share capital of BioNTech increased by k€28,491. Each share has a nominal value of €1.00. As a result of the financing transactions the capital reserve increased by k€226,494. Costs of k€858 related to these equity transactions were recorded in equity as deduction from the capital reserve.</w:t>
      </w:r>
    </w:p>
    <w:p>
      <w:pPr>
        <w:spacing w:after="0" w:line="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January 2019, BioNTech issued 5,088,204 shares and increased its share capital by k€5,088. The cash investment of k€80,006 was received in 2018 (k€79,997).</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March 14, 2019, BioNTech acquired the remaining 5.5% of non-controlling interests in BioNTech Cell &amp; Gene Therapies GmbH previously held by Eli Lilly Nederland B.V. in exchange for issuing 2,374,794 new ordinary shares with an imputed nominal value of €1.00 each. This acquisition was recognized within equity and resulted in the derecognition of the non-controlling interest of k€731 as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7" w:name="page28"/>
    <w:bookmarkEnd w:id="27"/>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well as an increase in share capital of k€2,375. The net effect of the transaction of k€1,644 was recognized as a decrease in the capital reserve.</w:t>
      </w:r>
    </w:p>
    <w:p>
      <w:pPr>
        <w:spacing w:after="0" w:line="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Of the share capital issued in 2019, k€12,465 relates to a new financing round (referred to as the Series B round). As part of the Series B round, 12,465,288 ordinary shares (excluding 5,524,506 ordinary shares which were issued to a Hong Kong-based investor and subsequently transferred to BioNTech for no consideration; these shares are held as treasury shares) were issued to certain new and existing shareholders. As a result of the Series B round, the capital reserve increased by k€186,083.</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August 30, 2019, BioNTech entered into agreements with the Bill &amp; Melinda Gates Foundation (“BMGF”) under which BioNTech is required to perform certain research and development activities. The issuance of 3,038,674 ordinary shares with the nominal amount of k€ 3,039 was registered with the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 on September 26, 2019. As result of the transaction the capital reserve increased by k€46,826.</w:t>
      </w:r>
    </w:p>
    <w:p>
      <w:pPr>
        <w:spacing w:after="0" w:line="38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9"/>
          <w:szCs w:val="29"/>
          <w:color w:val="auto"/>
        </w:rPr>
        <w:t>13</w:t>
        <w:tab/>
        <w:t>Share-Based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Board Grant (Cash-Settled)</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Since the beginning of 2020, the first year following the completion of BioNTech’s initial public offering (“IPO”), the current service agreements with BioNTech’s Management Board have provided for a short-term incentive compensation of up to a maximum of fifty percent of the annual base salary for the years 2020, 2021 and 2022. The amount of such short-term incentive compensation will depend on the achievement of certain company goals in the particular fiscal year, which goals will be set uniformly for all members of the Management Board. Fifty percent of the incentive compensation will be paid promptly upon achievement of the applicable company goals (first installment), with the remaining amount payable one year later, subject to adjustment relative to the performance of the price of the American Depositary Shares representing BioNTech’s ordinary shares during that year (second installment).</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each of the three yearly awards, the second installment of the short-term incentive compensation that is dependent on the price of the American Depositary Shares representing BioNTech’s ordinary shares, represents a cash-settled share-based payment arrangement. The fair values of the liabilities are recognized over the award’s vesting period beginning as of the service commencement date (January 1, 2020) until each separate determination date and are remeasured until settlement date.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three months ended September 30, 2020, the Group recognized share-based payment expenses of k€83 as research &amp; development expenses and of k€124 as general &amp; administrative expenses in the interim condensed consolidated statements of operations (three months ended September 30, 2019: Nil).</w:t>
      </w:r>
    </w:p>
    <w:p>
      <w:pPr>
        <w:spacing w:after="0" w:line="1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During the nine months ended September 30, 2020, the Group recognized share-based payment expenses of k€248 as research &amp; development expenses and of k€373 as general &amp; administrative expenses in the interim condensed consolidated statements of operations (nine months ended September 30, 2019: Nil).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Board Grant (Equity-Settled)</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From the beginning of 2020, the first year following the completion of BioNTech’s IPO, until the end of the term of the Management Board member’s employment agreement, the service agreements with BioNTech’s Management Board provide for a long-term incentive compensation in terms of a yearly grant of options to purchase BioNTech shares. The right to receive options in 2020, 2021 and 2022 represents an equity-settled share-based payment arrangement.</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options allocated each year will be subject to the terms, conditions, definitions and provisions of the Employee Stock Ownership Plan (“ESOP”) and the applicable option agreement thereunder. The</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8" w:name="page29"/>
    <w:bookmarkEnd w:id="28"/>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number of options to be allocated each year to Prof. Ugur Sahin, Sean Marett, Dr. Sierk Poetting, Dr. Özlem Türeci and Ryan Richardson is to be calculated based on a value of €750,000, €300,000, €300,000, €300,000 and €260,000, respectively, in each case divided by the amount by which a certain target share price exceeds the exercise price. The value used to calculate the number of options for Ryan Richardson increases to €280,000 for the year 2022.</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allocation of the number of options to be received in 2020 took place on February 13, 2020 (allocation date). The allocations of the number of options to be received in 2021 and 2022 are estimated to take place on the first and second anniversary of the allocation date (estimated allocation dates).</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share options allocated and expected to be allocated to BioNTech’s Management Board as of the dates indicated are presented in the tables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Allocation date February 13, 2020</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130"/>
        </w:trPr>
        <w:tc>
          <w:tcPr>
            <w:tcW w:w="8120" w:type="dxa"/>
            <w:vAlign w:val="bottom"/>
            <w:tcBorders>
              <w:right w:val="single" w:sz="8" w:color="70AD47"/>
            </w:tcBorders>
            <w:vMerge w:val="continue"/>
          </w:tcPr>
          <w:p>
            <w:pPr>
              <w:spacing w:after="0"/>
              <w:rPr>
                <w:sz w:val="11"/>
                <w:szCs w:val="11"/>
                <w:color w:val="auto"/>
              </w:rPr>
            </w:pP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0" w:type="dxa"/>
            <w:vAlign w:val="bottom"/>
          </w:tcPr>
          <w:p>
            <w:pPr>
              <w:spacing w:after="0"/>
              <w:rPr>
                <w:sz w:val="1"/>
                <w:szCs w:val="1"/>
                <w:color w:val="auto"/>
              </w:rPr>
            </w:pPr>
          </w:p>
        </w:tc>
      </w:tr>
      <w:tr>
        <w:trPr>
          <w:trHeight w:val="108"/>
        </w:trPr>
        <w:tc>
          <w:tcPr>
            <w:tcW w:w="8120" w:type="dxa"/>
            <w:vAlign w:val="bottom"/>
            <w:tcBorders>
              <w:bottom w:val="single" w:sz="8" w:color="70AD47"/>
              <w:right w:val="single" w:sz="8" w:color="70AD47"/>
            </w:tcBorders>
          </w:tcPr>
          <w:p>
            <w:pPr>
              <w:spacing w:after="0"/>
              <w:rPr>
                <w:sz w:val="9"/>
                <w:szCs w:val="9"/>
                <w:color w:val="auto"/>
              </w:rPr>
            </w:pPr>
          </w:p>
        </w:tc>
        <w:tc>
          <w:tcPr>
            <w:tcW w:w="156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56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Prof. Ugur Sahin, M.D.</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97,420</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30"/>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Sean Marett</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38,968</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29"/>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Dr. Sierk Poetting</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38,968</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29"/>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Dr. Özlem Türeci</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38,968</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34"/>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Ryan Richardson</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33,772</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12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Estimated allocation date February 13, 2021</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140"/>
        </w:trPr>
        <w:tc>
          <w:tcPr>
            <w:tcW w:w="8120" w:type="dxa"/>
            <w:vAlign w:val="bottom"/>
            <w:tcBorders>
              <w:right w:val="single" w:sz="8" w:color="70AD47"/>
            </w:tcBorders>
            <w:vMerge w:val="continue"/>
          </w:tcPr>
          <w:p>
            <w:pPr>
              <w:spacing w:after="0"/>
              <w:rPr>
                <w:sz w:val="12"/>
                <w:szCs w:val="12"/>
                <w:color w:val="auto"/>
              </w:rPr>
            </w:pPr>
          </w:p>
        </w:tc>
        <w:tc>
          <w:tcPr>
            <w:tcW w:w="1560" w:type="dxa"/>
            <w:vAlign w:val="bottom"/>
            <w:tcBorders>
              <w:right w:val="single" w:sz="8" w:color="70AD47"/>
            </w:tcBorders>
            <w:shd w:val="clear" w:color="auto" w:fill="C6E0B4"/>
          </w:tcPr>
          <w:p>
            <w:pPr>
              <w:jc w:val="right"/>
              <w:spacing w:after="0" w:line="140" w:lineRule="exact"/>
              <w:rPr>
                <w:sz w:val="20"/>
                <w:szCs w:val="20"/>
                <w:color w:val="auto"/>
              </w:rPr>
            </w:pPr>
            <w:r>
              <w:rPr>
                <w:rFonts w:ascii="Times New Roman" w:cs="Times New Roman" w:eastAsia="Times New Roman" w:hAnsi="Times New Roman"/>
                <w:sz w:val="16"/>
                <w:szCs w:val="16"/>
                <w:b w:val="1"/>
                <w:bCs w:val="1"/>
                <w:color w:val="auto"/>
              </w:rPr>
              <w:t>expected to be</w:t>
            </w: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0" w:type="dxa"/>
            <w:vAlign w:val="bottom"/>
          </w:tcPr>
          <w:p>
            <w:pPr>
              <w:spacing w:after="0"/>
              <w:rPr>
                <w:sz w:val="1"/>
                <w:szCs w:val="1"/>
                <w:color w:val="auto"/>
              </w:rPr>
            </w:pPr>
          </w:p>
        </w:tc>
      </w:tr>
      <w:tr>
        <w:trPr>
          <w:trHeight w:val="130"/>
        </w:trPr>
        <w:tc>
          <w:tcPr>
            <w:tcW w:w="8120" w:type="dxa"/>
            <w:vAlign w:val="bottom"/>
            <w:tcBorders>
              <w:right w:val="single" w:sz="8" w:color="70AD47"/>
            </w:tcBorders>
          </w:tcPr>
          <w:p>
            <w:pPr>
              <w:spacing w:after="0"/>
              <w:rPr>
                <w:sz w:val="11"/>
                <w:szCs w:val="11"/>
                <w:color w:val="auto"/>
              </w:rPr>
            </w:pP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1560" w:type="dxa"/>
            <w:vAlign w:val="bottom"/>
            <w:tcBorders>
              <w:right w:val="single" w:sz="8" w:color="70AD47"/>
            </w:tcBorders>
            <w:vMerge w:val="continue"/>
            <w:shd w:val="clear" w:color="auto" w:fill="C6E0B4"/>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120" w:type="dxa"/>
            <w:vAlign w:val="bottom"/>
            <w:tcBorders>
              <w:bottom w:val="single" w:sz="8" w:color="70AD47"/>
              <w:right w:val="single" w:sz="8" w:color="70AD47"/>
            </w:tcBorders>
          </w:tcPr>
          <w:p>
            <w:pPr>
              <w:spacing w:after="0"/>
              <w:rPr>
                <w:sz w:val="9"/>
                <w:szCs w:val="9"/>
                <w:color w:val="auto"/>
              </w:rPr>
            </w:pPr>
          </w:p>
        </w:tc>
        <w:tc>
          <w:tcPr>
            <w:tcW w:w="156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560" w:type="dxa"/>
            <w:vAlign w:val="bottom"/>
            <w:tcBorders>
              <w:bottom w:val="single" w:sz="8" w:color="70AD47"/>
              <w:right w:val="single" w:sz="8" w:color="70AD47"/>
            </w:tcBorders>
            <w:shd w:val="clear" w:color="auto" w:fill="C6E0B4"/>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Prof. Ugur Sahin, M.D.</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45,128</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29"/>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Sean Marett</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30"/>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Dr. Sierk Poetting</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30"/>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Dr. Özlem Türeci</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34"/>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Ryan Richardson</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04"/>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 Valuation parameter derived from the Monte-Carlo simulation model</w:t>
            </w: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120" w:type="dxa"/>
            <w:vAlign w:val="bottom"/>
            <w:tcBorders>
              <w:right w:val="single" w:sz="8" w:color="70AD47"/>
            </w:tcBorders>
          </w:tcPr>
          <w:p>
            <w:pPr>
              <w:spacing w:after="0"/>
              <w:rPr>
                <w:sz w:val="18"/>
                <w:szCs w:val="18"/>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184"/>
        </w:trPr>
        <w:tc>
          <w:tcPr>
            <w:tcW w:w="8120" w:type="dxa"/>
            <w:vAlign w:val="bottom"/>
            <w:tcBorders>
              <w:right w:val="single" w:sz="8" w:color="70AD47"/>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Estimated allocation date February 13, 2022</w:t>
            </w:r>
          </w:p>
        </w:tc>
        <w:tc>
          <w:tcPr>
            <w:tcW w:w="1560" w:type="dxa"/>
            <w:vAlign w:val="bottom"/>
            <w:tcBorders>
              <w:right w:val="single" w:sz="8" w:color="70AD47"/>
            </w:tcBorders>
            <w:shd w:val="clear" w:color="auto" w:fill="C6E0B4"/>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expected to be</w:t>
            </w:r>
          </w:p>
        </w:tc>
        <w:tc>
          <w:tcPr>
            <w:tcW w:w="1560" w:type="dxa"/>
            <w:vAlign w:val="bottom"/>
            <w:tcBorders>
              <w:right w:val="single" w:sz="8" w:color="70AD47"/>
            </w:tcBorders>
            <w:vMerge w:val="continue"/>
            <w:shd w:val="clear" w:color="auto" w:fill="C6E0B4"/>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120" w:type="dxa"/>
            <w:vAlign w:val="bottom"/>
            <w:tcBorders>
              <w:right w:val="single" w:sz="8" w:color="70AD47"/>
            </w:tcBorders>
          </w:tcPr>
          <w:p>
            <w:pPr>
              <w:spacing w:after="0"/>
              <w:rPr>
                <w:sz w:val="23"/>
                <w:szCs w:val="23"/>
                <w:color w:val="auto"/>
              </w:rPr>
            </w:pP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0" w:type="dxa"/>
            <w:vAlign w:val="bottom"/>
          </w:tcPr>
          <w:p>
            <w:pPr>
              <w:spacing w:after="0"/>
              <w:rPr>
                <w:sz w:val="1"/>
                <w:szCs w:val="1"/>
                <w:color w:val="auto"/>
              </w:rPr>
            </w:pPr>
          </w:p>
        </w:tc>
      </w:tr>
      <w:tr>
        <w:trPr>
          <w:trHeight w:val="218"/>
        </w:trPr>
        <w:tc>
          <w:tcPr>
            <w:tcW w:w="812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Prof. Ugur Sahin, M.D.</w:t>
            </w:r>
          </w:p>
        </w:tc>
        <w:tc>
          <w:tcPr>
            <w:tcW w:w="15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44,736</w:t>
            </w:r>
          </w:p>
        </w:tc>
        <w:tc>
          <w:tcPr>
            <w:tcW w:w="15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0" w:type="dxa"/>
            <w:vAlign w:val="bottom"/>
          </w:tcPr>
          <w:p>
            <w:pPr>
              <w:spacing w:after="0"/>
              <w:rPr>
                <w:sz w:val="1"/>
                <w:szCs w:val="1"/>
                <w:color w:val="auto"/>
              </w:rPr>
            </w:pPr>
          </w:p>
        </w:tc>
      </w:tr>
      <w:tr>
        <w:trPr>
          <w:trHeight w:val="229"/>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Sean Marett</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17,894</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0" w:type="dxa"/>
            <w:vAlign w:val="bottom"/>
          </w:tcPr>
          <w:p>
            <w:pPr>
              <w:spacing w:after="0"/>
              <w:rPr>
                <w:sz w:val="1"/>
                <w:szCs w:val="1"/>
                <w:color w:val="auto"/>
              </w:rPr>
            </w:pPr>
          </w:p>
        </w:tc>
      </w:tr>
      <w:tr>
        <w:trPr>
          <w:trHeight w:val="230"/>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Dr. Sierk Poetting</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17,894</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0" w:type="dxa"/>
            <w:vAlign w:val="bottom"/>
          </w:tcPr>
          <w:p>
            <w:pPr>
              <w:spacing w:after="0"/>
              <w:rPr>
                <w:sz w:val="1"/>
                <w:szCs w:val="1"/>
                <w:color w:val="auto"/>
              </w:rPr>
            </w:pPr>
          </w:p>
        </w:tc>
      </w:tr>
      <w:tr>
        <w:trPr>
          <w:trHeight w:val="230"/>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Dr. Özlem Türeci</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17,894</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0" w:type="dxa"/>
            <w:vAlign w:val="bottom"/>
          </w:tcPr>
          <w:p>
            <w:pPr>
              <w:spacing w:after="0"/>
              <w:rPr>
                <w:sz w:val="1"/>
                <w:szCs w:val="1"/>
                <w:color w:val="auto"/>
              </w:rPr>
            </w:pPr>
          </w:p>
        </w:tc>
      </w:tr>
      <w:tr>
        <w:trPr>
          <w:trHeight w:val="234"/>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Ryan Richardson</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0" w:type="dxa"/>
            <w:vAlign w:val="bottom"/>
          </w:tcPr>
          <w:p>
            <w:pPr>
              <w:spacing w:after="0"/>
              <w:rPr>
                <w:sz w:val="1"/>
                <w:szCs w:val="1"/>
                <w:color w:val="auto"/>
              </w:rPr>
            </w:pPr>
          </w:p>
        </w:tc>
      </w:tr>
      <w:tr>
        <w:trPr>
          <w:trHeight w:val="204"/>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 Valuation parameter derived from the Monte-Carlo simulation model</w:t>
            </w: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the awards with estimated allocation dates, the numbers of awards expected to be allocated have been calculated using the valuation parameter derived from the Monte-Carlo simulation model. The numbers will be adjusted until the actual allocation has occurred and the number of options granted has ultimately been determined. The options will vest annually in equal installments over four years commencing on the first anniversary of the allocation date and will be exercisable four years after the allocation date.</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options will be subject to the terms, conditions, definitions and provisions of the ESOP and the applicable option agreement thereunder. The vested options can only be exercised if and to the extent that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twelve-month period</w:t>
      </w:r>
    </w:p>
    <w:p>
      <w:pPr>
        <w:spacing w:after="0" w:line="194"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9" w:name="page30"/>
    <w:bookmarkEnd w:id="29"/>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starting on the fourth anniversary of the allocation date, $8.5 billion divided by the total number of the ordinary shares outstanding immediately following the initial public offering (other than ordinary shares owned by BioNTech), and (b) for each twelve-month period starting on the fifth or subsequent anniversary of the allocation date, 107% of the target share price applicable for the prior twelve-month period); and (iii) the closing price for the fifth trading day prior to the start of the relevant exercise window is higher than the exercise price by at least the same percentage by which the Nasdaq Biotechnology Index or a comparable successor index as of such time is higher than such index was as of the last trading day before the allocation date. The options can be exercised at the latest ten years after the allocation date. If they have not been exercised by that date, they will lapse without compensation.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Monte-Carlo simulation model has been used to measure the fair values at the (estimated) allocation dates of the Management Board Grant. This model incorporates the impact of the performance criteria regarding share price and index development described above. The parameters used for measuring the fair values as of the respective (estimated) allocation dates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Borders>
              <w:right w:val="single" w:sz="8" w:color="70AD47"/>
            </w:tcBorders>
          </w:tcPr>
          <w:p>
            <w:pPr>
              <w:spacing w:after="0"/>
              <w:rPr>
                <w:sz w:val="18"/>
                <w:szCs w:val="18"/>
                <w:color w:val="auto"/>
              </w:rPr>
            </w:pP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Allocation date</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5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108"/>
        </w:trPr>
        <w:tc>
          <w:tcPr>
            <w:tcW w:w="6540" w:type="dxa"/>
            <w:vAlign w:val="bottom"/>
            <w:tcBorders>
              <w:right w:val="single" w:sz="8" w:color="70AD47"/>
            </w:tcBorders>
          </w:tcPr>
          <w:p>
            <w:pPr>
              <w:spacing w:after="0"/>
              <w:rPr>
                <w:sz w:val="9"/>
                <w:szCs w:val="9"/>
                <w:color w:val="auto"/>
              </w:rPr>
            </w:pPr>
          </w:p>
        </w:tc>
        <w:tc>
          <w:tcPr>
            <w:tcW w:w="1580" w:type="dxa"/>
            <w:vAlign w:val="bottom"/>
            <w:tcBorders>
              <w:right w:val="single" w:sz="8" w:color="70AD47"/>
            </w:tcBorders>
            <w:vMerge w:val="continue"/>
            <w:shd w:val="clear" w:color="auto" w:fill="C6E0B4"/>
          </w:tcPr>
          <w:p>
            <w:pPr>
              <w:spacing w:after="0"/>
              <w:rPr>
                <w:sz w:val="9"/>
                <w:szCs w:val="9"/>
                <w:color w:val="auto"/>
              </w:rPr>
            </w:pP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allocation date</w:t>
            </w:r>
          </w:p>
        </w:tc>
        <w:tc>
          <w:tcPr>
            <w:tcW w:w="1540" w:type="dxa"/>
            <w:vAlign w:val="bottom"/>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allocation date</w:t>
            </w:r>
          </w:p>
        </w:tc>
        <w:tc>
          <w:tcPr>
            <w:tcW w:w="0" w:type="dxa"/>
            <w:vAlign w:val="bottom"/>
          </w:tcPr>
          <w:p>
            <w:pPr>
              <w:spacing w:after="0"/>
              <w:rPr>
                <w:sz w:val="1"/>
                <w:szCs w:val="1"/>
                <w:color w:val="auto"/>
              </w:rPr>
            </w:pPr>
          </w:p>
        </w:tc>
      </w:tr>
      <w:tr>
        <w:trPr>
          <w:trHeight w:val="108"/>
        </w:trPr>
        <w:tc>
          <w:tcPr>
            <w:tcW w:w="6540" w:type="dxa"/>
            <w:vAlign w:val="bottom"/>
            <w:tcBorders>
              <w:right w:val="single" w:sz="8" w:color="70AD47"/>
            </w:tcBorders>
          </w:tcPr>
          <w:p>
            <w:pPr>
              <w:spacing w:after="0"/>
              <w:rPr>
                <w:sz w:val="9"/>
                <w:szCs w:val="9"/>
                <w:color w:val="auto"/>
              </w:rPr>
            </w:pP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13, 2020</w:t>
            </w:r>
          </w:p>
        </w:tc>
        <w:tc>
          <w:tcPr>
            <w:tcW w:w="1580" w:type="dxa"/>
            <w:vAlign w:val="bottom"/>
            <w:tcBorders>
              <w:right w:val="single" w:sz="8" w:color="70AD47"/>
            </w:tcBorders>
            <w:vMerge w:val="continue"/>
            <w:shd w:val="clear" w:color="auto" w:fill="C6E0B4"/>
          </w:tcPr>
          <w:p>
            <w:pPr>
              <w:spacing w:after="0"/>
              <w:rPr>
                <w:sz w:val="9"/>
                <w:szCs w:val="9"/>
                <w:color w:val="auto"/>
              </w:rPr>
            </w:pPr>
          </w:p>
        </w:tc>
        <w:tc>
          <w:tcPr>
            <w:tcW w:w="1540" w:type="dxa"/>
            <w:vAlign w:val="bottom"/>
            <w:vMerge w:val="continue"/>
            <w:shd w:val="clear" w:color="auto" w:fill="C6E0B4"/>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6540" w:type="dxa"/>
            <w:vAlign w:val="bottom"/>
            <w:tcBorders>
              <w:bottom w:val="single" w:sz="8" w:color="70AD47"/>
              <w:right w:val="single" w:sz="8" w:color="70AD47"/>
            </w:tcBorders>
          </w:tcPr>
          <w:p>
            <w:pPr>
              <w:spacing w:after="0"/>
              <w:rPr>
                <w:sz w:val="20"/>
                <w:szCs w:val="20"/>
                <w:color w:val="auto"/>
              </w:rPr>
            </w:pPr>
          </w:p>
        </w:tc>
        <w:tc>
          <w:tcPr>
            <w:tcW w:w="1580" w:type="dxa"/>
            <w:vAlign w:val="bottom"/>
            <w:tcBorders>
              <w:bottom w:val="single" w:sz="8" w:color="70AD47"/>
              <w:right w:val="single" w:sz="8" w:color="70AD47"/>
            </w:tcBorders>
            <w:vMerge w:val="continue"/>
            <w:shd w:val="clear" w:color="auto" w:fill="C6E0B4"/>
          </w:tcPr>
          <w:p>
            <w:pPr>
              <w:spacing w:after="0"/>
              <w:rPr>
                <w:sz w:val="20"/>
                <w:szCs w:val="20"/>
                <w:color w:val="auto"/>
              </w:rPr>
            </w:pP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13, 2021</w:t>
            </w:r>
          </w:p>
        </w:tc>
        <w:tc>
          <w:tcPr>
            <w:tcW w:w="15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13, 2022</w:t>
            </w:r>
          </w:p>
        </w:tc>
        <w:tc>
          <w:tcPr>
            <w:tcW w:w="0" w:type="dxa"/>
            <w:vAlign w:val="bottom"/>
          </w:tcPr>
          <w:p>
            <w:pPr>
              <w:spacing w:after="0"/>
              <w:rPr>
                <w:sz w:val="1"/>
                <w:szCs w:val="1"/>
                <w:color w:val="auto"/>
              </w:rPr>
            </w:pPr>
          </w:p>
        </w:tc>
      </w:tr>
      <w:tr>
        <w:trPr>
          <w:trHeight w:val="223"/>
        </w:trPr>
        <w:tc>
          <w:tcPr>
            <w:tcW w:w="654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5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5"/>
        </w:trPr>
        <w:tc>
          <w:tcPr>
            <w:tcW w:w="654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Weighted average share price</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€ 59.13*</w:t>
            </w:r>
          </w:p>
        </w:tc>
        <w:tc>
          <w:tcPr>
            <w:tcW w:w="15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€ 59.13*</w:t>
            </w:r>
          </w:p>
        </w:tc>
        <w:tc>
          <w:tcPr>
            <w:tcW w:w="0" w:type="dxa"/>
            <w:vAlign w:val="bottom"/>
          </w:tcPr>
          <w:p>
            <w:pPr>
              <w:spacing w:after="0"/>
              <w:rPr>
                <w:sz w:val="1"/>
                <w:szCs w:val="1"/>
                <w:color w:val="auto"/>
              </w:rPr>
            </w:pPr>
          </w:p>
        </w:tc>
      </w:tr>
      <w:tr>
        <w:trPr>
          <w:trHeight w:val="229"/>
        </w:trPr>
        <w:tc>
          <w:tcPr>
            <w:tcW w:w="654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€ 59.35*</w:t>
            </w:r>
          </w:p>
        </w:tc>
        <w:tc>
          <w:tcPr>
            <w:tcW w:w="15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€ 59.87*</w:t>
            </w:r>
          </w:p>
        </w:tc>
        <w:tc>
          <w:tcPr>
            <w:tcW w:w="0" w:type="dxa"/>
            <w:vAlign w:val="bottom"/>
          </w:tcPr>
          <w:p>
            <w:pPr>
              <w:spacing w:after="0"/>
              <w:rPr>
                <w:sz w:val="1"/>
                <w:szCs w:val="1"/>
                <w:color w:val="auto"/>
              </w:rPr>
            </w:pPr>
          </w:p>
        </w:tc>
      </w:tr>
      <w:tr>
        <w:trPr>
          <w:trHeight w:val="230"/>
        </w:trPr>
        <w:tc>
          <w:tcPr>
            <w:tcW w:w="654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5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654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540" w:type="dxa"/>
            <w:vAlign w:val="bottom"/>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4"/>
        </w:trPr>
        <w:tc>
          <w:tcPr>
            <w:tcW w:w="654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540" w:type="dxa"/>
            <w:vAlign w:val="bottom"/>
            <w:tcBorders>
              <w:bottom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04"/>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 Valuation parameter derived from the Monte-Carlo simulation model</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exercise of the option rights in accordance with the terms of the ESOP gives the Management Board members the right to obtain shares against payment of the exercise price. The per share exercise price of the options is the Euro equivalent of the arithmetic mean of the closing prices of the ten last trading days prior to the allocation date. For the award allocated as of February 13, 2020 the exercise price has been determined to be $30.78 (€28.32). The exercise prices for the awards with estimated allocation dates as of February 13, 2021 and February 13, 2022 have been derived from the Monte-Carlo simulation model. Expected volatility was based on an evaluation of the historical volatilities of comparable companies over the historical period commensurate with the expected option term. The expected term was based on general optionholder behavior for employee options.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share options allocated and expected to be allocated under the Management Board Grant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Borders>
              <w:right w:val="single" w:sz="8" w:color="70AD47"/>
            </w:tcBorders>
          </w:tcPr>
          <w:p>
            <w:pPr>
              <w:spacing w:after="0"/>
              <w:rPr>
                <w:sz w:val="18"/>
                <w:szCs w:val="18"/>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184"/>
        </w:trPr>
        <w:tc>
          <w:tcPr>
            <w:tcW w:w="8120" w:type="dxa"/>
            <w:vAlign w:val="bottom"/>
            <w:tcBorders>
              <w:right w:val="single" w:sz="8" w:color="70AD47"/>
            </w:tcBorders>
          </w:tcPr>
          <w:p>
            <w:pPr>
              <w:spacing w:after="0"/>
              <w:rPr>
                <w:sz w:val="16"/>
                <w:szCs w:val="16"/>
                <w:color w:val="auto"/>
              </w:rPr>
            </w:pPr>
          </w:p>
        </w:tc>
        <w:tc>
          <w:tcPr>
            <w:tcW w:w="1560" w:type="dxa"/>
            <w:vAlign w:val="bottom"/>
            <w:tcBorders>
              <w:right w:val="single" w:sz="8" w:color="70AD47"/>
            </w:tcBorders>
            <w:shd w:val="clear" w:color="auto" w:fill="C6E0B4"/>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(expected to be</w:t>
            </w:r>
          </w:p>
        </w:tc>
        <w:tc>
          <w:tcPr>
            <w:tcW w:w="1560" w:type="dxa"/>
            <w:vAlign w:val="bottom"/>
            <w:tcBorders>
              <w:right w:val="single" w:sz="8" w:color="70AD47"/>
            </w:tcBorders>
            <w:vMerge w:val="continue"/>
            <w:shd w:val="clear" w:color="auto" w:fill="C6E0B4"/>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120" w:type="dxa"/>
            <w:vAlign w:val="bottom"/>
            <w:tcBorders>
              <w:right w:val="single" w:sz="8" w:color="70AD47"/>
            </w:tcBorders>
          </w:tcPr>
          <w:p>
            <w:pPr>
              <w:spacing w:after="0"/>
              <w:rPr>
                <w:sz w:val="23"/>
                <w:szCs w:val="23"/>
                <w:color w:val="auto"/>
              </w:rPr>
            </w:pP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0" w:type="dxa"/>
            <w:vAlign w:val="bottom"/>
          </w:tcPr>
          <w:p>
            <w:pPr>
              <w:spacing w:after="0"/>
              <w:rPr>
                <w:sz w:val="1"/>
                <w:szCs w:val="1"/>
                <w:color w:val="auto"/>
              </w:rPr>
            </w:pPr>
          </w:p>
        </w:tc>
      </w:tr>
      <w:tr>
        <w:trPr>
          <w:trHeight w:val="218"/>
        </w:trPr>
        <w:tc>
          <w:tcPr>
            <w:tcW w:w="812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As of January 1, 2020</w:t>
            </w:r>
          </w:p>
        </w:tc>
        <w:tc>
          <w:tcPr>
            <w:tcW w:w="15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Granted as of allocation date February 13, 2020</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248,096</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29"/>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Expected to be allocated as of estimated allocation date February 13, 2021</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114,925</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34"/>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Expected to be allocated as of estimated allocation date February 13, 2022</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115,119</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478,140</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43.37</w:t>
            </w:r>
          </w:p>
        </w:tc>
        <w:tc>
          <w:tcPr>
            <w:tcW w:w="0" w:type="dxa"/>
            <w:vAlign w:val="bottom"/>
          </w:tcPr>
          <w:p>
            <w:pPr>
              <w:spacing w:after="0"/>
              <w:rPr>
                <w:sz w:val="1"/>
                <w:szCs w:val="1"/>
                <w:color w:val="auto"/>
              </w:rPr>
            </w:pPr>
          </w:p>
        </w:tc>
      </w:tr>
      <w:tr>
        <w:trPr>
          <w:trHeight w:val="204"/>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 Valuation parameter derived from the Monte-Carlo simulation model</w:t>
            </w: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September 30, 2020, the share options allocated and expected to be allocated had a remaining weighted-average expected life of 4.95 years.</w:t>
      </w:r>
    </w:p>
    <w:p>
      <w:pPr>
        <w:spacing w:after="0" w:line="168"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0" w:name="page31"/>
    <w:bookmarkEnd w:id="30"/>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expenses recognized for employee services received during the three and nine months ended September 30, 2020 are shown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5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30"/>
        </w:trPr>
        <w:tc>
          <w:tcPr>
            <w:tcW w:w="8100" w:type="dxa"/>
            <w:vAlign w:val="bottom"/>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100" w:type="dxa"/>
            <w:vAlign w:val="bottom"/>
            <w:tcBorders>
              <w:bottom w:val="single" w:sz="8" w:color="70AD47"/>
            </w:tcBorders>
            <w:vMerge w:val="continue"/>
          </w:tcPr>
          <w:p>
            <w:pPr>
              <w:spacing w:after="0"/>
              <w:rPr>
                <w:sz w:val="19"/>
                <w:szCs w:val="19"/>
                <w:color w:val="auto"/>
              </w:rPr>
            </w:pP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8"/>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34"/>
        </w:trPr>
        <w:tc>
          <w:tcPr>
            <w:tcW w:w="81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€1,716</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Chief Executive Officer Grant (Equity-Settled)</w:t>
      </w:r>
    </w:p>
    <w:p>
      <w:pPr>
        <w:spacing w:after="0" w:line="11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9"/>
          <w:szCs w:val="19"/>
          <w:color w:val="auto"/>
        </w:rPr>
        <w:t>In September 2019, BioNTech agreed to grant Prof. Ugur Sahin, M.D. an option to purchase 4,374,963 ordinary shares, subject to Prof. Sahin’s continuous employment with BioNTech. As disclosed in the notes to the consolidated financial statements as of December 31, 2019, the option will be subject to the terms, conditions, definitions and provisions of the ESOP and the applicable option agreement thereunder.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three and nine months ended September 30, 2020, no further options were granted or forfeited.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30, 2020, the share options outstanding had a remaining expected life of 4.37 years.</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During the three months ended September 30, 2020 the Group has recognized k€3,208 of share-based payment expenses as research &amp; development expenses in the interim condensed consolidated statements of operations (three months ended September 30, 2019: Nil).</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During the nine months ended September 30, 2020 the Group has recognized k€9,624 of share-based payment expenses as research &amp; development expenses in the interim condensed consolidated statements of operations (nine months ended September 30, 2019: Nil).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Ownership Plan (Equity-Settled)</w:t>
      </w:r>
    </w:p>
    <w:p>
      <w:pPr>
        <w:spacing w:after="0" w:line="11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On November 15, 2018, the Group established a share option program that grants selected employees options to receive shares in the company. The program is designed as an Employee Stock Ownership Plan (ESOP) as disclosed in the notes to the consolidated financial statements as of December 31, 2019. The amounts disclosed in this note have been retrospectively adjusted to reflect the share split as described in Note 12.</w:t>
      </w:r>
    </w:p>
    <w:p>
      <w:pPr>
        <w:spacing w:after="0" w:line="180"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Set out below is an overview of changes to share options outstanding and number of ordinary shares underlying these options that occurred during the nine months ended September 30,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Borders>
              <w:right w:val="single" w:sz="8" w:color="70AD47"/>
            </w:tcBorders>
          </w:tcPr>
          <w:p>
            <w:pPr>
              <w:spacing w:after="0"/>
              <w:rPr>
                <w:sz w:val="18"/>
                <w:szCs w:val="18"/>
                <w:color w:val="auto"/>
              </w:rPr>
            </w:pP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540" w:type="dxa"/>
            <w:vAlign w:val="bottom"/>
            <w:tcBorders>
              <w:right w:val="single" w:sz="8" w:color="70AD47"/>
            </w:tcBorders>
          </w:tcPr>
          <w:p>
            <w:pPr>
              <w:spacing w:after="0"/>
              <w:rPr>
                <w:sz w:val="16"/>
                <w:szCs w:val="16"/>
                <w:color w:val="auto"/>
              </w:rPr>
            </w:pPr>
          </w:p>
        </w:tc>
        <w:tc>
          <w:tcPr>
            <w:tcW w:w="1580" w:type="dxa"/>
            <w:vAlign w:val="bottom"/>
            <w:tcBorders>
              <w:right w:val="single" w:sz="8" w:color="70AD47"/>
            </w:tcBorders>
            <w:vMerge w:val="continue"/>
            <w:shd w:val="clear" w:color="auto" w:fill="C6E0B4"/>
          </w:tcPr>
          <w:p>
            <w:pPr>
              <w:spacing w:after="0"/>
              <w:rPr>
                <w:sz w:val="16"/>
                <w:szCs w:val="16"/>
                <w:color w:val="auto"/>
              </w:rPr>
            </w:pPr>
          </w:p>
        </w:tc>
        <w:tc>
          <w:tcPr>
            <w:tcW w:w="1560" w:type="dxa"/>
            <w:vAlign w:val="bottom"/>
            <w:tcBorders>
              <w:right w:val="single" w:sz="8" w:color="70AD47"/>
            </w:tcBorders>
            <w:shd w:val="clear" w:color="auto" w:fill="C6E0B4"/>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ordinary shares</w:t>
            </w:r>
          </w:p>
        </w:tc>
        <w:tc>
          <w:tcPr>
            <w:tcW w:w="1560" w:type="dxa"/>
            <w:vAlign w:val="bottom"/>
            <w:tcBorders>
              <w:right w:val="single" w:sz="8" w:color="70AD47"/>
            </w:tcBorders>
            <w:vMerge w:val="continue"/>
            <w:shd w:val="clear" w:color="auto" w:fill="C6E0B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540" w:type="dxa"/>
            <w:vAlign w:val="bottom"/>
            <w:tcBorders>
              <w:bottom w:val="single" w:sz="8" w:color="70AD47"/>
              <w:right w:val="single" w:sz="8" w:color="70AD47"/>
            </w:tcBorders>
          </w:tcPr>
          <w:p>
            <w:pPr>
              <w:spacing w:after="0"/>
              <w:rPr>
                <w:sz w:val="23"/>
                <w:szCs w:val="23"/>
                <w:color w:val="auto"/>
              </w:rPr>
            </w:pP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underlying options</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54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As of January 1, 2019</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658,109</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11,845,962</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4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261,198</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4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(227,016)</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As of September 30, 2019</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660,008</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11,880,144</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4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As of January 1, 2020</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655,383</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11,796,894</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4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(164,592)</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646,239</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11,632,302</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9"/>
        </w:trPr>
        <w:tc>
          <w:tcPr>
            <w:tcW w:w="6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5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31" w:name="page32"/>
    <w:bookmarkEnd w:id="31"/>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During the nine months ended September 30, 2020 no further options were granted but 9,144 share options were forfeited. During the nine months ended September 30, 2019, 14,511 options were granted and 12,612 were forfeited.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September 30, 2020, the share options outstanding had a remaining weighted-average expected life of 3.98 years.</w:t>
      </w:r>
    </w:p>
    <w:p>
      <w:pPr>
        <w:spacing w:after="0" w:line="21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expenses recognized for employee services received during the three and nine months ended September 30, 2020 and September 30, 2019 are shown in the following table:</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48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60" w:type="dxa"/>
            <w:vAlign w:val="bottom"/>
          </w:tcPr>
          <w:p>
            <w:pPr>
              <w:spacing w:after="0"/>
              <w:rPr>
                <w:sz w:val="18"/>
                <w:szCs w:val="18"/>
                <w:color w:val="auto"/>
              </w:rPr>
            </w:pPr>
          </w:p>
        </w:tc>
        <w:tc>
          <w:tcPr>
            <w:tcW w:w="24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8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tcBorders>
              <w:bottom w:val="single" w:sz="8" w:color="70AD47"/>
            </w:tcBorders>
            <w:vMerge w:val="continue"/>
          </w:tcPr>
          <w:p>
            <w:pPr>
              <w:spacing w:after="0"/>
              <w:rPr>
                <w:sz w:val="19"/>
                <w:szCs w:val="19"/>
                <w:color w:val="auto"/>
              </w:rPr>
            </w:pP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900" w:type="dxa"/>
            <w:vAlign w:val="bottom"/>
            <w:tcBorders>
              <w:bottom w:val="single" w:sz="8" w:color="70AD47"/>
            </w:tcBorders>
          </w:tcPr>
          <w:p>
            <w:pPr>
              <w:spacing w:after="0"/>
              <w:rPr>
                <w:sz w:val="19"/>
                <w:szCs w:val="19"/>
                <w:color w:val="auto"/>
              </w:rPr>
            </w:pPr>
          </w:p>
        </w:tc>
        <w:tc>
          <w:tcPr>
            <w:tcW w:w="660" w:type="dxa"/>
            <w:vAlign w:val="bottom"/>
            <w:tcBorders>
              <w:bottom w:val="single" w:sz="8" w:color="70AD47"/>
            </w:tcBorders>
            <w:vMerge w:val="continue"/>
          </w:tcPr>
          <w:p>
            <w:pPr>
              <w:spacing w:after="0"/>
              <w:rPr>
                <w:sz w:val="19"/>
                <w:szCs w:val="19"/>
                <w:color w:val="auto"/>
              </w:rPr>
            </w:pP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Borders>
              <w:bottom w:val="single" w:sz="8" w:color="70AD47"/>
            </w:tcBorders>
          </w:tcPr>
          <w:p>
            <w:pPr>
              <w:spacing w:after="0"/>
              <w:rPr>
                <w:sz w:val="19"/>
                <w:szCs w:val="19"/>
                <w:color w:val="auto"/>
              </w:rPr>
            </w:pPr>
          </w:p>
        </w:tc>
        <w:tc>
          <w:tcPr>
            <w:tcW w:w="720" w:type="dxa"/>
            <w:vAlign w:val="bottom"/>
            <w:tcBorders>
              <w:bottom w:val="single" w:sz="8" w:color="70AD47"/>
            </w:tcBorders>
            <w:vMerge w:val="continue"/>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9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900" w:type="dxa"/>
            <w:vAlign w:val="bottom"/>
            <w:tcBorders>
              <w:bottom w:val="single" w:sz="8" w:color="70AD47"/>
            </w:tcBorders>
          </w:tcPr>
          <w:p>
            <w:pPr>
              <w:spacing w:after="0"/>
              <w:rPr>
                <w:sz w:val="20"/>
                <w:szCs w:val="20"/>
                <w:color w:val="auto"/>
              </w:rPr>
            </w:pPr>
          </w:p>
        </w:tc>
        <w:tc>
          <w:tcPr>
            <w:tcW w:w="6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820" w:type="dxa"/>
            <w:vAlign w:val="bottom"/>
            <w:tcBorders>
              <w:bottom w:val="single" w:sz="8" w:color="70AD47"/>
            </w:tcBorders>
          </w:tcPr>
          <w:p>
            <w:pPr>
              <w:spacing w:after="0"/>
              <w:rPr>
                <w:sz w:val="20"/>
                <w:szCs w:val="20"/>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€4,270</w:t>
            </w:r>
          </w:p>
        </w:tc>
        <w:tc>
          <w:tcPr>
            <w:tcW w:w="900" w:type="dxa"/>
            <w:vAlign w:val="bottom"/>
            <w:tcBorders>
              <w:bottom w:val="single" w:sz="8" w:color="70AD47"/>
            </w:tcBorders>
          </w:tcPr>
          <w:p>
            <w:pPr>
              <w:spacing w:after="0"/>
              <w:rPr>
                <w:sz w:val="19"/>
                <w:szCs w:val="19"/>
                <w:color w:val="auto"/>
              </w:rPr>
            </w:pPr>
          </w:p>
        </w:tc>
        <w:tc>
          <w:tcPr>
            <w:tcW w:w="6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€4,499</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€12,808</w:t>
            </w:r>
          </w:p>
        </w:tc>
        <w:tc>
          <w:tcPr>
            <w:tcW w:w="820" w:type="dxa"/>
            <w:vAlign w:val="bottom"/>
            <w:tcBorders>
              <w:bottom w:val="single" w:sz="8" w:color="70AD47"/>
            </w:tcBorders>
          </w:tcPr>
          <w:p>
            <w:pPr>
              <w:spacing w:after="0"/>
              <w:rPr>
                <w:sz w:val="19"/>
                <w:szCs w:val="19"/>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€22,485</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9"/>
          <w:szCs w:val="29"/>
          <w:color w:val="auto"/>
        </w:rPr>
        <w:t>14</w:t>
        <w:tab/>
        <w:t>Related Party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Management Personnel Transactions</w:t>
      </w:r>
    </w:p>
    <w:p>
      <w:pPr>
        <w:spacing w:after="0" w:line="11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 number of key management personnel or their related parties hold positions in other companies that results in them having control or significant influence over these companies. A number of these companies have consummated transactions with the Group during the period.</w:t>
      </w:r>
    </w:p>
    <w:p>
      <w:pPr>
        <w:spacing w:after="0" w:line="15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BioNTech has a longstanding relationship with Translational Oncology at the University Medical Center of the Johannes Gutenberg University Mainz (</w:t>
      </w:r>
      <w:r>
        <w:rPr>
          <w:rFonts w:ascii="Times New Roman" w:cs="Times New Roman" w:eastAsia="Times New Roman" w:hAnsi="Times New Roman"/>
          <w:sz w:val="20"/>
          <w:szCs w:val="20"/>
          <w:i w:val="1"/>
          <w:iCs w:val="1"/>
          <w:color w:val="auto"/>
        </w:rPr>
        <w:t>Translationale Onkologie an der Universitätsmedizin der Johannes Gutenberg Universität Mainz gemeinnützige GmbH</w:t>
      </w:r>
      <w:r>
        <w:rPr>
          <w:rFonts w:ascii="Times New Roman" w:cs="Times New Roman" w:eastAsia="Times New Roman" w:hAnsi="Times New Roman"/>
          <w:sz w:val="20"/>
          <w:szCs w:val="20"/>
          <w:color w:val="auto"/>
        </w:rPr>
        <w:t>), or TRON. TRON is a non-profit limited liability company engaged in biopharmaceutical research. Prof. Ugur Sahin, M.D., BioNTech’s co-founder and Chief Executive Officer, is a significant shareholder of TRON.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aggregate value of transactions related to key management personnel were as follows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50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40" w:type="dxa"/>
            <w:vAlign w:val="bottom"/>
          </w:tcPr>
          <w:p>
            <w:pPr>
              <w:spacing w:after="0"/>
              <w:rPr>
                <w:sz w:val="18"/>
                <w:szCs w:val="18"/>
                <w:color w:val="auto"/>
              </w:rPr>
            </w:pPr>
          </w:p>
        </w:tc>
        <w:tc>
          <w:tcPr>
            <w:tcW w:w="24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0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70AD47"/>
            </w:tcBorders>
            <w:vMerge w:val="continue"/>
          </w:tcPr>
          <w:p>
            <w:pPr>
              <w:spacing w:after="0"/>
              <w:rPr>
                <w:sz w:val="19"/>
                <w:szCs w:val="19"/>
                <w:color w:val="auto"/>
              </w:rPr>
            </w:pP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90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vMerge w:val="continue"/>
          </w:tcPr>
          <w:p>
            <w:pPr>
              <w:spacing w:after="0"/>
              <w:rPr>
                <w:sz w:val="19"/>
                <w:szCs w:val="19"/>
                <w:color w:val="auto"/>
              </w:rPr>
            </w:pP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vMerge w:val="continue"/>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Consulting services / patent assignment</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color w:val="auto"/>
              </w:rPr>
              <w:t>Purchases of various goods and services from TRON</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900" w:type="dxa"/>
            <w:vAlign w:val="bottom"/>
            <w:tcBorders>
              <w:bottom w:val="single" w:sz="8" w:color="70AD47"/>
            </w:tcBorders>
          </w:tcPr>
          <w:p>
            <w:pPr>
              <w:spacing w:after="0"/>
              <w:rPr>
                <w:sz w:val="20"/>
                <w:szCs w:val="20"/>
                <w:color w:val="auto"/>
              </w:rPr>
            </w:pPr>
          </w:p>
        </w:tc>
        <w:tc>
          <w:tcPr>
            <w:tcW w:w="6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8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€2,619</w:t>
            </w:r>
          </w:p>
        </w:tc>
        <w:tc>
          <w:tcPr>
            <w:tcW w:w="90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€6,460</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€6,278</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outstanding balances of transactions related to key management personnel were as follows as of the dates indicated: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120" w:type="dxa"/>
            <w:vAlign w:val="bottom"/>
            <w:tcBorders>
              <w:right w:val="single" w:sz="8" w:color="70AD47"/>
            </w:tcBorders>
            <w:vMerge w:val="continue"/>
          </w:tcPr>
          <w:p>
            <w:pPr>
              <w:spacing w:after="0"/>
              <w:rPr>
                <w:sz w:val="11"/>
                <w:szCs w:val="11"/>
                <w:color w:val="auto"/>
              </w:rPr>
            </w:pP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56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120" w:type="dxa"/>
            <w:vAlign w:val="bottom"/>
            <w:tcBorders>
              <w:bottom w:val="single" w:sz="8" w:color="70AD47"/>
              <w:right w:val="single" w:sz="8" w:color="70AD47"/>
            </w:tcBorders>
          </w:tcPr>
          <w:p>
            <w:pPr>
              <w:spacing w:after="0"/>
              <w:rPr>
                <w:sz w:val="9"/>
                <w:szCs w:val="9"/>
                <w:color w:val="auto"/>
              </w:rPr>
            </w:pPr>
          </w:p>
        </w:tc>
        <w:tc>
          <w:tcPr>
            <w:tcW w:w="156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560" w:type="dxa"/>
            <w:vAlign w:val="bottom"/>
            <w:tcBorders>
              <w:bottom w:val="single" w:sz="8" w:color="70AD47"/>
              <w:right w:val="single" w:sz="8" w:color="70AD47"/>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Consulting service provider</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TRON</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9"/>
        </w:trPr>
        <w:tc>
          <w:tcPr>
            <w:tcW w:w="8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8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Other Related Party Transactions</w:t>
      </w:r>
    </w:p>
    <w:p>
      <w:pPr>
        <w:spacing w:after="0" w:line="11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ATHOS KG, Holzkirchen, Germany owns 100% of shares in AT Impf GmbH, Munich, Germany and is the beneficial owner of BioNTech SE. AT Impf GmbH, Munich, Germany is the parent company of the Group. Entities controlled by ATHOS KG mainly provide rental and property management activities and sell property, plant and equipment to BioNTech. The total amount of transactions with ATHOS KG or entities controlled by them was as follows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5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18"/>
                <w:szCs w:val="18"/>
                <w:color w:val="auto"/>
              </w:rPr>
            </w:pPr>
          </w:p>
        </w:tc>
        <w:tc>
          <w:tcPr>
            <w:tcW w:w="24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tcBorders>
              <w:bottom w:val="single" w:sz="8" w:color="70AD47"/>
            </w:tcBorders>
            <w:vMerge w:val="continue"/>
          </w:tcPr>
          <w:p>
            <w:pPr>
              <w:spacing w:after="0"/>
              <w:rPr>
                <w:sz w:val="19"/>
                <w:szCs w:val="19"/>
                <w:color w:val="auto"/>
              </w:rPr>
            </w:pPr>
          </w:p>
        </w:tc>
        <w:tc>
          <w:tcPr>
            <w:tcW w:w="1140" w:type="dxa"/>
            <w:vAlign w:val="bottom"/>
            <w:tcBorders>
              <w:bottom w:val="single" w:sz="8" w:color="70AD47"/>
            </w:tcBorders>
          </w:tcPr>
          <w:p>
            <w:pPr>
              <w:spacing w:after="0"/>
              <w:rPr>
                <w:sz w:val="19"/>
                <w:szCs w:val="19"/>
                <w:color w:val="auto"/>
              </w:rPr>
            </w:pPr>
          </w:p>
        </w:tc>
        <w:tc>
          <w:tcPr>
            <w:tcW w:w="420" w:type="dxa"/>
            <w:vAlign w:val="bottom"/>
            <w:tcBorders>
              <w:bottom w:val="single" w:sz="8" w:color="70AD47"/>
            </w:tcBorders>
          </w:tcPr>
          <w:p>
            <w:pPr>
              <w:spacing w:after="0"/>
              <w:rPr>
                <w:sz w:val="19"/>
                <w:szCs w:val="19"/>
                <w:color w:val="auto"/>
              </w:rPr>
            </w:pPr>
          </w:p>
        </w:tc>
        <w:tc>
          <w:tcPr>
            <w:tcW w:w="620" w:type="dxa"/>
            <w:vAlign w:val="bottom"/>
            <w:tcBorders>
              <w:bottom w:val="single" w:sz="8" w:color="70AD47"/>
            </w:tcBorders>
          </w:tcPr>
          <w:p>
            <w:pPr>
              <w:spacing w:after="0"/>
              <w:rPr>
                <w:sz w:val="19"/>
                <w:szCs w:val="19"/>
                <w:color w:val="auto"/>
              </w:rPr>
            </w:pPr>
          </w:p>
        </w:tc>
        <w:tc>
          <w:tcPr>
            <w:tcW w:w="460" w:type="dxa"/>
            <w:vAlign w:val="bottom"/>
            <w:tcBorders>
              <w:bottom w:val="single" w:sz="8" w:color="70AD47"/>
            </w:tcBorders>
          </w:tcPr>
          <w:p>
            <w:pPr>
              <w:spacing w:after="0"/>
              <w:rPr>
                <w:sz w:val="19"/>
                <w:szCs w:val="19"/>
                <w:color w:val="auto"/>
              </w:rPr>
            </w:pPr>
          </w:p>
        </w:tc>
        <w:tc>
          <w:tcPr>
            <w:tcW w:w="1280" w:type="dxa"/>
            <w:vAlign w:val="bottom"/>
            <w:tcBorders>
              <w:bottom w:val="single" w:sz="8" w:color="70AD47"/>
              <w:right w:val="single" w:sz="8" w:color="70AD47"/>
            </w:tcBorders>
          </w:tcPr>
          <w:p>
            <w:pPr>
              <w:spacing w:after="0"/>
              <w:rPr>
                <w:sz w:val="19"/>
                <w:szCs w:val="19"/>
                <w:color w:val="auto"/>
              </w:rPr>
            </w:pP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960" w:type="dxa"/>
            <w:vAlign w:val="bottom"/>
            <w:tcBorders>
              <w:bottom w:val="single" w:sz="8" w:color="70AD47"/>
            </w:tcBorders>
          </w:tcPr>
          <w:p>
            <w:pPr>
              <w:spacing w:after="0"/>
              <w:rPr>
                <w:sz w:val="19"/>
                <w:szCs w:val="19"/>
                <w:color w:val="auto"/>
              </w:rPr>
            </w:pPr>
          </w:p>
        </w:tc>
        <w:tc>
          <w:tcPr>
            <w:tcW w:w="580" w:type="dxa"/>
            <w:vAlign w:val="bottom"/>
            <w:tcBorders>
              <w:bottom w:val="single" w:sz="8" w:color="70AD47"/>
            </w:tcBorders>
            <w:vMerge w:val="continue"/>
          </w:tcPr>
          <w:p>
            <w:pPr>
              <w:spacing w:after="0"/>
              <w:rPr>
                <w:sz w:val="19"/>
                <w:szCs w:val="19"/>
                <w:color w:val="auto"/>
              </w:rPr>
            </w:pP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vMerge w:val="continue"/>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Purchases of</w:t>
            </w:r>
          </w:p>
        </w:tc>
        <w:tc>
          <w:tcPr>
            <w:tcW w:w="1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various goods</w:t>
            </w:r>
          </w:p>
        </w:tc>
        <w:tc>
          <w:tcPr>
            <w:tcW w:w="4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and</w:t>
            </w:r>
          </w:p>
        </w:tc>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services</w:t>
            </w:r>
          </w:p>
        </w:tc>
        <w:tc>
          <w:tcPr>
            <w:tcW w:w="46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from</w:t>
            </w:r>
          </w:p>
        </w:tc>
        <w:tc>
          <w:tcPr>
            <w:tcW w:w="1280" w:type="dxa"/>
            <w:vAlign w:val="bottom"/>
            <w:tcBorders>
              <w:right w:val="single" w:sz="8" w:color="70AD47"/>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entities</w:t>
            </w: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9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0" w:type="dxa"/>
            <w:vAlign w:val="bottom"/>
            <w:tcBorders>
              <w:left w:val="single" w:sz="8" w:color="70AD47"/>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8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0" w:type="dxa"/>
            <w:vAlign w:val="bottom"/>
            <w:shd w:val="clear" w:color="auto" w:fill="70AD47"/>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controlled by ATHOS KG</w:t>
            </w: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tcBorders>
              <w:right w:val="single" w:sz="8" w:color="70AD47"/>
            </w:tcBorders>
          </w:tcPr>
          <w:p>
            <w:pPr>
              <w:spacing w:after="0"/>
              <w:rPr>
                <w:sz w:val="10"/>
                <w:szCs w:val="10"/>
                <w:color w:val="auto"/>
              </w:rPr>
            </w:pPr>
          </w:p>
        </w:tc>
        <w:tc>
          <w:tcPr>
            <w:tcW w:w="1580" w:type="dxa"/>
            <w:vAlign w:val="bottom"/>
            <w:tcBorders>
              <w:right w:val="single" w:sz="8" w:color="70AD47"/>
            </w:tcBorders>
            <w:vMerge w:val="continue"/>
            <w:shd w:val="clear" w:color="auto" w:fill="C6E0B4"/>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600" w:type="dxa"/>
            <w:vAlign w:val="bottom"/>
            <w:tcBorders>
              <w:left w:val="single" w:sz="8" w:color="70AD47"/>
              <w:right w:val="single" w:sz="8" w:color="70AD47"/>
            </w:tcBorders>
            <w:vMerge w:val="continue"/>
            <w:shd w:val="clear" w:color="auto" w:fill="C6E0B4"/>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 w:type="dxa"/>
            <w:vAlign w:val="bottom"/>
            <w:shd w:val="clear" w:color="auto" w:fill="70AD47"/>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20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tcBorders>
              <w:right w:val="single" w:sz="8" w:color="70AD47"/>
            </w:tcBorders>
          </w:tcPr>
          <w:p>
            <w:pPr>
              <w:spacing w:after="0"/>
              <w:rPr>
                <w:sz w:val="8"/>
                <w:szCs w:val="8"/>
                <w:color w:val="auto"/>
              </w:rPr>
            </w:pPr>
          </w:p>
        </w:tc>
        <w:tc>
          <w:tcPr>
            <w:tcW w:w="1580" w:type="dxa"/>
            <w:vAlign w:val="bottom"/>
            <w:tcBorders>
              <w:right w:val="single" w:sz="8" w:color="70AD47"/>
            </w:tcBorders>
            <w:shd w:val="clear" w:color="auto" w:fill="C6E0B4"/>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Borders>
              <w:left w:val="single" w:sz="8" w:color="70AD47"/>
              <w:right w:val="single" w:sz="8" w:color="70AD47"/>
            </w:tcBorders>
            <w:shd w:val="clear" w:color="auto" w:fill="C6E0B4"/>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shd w:val="clear" w:color="auto" w:fill="70AD47"/>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property  and</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other</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w:t>
            </w:r>
          </w:p>
        </w:tc>
        <w:tc>
          <w:tcPr>
            <w:tcW w:w="1280" w:type="dxa"/>
            <w:vAlign w:val="bottom"/>
            <w:tcBorders>
              <w:right w:val="single" w:sz="8" w:color="70AD47"/>
            </w:tcBorders>
          </w:tcPr>
          <w:p>
            <w:pPr>
              <w:ind w:left="60"/>
              <w:spacing w:after="0"/>
              <w:rPr>
                <w:sz w:val="20"/>
                <w:szCs w:val="20"/>
                <w:color w:val="auto"/>
              </w:rPr>
            </w:pPr>
            <w:r>
              <w:rPr>
                <w:rFonts w:ascii="Times New Roman" w:cs="Times New Roman" w:eastAsia="Times New Roman" w:hAnsi="Times New Roman"/>
                <w:sz w:val="18"/>
                <w:szCs w:val="18"/>
                <w:color w:val="auto"/>
              </w:rPr>
              <w:t>entities</w:t>
            </w: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left w:val="single" w:sz="8" w:color="70AD47"/>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8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controlled by ATHOS KG</w:t>
            </w: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80" w:type="dxa"/>
            <w:vAlign w:val="bottom"/>
            <w:tcBorders>
              <w:right w:val="single" w:sz="8" w:color="70AD47"/>
            </w:tcBorders>
          </w:tcPr>
          <w:p>
            <w:pPr>
              <w:spacing w:after="0"/>
              <w:rPr>
                <w:sz w:val="10"/>
                <w:szCs w:val="10"/>
                <w:color w:val="auto"/>
              </w:rPr>
            </w:pPr>
          </w:p>
        </w:tc>
        <w:tc>
          <w:tcPr>
            <w:tcW w:w="1580" w:type="dxa"/>
            <w:vAlign w:val="bottom"/>
            <w:tcBorders>
              <w:right w:val="single" w:sz="8" w:color="70AD47"/>
            </w:tcBorders>
            <w:vMerge w:val="continue"/>
            <w:shd w:val="clear" w:color="auto" w:fill="C6E0B4"/>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600" w:type="dxa"/>
            <w:vAlign w:val="bottom"/>
            <w:tcBorders>
              <w:left w:val="single" w:sz="8" w:color="70AD47"/>
              <w:right w:val="single" w:sz="8" w:color="70AD47"/>
            </w:tcBorders>
            <w:vMerge w:val="continue"/>
            <w:shd w:val="clear" w:color="auto" w:fill="C6E0B4"/>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 w:type="dxa"/>
            <w:vAlign w:val="bottom"/>
            <w:shd w:val="clear" w:color="auto" w:fill="70AD47"/>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0" w:type="dxa"/>
            <w:vAlign w:val="bottom"/>
            <w:tcBorders>
              <w:bottom w:val="single" w:sz="8" w:color="70AD47"/>
            </w:tcBorders>
            <w:gridSpan w:val="2"/>
            <w:vMerge w:val="continue"/>
          </w:tcPr>
          <w:p>
            <w:pPr>
              <w:spacing w:after="0"/>
              <w:rPr>
                <w:sz w:val="9"/>
                <w:szCs w:val="9"/>
                <w:color w:val="auto"/>
              </w:rPr>
            </w:pPr>
          </w:p>
        </w:tc>
        <w:tc>
          <w:tcPr>
            <w:tcW w:w="420" w:type="dxa"/>
            <w:vAlign w:val="bottom"/>
            <w:tcBorders>
              <w:bottom w:val="single" w:sz="8" w:color="70AD47"/>
            </w:tcBorders>
          </w:tcPr>
          <w:p>
            <w:pPr>
              <w:spacing w:after="0"/>
              <w:rPr>
                <w:sz w:val="9"/>
                <w:szCs w:val="9"/>
                <w:color w:val="auto"/>
              </w:rPr>
            </w:pPr>
          </w:p>
        </w:tc>
        <w:tc>
          <w:tcPr>
            <w:tcW w:w="620" w:type="dxa"/>
            <w:vAlign w:val="bottom"/>
            <w:tcBorders>
              <w:bottom w:val="single" w:sz="8" w:color="70AD47"/>
            </w:tcBorders>
          </w:tcPr>
          <w:p>
            <w:pPr>
              <w:spacing w:after="0"/>
              <w:rPr>
                <w:sz w:val="9"/>
                <w:szCs w:val="9"/>
                <w:color w:val="auto"/>
              </w:rPr>
            </w:pPr>
          </w:p>
        </w:tc>
        <w:tc>
          <w:tcPr>
            <w:tcW w:w="460" w:type="dxa"/>
            <w:vAlign w:val="bottom"/>
            <w:tcBorders>
              <w:bottom w:val="single" w:sz="8" w:color="70AD47"/>
            </w:tcBorders>
          </w:tcPr>
          <w:p>
            <w:pPr>
              <w:spacing w:after="0"/>
              <w:rPr>
                <w:sz w:val="9"/>
                <w:szCs w:val="9"/>
                <w:color w:val="auto"/>
              </w:rPr>
            </w:pPr>
          </w:p>
        </w:tc>
        <w:tc>
          <w:tcPr>
            <w:tcW w:w="1280" w:type="dxa"/>
            <w:vAlign w:val="bottom"/>
            <w:tcBorders>
              <w:bottom w:val="single" w:sz="8" w:color="70AD47"/>
              <w:right w:val="single" w:sz="8" w:color="70AD47"/>
            </w:tcBorders>
          </w:tcPr>
          <w:p>
            <w:pPr>
              <w:spacing w:after="0"/>
              <w:rPr>
                <w:sz w:val="9"/>
                <w:szCs w:val="9"/>
                <w:color w:val="auto"/>
              </w:rPr>
            </w:pPr>
          </w:p>
        </w:tc>
        <w:tc>
          <w:tcPr>
            <w:tcW w:w="1580" w:type="dxa"/>
            <w:vAlign w:val="bottom"/>
            <w:tcBorders>
              <w:bottom w:val="single" w:sz="8" w:color="70AD47"/>
              <w:right w:val="single" w:sz="8" w:color="70AD47"/>
            </w:tcBorders>
            <w:shd w:val="clear" w:color="auto" w:fill="C6E0B4"/>
          </w:tcPr>
          <w:p>
            <w:pPr>
              <w:spacing w:after="0"/>
              <w:rPr>
                <w:sz w:val="9"/>
                <w:szCs w:val="9"/>
                <w:color w:val="auto"/>
              </w:rPr>
            </w:pPr>
          </w:p>
        </w:tc>
        <w:tc>
          <w:tcPr>
            <w:tcW w:w="960" w:type="dxa"/>
            <w:vAlign w:val="bottom"/>
            <w:tcBorders>
              <w:bottom w:val="single" w:sz="8" w:color="70AD47"/>
            </w:tcBorders>
          </w:tcPr>
          <w:p>
            <w:pPr>
              <w:spacing w:after="0"/>
              <w:rPr>
                <w:sz w:val="9"/>
                <w:szCs w:val="9"/>
                <w:color w:val="auto"/>
              </w:rPr>
            </w:pPr>
          </w:p>
        </w:tc>
        <w:tc>
          <w:tcPr>
            <w:tcW w:w="580" w:type="dxa"/>
            <w:vAlign w:val="bottom"/>
            <w:tcBorders>
              <w:bottom w:val="single" w:sz="8" w:color="70AD47"/>
            </w:tcBorders>
          </w:tcPr>
          <w:p>
            <w:pPr>
              <w:spacing w:after="0"/>
              <w:rPr>
                <w:sz w:val="9"/>
                <w:szCs w:val="9"/>
                <w:color w:val="auto"/>
              </w:rPr>
            </w:pPr>
          </w:p>
        </w:tc>
        <w:tc>
          <w:tcPr>
            <w:tcW w:w="1600" w:type="dxa"/>
            <w:vAlign w:val="bottom"/>
            <w:tcBorders>
              <w:left w:val="single" w:sz="8" w:color="70AD47"/>
              <w:bottom w:val="single" w:sz="8" w:color="70AD47"/>
              <w:right w:val="single" w:sz="8" w:color="70AD47"/>
            </w:tcBorders>
            <w:shd w:val="clear" w:color="auto" w:fill="C6E0B4"/>
          </w:tcPr>
          <w:p>
            <w:pPr>
              <w:spacing w:after="0"/>
              <w:rPr>
                <w:sz w:val="9"/>
                <w:szCs w:val="9"/>
                <w:color w:val="auto"/>
              </w:rPr>
            </w:pPr>
          </w:p>
        </w:tc>
        <w:tc>
          <w:tcPr>
            <w:tcW w:w="860" w:type="dxa"/>
            <w:vAlign w:val="bottom"/>
            <w:tcBorders>
              <w:bottom w:val="single" w:sz="8" w:color="70AD47"/>
            </w:tcBorders>
          </w:tcPr>
          <w:p>
            <w:pPr>
              <w:spacing w:after="0"/>
              <w:rPr>
                <w:sz w:val="9"/>
                <w:szCs w:val="9"/>
                <w:color w:val="auto"/>
              </w:rPr>
            </w:pPr>
          </w:p>
        </w:tc>
        <w:tc>
          <w:tcPr>
            <w:tcW w:w="680" w:type="dxa"/>
            <w:vAlign w:val="bottom"/>
            <w:tcBorders>
              <w:bottom w:val="single" w:sz="8" w:color="70AD47"/>
            </w:tcBorders>
          </w:tcPr>
          <w:p>
            <w:pPr>
              <w:spacing w:after="0"/>
              <w:rPr>
                <w:sz w:val="9"/>
                <w:szCs w:val="9"/>
                <w:color w:val="auto"/>
              </w:rPr>
            </w:pPr>
          </w:p>
        </w:tc>
        <w:tc>
          <w:tcPr>
            <w:tcW w:w="20" w:type="dxa"/>
            <w:vAlign w:val="bottom"/>
            <w:tcBorders>
              <w:bottom w:val="single" w:sz="8" w:color="70AD47"/>
            </w:tcBorders>
            <w:shd w:val="clear" w:color="auto" w:fill="70AD47"/>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06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70AD47"/>
            </w:tcBorders>
          </w:tcPr>
          <w:p>
            <w:pPr>
              <w:spacing w:after="0"/>
              <w:rPr>
                <w:sz w:val="19"/>
                <w:szCs w:val="19"/>
                <w:color w:val="auto"/>
              </w:rPr>
            </w:pPr>
          </w:p>
        </w:tc>
        <w:tc>
          <w:tcPr>
            <w:tcW w:w="420" w:type="dxa"/>
            <w:vAlign w:val="bottom"/>
            <w:tcBorders>
              <w:bottom w:val="single" w:sz="8" w:color="70AD47"/>
            </w:tcBorders>
          </w:tcPr>
          <w:p>
            <w:pPr>
              <w:spacing w:after="0"/>
              <w:rPr>
                <w:sz w:val="19"/>
                <w:szCs w:val="19"/>
                <w:color w:val="auto"/>
              </w:rPr>
            </w:pPr>
          </w:p>
        </w:tc>
        <w:tc>
          <w:tcPr>
            <w:tcW w:w="620" w:type="dxa"/>
            <w:vAlign w:val="bottom"/>
            <w:tcBorders>
              <w:bottom w:val="single" w:sz="8" w:color="70AD47"/>
            </w:tcBorders>
          </w:tcPr>
          <w:p>
            <w:pPr>
              <w:spacing w:after="0"/>
              <w:rPr>
                <w:sz w:val="19"/>
                <w:szCs w:val="19"/>
                <w:color w:val="auto"/>
              </w:rPr>
            </w:pPr>
          </w:p>
        </w:tc>
        <w:tc>
          <w:tcPr>
            <w:tcW w:w="460" w:type="dxa"/>
            <w:vAlign w:val="bottom"/>
            <w:tcBorders>
              <w:bottom w:val="single" w:sz="8" w:color="70AD47"/>
            </w:tcBorders>
          </w:tcPr>
          <w:p>
            <w:pPr>
              <w:spacing w:after="0"/>
              <w:rPr>
                <w:sz w:val="19"/>
                <w:szCs w:val="19"/>
                <w:color w:val="auto"/>
              </w:rPr>
            </w:pPr>
          </w:p>
        </w:tc>
        <w:tc>
          <w:tcPr>
            <w:tcW w:w="1280" w:type="dxa"/>
            <w:vAlign w:val="bottom"/>
            <w:tcBorders>
              <w:bottom w:val="single" w:sz="8" w:color="70AD47"/>
              <w:right w:val="single" w:sz="8" w:color="70AD47"/>
            </w:tcBorders>
          </w:tcPr>
          <w:p>
            <w:pPr>
              <w:spacing w:after="0"/>
              <w:rPr>
                <w:sz w:val="19"/>
                <w:szCs w:val="19"/>
                <w:color w:val="auto"/>
              </w:rPr>
            </w:pP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960" w:type="dxa"/>
            <w:vAlign w:val="bottom"/>
            <w:tcBorders>
              <w:bottom w:val="single" w:sz="8" w:color="70AD47"/>
            </w:tcBorders>
          </w:tcPr>
          <w:p>
            <w:pPr>
              <w:spacing w:after="0"/>
              <w:rPr>
                <w:sz w:val="19"/>
                <w:szCs w:val="19"/>
                <w:color w:val="auto"/>
              </w:rPr>
            </w:pPr>
          </w:p>
        </w:tc>
        <w:tc>
          <w:tcPr>
            <w:tcW w:w="5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€4,130</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€1,523</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outstanding balances of transactions with ATHOS KG or entities controlled by them were as follows as of the dates indicated: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6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30"/>
        </w:trPr>
        <w:tc>
          <w:tcPr>
            <w:tcW w:w="8120" w:type="dxa"/>
            <w:vAlign w:val="bottom"/>
            <w:tcBorders>
              <w:right w:val="single" w:sz="8" w:color="70AD47"/>
            </w:tcBorders>
            <w:vMerge w:val="continue"/>
          </w:tcPr>
          <w:p>
            <w:pPr>
              <w:spacing w:after="0"/>
              <w:rPr>
                <w:sz w:val="11"/>
                <w:szCs w:val="11"/>
                <w:color w:val="auto"/>
              </w:rPr>
            </w:pP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560" w:type="dxa"/>
            <w:vAlign w:val="bottom"/>
            <w:tcBorders>
              <w:right w:val="single" w:sz="8" w:color="70AD47"/>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08"/>
        </w:trPr>
        <w:tc>
          <w:tcPr>
            <w:tcW w:w="8120" w:type="dxa"/>
            <w:vAlign w:val="bottom"/>
            <w:tcBorders>
              <w:bottom w:val="single" w:sz="8" w:color="70AD47"/>
              <w:right w:val="single" w:sz="8" w:color="70AD47"/>
            </w:tcBorders>
          </w:tcPr>
          <w:p>
            <w:pPr>
              <w:spacing w:after="0"/>
              <w:rPr>
                <w:sz w:val="9"/>
                <w:szCs w:val="9"/>
                <w:color w:val="auto"/>
              </w:rPr>
            </w:pPr>
          </w:p>
        </w:tc>
        <w:tc>
          <w:tcPr>
            <w:tcW w:w="1560" w:type="dxa"/>
            <w:vAlign w:val="bottom"/>
            <w:tcBorders>
              <w:bottom w:val="single" w:sz="8" w:color="70AD47"/>
              <w:right w:val="single" w:sz="8" w:color="70AD47"/>
            </w:tcBorders>
            <w:vMerge w:val="continue"/>
            <w:shd w:val="clear" w:color="auto" w:fill="C6E0B4"/>
          </w:tcPr>
          <w:p>
            <w:pPr>
              <w:spacing w:after="0"/>
              <w:rPr>
                <w:sz w:val="9"/>
                <w:szCs w:val="9"/>
                <w:color w:val="auto"/>
              </w:rPr>
            </w:pPr>
          </w:p>
        </w:tc>
        <w:tc>
          <w:tcPr>
            <w:tcW w:w="1560" w:type="dxa"/>
            <w:vAlign w:val="bottom"/>
            <w:tcBorders>
              <w:bottom w:val="single" w:sz="8" w:color="70AD47"/>
              <w:right w:val="single" w:sz="8" w:color="70AD47"/>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ATHOS KG</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156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 of the balances are secured and no bad debt expense has been recognized in respect of amounts owed by related parties.</w:t>
      </w:r>
    </w:p>
    <w:p>
      <w:pPr>
        <w:spacing w:after="0" w:line="200" w:lineRule="exact"/>
        <w:rPr>
          <w:sz w:val="20"/>
          <w:szCs w:val="20"/>
          <w:color w:val="auto"/>
        </w:rPr>
      </w:pPr>
    </w:p>
    <w:p>
      <w:pPr>
        <w:spacing w:after="0" w:line="2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9"/>
          <w:szCs w:val="29"/>
          <w:color w:val="auto"/>
        </w:rPr>
        <w:t>15</w:t>
        <w:tab/>
        <w:t>Events after the Reporting Period</w:t>
      </w:r>
    </w:p>
    <w:p>
      <w:pPr>
        <w:spacing w:after="0" w:line="229"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On October 20, 2020, BioNTech Pharmaceuticals Asia Pacific Pte. Ltd., Singapore, was incorporated as a wholly-owned subsidiary of BioNTech SE, and is intended to serve as to serve as BioNTech’s headquarters for the region.</w:t>
      </w:r>
    </w:p>
    <w:p>
      <w:pPr>
        <w:spacing w:after="0" w:line="159"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In September 2020, BioNTech signed a share purchase agreement with Novartis AG to acquire their manufacturing facility in Marburg, Germany which was closed at the end of October 2020. Based on a preliminary calculation, BioNTech will acquire the entire share capital of Novartis Manufacturing GmbH in exchange for a total cash consideration of k€78,194. The amount may change since it is subject to adjustments based on closing statements. Preliminary to any purchase price allocation, the book values of current and non-current assets of Novartis Manufacturing GmbH amounted to k€23,127 and k€111,066, respectively. Current and non-current liabilities had been recorded with an amount of k€16,292 and k€40,805, respectively. All amounts disclosed are derived from unaudited financial information prepared in accordance with IFRS by the acquiree. The Marburg production site is a state-of-the-art, multi-platform GMP certified manufacturing facility that currently employs approximately 300 employees. The well-established biotechnology drug substance and drug product manufacturing equipment, as well as an experienced team offers favorable conditions for a rapid transition to a mRNA manufacturing site and the third site in the BioNTech manufacturing network in Germany expected to produce BNT162 for global supply, pending regulatory authorization or approval. It is expected to be fully operational in the first half of 2021 with an annual production capacity of up to 750 million doses of potential COVID-19 vaccine.</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November 9, 2020, BioNTech filed a universal shelf registration statement on Form F-3 (File No. 333-249991) (the “Registration Statement”) with the U.S. Securities and Exchange Commission</w:t>
      </w:r>
    </w:p>
    <w:p>
      <w:pPr>
        <w:spacing w:after="0" w:line="1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33" w:name="page34"/>
    <w:bookmarkEnd w:id="33"/>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“SEC”). In addition, BioNTech entered into a sales agreement (the “Sales Agreement”) with Jefferies LLC and SVB Leerink LLC (the “Agents”) pursuant to which the Company may offer and sell American Depoitary Shares representing ordinary shares for aggregate gross sale proceeds of up to $500,000,000 (the “ADSs”) from time to time through the Agents (the “Offering”). We are not obligated to make any sales of ADSs under the Sales Agreement. BioNTech filed a prospectus supplement with the SEC in connection with the Offering, which is included in the Registration Statement. Upon delivery of an issuance notice and subject to the terms and conditions of the Sales Agreement, the Agents may sell the ADSs by any method permitted that is deemed an “at the market offering” as defined in Rule 415(a)(4) promulgated under the Securities Act of 1933, as amended, including sales made directly on or through The Nasdaq Global Select Market (“Nasdaq”), the existing trading market for the ADSs. BioNTech or the Agents may suspend or terminate the offering of ADSs upon notice to the other party, subject to certain conditions. The Agents will act as sales agents on a commercially reasonable efforts basis consistent with their normal trading and sales practices and applicable state and federal law, rules and regulations and the rules of Nasdaq. BioNTech has agreed to pay the Agents commissions for their services of acting as agent of up to 3.0% of the gross proceeds from the sale of the ADSs pursuant to the Sales Agreement. BioNTech has also agreed to provide the Agents with customary indemnification and contribution rights. The offering of the ADSs pursuant to the Sales Agreement will terminate upon the earlier of (a) the sale of all of the ADSs subject to the Sales Agreement or (b) the termination of the Sales Agreement by Agents or us, as permitted therein.</w:t>
      </w:r>
    </w:p>
    <w:p>
      <w:pPr>
        <w:spacing w:after="0" w:line="200" w:lineRule="exact"/>
        <w:rPr>
          <w:sz w:val="20"/>
          <w:szCs w:val="20"/>
          <w:color w:val="auto"/>
        </w:rPr>
      </w:pPr>
    </w:p>
    <w:p>
      <w:pPr>
        <w:spacing w:after="0" w:line="234"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Operating and Financial Review and Prospects</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this report, unless stated or the context otherwise requires, references to the “Company,” “BioNTech,” “we,” “us” and “our” refer to BioNTech SE and its consolidated subsidiaries. The following “Operating and Financial Review and Prospects” should be read together with the unaudited interim condensed consolidated financial statements and related notes as presented above. The following discussion is based on our financial information prepared in accordance with the International Financial Reporting Standards, or IFRS, as issued by the International Accounting Standards Board, or IASB,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the “Risk Factors” section further below. Please also see “Forward-Looking Statements” included at the end of this quarterly report for the three and nine months ended September 30, 2020.</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Operating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immunotherapies for cancer and other diseases. We leverage powerful new therapeutic mechanisms and exploit a diverse array of biological targets to harness the power of each patient’s immune system to address the unique molecular signature of each patient’s underlying disease. The breadth of our immunotherapy technologies and expertise has also enabled us to develop therapies to address a range of rare and infectious diseases, and we have rapidly mobilized these with the aim of addressing the COVID-19 pandemic. We believe we are uniquely positioned to develop and commercialize the next generation of immunotherapies with the potential to significantly improve clinical outcomes and usher in a new era of immunotherapy.</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and our collaborators have advanced a development pipeline of over 20 product candidates, of which 12 have entered 13 ongoing clinical trials. Based on our deep understanding of the human immunsystem and in-house manufacturing capabilities, we and our collaborators are developing multiple mRNA-based vaccine candidates for a range of infectious diseases alongside our diverse oncology pipeline. As part of our BNT162 vaccine program against COVID-19, the lead candidate BNT162b2 was selected to be advanced into a currently ongoing Phase 3 study enrolling up to 44,000 participants. As part of our programs focusing on oncology, we have treated over 500 patients across 17 tumor types to date. Our immunotherapy drug classes consist of messenger ribonucleic acid, or mRNA, therapeutics, cell therapies, antibodies and small molecule immunomodulators. Our product candidates span across oncology, infectious diseases and rare diseases. As part of our vertically-integrated business model, we have built comprehensive, highly automated, on-demand in-house manufacturing capabilities aimed at complementing the development our immunotherapy pipeline.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have assembled an exceptional team of over 1,800 employees, including approximately 300 employees from our acquisition of the production site in Marburg in October 2020. We have established relationships with eight pharmaceutical collaborators, including Bayer AG, or Bayer, Genentech, Inc., or Genentech, Genevant Sciences GmbH, or Genevant, Genmab A/S, or Genmab, Pfizer Inc., or Pfizer, Regeneron Pharmaceuticals, Inc., or Regeneron, Sanofi S.A., or Sanofi and Shanghai Fosun Pharmaceutical (Group) Co., Ltd., or Fosun Pharma.</w:t>
      </w:r>
    </w:p>
    <w:p>
      <w:pPr>
        <w:spacing w:after="0" w:line="174"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Key Pipeline Updates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 is a summary of our clinical product candidates, organized by platform and indication.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Oncology</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BioNTech has continued to advance its broad oncology pipeline of 11 product candidates in 12 ongoing trials. Since the beginning of the third quarter, the Company has provided data updates for BNT111, BNT114, BNT131 and BNT311.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FixVac</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FixVac product candidates contain selected combinations of pharmacologically optimized uridine mRNA encoding known cancer-specific shared antigens. These candidates feature our proprietary immunogenic mRNA backbone and proprietary RNA-lipoplex, or RNA-LPX, delivery formulation, designed to enhance stability and translation, target dendritic cells and trigger both innate and adaptive immune responses. FixVac is currently being evaluating in five clinical trials including:</w:t>
      </w:r>
    </w:p>
    <w:p>
      <w:pPr>
        <w:spacing w:after="0" w:line="72" w:lineRule="exact"/>
        <w:rPr>
          <w:sz w:val="20"/>
          <w:szCs w:val="20"/>
          <w:color w:val="auto"/>
        </w:rPr>
      </w:pPr>
    </w:p>
    <w:p>
      <w:pPr>
        <w:ind w:left="900" w:hanging="447"/>
        <w:spacing w:after="0"/>
        <w:tabs>
          <w:tab w:leader="none" w:pos="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BNT111 in a Phase 1 trial in advanced melanoma.</w:t>
      </w:r>
    </w:p>
    <w:p>
      <w:pPr>
        <w:spacing w:after="0" w:line="108" w:lineRule="exact"/>
        <w:rPr>
          <w:sz w:val="20"/>
          <w:szCs w:val="20"/>
          <w:color w:val="auto"/>
        </w:rPr>
      </w:pPr>
    </w:p>
    <w:p>
      <w:pPr>
        <w:jc w:val="both"/>
        <w:ind w:left="1800" w:hanging="456"/>
        <w:spacing w:after="0" w:line="242" w:lineRule="auto"/>
        <w:tabs>
          <w:tab w:leader="none" w:pos="1800" w:val="left"/>
        </w:tabs>
        <w:numPr>
          <w:ilvl w:val="1"/>
          <w:numId w:val="1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On July 29, data from an exploratory data analysis of a Phase 1 trial for BNT111, the Company’s lead mRNA-based FixVac cancer vaccine program, was published in Nature. The publication highlighted the favorable safety profile of BNT111 in stage IIIB-C and stage IV melanoma patients who were pre-treated with several lines of systemic therapy including PD-1 inhibitors. The trial also demonstrated BNT111’s ability to mediate durable objective responses as a single agent and in combination with anti-PD-1 antibodies.</w:t>
      </w:r>
    </w:p>
    <w:p>
      <w:pPr>
        <w:spacing w:after="0" w:line="79" w:lineRule="exact"/>
        <w:rPr>
          <w:rFonts w:ascii="Courier New" w:cs="Courier New" w:eastAsia="Courier New" w:hAnsi="Courier New"/>
          <w:sz w:val="20"/>
          <w:szCs w:val="20"/>
          <w:color w:val="auto"/>
        </w:rPr>
      </w:pPr>
    </w:p>
    <w:p>
      <w:pPr>
        <w:jc w:val="both"/>
        <w:ind w:left="1800" w:hanging="456"/>
        <w:spacing w:after="0" w:line="243" w:lineRule="auto"/>
        <w:tabs>
          <w:tab w:leader="none" w:pos="1800" w:val="left"/>
        </w:tabs>
        <w:numPr>
          <w:ilvl w:val="1"/>
          <w:numId w:val="1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In July, BioNTech and Regeneron announced a strategic collaboration to jointly conduct a randomized Phase 2 trial for the treatment of patients with melanoma progressing during or after prior therapy with a PD-1 inhibitor, utilizing a combination of BNT111 and Regeneron’s Libtayo®. This trial is currently under review by the FDA. We are currently targeting commencement of the trial in the first half of 2021, subject to allowance of the IND by the FDA.</w:t>
      </w:r>
    </w:p>
    <w:p>
      <w:pPr>
        <w:spacing w:after="0" w:line="77" w:lineRule="exact"/>
        <w:rPr>
          <w:rFonts w:ascii="Courier New" w:cs="Courier New" w:eastAsia="Courier New" w:hAnsi="Courier New"/>
          <w:sz w:val="20"/>
          <w:szCs w:val="20"/>
          <w:color w:val="auto"/>
        </w:rPr>
      </w:pPr>
    </w:p>
    <w:p>
      <w:pPr>
        <w:ind w:left="900" w:hanging="447"/>
        <w:spacing w:after="0"/>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BNT112 in an ongoing Phase 1/2 trial in prostate cancer.</w:t>
      </w:r>
    </w:p>
    <w:p>
      <w:pPr>
        <w:spacing w:after="0" w:line="107" w:lineRule="exact"/>
        <w:rPr>
          <w:rFonts w:ascii="Times New Roman" w:cs="Times New Roman" w:eastAsia="Times New Roman" w:hAnsi="Times New Roman"/>
          <w:sz w:val="20"/>
          <w:szCs w:val="20"/>
          <w:color w:val="auto"/>
        </w:rPr>
      </w:pPr>
    </w:p>
    <w:p>
      <w:pPr>
        <w:jc w:val="both"/>
        <w:ind w:left="900" w:hanging="447"/>
        <w:spacing w:after="0" w:line="249" w:lineRule="auto"/>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BNT113 in a Phase 1 trial in HPV16+ head and neck cancers. We are planning to initiate a Phase 2 trial with registrational potential for BNT113 in HPV+ head and neck cancers. This trial is currently under review by the FDA. We are currently targeting commencement of the trial in the second half of 2020 and dosing of first patient in the first half of 2021, subject to allowance of the IND by the FDA.</w:t>
      </w:r>
    </w:p>
    <w:p>
      <w:pPr>
        <w:spacing w:after="0" w:line="7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BNT114 in a Phase 1 trial in triple negative breast cancer (TNBC).</w:t>
      </w:r>
    </w:p>
    <w:p>
      <w:pPr>
        <w:spacing w:after="0" w:line="107" w:lineRule="exact"/>
        <w:rPr>
          <w:rFonts w:ascii="Times New Roman" w:cs="Times New Roman" w:eastAsia="Times New Roman" w:hAnsi="Times New Roman"/>
          <w:sz w:val="20"/>
          <w:szCs w:val="20"/>
          <w:color w:val="auto"/>
        </w:rPr>
      </w:pPr>
    </w:p>
    <w:p>
      <w:pPr>
        <w:jc w:val="both"/>
        <w:ind w:left="1800" w:hanging="456"/>
        <w:spacing w:after="0" w:line="241" w:lineRule="auto"/>
        <w:tabs>
          <w:tab w:leader="none" w:pos="1800" w:val="left"/>
        </w:tabs>
        <w:numPr>
          <w:ilvl w:val="1"/>
          <w:numId w:val="15"/>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On September 18, a data update was presented at the ESMO Virtual Congress 2020 for one treatment arm from the TNBC-MERIT trial, a first-in-human trial assessing the safety and immunogenicity of RNA immunotherapy in patients suffering from triple negative breast cancer (TNBC). This arm is investigating the individualized neoantigen vaccine encoding up to 20 cancer neoantigens determined by next generation sequencing. The preliminary analysis showed that the neoantigen vaccine is highly efficient in inducing strong poly-epitopic T-cell responses in the post-(neo) adjuvant setting. In all 14 patients vaccine-induced T-cell responses against up to 10 neoantigens could be detected of which the majority was de novo. In 12 out of 14 patients T-cell responses were of such high magnitude that they could be detected directly ex vivo.</w:t>
      </w:r>
    </w:p>
    <w:p>
      <w:pPr>
        <w:spacing w:after="0" w:line="79" w:lineRule="exact"/>
        <w:rPr>
          <w:rFonts w:ascii="Courier New" w:cs="Courier New" w:eastAsia="Courier New" w:hAnsi="Courier New"/>
          <w:sz w:val="20"/>
          <w:szCs w:val="20"/>
          <w:color w:val="auto"/>
        </w:rPr>
      </w:pPr>
    </w:p>
    <w:p>
      <w:pPr>
        <w:ind w:left="900" w:hanging="447"/>
        <w:spacing w:after="0"/>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BNT115 in an ongoing Phase 1 trial in ovarian cancer.</w:t>
      </w:r>
    </w:p>
    <w:p>
      <w:pPr>
        <w:spacing w:after="0" w:line="107"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BNT116 is in preclinical development for non-small cell lung cancer.</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Individualized neoantigen specific immunotherapy (iNeST)</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Our iNeST immunotherapies contain unmodified, pharmacologically optimized mRNA encoding up to 20 patient-specific neoantigens and also feature our proprietary RNA-LPX formulation. RO7198457 (BNT122/ RG6180) is partnered with Genentech.</w:t>
      </w:r>
    </w:p>
    <w:p>
      <w:pPr>
        <w:spacing w:after="0" w:line="51" w:lineRule="exact"/>
        <w:rPr>
          <w:sz w:val="20"/>
          <w:szCs w:val="20"/>
          <w:color w:val="auto"/>
        </w:rPr>
      </w:pPr>
    </w:p>
    <w:p>
      <w:pPr>
        <w:ind w:left="900" w:hanging="447"/>
        <w:spacing w:after="0" w:line="269"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rate of Phase 2 trial (IMCODE-001) in first-line melanoma is slower than expected due to the impact of the COVID-19 pandemic.</w:t>
      </w:r>
    </w:p>
    <w:p>
      <w:pPr>
        <w:spacing w:after="0" w:line="51" w:lineRule="exact"/>
        <w:rPr>
          <w:rFonts w:ascii="Times New Roman" w:cs="Times New Roman" w:eastAsia="Times New Roman" w:hAnsi="Times New Roman"/>
          <w:sz w:val="20"/>
          <w:szCs w:val="20"/>
          <w:color w:val="auto"/>
        </w:rPr>
      </w:pPr>
    </w:p>
    <w:p>
      <w:pPr>
        <w:jc w:val="both"/>
        <w:ind w:left="900" w:hanging="447"/>
        <w:spacing w:after="0" w:line="249" w:lineRule="auto"/>
        <w:tabs>
          <w:tab w:leader="none" w:pos="9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Investigational New Drug (IND) application for a randomized Phase 2 trial in circulating tumor DNA positive, surgically resected Stage 2 (high risk)/Stage 3 colon cancer granted in July 2020. An additional randomized Phase 2 study is planned to evaluate the efficacy and safety of BNT122 plus atezolizumab compared with atezolizumab alone in patients with early and adjuvant stage non-small-cell lung cancer (NSCLC).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mRNA intratumoral immunotherapy</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collaboration with Sanofi, we are conducting a Phase 1 trial of SAR441000 (BNT131), our first mRNA-based intratumoral immunotherapy, as a monotherapy and in combination with cemiplimab in patients with solid tumors. SAR441000 (BNT131) consists of a modified mRNA that encodes the IL-12sc, IL-15sushi, GM-CSF and IFN-a cytokines. SAR441000 (BNT131) is designed to be administered directly into the tumor in order to alter the tumor microenvironment and enhance the immune system’s ability to recognize and fight cancer within the tumor (proximal) as well as in other untreated locations (distal).</w:t>
      </w:r>
    </w:p>
    <w:p>
      <w:pPr>
        <w:spacing w:after="0" w:line="77" w:lineRule="exact"/>
        <w:rPr>
          <w:sz w:val="20"/>
          <w:szCs w:val="20"/>
          <w:color w:val="auto"/>
        </w:rPr>
      </w:pPr>
    </w:p>
    <w:p>
      <w:pPr>
        <w:jc w:val="both"/>
        <w:ind w:left="900" w:hanging="447"/>
        <w:spacing w:after="0" w:line="246" w:lineRule="auto"/>
        <w:tabs>
          <w:tab w:leader="none" w:pos="9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Interim data was presented at the SITC 2020 conference from an ongoing first-in-human Phase 1 dose escalation and expansion trial evaluating the safety, pharmacokinetics and anti-tumor activity of BNT131 in patients with advanced solid tumors. The data demonstrated that BNT131 was generally well tolerated, with no patient experiencing a dose limiting toxicity or grade 3 or greater treatment-related adverse events to date. As a monotherapy, downstream effector cytokines signals and T cell infiltration suggest an immunomodulatory effect.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CLDN6 CAR-T cell immunotherapy</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developing a proprietary chimeric antigen receptor T cell, or CAR-T, product candidate, BNT211, targeting Claudin-6, or CLDN6, a novel solid tumor-specific antigen. We developed BNT211 utilizing our target discovery engine, and we plan to administer it along with a CARVac “primer” to boost the immune response and promote CAR-T cell persistence.</w:t>
      </w:r>
    </w:p>
    <w:p>
      <w:pPr>
        <w:spacing w:after="0" w:line="66" w:lineRule="exact"/>
        <w:rPr>
          <w:sz w:val="20"/>
          <w:szCs w:val="20"/>
          <w:color w:val="auto"/>
        </w:rPr>
      </w:pPr>
    </w:p>
    <w:p>
      <w:pPr>
        <w:jc w:val="both"/>
        <w:ind w:left="900" w:hanging="447"/>
        <w:spacing w:after="0" w:line="246" w:lineRule="auto"/>
        <w:tabs>
          <w:tab w:leader="none" w:pos="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Initiation of a first-in-human Phase 1/2a open-label, multi-center dose escalation and dose expansion basket trial is expected for 2H 2020. The study targets patients with CLDN6-positive relapsed or refractory advanced solid tumors, including ovarian and testicular cancers. The study assesses CLDN6 CAR-T cell immunotherapy in combination with a CLDN6 RNA vaccine for improved expansion and persistence of CAR T cells (CARVac). The primary outcome measure of the trial will be safety, with secondary efficacy outcome measures to include objective response rate, disease control rate and duration of response.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Neo-antigen targeting T cells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Through our recent Neon acquisition, we obtained a neoantigen-targeting T cell platform that can be utilized to develop product candidates across several neoantigen-targeting non-engineered and engineered T cell therapies. Our lead product candidate under this platform is our individualized neoantigen-targeting T cell therapy, BNT221.</w:t>
      </w:r>
    </w:p>
    <w:p>
      <w:pPr>
        <w:spacing w:after="0" w:line="66" w:lineRule="exact"/>
        <w:rPr>
          <w:sz w:val="20"/>
          <w:szCs w:val="20"/>
          <w:color w:val="auto"/>
        </w:rPr>
      </w:pPr>
    </w:p>
    <w:p>
      <w:pPr>
        <w:jc w:val="both"/>
        <w:ind w:left="900" w:hanging="447"/>
        <w:spacing w:after="0" w:line="249" w:lineRule="auto"/>
        <w:tabs>
          <w:tab w:leader="none" w:pos="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Dosing of the first patient in a Phase 1 dose escalation trial for the treatment of metastatic melanoma in patients who are refractory or unresponsive to checkpoint inhibitors is expected in 1H 2021. BNT221 (NEO-PTC-01) is a personal neoantigen-targeted T cell therapy candidate derived from patients` blood cells and consisting of multiple T cell populations targeting selected neoantigens from each patient`s tumor. The primary objectives of the trial will be to</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7" w:name="page38"/>
    <w:bookmarkEnd w:id="37"/>
    <w:p>
      <w:pPr>
        <w:ind w:left="90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evaluate the safety and feasibility of administering BNT221, in addition to an evaluation of immunogenicity and clinical efficacy.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Next-generation checkpoint immunomodulators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developing, in collaboration with Genmab, novel next-generation bispecific antibodies that are designed for conditional activation of immunostimulatory checkpoint molecules. Our first bispecific candidates are GEN1046 (BNT311), which targets PD-L1 in conjunction with 4-1BB, and GEN1042 (BNT312), which targets CD40 in conjunction with 4-1BB. While 4-1BB is a known immune checkpoint target that is expressed on T cells and natural killer, or NK, cells, prior attempts to target 4-1BB with monoclonal antibodies have been severely limited by liver toxicities. Our 4-1BB targeting product candidates are designed to avoid toxicities by conditionally activating a 4-1BB receptor only together with the binding of either PD-L1 or CD40.</w:t>
      </w:r>
    </w:p>
    <w:p>
      <w:pPr>
        <w:spacing w:after="0" w:line="76" w:lineRule="exact"/>
        <w:rPr>
          <w:sz w:val="20"/>
          <w:szCs w:val="20"/>
          <w:color w:val="auto"/>
        </w:rPr>
      </w:pPr>
    </w:p>
    <w:p>
      <w:pPr>
        <w:jc w:val="both"/>
        <w:ind w:left="900" w:hanging="447"/>
        <w:spacing w:after="0" w:line="242" w:lineRule="auto"/>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Interim data from a first-in-human Phase 1/2 trial of BNT311 in 61 heavily pretreated patients with advanced solid tumors was presented at the SITC 2020 conference. In the dose escalation phase, BNT311 demonstrated a manageable safety profile and encouraging early single-agent clinical activity. Most adverse events were mild to moderate, treatment-related Grade 3 transaminase elevations resolved with corticosteroids. No treatment-related bilirubin increases or Grade 4 transaminase elevations were observed. Clinical benefit was observed across tumor types and dose levels, including in patients resistant to prior immunotherapy and with tumor types less sensitive to immune checkpoint inhibitors. Disease control was achieved in 65.6% of patients in the dose escalation portion, including partial responses in one TNBC patient, one ovarian cancer patient and two immune checkpoint inhibitor pre-treated NSCLC patients. In the expansion cohort, which includes patients with PD-L1 relapsed/refractory NSCLC, two of 12 patients that could be objectively assessed achieved single-agent confirmed partial responses. One patient had an unconfirmed partial response and four patients demonstrated stable disease.</w:t>
      </w:r>
    </w:p>
    <w:p>
      <w:pPr>
        <w:spacing w:after="0" w:line="84"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initiated a Phase 1/2 trial of GEN1042 (BNT312) in solid tumors.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Targeted cancer antibodies</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MVT-5873 (BNT321) is a fully human IgG1 monoclonal antibody targeting sialyl Lewis A (sLea), a novel epitope expressed specifically in pancreatic and other solid tumors. MVT-5873 (BNT321) is currently in Phase 1 clinical development in pancreatic cancer.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Small molecule immunomodulators</w:t>
      </w:r>
    </w:p>
    <w:p>
      <w:pPr>
        <w:spacing w:after="0" w:line="11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BNT411 is our novel small molecule TLR7 agonist product candidate. BNT411 is engineered for high potency and high selectivity for the TLR7 receptor to activate both the adaptive and innate immune system.</w:t>
      </w:r>
    </w:p>
    <w:p>
      <w:pPr>
        <w:spacing w:after="0" w:line="51" w:lineRule="exact"/>
        <w:rPr>
          <w:sz w:val="20"/>
          <w:szCs w:val="20"/>
          <w:color w:val="auto"/>
        </w:rPr>
      </w:pPr>
    </w:p>
    <w:p>
      <w:pPr>
        <w:jc w:val="both"/>
        <w:ind w:left="900" w:hanging="447"/>
        <w:spacing w:after="0" w:line="249" w:lineRule="auto"/>
        <w:tabs>
          <w:tab w:leader="none" w:pos="9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July 8, 2020, the first patient was dosed in a Phase 1/2a, first-in-human, open-label, dose-escalation trial with expansion cohorts to evaluate the safety, pharmacokinetics, pharmacodynamics and preliminary efficacy of BNT411 as a monotherapy in patients with solid tumors, and in combination with atezolizumab, carboplatin and etoposide in patients with chemotherapy-naïve extensive-stage small cell lung cancer (ES-SCLC).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we have several other cancer immunotherapy programs in pre-clinical development including:</w:t>
      </w:r>
    </w:p>
    <w:p>
      <w:pPr>
        <w:spacing w:after="0" w:line="104" w:lineRule="exact"/>
        <w:rPr>
          <w:sz w:val="20"/>
          <w:szCs w:val="20"/>
          <w:color w:val="auto"/>
        </w:rPr>
      </w:pPr>
    </w:p>
    <w:p>
      <w:pPr>
        <w:jc w:val="both"/>
        <w:ind w:left="900" w:hanging="447"/>
        <w:spacing w:after="0" w:line="256" w:lineRule="auto"/>
        <w:tabs>
          <w:tab w:leader="none" w:pos="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RiboMabs: </w:t>
      </w:r>
      <w:r>
        <w:rPr>
          <w:rFonts w:ascii="Times New Roman" w:cs="Times New Roman" w:eastAsia="Times New Roman" w:hAnsi="Times New Roman"/>
          <w:sz w:val="20"/>
          <w:szCs w:val="20"/>
          <w:color w:val="auto"/>
        </w:rPr>
        <w:t>novel classes of mRNA-based therapeutics that are designed to encode antibodies directly in the patient’s body.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 to initiate Phase 1 clinical trials for our first two RiboMab product candidates, BNT141 in the first half of 2021 and BNT142 in the second half of 2021.</w:t>
      </w:r>
    </w:p>
    <w:p>
      <w:pPr>
        <w:spacing w:after="0" w:line="60"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RiboCytokines: </w:t>
      </w:r>
      <w:r>
        <w:rPr>
          <w:rFonts w:ascii="Times New Roman" w:cs="Times New Roman" w:eastAsia="Times New Roman" w:hAnsi="Times New Roman"/>
          <w:sz w:val="20"/>
          <w:szCs w:val="20"/>
          <w:color w:val="auto"/>
        </w:rPr>
        <w:t>novel classes of mRNA-based therapeutics that are designed to encode cytokines directly in the patient’s body.</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8" w:name="page39"/>
    <w:bookmarkEnd w:id="38"/>
    <w:p>
      <w:pPr>
        <w:jc w:val="both"/>
        <w:ind w:left="1800" w:hanging="456"/>
        <w:spacing w:after="0" w:line="241" w:lineRule="auto"/>
        <w:tabs>
          <w:tab w:leader="none" w:pos="1800" w:val="left"/>
        </w:tabs>
        <w:numPr>
          <w:ilvl w:val="0"/>
          <w:numId w:val="23"/>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We expect to initiate an open-label, multicenter Phase 1/2a dose escalation, safety, pharmacokinetic (PK) and pharmacodynamic (PD) trial of BNT151 with expansion cohorts in multiple solid tumor indications in the first half of 2021. The monotherapy dose escalation will enroll patients with multiple solid tumors that are metastatic or unresectable with no available standard therapy likely to confer clinical benefit. In the combined treatment dose escalation, patients with different solid tumors will be enrolled and treated with BNT151 and the respective standard of care</w:t>
      </w:r>
    </w:p>
    <w:p>
      <w:pPr>
        <w:spacing w:after="0" w:line="82" w:lineRule="exact"/>
        <w:rPr>
          <w:rFonts w:ascii="Courier New" w:cs="Courier New" w:eastAsia="Courier New" w:hAnsi="Courier New"/>
          <w:sz w:val="20"/>
          <w:szCs w:val="20"/>
          <w:color w:val="auto"/>
        </w:rPr>
      </w:pPr>
    </w:p>
    <w:p>
      <w:pPr>
        <w:ind w:left="1800" w:hanging="456"/>
        <w:spacing w:after="0"/>
        <w:tabs>
          <w:tab w:leader="none" w:pos="1800" w:val="left"/>
        </w:tabs>
        <w:numPr>
          <w:ilvl w:val="0"/>
          <w:numId w:val="23"/>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We expect to initiate a Phase 1 clinical trials for BNT152/BNT153 (combination) in the first half of 2021.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Infectious Disease Immunotherapies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COVID-19 Vaccine Program</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response to the coronavirus global pandemic, the company assembled a global consortium of partners including Pfizer (worldwide collaboration outside of China) and Fosun Pharma (China). BioNTech's vaccine program against COVID-19, BNT162, leverages our proprietary mRNA platform. Currently there are four vaccine candidates: two of the four vaccine candidates include a nucleoside modified mRNA (modRNA), one includes a uridine containing mRNA (uRNA), and the fourth vaccine candidate utilizes self-amplifying mRNA (saRNA). Each mRNA format is combined with a lipid nanoparticle (LNP) formulation. The larger spike sequence is included in two of the vaccine candidates, and the smaller optimized receptor binding domain (RBD) from the spike protein is included in the other two candidates.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Clinical</w:t>
      </w:r>
    </w:p>
    <w:p>
      <w:pPr>
        <w:spacing w:after="0" w:line="108" w:lineRule="exact"/>
        <w:rPr>
          <w:sz w:val="20"/>
          <w:szCs w:val="20"/>
          <w:color w:val="auto"/>
        </w:rPr>
      </w:pPr>
    </w:p>
    <w:p>
      <w:pPr>
        <w:jc w:val="both"/>
        <w:ind w:left="900" w:hanging="447"/>
        <w:spacing w:after="0" w:line="241" w:lineRule="auto"/>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BNT162b2 demonstrated evidence of efficacy against COVID-19 in participants without prior evidence of SARS-CoV-2 infection based on the first interim efficacy analysis from the Phase 3 clinical study conducted on November 8, 2020, by an external, independent Data Monitoring Committee (DMC). After discussion with the FDA, BioNTech and Pfizer recently elected to drop the 32-case interim analysis and conduct the first interim analysis at a minimum of 62 cases. Upon conclusion of those discussions, the evaluable case count reached 94 and the DMC performed its first analysis on all cases. The case split between vaccinated participants and those who received the placebo indicates a vaccine efficacy rate above 90%, at seven days after the second dose. This means that protection was demonstrated to have been achieved 28 days after the initiation of the vaccination, which consists of a 2-dose schedule. As the study continues, the final vaccine efficacy percentage may vary. The DMC has not reported any serious safety concerns and recommends that the study continues to collect additional safety and efficacy data as planned. Pfizer and BioNTech plan to submit data from the full Phase 3 trial for scientific peer-review publication. The Phase 3 trial, which is being conducted globally at 150 sites across 6 countries has enrolled 43,538 participants, 38,955 of whom have received a second dose as of November 8, 2020. Approximately 42% of global participants and 30% of U.S. participants have racially and ethnically diverse backgrounds. The trial is continuing to enroll and is expected to continue through the final analysis when a total of 164 confirmed COVID-19 cases have accrued. The study also will evaluate the potential for the vaccine candidate to provide protection against COVID-19 in those who have had prior exposure to SARS-CoV-2, as well as vaccine prevention against severe COVID-19 disease.</w:t>
      </w:r>
    </w:p>
    <w:p>
      <w:pPr>
        <w:spacing w:after="0" w:line="85" w:lineRule="exact"/>
        <w:rPr>
          <w:rFonts w:ascii="Times New Roman" w:cs="Times New Roman" w:eastAsia="Times New Roman" w:hAnsi="Times New Roman"/>
          <w:sz w:val="20"/>
          <w:szCs w:val="20"/>
          <w:color w:val="auto"/>
        </w:rPr>
      </w:pPr>
    </w:p>
    <w:p>
      <w:pPr>
        <w:jc w:val="both"/>
        <w:ind w:left="900" w:hanging="447"/>
        <w:spacing w:after="0" w:line="246" w:lineRule="auto"/>
        <w:tabs>
          <w:tab w:leader="none" w:pos="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primary efficacy endpoints evaluating confirmed COVID-19 cases accruing from seven days after the second dose, the final analysis now will include, with the approval of the FDA, new secondary endpoints evaluating efficacy based on cases accruing 14 days after the second dose as well. The companies believe that the addition of these secondary endpoints will help align data across all COVID-19 vaccine studies and allow for cross-trial learnings and comparisons between these novel vaccine platforms.</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9" w:name="page40"/>
    <w:bookmarkEnd w:id="39"/>
    <w:p>
      <w:pPr>
        <w:jc w:val="both"/>
        <w:ind w:left="900" w:hanging="447"/>
        <w:spacing w:after="0" w:line="254" w:lineRule="auto"/>
        <w:tabs>
          <w:tab w:leader="none" w:pos="9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BioNTech and Pfizer initiated a Phase 1/2 clinical trial in Japan to evaluate safety, tolerability and immunogenicity of two doses separated by 21 days and a single dose of BNT162b2. The randomized, placebo-controlled, and observer-blind study is being conducted in healthy adults 20 to 85 years of age.</w:t>
      </w:r>
    </w:p>
    <w:p>
      <w:pPr>
        <w:spacing w:after="0" w:line="66" w:lineRule="exact"/>
        <w:rPr>
          <w:rFonts w:ascii="Times New Roman" w:cs="Times New Roman" w:eastAsia="Times New Roman" w:hAnsi="Times New Roman"/>
          <w:sz w:val="20"/>
          <w:szCs w:val="20"/>
          <w:color w:val="auto"/>
        </w:rPr>
      </w:pPr>
    </w:p>
    <w:p>
      <w:pPr>
        <w:jc w:val="both"/>
        <w:ind w:left="900" w:hanging="447"/>
        <w:spacing w:after="0" w:line="254" w:lineRule="auto"/>
        <w:tabs>
          <w:tab w:leader="none" w:pos="9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BioNTech and Fosun initiated a Phase 1 study to evaluate safety and immunogenicity in Chinese participants. We expect to initiate a Phase 2 clinical trial in China with BNT162b2 upon regulatory IND approval from the Chinese regulatory authority, National Medical Products Administration (NMPA), by the end of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Commercial</w:t>
      </w:r>
    </w:p>
    <w:p>
      <w:pPr>
        <w:spacing w:after="0" w:line="108" w:lineRule="exact"/>
        <w:rPr>
          <w:sz w:val="20"/>
          <w:szCs w:val="20"/>
          <w:color w:val="auto"/>
        </w:rPr>
      </w:pPr>
    </w:p>
    <w:p>
      <w:pPr>
        <w:jc w:val="both"/>
        <w:ind w:left="900" w:hanging="447"/>
        <w:spacing w:after="0" w:line="254" w:lineRule="auto"/>
        <w:tabs>
          <w:tab w:leader="none" w:pos="9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BioNTech and Pfizer previously announced commercial supply agreements for 2020 and 2021 - totaling more than 570 million doses, including options to purchase an additional 600 million doses - with multiple governments, including Canada, Japan, the UK, the U.S. and the EU. All agreements are subject to clinical success and regulatory approval.</w:t>
      </w:r>
    </w:p>
    <w:p>
      <w:pPr>
        <w:spacing w:after="0" w:line="66" w:lineRule="exact"/>
        <w:rPr>
          <w:rFonts w:ascii="Times New Roman" w:cs="Times New Roman" w:eastAsia="Times New Roman" w:hAnsi="Times New Roman"/>
          <w:sz w:val="20"/>
          <w:szCs w:val="20"/>
          <w:color w:val="auto"/>
        </w:rPr>
      </w:pPr>
    </w:p>
    <w:p>
      <w:pPr>
        <w:ind w:left="900" w:hanging="447"/>
        <w:spacing w:after="0" w:line="269" w:lineRule="auto"/>
        <w:tabs>
          <w:tab w:leader="none" w:pos="9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supply projections, we expect to supply globally up to 50 million vaccine doses in 2020 and manufacture up to 1.3 billion doses in 2021.</w:t>
      </w:r>
    </w:p>
    <w:p>
      <w:pPr>
        <w:spacing w:after="0" w:line="51" w:lineRule="exact"/>
        <w:rPr>
          <w:rFonts w:ascii="Times New Roman" w:cs="Times New Roman" w:eastAsia="Times New Roman" w:hAnsi="Times New Roman"/>
          <w:sz w:val="20"/>
          <w:szCs w:val="20"/>
          <w:color w:val="auto"/>
        </w:rPr>
      </w:pPr>
    </w:p>
    <w:p>
      <w:pPr>
        <w:ind w:left="900" w:hanging="447"/>
        <w:spacing w:after="0" w:line="269" w:lineRule="auto"/>
        <w:tabs>
          <w:tab w:leader="none" w:pos="9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BioNTech closed the acquisition of a GMP manufacturing facility in Germany, with the intent to accelerate BNT162 manufacturing scale-up for commercial supply in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Regulatory</w:t>
      </w:r>
    </w:p>
    <w:p>
      <w:pPr>
        <w:spacing w:after="0" w:line="108" w:lineRule="exact"/>
        <w:rPr>
          <w:sz w:val="20"/>
          <w:szCs w:val="20"/>
          <w:color w:val="auto"/>
        </w:rPr>
      </w:pPr>
    </w:p>
    <w:p>
      <w:pPr>
        <w:ind w:left="900" w:right="20" w:hanging="447"/>
        <w:spacing w:after="0" w:line="269" w:lineRule="auto"/>
        <w:tabs>
          <w:tab w:leader="none" w:pos="9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BioNTech and Pfizer received Fast Track designation for BNT162b1 and BNT162b2 from the U.S. Food and Drug Administration (FDA).</w:t>
      </w:r>
    </w:p>
    <w:p>
      <w:pPr>
        <w:spacing w:after="0" w:line="51" w:lineRule="exact"/>
        <w:rPr>
          <w:rFonts w:ascii="Times New Roman" w:cs="Times New Roman" w:eastAsia="Times New Roman" w:hAnsi="Times New Roman"/>
          <w:sz w:val="20"/>
          <w:szCs w:val="20"/>
          <w:color w:val="auto"/>
        </w:rPr>
      </w:pPr>
    </w:p>
    <w:p>
      <w:pPr>
        <w:ind w:left="900" w:hanging="447"/>
        <w:spacing w:after="0" w:line="269" w:lineRule="auto"/>
        <w:tabs>
          <w:tab w:leader="none" w:pos="9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BioNTech and Pfizer initiated rolling submissions for BNT162b2 to the European Medicines Agency (EMA), the Medicines and Healthcare Products Regulatory Agency (MHRA) in the UK and Health Canada.</w:t>
      </w:r>
    </w:p>
    <w:p>
      <w:pPr>
        <w:spacing w:after="0" w:line="51" w:lineRule="exact"/>
        <w:rPr>
          <w:rFonts w:ascii="Times New Roman" w:cs="Times New Roman" w:eastAsia="Times New Roman" w:hAnsi="Times New Roman"/>
          <w:sz w:val="20"/>
          <w:szCs w:val="20"/>
          <w:color w:val="auto"/>
        </w:rPr>
      </w:pPr>
    </w:p>
    <w:p>
      <w:pPr>
        <w:jc w:val="both"/>
        <w:ind w:left="900" w:hanging="447"/>
        <w:spacing w:after="0" w:line="246" w:lineRule="auto"/>
        <w:tabs>
          <w:tab w:leader="none" w:pos="9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BioNTech and Pfizer continue to accumulate safety data from the Phase 3 trial and currently estimate that the median of two months of safety data following the second dose of the vaccine candidate, the amount of safety data specified by the FDA in its guidance for potential EUA, will be available for submission by the third week of November. A submission for EUA is planned for soon thereafter. Trial participants will continue to be monitored for long-term protection and safety for an additional two years after their second dose.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Flu vaccine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 collaboration with Pfizer to develop mRNA-based immunotherapies for the prevention of influenza, product candidate BNT161.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Infectious diseases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 research collaboration with the University of Pennsylvania, under which we have the exclusive option to develop and commercialize mRNA immunotherapies for the treatment of up to 10 infectious disease indications. We have also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Rare Disease Protein Replacement Therapies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collaborating with Genevant in order to capitalize on opportunities for our mRNA technology in rare disease indications potentially featuring expedited paths to market. We are combining our mRNA technology with Genevant’s lipid nanoparticle, or LNP, delivery technology to create up to five mRNA protein replacement therapies for the treatment of rare diseases with high unmet medical needs. BioNTech has put the programs under review in order to focus on other areas.</w:t>
      </w:r>
    </w:p>
    <w:p>
      <w:pPr>
        <w:spacing w:after="0" w:line="189"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Financial Operations Overview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our consolidated statements of operations for each period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38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40" w:type="dxa"/>
            <w:vAlign w:val="bottom"/>
          </w:tcPr>
          <w:p>
            <w:pPr>
              <w:spacing w:after="0"/>
              <w:rPr>
                <w:sz w:val="18"/>
                <w:szCs w:val="18"/>
                <w:color w:val="auto"/>
              </w:rPr>
            </w:pPr>
          </w:p>
        </w:tc>
        <w:tc>
          <w:tcPr>
            <w:tcW w:w="232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38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3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Borders>
              <w:right w:val="single" w:sz="8" w:color="C6E0B4"/>
            </w:tcBorders>
          </w:tcPr>
          <w:p>
            <w:pPr>
              <w:spacing w:after="0"/>
              <w:rPr>
                <w:sz w:val="19"/>
                <w:szCs w:val="19"/>
                <w:color w:val="auto"/>
              </w:rPr>
            </w:pP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8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40" w:type="dxa"/>
            <w:vAlign w:val="bottom"/>
          </w:tcPr>
          <w:p>
            <w:pPr>
              <w:spacing w:after="0"/>
              <w:rPr>
                <w:sz w:val="22"/>
                <w:szCs w:val="22"/>
                <w:color w:val="auto"/>
              </w:rPr>
            </w:pPr>
          </w:p>
        </w:tc>
        <w:tc>
          <w:tcPr>
            <w:tcW w:w="2320" w:type="dxa"/>
            <w:vAlign w:val="bottom"/>
            <w:tcBorders>
              <w:left w:val="single" w:sz="8" w:color="70AD47"/>
            </w:tcBorders>
            <w:gridSpan w:val="2"/>
          </w:tcPr>
          <w:p>
            <w:pPr>
              <w:jc w:val="center"/>
              <w:ind w:left="7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820" w:type="dxa"/>
            <w:vAlign w:val="bottom"/>
          </w:tcPr>
          <w:p>
            <w:pPr>
              <w:spacing w:after="0"/>
              <w:rPr>
                <w:sz w:val="22"/>
                <w:szCs w:val="22"/>
                <w:color w:val="auto"/>
              </w:rPr>
            </w:pPr>
          </w:p>
        </w:tc>
        <w:tc>
          <w:tcPr>
            <w:tcW w:w="20" w:type="dxa"/>
            <w:vAlign w:val="bottom"/>
            <w:shd w:val="clear" w:color="auto" w:fill="70AD47"/>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80" w:type="dxa"/>
            <w:vAlign w:val="bottom"/>
            <w:tcBorders>
              <w:bottom w:val="single" w:sz="8" w:color="70AD47"/>
              <w:right w:val="single" w:sz="8" w:color="70AD47"/>
            </w:tcBorders>
          </w:tcPr>
          <w:p>
            <w:pPr>
              <w:spacing w:after="0"/>
              <w:rPr>
                <w:sz w:val="2"/>
                <w:szCs w:val="2"/>
                <w:color w:val="auto"/>
              </w:rPr>
            </w:pPr>
          </w:p>
        </w:tc>
        <w:tc>
          <w:tcPr>
            <w:tcW w:w="1580" w:type="dxa"/>
            <w:vAlign w:val="bottom"/>
            <w:tcBorders>
              <w:bottom w:val="single" w:sz="8" w:color="70AD47"/>
            </w:tcBorders>
          </w:tcPr>
          <w:p>
            <w:pPr>
              <w:spacing w:after="0"/>
              <w:rPr>
                <w:sz w:val="2"/>
                <w:szCs w:val="2"/>
                <w:color w:val="auto"/>
              </w:rPr>
            </w:pPr>
          </w:p>
        </w:tc>
        <w:tc>
          <w:tcPr>
            <w:tcW w:w="800" w:type="dxa"/>
            <w:vAlign w:val="bottom"/>
            <w:tcBorders>
              <w:bottom w:val="single" w:sz="8" w:color="70AD47"/>
            </w:tcBorders>
          </w:tcPr>
          <w:p>
            <w:pPr>
              <w:spacing w:after="0"/>
              <w:rPr>
                <w:sz w:val="2"/>
                <w:szCs w:val="2"/>
                <w:color w:val="auto"/>
              </w:rPr>
            </w:pPr>
          </w:p>
        </w:tc>
        <w:tc>
          <w:tcPr>
            <w:tcW w:w="740" w:type="dxa"/>
            <w:vAlign w:val="bottom"/>
            <w:tcBorders>
              <w:bottom w:val="single" w:sz="8" w:color="70AD47"/>
            </w:tcBorders>
          </w:tcPr>
          <w:p>
            <w:pPr>
              <w:spacing w:after="0"/>
              <w:rPr>
                <w:sz w:val="2"/>
                <w:szCs w:val="2"/>
                <w:color w:val="auto"/>
              </w:rPr>
            </w:pPr>
          </w:p>
        </w:tc>
        <w:tc>
          <w:tcPr>
            <w:tcW w:w="1600" w:type="dxa"/>
            <w:vAlign w:val="bottom"/>
            <w:tcBorders>
              <w:left w:val="single" w:sz="8" w:color="70AD47"/>
              <w:bottom w:val="single" w:sz="8" w:color="70AD47"/>
            </w:tcBorders>
          </w:tcPr>
          <w:p>
            <w:pPr>
              <w:spacing w:after="0"/>
              <w:rPr>
                <w:sz w:val="2"/>
                <w:szCs w:val="2"/>
                <w:color w:val="auto"/>
              </w:rPr>
            </w:pPr>
          </w:p>
        </w:tc>
        <w:tc>
          <w:tcPr>
            <w:tcW w:w="720" w:type="dxa"/>
            <w:vAlign w:val="bottom"/>
            <w:tcBorders>
              <w:bottom w:val="single" w:sz="8" w:color="70AD47"/>
            </w:tcBorders>
          </w:tcPr>
          <w:p>
            <w:pPr>
              <w:spacing w:after="0"/>
              <w:rPr>
                <w:sz w:val="2"/>
                <w:szCs w:val="2"/>
                <w:color w:val="auto"/>
              </w:rPr>
            </w:pPr>
          </w:p>
        </w:tc>
        <w:tc>
          <w:tcPr>
            <w:tcW w:w="820" w:type="dxa"/>
            <w:vAlign w:val="bottom"/>
            <w:tcBorders>
              <w:bottom w:val="single" w:sz="8" w:color="70AD47"/>
            </w:tcBorders>
          </w:tcPr>
          <w:p>
            <w:pPr>
              <w:spacing w:after="0"/>
              <w:rPr>
                <w:sz w:val="2"/>
                <w:szCs w:val="2"/>
                <w:color w:val="auto"/>
              </w:rPr>
            </w:pPr>
          </w:p>
        </w:tc>
        <w:tc>
          <w:tcPr>
            <w:tcW w:w="20" w:type="dxa"/>
            <w:vAlign w:val="bottom"/>
            <w:tcBorders>
              <w:bottom w:val="single" w:sz="8" w:color="70AD47"/>
            </w:tcBorders>
            <w:shd w:val="clear" w:color="auto" w:fill="70AD47"/>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€67,458</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€28,662</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136,883</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€80,601</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60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(18,344)</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98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€60,618</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€24,432</w:t>
            </w:r>
          </w:p>
        </w:tc>
        <w:tc>
          <w:tcPr>
            <w:tcW w:w="160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€118,539</w:t>
            </w:r>
          </w:p>
        </w:tc>
        <w:tc>
          <w:tcPr>
            <w:tcW w:w="72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€67,676</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498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8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(227,706)</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(50,396)</w:t>
            </w:r>
          </w:p>
        </w:tc>
        <w:tc>
          <w:tcPr>
            <w:tcW w:w="1600" w:type="dxa"/>
            <w:vAlign w:val="bottom"/>
            <w:tcBorders>
              <w:top w:val="single" w:sz="8" w:color="70AD47"/>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(388,017)</w:t>
            </w:r>
          </w:p>
        </w:tc>
        <w:tc>
          <w:tcPr>
            <w:tcW w:w="72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(161,039)</w:t>
            </w:r>
          </w:p>
        </w:tc>
        <w:tc>
          <w:tcPr>
            <w:tcW w:w="20" w:type="dxa"/>
            <w:vAlign w:val="bottom"/>
            <w:tcBorders>
              <w:top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(23,324)</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(57,952)</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(34,481)</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98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€(186,382)</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€(36,874)</w:t>
            </w:r>
          </w:p>
        </w:tc>
        <w:tc>
          <w:tcPr>
            <w:tcW w:w="160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€(326,601)</w:t>
            </w:r>
          </w:p>
        </w:tc>
        <w:tc>
          <w:tcPr>
            <w:tcW w:w="72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€(128,575)</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498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58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600" w:type="dxa"/>
            <w:vAlign w:val="bottom"/>
            <w:tcBorders>
              <w:top w:val="single" w:sz="8" w:color="70AD47"/>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72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20" w:type="dxa"/>
            <w:vAlign w:val="bottom"/>
            <w:tcBorders>
              <w:top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(24,455)</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Interest expense related to lease liability</w:t>
            </w:r>
          </w:p>
        </w:tc>
        <w:tc>
          <w:tcPr>
            <w:tcW w:w="158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98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5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€(207,541)</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€(30,095)</w:t>
            </w:r>
          </w:p>
        </w:tc>
        <w:tc>
          <w:tcPr>
            <w:tcW w:w="160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€(351,421)</w:t>
            </w:r>
          </w:p>
        </w:tc>
        <w:tc>
          <w:tcPr>
            <w:tcW w:w="72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€(120,921)</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98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5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72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8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58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€(210,032)</w:t>
            </w:r>
          </w:p>
        </w:tc>
        <w:tc>
          <w:tcPr>
            <w:tcW w:w="800" w:type="dxa"/>
            <w:vAlign w:val="bottom"/>
            <w:tcBorders>
              <w:top w:val="single" w:sz="8" w:color="70AD47"/>
            </w:tcBorders>
          </w:tcPr>
          <w:p>
            <w:pPr>
              <w:spacing w:after="0"/>
              <w:rPr>
                <w:sz w:val="22"/>
                <w:szCs w:val="22"/>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€(30,103)</w:t>
            </w:r>
          </w:p>
        </w:tc>
        <w:tc>
          <w:tcPr>
            <w:tcW w:w="160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€(351,714)</w:t>
            </w:r>
          </w:p>
        </w:tc>
        <w:tc>
          <w:tcPr>
            <w:tcW w:w="720" w:type="dxa"/>
            <w:vAlign w:val="bottom"/>
            <w:tcBorders>
              <w:top w:val="single" w:sz="8" w:color="70AD47"/>
            </w:tcBorders>
          </w:tcPr>
          <w:p>
            <w:pPr>
              <w:spacing w:after="0"/>
              <w:rPr>
                <w:sz w:val="22"/>
                <w:szCs w:val="22"/>
                <w:color w:val="auto"/>
              </w:rPr>
            </w:pPr>
          </w:p>
        </w:tc>
        <w:tc>
          <w:tcPr>
            <w:tcW w:w="82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€(120,949)</w:t>
            </w:r>
          </w:p>
        </w:tc>
        <w:tc>
          <w:tcPr>
            <w:tcW w:w="20" w:type="dxa"/>
            <w:vAlign w:val="bottom"/>
            <w:tcBorders>
              <w:top w:val="single" w:sz="8" w:color="70AD47"/>
              <w:bottom w:val="single" w:sz="8" w:color="70AD47"/>
            </w:tcBorders>
            <w:shd w:val="clear" w:color="auto" w:fill="70AD4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80" w:type="dxa"/>
            <w:vAlign w:val="bottom"/>
            <w:tcBorders>
              <w:right w:val="single" w:sz="8" w:color="70AD47"/>
            </w:tcBorders>
            <w:shd w:val="clear" w:color="auto" w:fill="70AD47"/>
          </w:tcPr>
          <w:p>
            <w:pPr>
              <w:spacing w:after="0" w:line="20" w:lineRule="exact"/>
              <w:rPr>
                <w:sz w:val="1"/>
                <w:szCs w:val="1"/>
                <w:color w:val="auto"/>
              </w:rPr>
            </w:pPr>
          </w:p>
        </w:tc>
        <w:tc>
          <w:tcPr>
            <w:tcW w:w="1580" w:type="dxa"/>
            <w:vAlign w:val="bottom"/>
            <w:tcBorders>
              <w:right w:val="single" w:sz="8" w:color="70AD47"/>
            </w:tcBorders>
            <w:shd w:val="clear" w:color="auto" w:fill="70AD47"/>
          </w:tcPr>
          <w:p>
            <w:pPr>
              <w:spacing w:after="0" w:line="20" w:lineRule="exact"/>
              <w:rPr>
                <w:sz w:val="1"/>
                <w:szCs w:val="1"/>
                <w:color w:val="auto"/>
              </w:rPr>
            </w:pPr>
          </w:p>
        </w:tc>
        <w:tc>
          <w:tcPr>
            <w:tcW w:w="800" w:type="dxa"/>
            <w:vAlign w:val="bottom"/>
            <w:shd w:val="clear" w:color="auto" w:fill="70AD47"/>
          </w:tcPr>
          <w:p>
            <w:pPr>
              <w:spacing w:after="0" w:line="20" w:lineRule="exact"/>
              <w:rPr>
                <w:sz w:val="1"/>
                <w:szCs w:val="1"/>
                <w:color w:val="auto"/>
              </w:rPr>
            </w:pPr>
          </w:p>
        </w:tc>
        <w:tc>
          <w:tcPr>
            <w:tcW w:w="740" w:type="dxa"/>
            <w:vAlign w:val="bottom"/>
            <w:shd w:val="clear" w:color="auto" w:fill="70AD47"/>
          </w:tcPr>
          <w:p>
            <w:pPr>
              <w:spacing w:after="0" w:line="20" w:lineRule="exact"/>
              <w:rPr>
                <w:sz w:val="1"/>
                <w:szCs w:val="1"/>
                <w:color w:val="auto"/>
              </w:rPr>
            </w:pPr>
          </w:p>
        </w:tc>
        <w:tc>
          <w:tcPr>
            <w:tcW w:w="1600" w:type="dxa"/>
            <w:vAlign w:val="bottom"/>
            <w:tcBorders>
              <w:left w:val="single" w:sz="8" w:color="70AD47"/>
              <w:right w:val="single" w:sz="8" w:color="70AD47"/>
            </w:tcBorders>
            <w:shd w:val="clear" w:color="auto" w:fill="70AD47"/>
          </w:tcPr>
          <w:p>
            <w:pPr>
              <w:spacing w:after="0" w:line="20" w:lineRule="exact"/>
              <w:rPr>
                <w:sz w:val="1"/>
                <w:szCs w:val="1"/>
                <w:color w:val="auto"/>
              </w:rPr>
            </w:pPr>
          </w:p>
        </w:tc>
        <w:tc>
          <w:tcPr>
            <w:tcW w:w="720" w:type="dxa"/>
            <w:vAlign w:val="bottom"/>
            <w:shd w:val="clear" w:color="auto" w:fill="70AD47"/>
          </w:tcPr>
          <w:p>
            <w:pPr>
              <w:spacing w:after="0" w:line="20" w:lineRule="exact"/>
              <w:rPr>
                <w:sz w:val="1"/>
                <w:szCs w:val="1"/>
                <w:color w:val="auto"/>
              </w:rPr>
            </w:pPr>
          </w:p>
        </w:tc>
        <w:tc>
          <w:tcPr>
            <w:tcW w:w="820" w:type="dxa"/>
            <w:vAlign w:val="bottom"/>
            <w:shd w:val="clear" w:color="auto" w:fill="70AD47"/>
          </w:tcPr>
          <w:p>
            <w:pPr>
              <w:spacing w:after="0" w:line="20" w:lineRule="exact"/>
              <w:rPr>
                <w:sz w:val="1"/>
                <w:szCs w:val="1"/>
                <w:color w:val="auto"/>
              </w:rPr>
            </w:pPr>
          </w:p>
        </w:tc>
        <w:tc>
          <w:tcPr>
            <w:tcW w:w="20" w:type="dxa"/>
            <w:vAlign w:val="bottom"/>
            <w:shd w:val="clear" w:color="auto" w:fill="70AD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0" w:firstLine="8"/>
        <w:spacing w:after="0" w:line="280" w:lineRule="auto"/>
        <w:tabs>
          <w:tab w:leader="none" w:pos="12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differences on a cumulative basis are either shown as finance income or expenses and might switch between those two positions during the year-to-date reporting periods.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11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To date, we have not generated any revenue from the sale of pharmaceutical products. Our revenue has been primarily derived from our collaborations and the sale of diagnostic products, peptides, retroviral vectors for clinical supply, and development and manufacturing services that are sold to third-party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revenue recognized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18"/>
                <w:szCs w:val="18"/>
                <w:color w:val="auto"/>
              </w:rPr>
            </w:pPr>
          </w:p>
        </w:tc>
        <w:tc>
          <w:tcPr>
            <w:tcW w:w="24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left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70AD47"/>
            </w:tcBorders>
            <w:vMerge w:val="continue"/>
          </w:tcPr>
          <w:p>
            <w:pPr>
              <w:spacing w:after="0"/>
              <w:rPr>
                <w:sz w:val="19"/>
                <w:szCs w:val="19"/>
                <w:color w:val="auto"/>
              </w:rPr>
            </w:pPr>
          </w:p>
        </w:tc>
        <w:tc>
          <w:tcPr>
            <w:tcW w:w="2440" w:type="dxa"/>
            <w:vAlign w:val="bottom"/>
            <w:tcBorders>
              <w:left w:val="single" w:sz="8" w:color="70AD47"/>
              <w:bottom w:val="single" w:sz="8" w:color="70AD47"/>
            </w:tcBorders>
            <w:gridSpan w:val="2"/>
          </w:tcPr>
          <w:p>
            <w:pPr>
              <w:jc w:val="center"/>
              <w:ind w:left="5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80" w:type="dxa"/>
            <w:vAlign w:val="bottom"/>
            <w:tcBorders>
              <w:bottom w:val="single" w:sz="8" w:color="70AD47"/>
            </w:tcBorders>
          </w:tcPr>
          <w:p>
            <w:pPr>
              <w:spacing w:after="0"/>
              <w:rPr>
                <w:sz w:val="19"/>
                <w:szCs w:val="19"/>
                <w:color w:val="auto"/>
              </w:rPr>
            </w:pPr>
          </w:p>
        </w:tc>
        <w:tc>
          <w:tcPr>
            <w:tcW w:w="2420" w:type="dxa"/>
            <w:vAlign w:val="bottom"/>
            <w:tcBorders>
              <w:left w:val="single" w:sz="8" w:color="70AD47"/>
              <w:bottom w:val="single" w:sz="8" w:color="70AD47"/>
            </w:tcBorders>
            <w:gridSpan w:val="2"/>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2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from contracts with customers</w:t>
            </w:r>
          </w:p>
        </w:tc>
        <w:tc>
          <w:tcPr>
            <w:tcW w:w="1580" w:type="dxa"/>
            <w:vAlign w:val="bottom"/>
            <w:tcBorders>
              <w:left w:val="single" w:sz="8" w:color="70AD47"/>
              <w:right w:val="single" w:sz="8" w:color="70AD47"/>
            </w:tcBorders>
            <w:shd w:val="clear" w:color="auto" w:fill="C6E0B4"/>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Borders>
              <w:left w:val="single" w:sz="8" w:color="70AD47"/>
              <w:right w:val="single" w:sz="8" w:color="70AD47"/>
            </w:tcBorders>
            <w:shd w:val="clear" w:color="auto" w:fill="C6E0B4"/>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 resulting from collaboration and license agreements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€59,649</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€113,395</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80" w:type="dxa"/>
            <w:vAlign w:val="bottom"/>
            <w:tcBorders>
              <w:bottom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Revenues from other sales transactions</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8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820" w:type="dxa"/>
            <w:vAlign w:val="bottom"/>
            <w:tcBorders>
              <w:bottom w:val="single" w:sz="8" w:color="70AD47"/>
            </w:tcBorders>
          </w:tcPr>
          <w:p>
            <w:pPr>
              <w:spacing w:after="0"/>
              <w:rPr>
                <w:sz w:val="20"/>
                <w:szCs w:val="20"/>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16,341</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 from contracts with customers</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€67,458</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€28,662</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€136,883</w:t>
            </w:r>
          </w:p>
        </w:tc>
        <w:tc>
          <w:tcPr>
            <w:tcW w:w="820" w:type="dxa"/>
            <w:vAlign w:val="bottom"/>
            <w:tcBorders>
              <w:bottom w:val="single" w:sz="8" w:color="70AD47"/>
            </w:tcBorders>
          </w:tcPr>
          <w:p>
            <w:pPr>
              <w:spacing w:after="0"/>
              <w:rPr>
                <w:sz w:val="19"/>
                <w:szCs w:val="19"/>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€80,601</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649"/>
        </w:trPr>
        <w:tc>
          <w:tcPr>
            <w:tcW w:w="4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21"/>
        </w:trPr>
        <w:tc>
          <w:tcPr>
            <w:tcW w:w="49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following table summarizes our collaboration revenue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18"/>
                <w:szCs w:val="18"/>
                <w:color w:val="auto"/>
              </w:rPr>
            </w:pPr>
          </w:p>
        </w:tc>
        <w:tc>
          <w:tcPr>
            <w:tcW w:w="24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Borders>
              <w:right w:val="single" w:sz="8" w:color="C6E0B4"/>
            </w:tcBorders>
          </w:tcPr>
          <w:p>
            <w:pPr>
              <w:spacing w:after="0"/>
              <w:rPr>
                <w:sz w:val="19"/>
                <w:szCs w:val="19"/>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70AD47"/>
            </w:tcBorders>
            <w:vMerge w:val="continue"/>
          </w:tcPr>
          <w:p>
            <w:pPr>
              <w:spacing w:after="0"/>
              <w:rPr>
                <w:sz w:val="19"/>
                <w:szCs w:val="19"/>
                <w:color w:val="auto"/>
              </w:rPr>
            </w:pPr>
          </w:p>
        </w:tc>
        <w:tc>
          <w:tcPr>
            <w:tcW w:w="900" w:type="dxa"/>
            <w:vAlign w:val="bottom"/>
            <w:tcBorders>
              <w:bottom w:val="single" w:sz="8" w:color="70AD47"/>
              <w:right w:val="single" w:sz="8" w:color="70AD47"/>
            </w:tcBorders>
          </w:tcPr>
          <w:p>
            <w:pPr>
              <w:spacing w:after="0"/>
              <w:rPr>
                <w:sz w:val="19"/>
                <w:szCs w:val="19"/>
                <w:color w:val="auto"/>
              </w:rPr>
            </w:pPr>
          </w:p>
        </w:tc>
        <w:tc>
          <w:tcPr>
            <w:tcW w:w="2420" w:type="dxa"/>
            <w:vAlign w:val="bottom"/>
            <w:tcBorders>
              <w:bottom w:val="single" w:sz="8" w:color="70AD47"/>
            </w:tcBorders>
            <w:gridSpan w:val="2"/>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80" w:type="dxa"/>
            <w:vAlign w:val="bottom"/>
            <w:tcBorders>
              <w:bottom w:val="single" w:sz="8" w:color="70AD47"/>
            </w:tcBorders>
          </w:tcPr>
          <w:p>
            <w:pPr>
              <w:spacing w:after="0"/>
              <w:rPr>
                <w:sz w:val="19"/>
                <w:szCs w:val="19"/>
                <w:color w:val="auto"/>
              </w:rPr>
            </w:pPr>
          </w:p>
        </w:tc>
        <w:tc>
          <w:tcPr>
            <w:tcW w:w="2420" w:type="dxa"/>
            <w:vAlign w:val="bottom"/>
            <w:tcBorders>
              <w:left w:val="single" w:sz="8" w:color="70AD47"/>
              <w:bottom w:val="single" w:sz="8" w:color="70AD47"/>
            </w:tcBorders>
            <w:gridSpan w:val="2"/>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2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000" w:type="dxa"/>
            <w:vAlign w:val="bottom"/>
            <w:tcBorders>
              <w:right w:val="single" w:sz="8" w:color="70AD47"/>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Revenues  resulting  from  collaboration  and  license</w:t>
            </w:r>
          </w:p>
        </w:tc>
        <w:tc>
          <w:tcPr>
            <w:tcW w:w="1560" w:type="dxa"/>
            <w:vAlign w:val="bottom"/>
            <w:tcBorders>
              <w:right w:val="single" w:sz="8" w:color="70AD47"/>
            </w:tcBorders>
            <w:shd w:val="clear" w:color="auto" w:fill="C6E0B4"/>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0" w:type="dxa"/>
            <w:vAlign w:val="bottom"/>
            <w:tcBorders>
              <w:left w:val="single" w:sz="8" w:color="70AD47"/>
              <w:right w:val="single" w:sz="8" w:color="70AD47"/>
            </w:tcBorders>
            <w:shd w:val="clear" w:color="auto" w:fill="C6E0B4"/>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shd w:val="clear" w:color="auto" w:fill="70AD47"/>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900" w:type="dxa"/>
            <w:vAlign w:val="bottom"/>
            <w:tcBorders>
              <w:right w:val="single" w:sz="8" w:color="70AD47"/>
            </w:tcBorders>
          </w:tcPr>
          <w:p>
            <w:pPr>
              <w:spacing w:after="0"/>
              <w:rPr>
                <w:sz w:val="20"/>
                <w:szCs w:val="20"/>
                <w:color w:val="auto"/>
              </w:rPr>
            </w:pPr>
          </w:p>
        </w:tc>
        <w:tc>
          <w:tcPr>
            <w:tcW w:w="1560" w:type="dxa"/>
            <w:vAlign w:val="bottom"/>
            <w:tcBorders>
              <w:right w:val="single" w:sz="8" w:color="70AD47"/>
            </w:tcBorders>
            <w:shd w:val="clear" w:color="auto" w:fill="C6E0B4"/>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Borders>
              <w:left w:val="single" w:sz="8" w:color="70AD47"/>
              <w:right w:val="single" w:sz="8" w:color="70AD47"/>
            </w:tcBorders>
            <w:shd w:val="clear" w:color="auto" w:fill="C6E0B4"/>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Pfizer Inc.</w:t>
            </w:r>
          </w:p>
        </w:tc>
        <w:tc>
          <w:tcPr>
            <w:tcW w:w="900" w:type="dxa"/>
            <w:vAlign w:val="bottom"/>
            <w:tcBorders>
              <w:right w:val="single" w:sz="8" w:color="70AD47"/>
            </w:tcBorders>
          </w:tcPr>
          <w:p>
            <w:pPr>
              <w:spacing w:after="0"/>
              <w:rPr>
                <w:sz w:val="19"/>
                <w:szCs w:val="19"/>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€45,643</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€69,843</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Genentech Inc.</w:t>
            </w:r>
          </w:p>
        </w:tc>
        <w:tc>
          <w:tcPr>
            <w:tcW w:w="900" w:type="dxa"/>
            <w:vAlign w:val="bottom"/>
            <w:tcBorders>
              <w:right w:val="single" w:sz="8" w:color="70AD47"/>
            </w:tcBorders>
          </w:tcPr>
          <w:p>
            <w:pPr>
              <w:spacing w:after="0"/>
              <w:rPr>
                <w:sz w:val="19"/>
                <w:szCs w:val="19"/>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38,877</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Shanghai Fosun Pharmaceutical (Group) Co., Ltd</w:t>
            </w:r>
          </w:p>
        </w:tc>
        <w:tc>
          <w:tcPr>
            <w:tcW w:w="900" w:type="dxa"/>
            <w:vAlign w:val="bottom"/>
            <w:tcBorders>
              <w:right w:val="single" w:sz="8" w:color="70AD47"/>
            </w:tcBorders>
          </w:tcPr>
          <w:p>
            <w:pPr>
              <w:spacing w:after="0"/>
              <w:rPr>
                <w:sz w:val="19"/>
                <w:szCs w:val="19"/>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Sanofi S.A.</w:t>
            </w:r>
          </w:p>
        </w:tc>
        <w:tc>
          <w:tcPr>
            <w:tcW w:w="900" w:type="dxa"/>
            <w:vAlign w:val="bottom"/>
            <w:tcBorders>
              <w:right w:val="single" w:sz="8" w:color="70AD47"/>
            </w:tcBorders>
          </w:tcPr>
          <w:p>
            <w:pPr>
              <w:spacing w:after="0"/>
              <w:rPr>
                <w:sz w:val="19"/>
                <w:szCs w:val="19"/>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00" w:type="dxa"/>
            <w:vAlign w:val="bottom"/>
            <w:tcBorders>
              <w:bottom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Eli Lilly and Company</w:t>
            </w:r>
          </w:p>
        </w:tc>
        <w:tc>
          <w:tcPr>
            <w:tcW w:w="900" w:type="dxa"/>
            <w:vAlign w:val="bottom"/>
            <w:tcBorders>
              <w:bottom w:val="single" w:sz="8" w:color="70AD47"/>
              <w:right w:val="single" w:sz="8" w:color="70AD47"/>
            </w:tcBorders>
          </w:tcPr>
          <w:p>
            <w:pPr>
              <w:spacing w:after="0"/>
              <w:rPr>
                <w:sz w:val="20"/>
                <w:szCs w:val="20"/>
                <w:color w:val="auto"/>
              </w:rPr>
            </w:pPr>
          </w:p>
        </w:tc>
        <w:tc>
          <w:tcPr>
            <w:tcW w:w="156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70AD47"/>
            </w:tcBorders>
          </w:tcPr>
          <w:p>
            <w:pPr>
              <w:spacing w:after="0"/>
              <w:rPr>
                <w:sz w:val="20"/>
                <w:szCs w:val="20"/>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1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revenues resulting from collaboration and</w:t>
            </w:r>
          </w:p>
        </w:tc>
        <w:tc>
          <w:tcPr>
            <w:tcW w:w="900" w:type="dxa"/>
            <w:vAlign w:val="bottom"/>
            <w:tcBorders>
              <w:right w:val="single" w:sz="8" w:color="70AD47"/>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license</w:t>
            </w:r>
          </w:p>
        </w:tc>
        <w:tc>
          <w:tcPr>
            <w:tcW w:w="156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€59,649</w:t>
            </w:r>
          </w:p>
        </w:tc>
        <w:tc>
          <w:tcPr>
            <w:tcW w:w="8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€22,237</w:t>
            </w:r>
          </w:p>
        </w:tc>
        <w:tc>
          <w:tcPr>
            <w:tcW w:w="1600" w:type="dxa"/>
            <w:vAlign w:val="bottom"/>
            <w:tcBorders>
              <w:left w:val="single" w:sz="8" w:color="70AD47"/>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€113,395</w:t>
            </w:r>
          </w:p>
        </w:tc>
        <w:tc>
          <w:tcPr>
            <w:tcW w:w="8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€64,260</w:t>
            </w:r>
          </w:p>
        </w:tc>
        <w:tc>
          <w:tcPr>
            <w:tcW w:w="20" w:type="dxa"/>
            <w:vAlign w:val="bottom"/>
            <w:shd w:val="clear" w:color="auto" w:fill="70AD47"/>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900" w:type="dxa"/>
            <w:vAlign w:val="bottom"/>
            <w:tcBorders>
              <w:right w:val="single" w:sz="8" w:color="70AD47"/>
            </w:tcBorders>
          </w:tcPr>
          <w:p>
            <w:pPr>
              <w:spacing w:after="0"/>
              <w:rPr>
                <w:sz w:val="11"/>
                <w:szCs w:val="11"/>
                <w:color w:val="auto"/>
              </w:rPr>
            </w:pPr>
          </w:p>
        </w:tc>
        <w:tc>
          <w:tcPr>
            <w:tcW w:w="1560" w:type="dxa"/>
            <w:vAlign w:val="bottom"/>
            <w:tcBorders>
              <w:right w:val="single" w:sz="8" w:color="70AD47"/>
            </w:tcBorders>
            <w:vMerge w:val="continue"/>
            <w:shd w:val="clear" w:color="auto" w:fill="C6E0B4"/>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00" w:type="dxa"/>
            <w:vAlign w:val="bottom"/>
            <w:tcBorders>
              <w:left w:val="single" w:sz="8" w:color="70AD47"/>
              <w:right w:val="single" w:sz="8" w:color="70AD47"/>
            </w:tcBorders>
            <w:vMerge w:val="continue"/>
            <w:shd w:val="clear" w:color="auto" w:fill="C6E0B4"/>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shd w:val="clear" w:color="auto" w:fill="70AD47"/>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100" w:type="dxa"/>
            <w:vAlign w:val="bottom"/>
            <w:tcBorders>
              <w:bottom w:val="single" w:sz="8" w:color="70AD47"/>
            </w:tcBorders>
            <w:vMerge w:val="continue"/>
          </w:tcPr>
          <w:p>
            <w:pPr>
              <w:spacing w:after="0"/>
              <w:rPr>
                <w:sz w:val="9"/>
                <w:szCs w:val="9"/>
                <w:color w:val="auto"/>
              </w:rPr>
            </w:pPr>
          </w:p>
        </w:tc>
        <w:tc>
          <w:tcPr>
            <w:tcW w:w="900" w:type="dxa"/>
            <w:vAlign w:val="bottom"/>
            <w:tcBorders>
              <w:bottom w:val="single" w:sz="8" w:color="70AD47"/>
              <w:right w:val="single" w:sz="8" w:color="70AD47"/>
            </w:tcBorders>
          </w:tcPr>
          <w:p>
            <w:pPr>
              <w:spacing w:after="0"/>
              <w:rPr>
                <w:sz w:val="9"/>
                <w:szCs w:val="9"/>
                <w:color w:val="auto"/>
              </w:rPr>
            </w:pPr>
          </w:p>
        </w:tc>
        <w:tc>
          <w:tcPr>
            <w:tcW w:w="1560" w:type="dxa"/>
            <w:vAlign w:val="bottom"/>
            <w:tcBorders>
              <w:bottom w:val="single" w:sz="8" w:color="70AD47"/>
              <w:right w:val="single" w:sz="8" w:color="70AD47"/>
            </w:tcBorders>
            <w:shd w:val="clear" w:color="auto" w:fill="C6E0B4"/>
          </w:tcPr>
          <w:p>
            <w:pPr>
              <w:spacing w:after="0"/>
              <w:rPr>
                <w:sz w:val="9"/>
                <w:szCs w:val="9"/>
                <w:color w:val="auto"/>
              </w:rPr>
            </w:pPr>
          </w:p>
        </w:tc>
        <w:tc>
          <w:tcPr>
            <w:tcW w:w="860" w:type="dxa"/>
            <w:vAlign w:val="bottom"/>
            <w:tcBorders>
              <w:bottom w:val="single" w:sz="8" w:color="70AD47"/>
            </w:tcBorders>
          </w:tcPr>
          <w:p>
            <w:pPr>
              <w:spacing w:after="0"/>
              <w:rPr>
                <w:sz w:val="9"/>
                <w:szCs w:val="9"/>
                <w:color w:val="auto"/>
              </w:rPr>
            </w:pPr>
          </w:p>
        </w:tc>
        <w:tc>
          <w:tcPr>
            <w:tcW w:w="680" w:type="dxa"/>
            <w:vAlign w:val="bottom"/>
            <w:tcBorders>
              <w:bottom w:val="single" w:sz="8" w:color="70AD47"/>
            </w:tcBorders>
          </w:tcPr>
          <w:p>
            <w:pPr>
              <w:spacing w:after="0"/>
              <w:rPr>
                <w:sz w:val="9"/>
                <w:szCs w:val="9"/>
                <w:color w:val="auto"/>
              </w:rPr>
            </w:pPr>
          </w:p>
        </w:tc>
        <w:tc>
          <w:tcPr>
            <w:tcW w:w="1600" w:type="dxa"/>
            <w:vAlign w:val="bottom"/>
            <w:tcBorders>
              <w:left w:val="single" w:sz="8" w:color="70AD47"/>
              <w:bottom w:val="single" w:sz="8" w:color="70AD47"/>
              <w:right w:val="single" w:sz="8" w:color="70AD47"/>
            </w:tcBorders>
            <w:shd w:val="clear" w:color="auto" w:fill="C6E0B4"/>
          </w:tcPr>
          <w:p>
            <w:pPr>
              <w:spacing w:after="0"/>
              <w:rPr>
                <w:sz w:val="9"/>
                <w:szCs w:val="9"/>
                <w:color w:val="auto"/>
              </w:rPr>
            </w:pPr>
          </w:p>
        </w:tc>
        <w:tc>
          <w:tcPr>
            <w:tcW w:w="820" w:type="dxa"/>
            <w:vAlign w:val="bottom"/>
            <w:tcBorders>
              <w:bottom w:val="single" w:sz="8" w:color="70AD47"/>
            </w:tcBorders>
          </w:tcPr>
          <w:p>
            <w:pPr>
              <w:spacing w:after="0"/>
              <w:rPr>
                <w:sz w:val="9"/>
                <w:szCs w:val="9"/>
                <w:color w:val="auto"/>
              </w:rPr>
            </w:pPr>
          </w:p>
        </w:tc>
        <w:tc>
          <w:tcPr>
            <w:tcW w:w="720" w:type="dxa"/>
            <w:vAlign w:val="bottom"/>
            <w:tcBorders>
              <w:bottom w:val="single" w:sz="8" w:color="70AD47"/>
            </w:tcBorders>
          </w:tcPr>
          <w:p>
            <w:pPr>
              <w:spacing w:after="0"/>
              <w:rPr>
                <w:sz w:val="9"/>
                <w:szCs w:val="9"/>
                <w:color w:val="auto"/>
              </w:rPr>
            </w:pPr>
          </w:p>
        </w:tc>
        <w:tc>
          <w:tcPr>
            <w:tcW w:w="20" w:type="dxa"/>
            <w:vAlign w:val="bottom"/>
            <w:tcBorders>
              <w:bottom w:val="single" w:sz="8" w:color="70AD47"/>
            </w:tcBorders>
            <w:shd w:val="clear" w:color="auto" w:fill="70AD47"/>
          </w:tcPr>
          <w:p>
            <w:pPr>
              <w:spacing w:after="0"/>
              <w:rPr>
                <w:sz w:val="9"/>
                <w:szCs w:val="9"/>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color w:val="auto"/>
        </w:rPr>
        <w:t>Our collaboration revenue consists of milestone payments, upfront licensing payments and reimbursement of development expenses. Certain of these payments are initially recorded as contract liabilities on our statements of financial position and are subsequently recognized as revenue in accordance with our accounting policy as described in “—Critical Accounting Policies and Use of Estimates” and Note 2.3.4 to our consolidated financial statements included in our Annual Report on Form 20-F as of and for the year ended December 31, 2019.</w:t>
      </w:r>
    </w:p>
    <w:p>
      <w:pPr>
        <w:spacing w:after="0" w:line="16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9"/>
          <w:szCs w:val="19"/>
          <w:color w:val="auto"/>
        </w:rPr>
        <w:t>From the three months ended September 30, 2019 to the three months ended September 30, 2020, total revenues resulting from collaboration and license agreements increased from €22.2 million to €59.6 million. Total revenues resulting from collaboration and license agreement for the nine months ended September 30, 2020 increased from €64.3 million for the comparative prior year period to €113.4 million.</w:t>
      </w:r>
    </w:p>
    <w:p>
      <w:pPr>
        <w:spacing w:after="0" w:line="15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During the three and nine months ended September 30, 2020, revenues from our two new collaboration agreements were recognized for the first time. As part of the BNT162 program, our vaccine program against COVID-19, we collaborate with Pfizer and Fosun Pharma. The BNT162 program is evaluating multiple vaccine candidates, each of which represent a unique combination of messenger RNA format and target antigen. During the three months ended March 31, 2020, upon signing the agreement, a non-refundable upfront cash payment of €0.9 million was received from Fosun Pharma, which subsequently was fully recognized as revenue. In addition, during the three months ended September 30, 2020, revenue of €1.7 million was recognized by achieving a development milestone. In total, during the nine months ended September 30, 2020, €2.6 million revenue was recognized from the Fosun Pharma collaboration and license agreement. During the three months ended June 30, 2020, a non-refundable upfront cash payment of €66.3 million was received from Pfizer which has a restricted purpose by being dedicated to activities to be performed under the collaboration and license agreement. The non-refundable upfront cash payment was fully recorded as revenue during the nine months ended September 30, 2020 based on costs incurred. During the three and nine months ended September 30, 2020, €45.6 million and €66.3 million were recorded respectively. As services are performed under a collaboration agreement, revenue recognition will be continued in future periods in accordance with our accounting policy.</w:t>
      </w:r>
    </w:p>
    <w:p>
      <w:pPr>
        <w:spacing w:after="0" w:line="187"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For certain programs, the commencement of trials has been delayed, partially due to slowed patient enrollment or other delays as a result of the COVID-19 pandemic. Accordingly, during the three and nine months ended September 30, 2020, revenues from our collaboration programs with Genentech, Sanofi and from the non-COVID-19 collaboration with Pfizer have mostly decreased compared to the</w:t>
      </w:r>
    </w:p>
    <w:p>
      <w:pPr>
        <w:spacing w:after="0" w:line="18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751" w:right="319" w:bottom="1440" w:gutter="0" w:footer="0" w:header="0"/>
        </w:sectPr>
      </w:pPr>
    </w:p>
    <w:bookmarkStart w:id="42" w:name="page43"/>
    <w:bookmarkEnd w:id="4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prior year periods. We will continue to evaluate potential effects of the COVID-19 pandemic. Our collaborations with Bayer, Genevant and Genmab did not generate any revenue in the three and nine months ended September 30, 2020 and 2019.</w:t>
      </w:r>
    </w:p>
    <w:p>
      <w:pPr>
        <w:spacing w:after="0" w:line="1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revenue from other sales transactions consists of sales of diagnostic products, peptides, retroviral vectors for clinical supply, and development and manufacturing services sold to third-party customers. During the three and nine months ended September 30, 2020, those revenues increased due to increased orders.</w:t>
      </w:r>
    </w:p>
    <w:p>
      <w:pPr>
        <w:spacing w:after="0" w:line="174"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Our ability to generate revenue from sales of pharmaceutical products and become profitable depends upon our and our collaborators’ ability to successfully commercialize our product candidates. With respect to our BNT162 program, our most advanced program, our ability to generate sales revenue is subject to regulatory authorization or approval. Timing of product manufacturing, delivery and receipt of regulatory approval will determine the period in which revenue may be recognized. Costs relating to production of pre-launch products are expensed as research and development expenses, in the period incurred. In case pre-launch products are sold, the respective product gross margin may be higher compared to the expected recurring margin as the underlying costs will not be included in cost of sales. For the three and nine months ended September 30, 2020 and 2019, no revenues have been recorded related to pre-launch products. If the vaccine candidate is approved, we and our collaboration partner Pfizer expect to supply globally up to 50 million vaccine doses in 2020 and manufacture up to 1.3 billion doses in 2021. To the extent that existing or potential future collaborations generate revenue, our revenue may vary due to many uncertainties in the development of our product candidates and other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Sales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cost of sales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48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40" w:type="dxa"/>
            <w:vAlign w:val="bottom"/>
          </w:tcPr>
          <w:p>
            <w:pPr>
              <w:spacing w:after="0"/>
              <w:rPr>
                <w:sz w:val="18"/>
                <w:szCs w:val="18"/>
                <w:color w:val="auto"/>
              </w:rPr>
            </w:pPr>
          </w:p>
        </w:tc>
        <w:tc>
          <w:tcPr>
            <w:tcW w:w="24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48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left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9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70AD47"/>
            </w:tcBorders>
            <w:vMerge w:val="continue"/>
          </w:tcPr>
          <w:p>
            <w:pPr>
              <w:spacing w:after="0"/>
              <w:rPr>
                <w:sz w:val="19"/>
                <w:szCs w:val="19"/>
                <w:color w:val="auto"/>
              </w:rPr>
            </w:pPr>
          </w:p>
        </w:tc>
        <w:tc>
          <w:tcPr>
            <w:tcW w:w="2480" w:type="dxa"/>
            <w:vAlign w:val="bottom"/>
            <w:tcBorders>
              <w:left w:val="single" w:sz="8" w:color="70AD47"/>
              <w:bottom w:val="single" w:sz="8" w:color="70AD47"/>
            </w:tcBorders>
            <w:gridSpan w:val="2"/>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40" w:type="dxa"/>
            <w:vAlign w:val="bottom"/>
            <w:tcBorders>
              <w:bottom w:val="single" w:sz="8" w:color="70AD47"/>
            </w:tcBorders>
          </w:tcPr>
          <w:p>
            <w:pPr>
              <w:spacing w:after="0"/>
              <w:rPr>
                <w:sz w:val="19"/>
                <w:szCs w:val="19"/>
                <w:color w:val="auto"/>
              </w:rPr>
            </w:pPr>
          </w:p>
        </w:tc>
        <w:tc>
          <w:tcPr>
            <w:tcW w:w="2420" w:type="dxa"/>
            <w:vAlign w:val="bottom"/>
            <w:tcBorders>
              <w:left w:val="single" w:sz="8" w:color="70AD47"/>
              <w:bottom w:val="single" w:sz="8" w:color="70AD47"/>
            </w:tcBorders>
            <w:gridSpan w:val="2"/>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2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580" w:type="dxa"/>
            <w:vAlign w:val="bottom"/>
            <w:tcBorders>
              <w:left w:val="single" w:sz="8" w:color="70AD47"/>
              <w:right w:val="single" w:sz="8" w:color="70AD47"/>
            </w:tcBorders>
            <w:shd w:val="clear" w:color="auto" w:fill="C6E0B4"/>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Borders>
              <w:left w:val="single" w:sz="8" w:color="70AD47"/>
              <w:right w:val="single" w:sz="8" w:color="70AD47"/>
            </w:tcBorders>
            <w:shd w:val="clear" w:color="auto" w:fill="C6E0B4"/>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Wages, benefits and social security expense</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Laboratory supplies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services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80" w:type="dxa"/>
            <w:vAlign w:val="bottom"/>
            <w:tcBorders>
              <w:bottom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900" w:type="dxa"/>
            <w:vAlign w:val="bottom"/>
            <w:tcBorders>
              <w:bottom w:val="single" w:sz="8" w:color="70AD47"/>
            </w:tcBorders>
          </w:tcPr>
          <w:p>
            <w:pPr>
              <w:spacing w:after="0"/>
              <w:rPr>
                <w:sz w:val="20"/>
                <w:szCs w:val="20"/>
                <w:color w:val="auto"/>
              </w:rPr>
            </w:pPr>
          </w:p>
        </w:tc>
        <w:tc>
          <w:tcPr>
            <w:tcW w:w="6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820" w:type="dxa"/>
            <w:vAlign w:val="bottom"/>
            <w:tcBorders>
              <w:bottom w:val="single" w:sz="8" w:color="70AD47"/>
            </w:tcBorders>
          </w:tcPr>
          <w:p>
            <w:pPr>
              <w:spacing w:after="0"/>
              <w:rPr>
                <w:sz w:val="20"/>
                <w:szCs w:val="20"/>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€6,840</w:t>
            </w:r>
          </w:p>
        </w:tc>
        <w:tc>
          <w:tcPr>
            <w:tcW w:w="900" w:type="dxa"/>
            <w:vAlign w:val="bottom"/>
            <w:tcBorders>
              <w:bottom w:val="single" w:sz="8" w:color="70AD47"/>
            </w:tcBorders>
          </w:tcPr>
          <w:p>
            <w:pPr>
              <w:spacing w:after="0"/>
              <w:rPr>
                <w:sz w:val="19"/>
                <w:szCs w:val="19"/>
                <w:color w:val="auto"/>
              </w:rPr>
            </w:pPr>
          </w:p>
        </w:tc>
        <w:tc>
          <w:tcPr>
            <w:tcW w:w="6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€4,230</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€18,344</w:t>
            </w:r>
          </w:p>
        </w:tc>
        <w:tc>
          <w:tcPr>
            <w:tcW w:w="820" w:type="dxa"/>
            <w:vAlign w:val="bottom"/>
            <w:tcBorders>
              <w:bottom w:val="single" w:sz="8" w:color="70AD47"/>
            </w:tcBorders>
          </w:tcPr>
          <w:p>
            <w:pPr>
              <w:spacing w:after="0"/>
              <w:rPr>
                <w:sz w:val="19"/>
                <w:szCs w:val="19"/>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€12,925</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From the three months ended September 30, 2019 to the three months ended September 30, 2020, cost of sales increased from €4.2 million to €6.8 million. Cost of sales for the nine months ended September 30, 2020 increased from €12.9 million for the comparative prior year period to €18.3 million. The increase was mainly due to an increase in headcount leading to higher wages, benefits and social security expenses as well as an increase in expenses for purchasing laboratory supplies.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The nature of our business and primary focus of our activities, including development of our platforms and manufacturing technologies, generate a significant amount of research and development expenses which in this respect still account for the largest component of our total operating expenses. Research and development expenses include our share of expenses under the terms of collaboration agreements and 100% of the expenses for wholly-owned product candidates. Research and development expenses shared under our collaboration agreements which are initially incurred by the collaboration partners and subsequently charged to us are recorded as purchased services classified within research and development. Cost reimbursements from partners for research and development expenses initially incurred by</w:t>
      </w:r>
    </w:p>
    <w:p>
      <w:pPr>
        <w:spacing w:after="0" w:line="19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sectPr>
      </w:pPr>
    </w:p>
    <w:bookmarkStart w:id="43" w:name="page44"/>
    <w:bookmarkEnd w:id="43"/>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us and due to us under the agreements, are recorded as a reduction to purchased services classified within research and development expenses. Research costs are expensed as incurred. Development expenditures on an individual project are recognized as an intangible asset if, and only if, the capitalization criteria are met. Due to the inherent risk of failure in drug development and the uncertainty of approval, management has determined that these criteria are not met in the Biotech business sector until regulatory approval has been obtained. Therefore, as we have not yet obtained regulatory approval for any of our programs, or product candidates, no development expenditures have been capitalized. The related expenditure is reflected in the statements of operations in the period in which the expenditure is incurred.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 expenses represent costs incurred for the following:</w:t>
      </w:r>
    </w:p>
    <w:p>
      <w:pPr>
        <w:spacing w:after="0" w:line="108" w:lineRule="exact"/>
        <w:rPr>
          <w:sz w:val="20"/>
          <w:szCs w:val="20"/>
          <w:color w:val="auto"/>
        </w:rPr>
      </w:pPr>
    </w:p>
    <w:p>
      <w:pPr>
        <w:ind w:left="900" w:hanging="447"/>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to develop our platforms;</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discovery efforts leading to product candidates;</w:t>
      </w:r>
    </w:p>
    <w:p>
      <w:pPr>
        <w:ind w:left="900" w:hanging="447"/>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development expenses for our programs;</w:t>
      </w:r>
    </w:p>
    <w:p>
      <w:pPr>
        <w:ind w:left="900" w:hanging="447"/>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pre-launch products;</w:t>
      </w:r>
    </w:p>
    <w:p>
      <w:pPr>
        <w:ind w:left="900" w:hanging="447"/>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to develop our manufacturing technology and infrastructure; and</w:t>
      </w:r>
    </w:p>
    <w:p>
      <w:pPr>
        <w:ind w:left="900" w:hanging="447"/>
        <w:spacing w:after="0"/>
        <w:tabs>
          <w:tab w:leader="none" w:pos="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digital infrastructure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costs above comprise the following categories:</w:t>
      </w:r>
    </w:p>
    <w:p>
      <w:pPr>
        <w:spacing w:after="0" w:line="108" w:lineRule="exact"/>
        <w:rPr>
          <w:sz w:val="20"/>
          <w:szCs w:val="20"/>
          <w:color w:val="auto"/>
        </w:rPr>
      </w:pPr>
    </w:p>
    <w:p>
      <w:pPr>
        <w:ind w:left="900" w:hanging="447"/>
        <w:spacing w:after="0"/>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personnel-related expenses, including salaries, benefits, share-based compensation expense and social security expense;</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development expenses incurred under collaboration agreements with our partners;</w:t>
      </w:r>
    </w:p>
    <w:p>
      <w:pPr>
        <w:ind w:left="900" w:right="40" w:hanging="447"/>
        <w:spacing w:after="0" w:line="239" w:lineRule="auto"/>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under agreements with third parties, such as consultants, investigative sites, contract research organizations, or CROs, that conduct our preclinical studies and clinical trials, and in-licensing arrangements;</w:t>
      </w:r>
    </w:p>
    <w:p>
      <w:pPr>
        <w:ind w:left="900" w:right="40" w:hanging="447"/>
        <w:spacing w:after="0" w:line="239" w:lineRule="auto"/>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acquiring, developing and manufacturing materials for preclinical studies and clinical trials, including both internal manufacturing and third-party contract manufacturing organizations, or CMOs;</w:t>
      </w:r>
    </w:p>
    <w:p>
      <w:pPr>
        <w:ind w:left="900" w:right="20" w:hanging="447"/>
        <w:spacing w:after="0" w:line="239" w:lineRule="auto"/>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for the procurement of materials, laboratory supplies and non-capital equipment used in the research and development process; and</w:t>
      </w:r>
    </w:p>
    <w:p>
      <w:pPr>
        <w:ind w:left="900" w:right="20" w:hanging="447"/>
        <w:spacing w:after="0" w:line="246" w:lineRule="auto"/>
        <w:tabs>
          <w:tab w:leader="none" w:pos="9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facilities, depreciation and amortization, and other direct and allocated expenses incurred as a result of research and development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research and development expenses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18"/>
                <w:szCs w:val="18"/>
                <w:color w:val="auto"/>
              </w:rPr>
            </w:pPr>
          </w:p>
        </w:tc>
        <w:tc>
          <w:tcPr>
            <w:tcW w:w="238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38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left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70AD47"/>
            </w:tcBorders>
            <w:vMerge w:val="continue"/>
          </w:tcPr>
          <w:p>
            <w:pPr>
              <w:spacing w:after="0"/>
              <w:rPr>
                <w:sz w:val="19"/>
                <w:szCs w:val="19"/>
                <w:color w:val="auto"/>
              </w:rPr>
            </w:pPr>
          </w:p>
        </w:tc>
        <w:tc>
          <w:tcPr>
            <w:tcW w:w="2440" w:type="dxa"/>
            <w:vAlign w:val="bottom"/>
            <w:tcBorders>
              <w:left w:val="single" w:sz="8" w:color="70AD47"/>
              <w:bottom w:val="single" w:sz="8" w:color="70AD47"/>
            </w:tcBorders>
            <w:gridSpan w:val="2"/>
          </w:tcPr>
          <w:p>
            <w:pPr>
              <w:jc w:val="center"/>
              <w:ind w:left="5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80" w:type="dxa"/>
            <w:vAlign w:val="bottom"/>
            <w:tcBorders>
              <w:bottom w:val="single" w:sz="8" w:color="70AD47"/>
            </w:tcBorders>
          </w:tcPr>
          <w:p>
            <w:pPr>
              <w:spacing w:after="0"/>
              <w:rPr>
                <w:sz w:val="19"/>
                <w:szCs w:val="19"/>
                <w:color w:val="auto"/>
              </w:rPr>
            </w:pPr>
          </w:p>
        </w:tc>
        <w:tc>
          <w:tcPr>
            <w:tcW w:w="2380" w:type="dxa"/>
            <w:vAlign w:val="bottom"/>
            <w:tcBorders>
              <w:left w:val="single" w:sz="8" w:color="70AD47"/>
              <w:bottom w:val="single" w:sz="8" w:color="70AD47"/>
            </w:tcBorders>
            <w:gridSpan w:val="2"/>
          </w:tcPr>
          <w:p>
            <w:pPr>
              <w:jc w:val="center"/>
              <w:ind w:left="6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6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580" w:type="dxa"/>
            <w:vAlign w:val="bottom"/>
            <w:tcBorders>
              <w:left w:val="single" w:sz="8" w:color="70AD47"/>
              <w:right w:val="single" w:sz="8" w:color="70AD47"/>
            </w:tcBorders>
            <w:shd w:val="clear" w:color="auto" w:fill="C6E0B4"/>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Borders>
              <w:left w:val="single" w:sz="8" w:color="70AD47"/>
              <w:right w:val="single" w:sz="8" w:color="70AD47"/>
            </w:tcBorders>
            <w:shd w:val="clear" w:color="auto" w:fill="C6E0B4"/>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services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€143,104</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€201,142</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€45,434</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Wages, benefits and social security expense</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88,694</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Laboratory supplies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43,971</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65,148</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27,701</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 costs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and lease related cost</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Transport costs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80" w:type="dxa"/>
            <w:vAlign w:val="bottom"/>
            <w:tcBorders>
              <w:bottom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780" w:type="dxa"/>
            <w:vAlign w:val="bottom"/>
            <w:tcBorders>
              <w:bottom w:val="single" w:sz="8" w:color="70AD47"/>
            </w:tcBorders>
          </w:tcPr>
          <w:p>
            <w:pPr>
              <w:spacing w:after="0"/>
              <w:rPr>
                <w:sz w:val="20"/>
                <w:szCs w:val="20"/>
                <w:color w:val="auto"/>
              </w:rPr>
            </w:pPr>
          </w:p>
        </w:tc>
        <w:tc>
          <w:tcPr>
            <w:tcW w:w="7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€227,706</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€50,396</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€388,017</w:t>
            </w:r>
          </w:p>
        </w:tc>
        <w:tc>
          <w:tcPr>
            <w:tcW w:w="780" w:type="dxa"/>
            <w:vAlign w:val="bottom"/>
            <w:tcBorders>
              <w:bottom w:val="single" w:sz="8" w:color="70AD47"/>
            </w:tcBorders>
          </w:tcPr>
          <w:p>
            <w:pPr>
              <w:spacing w:after="0"/>
              <w:rPr>
                <w:sz w:val="19"/>
                <w:szCs w:val="19"/>
                <w:color w:val="auto"/>
              </w:rPr>
            </w:pPr>
          </w:p>
        </w:tc>
        <w:tc>
          <w:tcPr>
            <w:tcW w:w="76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€161,039</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cannot reasonably estimate the nature, timing and amount of research and development expenses required to complete the development of the product candidates we are currently developing or may develop in the future. A change in expectations or outcomes of any of the known or unknown risks and uncertainties may materially impact our expected research and development expenditures.</w:t>
      </w:r>
    </w:p>
    <w:p>
      <w:pPr>
        <w:spacing w:after="0" w:line="18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859" w:right="319" w:bottom="1440" w:gutter="0" w:footer="0" w:header="0"/>
        </w:sectPr>
      </w:pPr>
    </w:p>
    <w:bookmarkStart w:id="44" w:name="page45"/>
    <w:bookmarkEnd w:id="44"/>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Continued research and development is central to the ongoing activities of our business. Product candidates in later stages of clinical development generally have higher development expenses than those in earlier stages of clinical development, primarily due to the increased size and duration of later-stage clinical trials. We expect these costs to continue to increase in the future as our product candidates progress through the development phases and as we identify and develop additional programs.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From the three months ended September 30, 2019 to the three months ended September 30, 2020, research and development expenses increased from €50.4 million to €227.7 million. Research and development expenses for the nine months ended September 30, 2020 increased from €161.0 million for the comparative prior year period to €388.0 million. The increase was mainly due to an increase in development expenses from our BNT162 program, our vaccine program against COVID-19. Research and development expenses include our share of expenses under the terms of the collaboration agreement. Shared development costs are equally shared between Pfizer and us. The amount of shared development expenses which were initially incurred by the collaboration partner Pfizer and subsequently charged to us were recorded as purchased services classified within research and development and the reimbursement from Pfizer for research and development expenses initially incurred by us were recorded as a reduction to research and development expenses. The increase was further driven by an increase in headcount leading to higher wages, benefits and social security expenses as well as an increase in expenses for purchased laboratory supplies. In addition, from May 6, 2020, the date of acquisition, our new U.S.-based subsidiary, BioNTech US Inc., contributed €13.4 million to the research and development expenses of the Group.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and Marketing Expenses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sales and marketing expenses mainly consist of personnel-related costs and expenses for purchased services. If we obtain regulatory approval for any of our product candidates and do not enter into any third-party commercialization collaborations, we expect to incur significant expenses related to building a sales and marketing team to support sales, marketing and distribution activities.</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From the three months ended September 30, 2019 to the three months ended September 30, 2020, sales and marketing expenses increased from €0.7 million to €4.3 million. Sales and marketing expenses for the nine months ended September 30, 2020 increased from €1.9 million for the comparative prior year period to €7.8 million. The increase was mainly due to increased marketing consulting expenses.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General and Administrative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general and administrative expenses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18"/>
                <w:szCs w:val="18"/>
                <w:color w:val="auto"/>
              </w:rPr>
            </w:pPr>
          </w:p>
        </w:tc>
        <w:tc>
          <w:tcPr>
            <w:tcW w:w="24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left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70AD47"/>
            </w:tcBorders>
            <w:vMerge w:val="continue"/>
          </w:tcPr>
          <w:p>
            <w:pPr>
              <w:spacing w:after="0"/>
              <w:rPr>
                <w:sz w:val="19"/>
                <w:szCs w:val="19"/>
                <w:color w:val="auto"/>
              </w:rPr>
            </w:pPr>
          </w:p>
        </w:tc>
        <w:tc>
          <w:tcPr>
            <w:tcW w:w="2440" w:type="dxa"/>
            <w:vAlign w:val="bottom"/>
            <w:tcBorders>
              <w:left w:val="single" w:sz="8" w:color="70AD47"/>
              <w:bottom w:val="single" w:sz="8" w:color="70AD47"/>
            </w:tcBorders>
            <w:gridSpan w:val="2"/>
          </w:tcPr>
          <w:p>
            <w:pPr>
              <w:jc w:val="center"/>
              <w:ind w:left="5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80" w:type="dxa"/>
            <w:vAlign w:val="bottom"/>
            <w:tcBorders>
              <w:bottom w:val="single" w:sz="8" w:color="70AD47"/>
            </w:tcBorders>
          </w:tcPr>
          <w:p>
            <w:pPr>
              <w:spacing w:after="0"/>
              <w:rPr>
                <w:sz w:val="19"/>
                <w:szCs w:val="19"/>
                <w:color w:val="auto"/>
              </w:rPr>
            </w:pPr>
          </w:p>
        </w:tc>
        <w:tc>
          <w:tcPr>
            <w:tcW w:w="2420" w:type="dxa"/>
            <w:vAlign w:val="bottom"/>
            <w:tcBorders>
              <w:left w:val="single" w:sz="8" w:color="70AD47"/>
              <w:bottom w:val="single" w:sz="8" w:color="70AD47"/>
            </w:tcBorders>
            <w:gridSpan w:val="2"/>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2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580" w:type="dxa"/>
            <w:vAlign w:val="bottom"/>
            <w:tcBorders>
              <w:left w:val="single" w:sz="8" w:color="70AD47"/>
              <w:right w:val="single" w:sz="8" w:color="70AD47"/>
            </w:tcBorders>
            <w:shd w:val="clear" w:color="auto" w:fill="C6E0B4"/>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Borders>
              <w:left w:val="single" w:sz="8" w:color="70AD47"/>
              <w:right w:val="single" w:sz="8" w:color="70AD47"/>
            </w:tcBorders>
            <w:shd w:val="clear" w:color="auto" w:fill="C6E0B4"/>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Wages, benefits and social security expense</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services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 and office equipment</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premiums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and lease related cost</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Job advertisement expenses</w:t>
            </w:r>
          </w:p>
        </w:tc>
        <w:tc>
          <w:tcPr>
            <w:tcW w:w="158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80" w:type="dxa"/>
            <w:vAlign w:val="bottom"/>
            <w:tcBorders>
              <w:bottom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8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820" w:type="dxa"/>
            <w:vAlign w:val="bottom"/>
            <w:tcBorders>
              <w:bottom w:val="single" w:sz="8" w:color="70AD47"/>
            </w:tcBorders>
          </w:tcPr>
          <w:p>
            <w:pPr>
              <w:spacing w:after="0"/>
              <w:rPr>
                <w:sz w:val="20"/>
                <w:szCs w:val="20"/>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158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€23,324</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€10,582</w:t>
            </w:r>
          </w:p>
        </w:tc>
        <w:tc>
          <w:tcPr>
            <w:tcW w:w="1600" w:type="dxa"/>
            <w:vAlign w:val="bottom"/>
            <w:tcBorders>
              <w:left w:val="single" w:sz="8" w:color="70AD47"/>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€57,952</w:t>
            </w:r>
          </w:p>
        </w:tc>
        <w:tc>
          <w:tcPr>
            <w:tcW w:w="820" w:type="dxa"/>
            <w:vAlign w:val="bottom"/>
            <w:tcBorders>
              <w:bottom w:val="single" w:sz="8" w:color="70AD47"/>
            </w:tcBorders>
          </w:tcPr>
          <w:p>
            <w:pPr>
              <w:spacing w:after="0"/>
              <w:rPr>
                <w:sz w:val="19"/>
                <w:szCs w:val="19"/>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€34,481</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We anticipate general and administrative expenses will increase as research and development expands. These increases will likely relate to additional personnel and increased purchased service costs related in part to finance, legal and intellectual property-related matters along with increased expenses related to operating as a publicly listed company, such as fees related to audit, legal and tax services, regulatory compliance programs, insurance and investor relations.</w:t>
      </w:r>
    </w:p>
    <w:p>
      <w:pPr>
        <w:spacing w:after="0" w:line="18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From the three months ended September 30, 2019 to the three months ended September 30, 2020, general and administrative expenses increased from €10.6 million to €23.3 million. General and administrative expenses for the nine months ended September 30, 2020 increased from €34.5 million for the comparative prior year period to €58.0 million. The increase was mainly influenced by higher expenses for purchased management consulting and legal services as well as an increase in headcount leading to higher wages, benefits and social security expenses. In addition, from May 6, 2020, the date of acquisition, our new U.S.-based subsidiary, BioNTech US Inc. contributed €4.5 million to the general and administrative expenses of the Group.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Operating Income / Expenses</w:t>
      </w:r>
    </w:p>
    <w:p>
      <w:pPr>
        <w:spacing w:after="0" w:line="11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Other operating income for the three months ended September 30, 2020 amounted to €8.8 million compared to €0.3 million for the three months ended September 30, 2019. Other operating income for the nine months ended September 30, 2020 amounted to €10.0 million compared to €1.3 million for the comparative prior year period. The increase was mainly derived from drawing down €8.5 million government grants under the funding which we became eligible to from an initiative by the German Federal Ministry of Education (</w:t>
      </w:r>
      <w:r>
        <w:rPr>
          <w:rFonts w:ascii="Times New Roman" w:cs="Times New Roman" w:eastAsia="Times New Roman" w:hAnsi="Times New Roman"/>
          <w:sz w:val="20"/>
          <w:szCs w:val="20"/>
          <w:i w:val="1"/>
          <w:iCs w:val="1"/>
          <w:color w:val="auto"/>
        </w:rPr>
        <w:t>Bundesministerium für Bildung und Forschung</w:t>
      </w:r>
      <w:r>
        <w:rPr>
          <w:rFonts w:ascii="Times New Roman" w:cs="Times New Roman" w:eastAsia="Times New Roman" w:hAnsi="Times New Roman"/>
          <w:sz w:val="20"/>
          <w:szCs w:val="20"/>
          <w:color w:val="auto"/>
        </w:rPr>
        <w:t>, or the BMBF) to support our COVID-19 vaccine program BNT162 (as described below in “—Liquidity and Capital Resources”). The funding drawn down represents a compensation for expenses already incurred in the period ended September 30, 2020. Therefore, €8.5 million were recognized as other operating income within the statements of operations during the three months ended September 30, 2020.</w:t>
      </w:r>
    </w:p>
    <w:p>
      <w:pPr>
        <w:spacing w:after="0" w:line="8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Other operating expenses for the three months ended September 30, 2020 amounted to €0.5 million compared to €0.0 million for the three months ended September 30, 2019. Other operating expenses for the nine months ended September 30, 2020 amounted to €1.3 million compared to €0.2 million for the comparative prior year period. The amount mainly included losses from asset disposals.</w:t>
      </w:r>
    </w:p>
    <w:p>
      <w:pPr>
        <w:spacing w:after="0" w:line="18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Finance Income / Expenses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finance income and expenses consist of interest income and interest expenses on cash, fair value changes on certain financial liabilities as well as foreign exchange gains and losses. Foreign exchange differences on a cumulative basis, are either shown as finance income or expenses and might switch between those two positions during the year-to-date reporting periods.</w:t>
      </w:r>
    </w:p>
    <w:p>
      <w:pPr>
        <w:spacing w:after="0" w:line="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Finance income for the nine months ended September 30, 2020 amounted to €1.1 million compared to €9.2 million for the nine months ended September 30, 2019. The latter included €8.1 million attributable to unrealized foreign exchange gains. Finance expenses for the nine months ended September 30, 2020 amounted to €24.5 million compared to €0.2 million for the nine months ended September 30, 2019. The former included €17.2 million attributable to unrealized foreign exchange losses as well as €6.3 million expenses arising from fair value measurement adjustments of the derivative embedded within the convertible note.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Tax Losses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calculate the interim income tax expense using the tax rate that would be applicable to the expected total annual earnings. Deferred tax assets on tax losses of subsidiaries incorporated in Germany have not been capitalized as there is not sufficient probability that there will be future taxable profits against which the unused tax losses can be utilized. During the three months ended September 30, 2020, we finalized our assessment of deferred taxes related to the acquisition of Neon Therapeutics, Inc., Cambridge, Massachusetts, United States (formerly Nasdaq: NTGN), or Neon, and determined that loss carryforwards which existed as of the acquisition date, should be recognized to the extent of acquired deferred tax liabilities (€8.0 million) and therefore recorded a deferred tax asset of €8.0 million against goodwill. Since the conditions to offset were fulfilled, the deferred tax assets and liabilities were offset. Additionally, the deferred tax asset on tax losses incurred since acquisition through June 30, 2020 (€2.3 million) which had been offset against the acquired deferred tax liability as of June 30, 2020, was reversed through income tax expense during the three months ended September 30, 2020 as this deferred tax asset was no longer deemed recoverable as the entire acquired deferred tax liability was offset with the acquired deferred tax asset with the finalization of the purchase price allocation. The net impact on income tax expense in the nine months ended September 30, 2020 is nil. Accumulated tax losses relate to Germany and the United States. There is no expiration date for any of the accumulated tax losses under German tax law. With respect to accumulated losses incurred at the level of BioNTech USA Holding LLC and BioNTech Research and Development Inc. since their incorporation and tax losses of BioNTech US incurred since 2018 have no expiration date under U.S. tax law. The carry forward of tax losses prior 2018 of BioNTech US is partially limited in time and amount. Deviating federal and state rules apply.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About Our Business Units and Operating Segments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business is managed in two business units: our biotech business unit and our external services business unit. Our biotech business unit is comprised of the following three operating segments:</w:t>
      </w:r>
    </w:p>
    <w:p>
      <w:pPr>
        <w:spacing w:after="0" w:line="47" w:lineRule="exact"/>
        <w:rPr>
          <w:sz w:val="20"/>
          <w:szCs w:val="20"/>
          <w:color w:val="auto"/>
        </w:rPr>
      </w:pPr>
    </w:p>
    <w:p>
      <w:pPr>
        <w:jc w:val="both"/>
        <w:ind w:left="900" w:hanging="447"/>
        <w:spacing w:after="0" w:line="246" w:lineRule="auto"/>
        <w:tabs>
          <w:tab w:leader="none" w:pos="9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Clinical</w:t>
      </w:r>
      <w:r>
        <w:rPr>
          <w:rFonts w:ascii="Times New Roman" w:cs="Times New Roman" w:eastAsia="Times New Roman" w:hAnsi="Times New Roman"/>
          <w:sz w:val="20"/>
          <w:szCs w:val="20"/>
          <w:color w:val="auto"/>
        </w:rPr>
        <w:t xml:space="preserve"> segment contains all development activities relating to clinical programs. Clinical trials include testing the product candidates on humans. Clinical trials are an essential part of the development and licensing of the pharmaceutical products and are performed before the respective product can be placed on the market. We are actively engaged in many collaborations and licensing deals with leading pharmaceutical companies and academic collaborators.</w:t>
      </w:r>
    </w:p>
    <w:p>
      <w:pPr>
        <w:spacing w:after="0" w:line="1" w:lineRule="exact"/>
        <w:rPr>
          <w:rFonts w:ascii="Times New Roman" w:cs="Times New Roman" w:eastAsia="Times New Roman" w:hAnsi="Times New Roman"/>
          <w:sz w:val="20"/>
          <w:szCs w:val="20"/>
          <w:color w:val="auto"/>
        </w:rPr>
      </w:pPr>
    </w:p>
    <w:p>
      <w:pPr>
        <w:jc w:val="both"/>
        <w:ind w:left="900" w:hanging="447"/>
        <w:spacing w:after="0" w:line="239" w:lineRule="auto"/>
        <w:tabs>
          <w:tab w:leader="none" w:pos="9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Technology Platform</w:t>
      </w:r>
      <w:r>
        <w:rPr>
          <w:rFonts w:ascii="Times New Roman" w:cs="Times New Roman" w:eastAsia="Times New Roman" w:hAnsi="Times New Roman"/>
          <w:sz w:val="20"/>
          <w:szCs w:val="20"/>
          <w:color w:val="auto"/>
        </w:rPr>
        <w:t xml:space="preserve"> segment contains all development activities relating to preclinical programs. Preclinical development is the stage of research that begins before clinical trials. It is performed to determine the desired pharmacological effects and to identify any unwanted effects that may cause adverse reactions during human exposure.</w:t>
      </w:r>
    </w:p>
    <w:p>
      <w:pPr>
        <w:spacing w:after="0" w:line="1" w:lineRule="exact"/>
        <w:rPr>
          <w:rFonts w:ascii="Times New Roman" w:cs="Times New Roman" w:eastAsia="Times New Roman" w:hAnsi="Times New Roman"/>
          <w:sz w:val="20"/>
          <w:szCs w:val="20"/>
          <w:color w:val="auto"/>
        </w:rPr>
      </w:pPr>
    </w:p>
    <w:p>
      <w:pPr>
        <w:ind w:left="900" w:hanging="447"/>
        <w:spacing w:after="0" w:line="246" w:lineRule="auto"/>
        <w:tabs>
          <w:tab w:leader="none" w:pos="9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Manufacturing</w:t>
      </w:r>
      <w:r>
        <w:rPr>
          <w:rFonts w:ascii="Times New Roman" w:cs="Times New Roman" w:eastAsia="Times New Roman" w:hAnsi="Times New Roman"/>
          <w:sz w:val="20"/>
          <w:szCs w:val="20"/>
          <w:color w:val="auto"/>
        </w:rPr>
        <w:t xml:space="preserve"> segment is an essential part of the research and development process as it includes the manufacturing unit of mRNA and engineered cell therapies. All of the medical</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7" w:name="page48"/>
    <w:bookmarkEnd w:id="47"/>
    <w:p>
      <w:pPr>
        <w:ind w:left="900"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substances and tools that form the basis for the research studies performed by us are manufactured in this segment (i.e., the Manufacturing segment contains only internally produced substances and tools).</w:t>
      </w:r>
    </w:p>
    <w:p>
      <w:pPr>
        <w:spacing w:after="0" w:line="15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Our biotech business unit also includes our business services operations. Our business services operations comprise our central administrative functions, such as finance, procurement, human resources, legal and intellectual property. Revenue and expenses relating to a program are attributed to the Technology Platform segment until the program commences late-stage preclinical studies, including IND-enabling studies, at which time the program revenues and expenses are attributed to the Clinical segment. In addition, the majority of our Manufacturing segment revenue and expenses are related to the development of our clinical product candidates.</w:t>
      </w:r>
    </w:p>
    <w:p>
      <w:pPr>
        <w:spacing w:after="0" w:line="18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external services business unit comprises the external services segment, which includes activities related to the sales of diagnostic products, peptides, retroviral vectors for clinical supply, and development and manufacturing services that are sold to third-party customers.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Biotech Business Unit</w:t>
      </w:r>
    </w:p>
    <w:p>
      <w:pPr>
        <w:spacing w:after="0" w:line="112"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statements of operations of our biotech business unit, consisting of the Clinical, Technology Platform and Manufacturing segments and the associated business services operations for each period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40" w:type="dxa"/>
            <w:vAlign w:val="bottom"/>
          </w:tcPr>
          <w:p>
            <w:pPr>
              <w:spacing w:after="0"/>
              <w:rPr>
                <w:sz w:val="18"/>
                <w:szCs w:val="18"/>
                <w:color w:val="auto"/>
              </w:rPr>
            </w:pPr>
          </w:p>
        </w:tc>
        <w:tc>
          <w:tcPr>
            <w:tcW w:w="232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p>
        </w:tc>
        <w:tc>
          <w:tcPr>
            <w:tcW w:w="23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320" w:type="dxa"/>
            <w:vAlign w:val="bottom"/>
            <w:gridSpan w:val="2"/>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0" w:type="dxa"/>
            <w:vAlign w:val="bottom"/>
            <w:tcBorders>
              <w:right w:val="single" w:sz="8" w:color="C6E0B4"/>
            </w:tcBorders>
          </w:tcPr>
          <w:p>
            <w:pPr>
              <w:spacing w:after="0"/>
              <w:rPr>
                <w:sz w:val="19"/>
                <w:szCs w:val="19"/>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40" w:type="dxa"/>
            <w:vAlign w:val="bottom"/>
          </w:tcPr>
          <w:p>
            <w:pPr>
              <w:spacing w:after="0"/>
              <w:rPr>
                <w:sz w:val="22"/>
                <w:szCs w:val="22"/>
                <w:color w:val="auto"/>
              </w:rPr>
            </w:pPr>
          </w:p>
        </w:tc>
        <w:tc>
          <w:tcPr>
            <w:tcW w:w="2320" w:type="dxa"/>
            <w:vAlign w:val="bottom"/>
            <w:tcBorders>
              <w:left w:val="single" w:sz="8" w:color="70AD47"/>
            </w:tcBorders>
            <w:gridSpan w:val="2"/>
          </w:tcPr>
          <w:p>
            <w:pPr>
              <w:jc w:val="center"/>
              <w:ind w:left="7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820" w:type="dxa"/>
            <w:vAlign w:val="bottom"/>
          </w:tcPr>
          <w:p>
            <w:pPr>
              <w:spacing w:after="0"/>
              <w:rPr>
                <w:sz w:val="22"/>
                <w:szCs w:val="22"/>
                <w:color w:val="auto"/>
              </w:rPr>
            </w:pPr>
          </w:p>
        </w:tc>
        <w:tc>
          <w:tcPr>
            <w:tcW w:w="20" w:type="dxa"/>
            <w:vAlign w:val="bottom"/>
            <w:shd w:val="clear" w:color="auto" w:fill="70AD47"/>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70AD47"/>
              <w:right w:val="single" w:sz="8" w:color="70AD47"/>
            </w:tcBorders>
          </w:tcPr>
          <w:p>
            <w:pPr>
              <w:spacing w:after="0"/>
              <w:rPr>
                <w:sz w:val="2"/>
                <w:szCs w:val="2"/>
                <w:color w:val="auto"/>
              </w:rPr>
            </w:pPr>
          </w:p>
        </w:tc>
        <w:tc>
          <w:tcPr>
            <w:tcW w:w="1560" w:type="dxa"/>
            <w:vAlign w:val="bottom"/>
            <w:tcBorders>
              <w:bottom w:val="single" w:sz="8" w:color="70AD47"/>
            </w:tcBorders>
          </w:tcPr>
          <w:p>
            <w:pPr>
              <w:spacing w:after="0"/>
              <w:rPr>
                <w:sz w:val="2"/>
                <w:szCs w:val="2"/>
                <w:color w:val="auto"/>
              </w:rPr>
            </w:pPr>
          </w:p>
        </w:tc>
        <w:tc>
          <w:tcPr>
            <w:tcW w:w="800" w:type="dxa"/>
            <w:vAlign w:val="bottom"/>
            <w:tcBorders>
              <w:bottom w:val="single" w:sz="8" w:color="70AD47"/>
            </w:tcBorders>
          </w:tcPr>
          <w:p>
            <w:pPr>
              <w:spacing w:after="0"/>
              <w:rPr>
                <w:sz w:val="2"/>
                <w:szCs w:val="2"/>
                <w:color w:val="auto"/>
              </w:rPr>
            </w:pPr>
          </w:p>
        </w:tc>
        <w:tc>
          <w:tcPr>
            <w:tcW w:w="740" w:type="dxa"/>
            <w:vAlign w:val="bottom"/>
            <w:tcBorders>
              <w:bottom w:val="single" w:sz="8" w:color="70AD47"/>
            </w:tcBorders>
          </w:tcPr>
          <w:p>
            <w:pPr>
              <w:spacing w:after="0"/>
              <w:rPr>
                <w:sz w:val="2"/>
                <w:szCs w:val="2"/>
                <w:color w:val="auto"/>
              </w:rPr>
            </w:pPr>
          </w:p>
        </w:tc>
        <w:tc>
          <w:tcPr>
            <w:tcW w:w="1600" w:type="dxa"/>
            <w:vAlign w:val="bottom"/>
            <w:tcBorders>
              <w:left w:val="single" w:sz="8" w:color="70AD47"/>
              <w:bottom w:val="single" w:sz="8" w:color="70AD47"/>
            </w:tcBorders>
          </w:tcPr>
          <w:p>
            <w:pPr>
              <w:spacing w:after="0"/>
              <w:rPr>
                <w:sz w:val="2"/>
                <w:szCs w:val="2"/>
                <w:color w:val="auto"/>
              </w:rPr>
            </w:pPr>
          </w:p>
        </w:tc>
        <w:tc>
          <w:tcPr>
            <w:tcW w:w="720" w:type="dxa"/>
            <w:vAlign w:val="bottom"/>
            <w:tcBorders>
              <w:bottom w:val="single" w:sz="8" w:color="70AD47"/>
            </w:tcBorders>
          </w:tcPr>
          <w:p>
            <w:pPr>
              <w:spacing w:after="0"/>
              <w:rPr>
                <w:sz w:val="2"/>
                <w:szCs w:val="2"/>
                <w:color w:val="auto"/>
              </w:rPr>
            </w:pPr>
          </w:p>
        </w:tc>
        <w:tc>
          <w:tcPr>
            <w:tcW w:w="820" w:type="dxa"/>
            <w:vAlign w:val="bottom"/>
            <w:tcBorders>
              <w:bottom w:val="single" w:sz="8" w:color="70AD47"/>
            </w:tcBorders>
          </w:tcPr>
          <w:p>
            <w:pPr>
              <w:spacing w:after="0"/>
              <w:rPr>
                <w:sz w:val="2"/>
                <w:szCs w:val="2"/>
                <w:color w:val="auto"/>
              </w:rPr>
            </w:pPr>
          </w:p>
        </w:tc>
        <w:tc>
          <w:tcPr>
            <w:tcW w:w="20" w:type="dxa"/>
            <w:vAlign w:val="bottom"/>
            <w:tcBorders>
              <w:bottom w:val="single" w:sz="8" w:color="70AD47"/>
            </w:tcBorders>
            <w:shd w:val="clear" w:color="auto" w:fill="70AD47"/>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00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€59,963</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€22,379</w:t>
            </w:r>
          </w:p>
        </w:tc>
        <w:tc>
          <w:tcPr>
            <w:tcW w:w="160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€114,057</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€64,875</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0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€59,963</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€22,379</w:t>
            </w:r>
          </w:p>
        </w:tc>
        <w:tc>
          <w:tcPr>
            <w:tcW w:w="160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€114,057</w:t>
            </w:r>
          </w:p>
        </w:tc>
        <w:tc>
          <w:tcPr>
            <w:tcW w:w="72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€64,875</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00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(227,936)</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(50,302)</w:t>
            </w:r>
          </w:p>
        </w:tc>
        <w:tc>
          <w:tcPr>
            <w:tcW w:w="1600" w:type="dxa"/>
            <w:vAlign w:val="bottom"/>
            <w:tcBorders>
              <w:top w:val="single" w:sz="8" w:color="70AD47"/>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(389,009)</w:t>
            </w:r>
          </w:p>
        </w:tc>
        <w:tc>
          <w:tcPr>
            <w:tcW w:w="720" w:type="dxa"/>
            <w:vAlign w:val="bottom"/>
            <w:tcBorders>
              <w:top w:val="single" w:sz="8" w:color="70AD47"/>
            </w:tcBorders>
          </w:tcPr>
          <w:p>
            <w:pPr>
              <w:spacing w:after="0"/>
              <w:rPr>
                <w:sz w:val="24"/>
                <w:szCs w:val="24"/>
                <w:color w:val="auto"/>
              </w:rPr>
            </w:pPr>
          </w:p>
        </w:tc>
        <w:tc>
          <w:tcPr>
            <w:tcW w:w="82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(160,774)</w:t>
            </w:r>
          </w:p>
        </w:tc>
        <w:tc>
          <w:tcPr>
            <w:tcW w:w="20" w:type="dxa"/>
            <w:vAlign w:val="bottom"/>
            <w:tcBorders>
              <w:top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00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(55,677)</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Other result</w:t>
            </w: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7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0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€(185,999)</w:t>
            </w:r>
          </w:p>
        </w:tc>
        <w:tc>
          <w:tcPr>
            <w:tcW w:w="800" w:type="dxa"/>
            <w:vAlign w:val="bottom"/>
            <w:tcBorders>
              <w:top w:val="single" w:sz="8" w:color="70AD47"/>
            </w:tcBorders>
          </w:tcPr>
          <w:p>
            <w:pPr>
              <w:spacing w:after="0"/>
              <w:rPr>
                <w:sz w:val="22"/>
                <w:szCs w:val="22"/>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€(37,652)</w:t>
            </w:r>
          </w:p>
        </w:tc>
        <w:tc>
          <w:tcPr>
            <w:tcW w:w="160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€(328,431)</w:t>
            </w:r>
          </w:p>
        </w:tc>
        <w:tc>
          <w:tcPr>
            <w:tcW w:w="720" w:type="dxa"/>
            <w:vAlign w:val="bottom"/>
            <w:tcBorders>
              <w:top w:val="single" w:sz="8" w:color="70AD47"/>
            </w:tcBorders>
          </w:tcPr>
          <w:p>
            <w:pPr>
              <w:spacing w:after="0"/>
              <w:rPr>
                <w:sz w:val="22"/>
                <w:szCs w:val="22"/>
                <w:color w:val="auto"/>
              </w:rPr>
            </w:pPr>
          </w:p>
        </w:tc>
        <w:tc>
          <w:tcPr>
            <w:tcW w:w="82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€(128,163)</w:t>
            </w:r>
          </w:p>
        </w:tc>
        <w:tc>
          <w:tcPr>
            <w:tcW w:w="20" w:type="dxa"/>
            <w:vAlign w:val="bottom"/>
            <w:tcBorders>
              <w:top w:val="single" w:sz="8" w:color="70AD47"/>
              <w:bottom w:val="single" w:sz="8" w:color="70AD47"/>
            </w:tcBorders>
            <w:shd w:val="clear" w:color="auto" w:fill="70AD4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Borders>
              <w:right w:val="single" w:sz="8" w:color="70AD47"/>
            </w:tcBorders>
            <w:shd w:val="clear" w:color="auto" w:fill="70AD47"/>
          </w:tcPr>
          <w:p>
            <w:pPr>
              <w:spacing w:after="0" w:line="20" w:lineRule="exact"/>
              <w:rPr>
                <w:sz w:val="1"/>
                <w:szCs w:val="1"/>
                <w:color w:val="auto"/>
              </w:rPr>
            </w:pPr>
          </w:p>
        </w:tc>
        <w:tc>
          <w:tcPr>
            <w:tcW w:w="1560" w:type="dxa"/>
            <w:vAlign w:val="bottom"/>
            <w:tcBorders>
              <w:right w:val="single" w:sz="8" w:color="70AD47"/>
            </w:tcBorders>
            <w:shd w:val="clear" w:color="auto" w:fill="70AD47"/>
          </w:tcPr>
          <w:p>
            <w:pPr>
              <w:spacing w:after="0" w:line="20" w:lineRule="exact"/>
              <w:rPr>
                <w:sz w:val="1"/>
                <w:szCs w:val="1"/>
                <w:color w:val="auto"/>
              </w:rPr>
            </w:pPr>
          </w:p>
        </w:tc>
        <w:tc>
          <w:tcPr>
            <w:tcW w:w="800" w:type="dxa"/>
            <w:vAlign w:val="bottom"/>
            <w:shd w:val="clear" w:color="auto" w:fill="70AD47"/>
          </w:tcPr>
          <w:p>
            <w:pPr>
              <w:spacing w:after="0" w:line="20" w:lineRule="exact"/>
              <w:rPr>
                <w:sz w:val="1"/>
                <w:szCs w:val="1"/>
                <w:color w:val="auto"/>
              </w:rPr>
            </w:pPr>
          </w:p>
        </w:tc>
        <w:tc>
          <w:tcPr>
            <w:tcW w:w="740" w:type="dxa"/>
            <w:vAlign w:val="bottom"/>
            <w:shd w:val="clear" w:color="auto" w:fill="70AD47"/>
          </w:tcPr>
          <w:p>
            <w:pPr>
              <w:spacing w:after="0" w:line="20" w:lineRule="exact"/>
              <w:rPr>
                <w:sz w:val="1"/>
                <w:szCs w:val="1"/>
                <w:color w:val="auto"/>
              </w:rPr>
            </w:pPr>
          </w:p>
        </w:tc>
        <w:tc>
          <w:tcPr>
            <w:tcW w:w="1600" w:type="dxa"/>
            <w:vAlign w:val="bottom"/>
            <w:tcBorders>
              <w:left w:val="single" w:sz="8" w:color="70AD47"/>
              <w:right w:val="single" w:sz="8" w:color="70AD47"/>
            </w:tcBorders>
            <w:shd w:val="clear" w:color="auto" w:fill="70AD47"/>
          </w:tcPr>
          <w:p>
            <w:pPr>
              <w:spacing w:after="0" w:line="20" w:lineRule="exact"/>
              <w:rPr>
                <w:sz w:val="1"/>
                <w:szCs w:val="1"/>
                <w:color w:val="auto"/>
              </w:rPr>
            </w:pPr>
          </w:p>
        </w:tc>
        <w:tc>
          <w:tcPr>
            <w:tcW w:w="720" w:type="dxa"/>
            <w:vAlign w:val="bottom"/>
            <w:shd w:val="clear" w:color="auto" w:fill="70AD47"/>
          </w:tcPr>
          <w:p>
            <w:pPr>
              <w:spacing w:after="0" w:line="20" w:lineRule="exact"/>
              <w:rPr>
                <w:sz w:val="1"/>
                <w:szCs w:val="1"/>
                <w:color w:val="auto"/>
              </w:rPr>
            </w:pPr>
          </w:p>
        </w:tc>
        <w:tc>
          <w:tcPr>
            <w:tcW w:w="820" w:type="dxa"/>
            <w:vAlign w:val="bottom"/>
            <w:shd w:val="clear" w:color="auto" w:fill="70AD47"/>
          </w:tcPr>
          <w:p>
            <w:pPr>
              <w:spacing w:after="0" w:line="20" w:lineRule="exact"/>
              <w:rPr>
                <w:sz w:val="1"/>
                <w:szCs w:val="1"/>
                <w:color w:val="auto"/>
              </w:rPr>
            </w:pPr>
          </w:p>
        </w:tc>
        <w:tc>
          <w:tcPr>
            <w:tcW w:w="20" w:type="dxa"/>
            <w:vAlign w:val="bottom"/>
            <w:shd w:val="clear" w:color="auto" w:fill="70AD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three and nine months ended September 30, 2020 and 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revenue of our biotech business unit by segment for each period presented:</w:t>
      </w:r>
    </w:p>
    <w:p>
      <w:pPr>
        <w:sectPr>
          <w:pgSz w:w="11900" w:h="16838" w:orient="portrait"/>
          <w:cols w:equalWidth="0" w:num="1">
            <w:col w:w="11260"/>
          </w:cols>
          <w:pgMar w:left="320" w:top="751" w:right="31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70AD47"/>
              <w:right w:val="single" w:sz="8" w:color="70AD47"/>
            </w:tcBorders>
            <w:vMerge w:val="continue"/>
          </w:tcPr>
          <w:p>
            <w:pPr>
              <w:spacing w:after="0"/>
              <w:rPr>
                <w:sz w:val="19"/>
                <w:szCs w:val="19"/>
                <w:color w:val="auto"/>
              </w:rPr>
            </w:pPr>
          </w:p>
        </w:tc>
        <w:tc>
          <w:tcPr>
            <w:tcW w:w="2440" w:type="dxa"/>
            <w:vAlign w:val="bottom"/>
            <w:tcBorders>
              <w:bottom w:val="single" w:sz="8" w:color="70AD47"/>
            </w:tcBorders>
            <w:gridSpan w:val="2"/>
          </w:tcPr>
          <w:p>
            <w:pPr>
              <w:jc w:val="center"/>
              <w:ind w:left="5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8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80" w:type="dxa"/>
            <w:vAlign w:val="bottom"/>
            <w:tcBorders>
              <w:right w:val="single" w:sz="8" w:color="70AD47"/>
            </w:tcBorders>
            <w:shd w:val="clear" w:color="auto" w:fill="C6E0B4"/>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Clinical</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€41,993</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Technology Platform</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Manufacturing</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70AD47"/>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Business Service</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unit revenues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€59,963</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19"/>
                <w:szCs w:val="19"/>
                <w:color w:val="auto"/>
              </w:rPr>
            </w:pPr>
          </w:p>
        </w:tc>
      </w:tr>
      <w:tr>
        <w:trPr>
          <w:trHeight w:val="238"/>
        </w:trPr>
        <w:tc>
          <w:tcPr>
            <w:tcW w:w="192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920" w:type="dxa"/>
            <w:vAlign w:val="bottom"/>
            <w:tcBorders>
              <w:bottom w:val="single" w:sz="8" w:color="70AD47"/>
            </w:tcBorders>
          </w:tcPr>
          <w:p>
            <w:pPr>
              <w:spacing w:after="0"/>
              <w:rPr>
                <w:sz w:val="19"/>
                <w:szCs w:val="19"/>
                <w:color w:val="auto"/>
              </w:rPr>
            </w:pPr>
          </w:p>
        </w:tc>
        <w:tc>
          <w:tcPr>
            <w:tcW w:w="1000" w:type="dxa"/>
            <w:vAlign w:val="bottom"/>
            <w:tcBorders>
              <w:bottom w:val="single" w:sz="8" w:color="70AD47"/>
            </w:tcBorders>
          </w:tcPr>
          <w:p>
            <w:pPr>
              <w:spacing w:after="0"/>
              <w:rPr>
                <w:sz w:val="19"/>
                <w:szCs w:val="19"/>
                <w:color w:val="auto"/>
              </w:rPr>
            </w:pPr>
          </w:p>
        </w:tc>
      </w:tr>
      <w:tr>
        <w:trPr>
          <w:trHeight w:val="448"/>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€34,819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30"/>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2,070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920" w:type="dxa"/>
            <w:vAlign w:val="bottom"/>
            <w:tcBorders>
              <w:bottom w:val="single" w:sz="8" w:color="70AD47"/>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920" w:type="dxa"/>
            <w:vAlign w:val="bottom"/>
            <w:tcBorders>
              <w:bottom w:val="single" w:sz="8" w:color="70AD47"/>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€37,584</w:t>
            </w:r>
          </w:p>
        </w:tc>
        <w:tc>
          <w:tcPr>
            <w:tcW w:w="100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r>
      <w:tr>
        <w:trPr>
          <w:trHeight w:val="406"/>
        </w:trPr>
        <w:tc>
          <w:tcPr>
            <w:tcW w:w="19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bl>
    <w:p>
      <w:pPr>
        <w:sectPr>
          <w:pgSz w:w="11900" w:h="16838" w:orient="portrait"/>
          <w:cols w:equalWidth="0" w:num="2">
            <w:col w:w="8100" w:space="220"/>
            <w:col w:w="2940"/>
          </w:cols>
          <w:pgMar w:left="320" w:top="751" w:right="319" w:bottom="1440" w:gutter="0" w:footer="0" w:header="0"/>
          <w:type w:val="continuous"/>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4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40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70AD47"/>
              <w:right w:val="single" w:sz="8" w:color="70AD47"/>
            </w:tcBorders>
            <w:vMerge w:val="continue"/>
          </w:tcPr>
          <w:p>
            <w:pPr>
              <w:spacing w:after="0"/>
              <w:rPr>
                <w:sz w:val="19"/>
                <w:szCs w:val="19"/>
                <w:color w:val="auto"/>
              </w:rPr>
            </w:pPr>
          </w:p>
        </w:tc>
        <w:tc>
          <w:tcPr>
            <w:tcW w:w="2400" w:type="dxa"/>
            <w:vAlign w:val="bottom"/>
            <w:tcBorders>
              <w:bottom w:val="single" w:sz="8" w:color="70AD47"/>
            </w:tcBorders>
            <w:gridSpan w:val="2"/>
          </w:tcPr>
          <w:p>
            <w:pPr>
              <w:jc w:val="center"/>
              <w:ind w:left="6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2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80" w:type="dxa"/>
            <w:vAlign w:val="bottom"/>
            <w:tcBorders>
              <w:right w:val="single" w:sz="8" w:color="70AD47"/>
            </w:tcBorders>
            <w:shd w:val="clear" w:color="auto" w:fill="C6E0B4"/>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Clinical</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€61,059</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€25,605</w:t>
            </w: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Technology Platform</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Manufacturing</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41,144</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36,685</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70AD47"/>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Business Service</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70AD47"/>
            </w:tcBorders>
          </w:tcPr>
          <w:p>
            <w:pPr>
              <w:spacing w:after="0"/>
              <w:rPr>
                <w:sz w:val="20"/>
                <w:szCs w:val="20"/>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unit revenues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€114,057</w:t>
            </w:r>
          </w:p>
        </w:tc>
        <w:tc>
          <w:tcPr>
            <w:tcW w:w="820" w:type="dxa"/>
            <w:vAlign w:val="bottom"/>
            <w:tcBorders>
              <w:bottom w:val="single" w:sz="8" w:color="70AD47"/>
            </w:tcBorders>
          </w:tcPr>
          <w:p>
            <w:pPr>
              <w:spacing w:after="0"/>
              <w:rPr>
                <w:sz w:val="19"/>
                <w:szCs w:val="19"/>
                <w:color w:val="auto"/>
              </w:rPr>
            </w:pPr>
          </w:p>
        </w:tc>
        <w:tc>
          <w:tcPr>
            <w:tcW w:w="7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19"/>
                <w:szCs w:val="19"/>
                <w:color w:val="auto"/>
              </w:rPr>
            </w:pPr>
          </w:p>
        </w:tc>
      </w:tr>
      <w:tr>
        <w:trPr>
          <w:trHeight w:val="238"/>
        </w:trPr>
        <w:tc>
          <w:tcPr>
            <w:tcW w:w="192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920" w:type="dxa"/>
            <w:vAlign w:val="bottom"/>
            <w:tcBorders>
              <w:bottom w:val="single" w:sz="8" w:color="70AD47"/>
            </w:tcBorders>
          </w:tcPr>
          <w:p>
            <w:pPr>
              <w:spacing w:after="0"/>
              <w:rPr>
                <w:sz w:val="19"/>
                <w:szCs w:val="19"/>
                <w:color w:val="auto"/>
              </w:rPr>
            </w:pPr>
          </w:p>
        </w:tc>
        <w:tc>
          <w:tcPr>
            <w:tcW w:w="1000" w:type="dxa"/>
            <w:vAlign w:val="bottom"/>
            <w:tcBorders>
              <w:bottom w:val="single" w:sz="8" w:color="70AD47"/>
            </w:tcBorders>
          </w:tcPr>
          <w:p>
            <w:pPr>
              <w:spacing w:after="0"/>
              <w:rPr>
                <w:sz w:val="19"/>
                <w:szCs w:val="19"/>
                <w:color w:val="auto"/>
              </w:rPr>
            </w:pPr>
          </w:p>
        </w:tc>
      </w:tr>
      <w:tr>
        <w:trPr>
          <w:trHeight w:val="448"/>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€35,454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9,277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4"/>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4,459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ind w:left="2520" w:hanging="1281"/>
        <w:spacing w:after="0"/>
        <w:tabs>
          <w:tab w:leader="none" w:pos="2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w:t>
      </w:r>
    </w:p>
    <w:p>
      <w:pPr>
        <w:spacing w:after="0" w:line="2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€49,18276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8516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-133985</wp:posOffset>
            </wp:positionV>
            <wp:extent cx="18516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8100" w:space="220"/>
            <w:col w:w="2920"/>
          </w:cols>
          <w:pgMar w:left="320" w:top="1008" w:right="339" w:bottom="1440" w:gutter="0" w:footer="0" w:header="0"/>
        </w:sectPr>
      </w:pPr>
    </w:p>
    <w:p>
      <w:pPr>
        <w:spacing w:after="0" w:line="2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Revenue of our biotech business unit increased by €37.6 million, or 168%, to €60.0 million in the three months ended September 30, 2020 from €22.4 million in the three months ended September 30, 2019 as well as by €49.2 million, or 76%, to €114.1 million in the nine months ended September 30, 2020 from €64.9 million in the nine months ended September 30, 2019. During the nine months ended September 30, 2020, revenues from our two new collaboration agreements were recognized for the first time primarily driving the overall increase in revenues across all segments. As part of our BNT162 program, we executed two strategic collaborations with Pfizer and Fosun Pharma. The program is evaluating several vaccine candidates against COVID-19, including BNT162b2 as the lead candidate currently being developed in a global Phase 3 trial. During the three and nine months ended September 30, 2020, €45.6 million and €66.3 million respectively were recognized from the collaboration agreement with Pfizer. The revenue was mainly recorded in the Clinical segment (€39.3 million and €49.2 million during the three and nine months ended September 30, 2020, respectively) but was accompanied by revenue recorded in the other two segments as well, based on the underlying costs incurred (€4.2 million and €10.2 million in the Manufacturing segment as well as €2.1 million and €6.9 million in the Technology Platform segment during the three and nine months ended September 30, 2020, respectively). During the three and nine months ended September 30, 2020, €1.7 million and €2.6 million respectively were recognized from the collaboration agreement with Fosun Pharma and recorded in the Technology Platform segment.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These effects were offset by decreased revenues from our collaboration programs with Genentech, Sanofi and from the collaboration with Pfizer to develop mRNA-based immunotherapies for the prevention of influenza. For certain programs, the commencement of trials has been delayed, partially due to slowed patient enrollment or other delays as a result of the COVID-19 pandemic.</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summarized above, the increase in revenue in our Clinical segment of €34.8 million from €7.2 million in the three months ended September 30, 2019 to €42.0 million in the three months ended September 30, 2020 as well as the increase of €35.5 million from €25.6 million in the nine months ended September 30, 2019 to €61.1 million in the nine months ended September 30, 2020 is mainly derived from the first time recognition of revenue from our Pfizer collaboration agreement to co-develop our potential first-in-class COVID-19 mRNA vaccine program. The effect offsets the decreased revenues from our collaboration agreements with Genentech and Sanofi which are also recorded in the Clinical segment.</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Likewise, the increase in revenue in our Technology Platform segment of €2.1 million from €2.1 million in the three months ended September 30, 2019 to €4.2 million in the three months ended September 30, 2020 as well as the increase of €9.3 million from €2.6 million in the nine months ended September 30, 2019 to €11.9 million in the nine months ended September 30, 2020 is due to the first time recognition of revenues under our two new collaboration agreements aiming at preventing COVID-19 as well as revenue recorded from our Sanofi collaboration compensating the decrease in revenue from our collaboration with Eli Lilly.</w:t>
      </w:r>
    </w:p>
    <w:p>
      <w:pPr>
        <w:spacing w:after="0" w:line="194"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49" w:name="page50"/>
    <w:bookmarkEnd w:id="49"/>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increase in revenue in our Manufacturing segment of €0.7 million from €13.1 million in the three months ended September 30, 2019 to €13.8 million in three months ended September 30, 2020 as well as the increase of €4.5 million from €36.7 million in the nine months ended September 30, 2019 to €41.1 million in nine months ended September 30, 2020 results from the first time recognition of revenue from our Pfizer collaboration agreement to co-develop our potential first-in-class COVID-19 mRNA vaccine program, offsetting the decreased revenue from our Genentech collaboration program due to the reasons mentioned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research and development expenses of our biotech business unit by segment for each period presented:</w:t>
      </w:r>
    </w:p>
    <w:p>
      <w:pPr>
        <w:sectPr>
          <w:pgSz w:w="11900" w:h="16838" w:orient="portrait"/>
          <w:cols w:equalWidth="0" w:num="1">
            <w:col w:w="11260"/>
          </w:cols>
          <w:pgMar w:left="320" w:top="967" w:right="31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38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38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70AD47"/>
              <w:right w:val="single" w:sz="8" w:color="70AD47"/>
            </w:tcBorders>
            <w:vMerge w:val="continue"/>
          </w:tcPr>
          <w:p>
            <w:pPr>
              <w:spacing w:after="0"/>
              <w:rPr>
                <w:sz w:val="19"/>
                <w:szCs w:val="19"/>
                <w:color w:val="auto"/>
              </w:rPr>
            </w:pPr>
          </w:p>
        </w:tc>
        <w:tc>
          <w:tcPr>
            <w:tcW w:w="2380" w:type="dxa"/>
            <w:vAlign w:val="bottom"/>
            <w:tcBorders>
              <w:bottom w:val="single" w:sz="8" w:color="70AD47"/>
            </w:tcBorders>
            <w:gridSpan w:val="2"/>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4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580" w:type="dxa"/>
            <w:vAlign w:val="bottom"/>
            <w:tcBorders>
              <w:right w:val="single" w:sz="8" w:color="70AD47"/>
            </w:tcBorders>
            <w:shd w:val="clear" w:color="auto" w:fill="C6E0B4"/>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Clinical</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€124,275</w:t>
            </w: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0" w:type="dxa"/>
            <w:vAlign w:val="bottom"/>
          </w:tcPr>
          <w:p>
            <w:pPr>
              <w:spacing w:after="0"/>
              <w:rPr>
                <w:sz w:val="1"/>
                <w:szCs w:val="1"/>
                <w:color w:val="auto"/>
              </w:rPr>
            </w:pPr>
          </w:p>
        </w:tc>
      </w:tr>
      <w:tr>
        <w:trPr>
          <w:trHeight w:val="216"/>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51,036</w:t>
            </w:r>
          </w:p>
        </w:tc>
        <w:tc>
          <w:tcPr>
            <w:tcW w:w="8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0" w:type="dxa"/>
            <w:vAlign w:val="bottom"/>
          </w:tcPr>
          <w:p>
            <w:pPr>
              <w:spacing w:after="0"/>
              <w:rPr>
                <w:sz w:val="1"/>
                <w:szCs w:val="1"/>
                <w:color w:val="auto"/>
              </w:rPr>
            </w:pPr>
          </w:p>
        </w:tc>
      </w:tr>
      <w:tr>
        <w:trPr>
          <w:trHeight w:val="126"/>
        </w:trPr>
        <w:tc>
          <w:tcPr>
            <w:tcW w:w="4980" w:type="dxa"/>
            <w:vAlign w:val="bottom"/>
            <w:tcBorders>
              <w:right w:val="single" w:sz="8" w:color="70AD47"/>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Platform</w:t>
            </w:r>
          </w:p>
        </w:tc>
        <w:tc>
          <w:tcPr>
            <w:tcW w:w="1580" w:type="dxa"/>
            <w:vAlign w:val="bottom"/>
            <w:tcBorders>
              <w:right w:val="single" w:sz="8" w:color="70AD47"/>
            </w:tcBorders>
            <w:vMerge w:val="continue"/>
            <w:shd w:val="clear" w:color="auto" w:fill="C6E0B4"/>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980" w:type="dxa"/>
            <w:vAlign w:val="bottom"/>
            <w:tcBorders>
              <w:right w:val="single" w:sz="8" w:color="70AD47"/>
            </w:tcBorders>
            <w:vMerge w:val="continue"/>
          </w:tcPr>
          <w:p>
            <w:pPr>
              <w:spacing w:after="0"/>
              <w:rPr>
                <w:sz w:val="8"/>
                <w:szCs w:val="8"/>
                <w:color w:val="auto"/>
              </w:rPr>
            </w:pPr>
          </w:p>
        </w:tc>
        <w:tc>
          <w:tcPr>
            <w:tcW w:w="1580" w:type="dxa"/>
            <w:vAlign w:val="bottom"/>
            <w:tcBorders>
              <w:right w:val="single" w:sz="8" w:color="70AD47"/>
            </w:tcBorders>
            <w:shd w:val="clear" w:color="auto" w:fill="C6E0B4"/>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Manufacturing</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52,132</w:t>
            </w: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70AD47"/>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Business Service</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0" w:type="dxa"/>
            <w:vAlign w:val="bottom"/>
            <w:tcBorders>
              <w:bottom w:val="single" w:sz="8" w:color="70AD47"/>
            </w:tcBorders>
          </w:tcPr>
          <w:p>
            <w:pPr>
              <w:spacing w:after="0"/>
              <w:rPr>
                <w:sz w:val="20"/>
                <w:szCs w:val="20"/>
                <w:color w:val="auto"/>
              </w:rPr>
            </w:pPr>
          </w:p>
        </w:tc>
        <w:tc>
          <w:tcPr>
            <w:tcW w:w="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unit research and development expenses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€227,936</w:t>
            </w:r>
          </w:p>
        </w:tc>
        <w:tc>
          <w:tcPr>
            <w:tcW w:w="800" w:type="dxa"/>
            <w:vAlign w:val="bottom"/>
            <w:tcBorders>
              <w:bottom w:val="single" w:sz="8" w:color="70AD47"/>
            </w:tcBorders>
          </w:tcPr>
          <w:p>
            <w:pPr>
              <w:spacing w:after="0"/>
              <w:rPr>
                <w:sz w:val="19"/>
                <w:szCs w:val="19"/>
                <w:color w:val="auto"/>
              </w:rPr>
            </w:pPr>
          </w:p>
        </w:tc>
        <w:tc>
          <w:tcPr>
            <w:tcW w:w="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€50,302</w:t>
            </w:r>
          </w:p>
        </w:tc>
        <w:tc>
          <w:tcPr>
            <w:tcW w:w="0" w:type="dxa"/>
            <w:vAlign w:val="bottom"/>
          </w:tcPr>
          <w:p>
            <w:pPr>
              <w:spacing w:after="0"/>
              <w:rPr>
                <w:sz w:val="1"/>
                <w:szCs w:val="1"/>
                <w:color w:val="auto"/>
              </w:rPr>
            </w:pPr>
          </w:p>
        </w:tc>
      </w:tr>
      <w:tr>
        <w:trPr>
          <w:trHeight w:val="444"/>
        </w:trPr>
        <w:tc>
          <w:tcPr>
            <w:tcW w:w="4980" w:type="dxa"/>
            <w:vAlign w:val="bottom"/>
          </w:tcPr>
          <w:p>
            <w:pPr>
              <w:spacing w:after="0"/>
              <w:rPr>
                <w:sz w:val="24"/>
                <w:szCs w:val="24"/>
                <w:color w:val="auto"/>
              </w:rPr>
            </w:pPr>
          </w:p>
        </w:tc>
        <w:tc>
          <w:tcPr>
            <w:tcW w:w="23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38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70AD47"/>
              <w:right w:val="single" w:sz="8" w:color="70AD47"/>
            </w:tcBorders>
            <w:vMerge w:val="continue"/>
          </w:tcPr>
          <w:p>
            <w:pPr>
              <w:spacing w:after="0"/>
              <w:rPr>
                <w:sz w:val="19"/>
                <w:szCs w:val="19"/>
                <w:color w:val="auto"/>
              </w:rPr>
            </w:pPr>
          </w:p>
        </w:tc>
        <w:tc>
          <w:tcPr>
            <w:tcW w:w="2380" w:type="dxa"/>
            <w:vAlign w:val="bottom"/>
            <w:tcBorders>
              <w:bottom w:val="single" w:sz="8" w:color="70AD47"/>
            </w:tcBorders>
            <w:gridSpan w:val="2"/>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4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580" w:type="dxa"/>
            <w:vAlign w:val="bottom"/>
            <w:tcBorders>
              <w:right w:val="single" w:sz="8" w:color="70AD47"/>
            </w:tcBorders>
            <w:shd w:val="clear" w:color="auto" w:fill="C6E0B4"/>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Clinical</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€182,719</w:t>
            </w: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€65,634</w:t>
            </w:r>
          </w:p>
        </w:tc>
        <w:tc>
          <w:tcPr>
            <w:tcW w:w="0" w:type="dxa"/>
            <w:vAlign w:val="bottom"/>
          </w:tcPr>
          <w:p>
            <w:pPr>
              <w:spacing w:after="0"/>
              <w:rPr>
                <w:sz w:val="1"/>
                <w:szCs w:val="1"/>
                <w:color w:val="auto"/>
              </w:rPr>
            </w:pPr>
          </w:p>
        </w:tc>
      </w:tr>
      <w:tr>
        <w:trPr>
          <w:trHeight w:val="216"/>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580" w:type="dxa"/>
            <w:vAlign w:val="bottom"/>
            <w:tcBorders>
              <w:right w:val="single" w:sz="8" w:color="70AD47"/>
            </w:tcBorders>
            <w:vMerge w:val="restart"/>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113,740</w:t>
            </w:r>
          </w:p>
        </w:tc>
        <w:tc>
          <w:tcPr>
            <w:tcW w:w="8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52,503</w:t>
            </w:r>
          </w:p>
        </w:tc>
        <w:tc>
          <w:tcPr>
            <w:tcW w:w="0" w:type="dxa"/>
            <w:vAlign w:val="bottom"/>
          </w:tcPr>
          <w:p>
            <w:pPr>
              <w:spacing w:after="0"/>
              <w:rPr>
                <w:sz w:val="1"/>
                <w:szCs w:val="1"/>
                <w:color w:val="auto"/>
              </w:rPr>
            </w:pPr>
          </w:p>
        </w:tc>
      </w:tr>
      <w:tr>
        <w:trPr>
          <w:trHeight w:val="126"/>
        </w:trPr>
        <w:tc>
          <w:tcPr>
            <w:tcW w:w="4980" w:type="dxa"/>
            <w:vAlign w:val="bottom"/>
            <w:tcBorders>
              <w:right w:val="single" w:sz="8" w:color="70AD47"/>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Platform</w:t>
            </w:r>
          </w:p>
        </w:tc>
        <w:tc>
          <w:tcPr>
            <w:tcW w:w="1580" w:type="dxa"/>
            <w:vAlign w:val="bottom"/>
            <w:tcBorders>
              <w:right w:val="single" w:sz="8" w:color="70AD47"/>
            </w:tcBorders>
            <w:vMerge w:val="continue"/>
            <w:shd w:val="clear" w:color="auto" w:fill="C6E0B4"/>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980" w:type="dxa"/>
            <w:vAlign w:val="bottom"/>
            <w:tcBorders>
              <w:right w:val="single" w:sz="8" w:color="70AD47"/>
            </w:tcBorders>
            <w:vMerge w:val="continue"/>
          </w:tcPr>
          <w:p>
            <w:pPr>
              <w:spacing w:after="0"/>
              <w:rPr>
                <w:sz w:val="8"/>
                <w:szCs w:val="8"/>
                <w:color w:val="auto"/>
              </w:rPr>
            </w:pPr>
          </w:p>
        </w:tc>
        <w:tc>
          <w:tcPr>
            <w:tcW w:w="1580" w:type="dxa"/>
            <w:vAlign w:val="bottom"/>
            <w:tcBorders>
              <w:right w:val="single" w:sz="8" w:color="70AD47"/>
            </w:tcBorders>
            <w:shd w:val="clear" w:color="auto" w:fill="C6E0B4"/>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Manufacturing</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88,987</w:t>
            </w: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38,905</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70AD47"/>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Business Service</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800" w:type="dxa"/>
            <w:vAlign w:val="bottom"/>
            <w:tcBorders>
              <w:bottom w:val="single" w:sz="8" w:color="70AD47"/>
            </w:tcBorders>
          </w:tcPr>
          <w:p>
            <w:pPr>
              <w:spacing w:after="0"/>
              <w:rPr>
                <w:sz w:val="20"/>
                <w:szCs w:val="20"/>
                <w:color w:val="auto"/>
              </w:rPr>
            </w:pPr>
          </w:p>
        </w:tc>
        <w:tc>
          <w:tcPr>
            <w:tcW w:w="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unit research and development expenses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€389,009</w:t>
            </w:r>
          </w:p>
        </w:tc>
        <w:tc>
          <w:tcPr>
            <w:tcW w:w="800" w:type="dxa"/>
            <w:vAlign w:val="bottom"/>
            <w:tcBorders>
              <w:bottom w:val="single" w:sz="8" w:color="70AD47"/>
            </w:tcBorders>
          </w:tcPr>
          <w:p>
            <w:pPr>
              <w:spacing w:after="0"/>
              <w:rPr>
                <w:sz w:val="19"/>
                <w:szCs w:val="19"/>
                <w:color w:val="auto"/>
              </w:rPr>
            </w:pPr>
          </w:p>
        </w:tc>
        <w:tc>
          <w:tcPr>
            <w:tcW w:w="74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€160,774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29"/>
        </w:trPr>
        <w:tc>
          <w:tcPr>
            <w:tcW w:w="19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70AD47"/>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1480" w:type="dxa"/>
            <w:vAlign w:val="bottom"/>
            <w:tcBorders>
              <w:bottom w:val="single" w:sz="8" w:color="70AD47"/>
              <w:right w:val="single" w:sz="8" w:color="70AD47"/>
            </w:tcBorders>
          </w:tcPr>
          <w:p>
            <w:pPr>
              <w:spacing w:after="0"/>
              <w:rPr>
                <w:sz w:val="19"/>
                <w:szCs w:val="19"/>
                <w:color w:val="auto"/>
              </w:rPr>
            </w:pPr>
          </w:p>
        </w:tc>
        <w:tc>
          <w:tcPr>
            <w:tcW w:w="440" w:type="dxa"/>
            <w:vAlign w:val="bottom"/>
            <w:tcBorders>
              <w:bottom w:val="single" w:sz="8" w:color="70AD47"/>
            </w:tcBorders>
          </w:tcPr>
          <w:p>
            <w:pPr>
              <w:spacing w:after="0"/>
              <w:rPr>
                <w:sz w:val="19"/>
                <w:szCs w:val="19"/>
                <w:color w:val="auto"/>
              </w:rPr>
            </w:pPr>
          </w:p>
        </w:tc>
        <w:tc>
          <w:tcPr>
            <w:tcW w:w="1020" w:type="dxa"/>
            <w:vAlign w:val="bottom"/>
            <w:tcBorders>
              <w:bottom w:val="single" w:sz="8" w:color="70AD47"/>
              <w:right w:val="single" w:sz="8" w:color="70AD47"/>
            </w:tcBorders>
          </w:tcPr>
          <w:p>
            <w:pPr>
              <w:spacing w:after="0"/>
              <w:rPr>
                <w:sz w:val="19"/>
                <w:szCs w:val="19"/>
                <w:color w:val="auto"/>
              </w:rPr>
            </w:pPr>
          </w:p>
        </w:tc>
      </w:tr>
      <w:tr>
        <w:trPr>
          <w:trHeight w:val="453"/>
        </w:trPr>
        <w:tc>
          <w:tcPr>
            <w:tcW w:w="1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€102,327</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338"/>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36,747</w:t>
            </w:r>
          </w:p>
        </w:tc>
        <w:tc>
          <w:tcPr>
            <w:tcW w:w="440" w:type="dxa"/>
            <w:vAlign w:val="bottom"/>
          </w:tcPr>
          <w:p>
            <w:pPr>
              <w:spacing w:after="0"/>
              <w:rPr>
                <w:sz w:val="24"/>
                <w:szCs w:val="24"/>
                <w:color w:val="auto"/>
              </w:rPr>
            </w:pP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333"/>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39,464</w:t>
            </w:r>
          </w:p>
        </w:tc>
        <w:tc>
          <w:tcPr>
            <w:tcW w:w="440" w:type="dxa"/>
            <w:vAlign w:val="bottom"/>
          </w:tcPr>
          <w:p>
            <w:pPr>
              <w:spacing w:after="0"/>
              <w:rPr>
                <w:sz w:val="24"/>
                <w:szCs w:val="24"/>
                <w:color w:val="auto"/>
              </w:rPr>
            </w:pP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4"/>
        </w:trPr>
        <w:tc>
          <w:tcPr>
            <w:tcW w:w="14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40" w:type="dxa"/>
            <w:vAlign w:val="bottom"/>
            <w:tcBorders>
              <w:bottom w:val="single" w:sz="8" w:color="70AD47"/>
            </w:tcBorders>
          </w:tcPr>
          <w:p>
            <w:pPr>
              <w:spacing w:after="0"/>
              <w:rPr>
                <w:sz w:val="20"/>
                <w:szCs w:val="20"/>
                <w:color w:val="auto"/>
              </w:rPr>
            </w:pPr>
          </w:p>
        </w:tc>
        <w:tc>
          <w:tcPr>
            <w:tcW w:w="10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1920" w:type="dxa"/>
            <w:vAlign w:val="bottom"/>
            <w:tcBorders>
              <w:bottom w:val="single" w:sz="8" w:color="70AD47"/>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€177,634</w:t>
            </w:r>
          </w:p>
        </w:tc>
        <w:tc>
          <w:tcPr>
            <w:tcW w:w="10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r>
      <w:tr>
        <w:trPr>
          <w:trHeight w:val="682"/>
        </w:trPr>
        <w:tc>
          <w:tcPr>
            <w:tcW w:w="192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30"/>
        </w:trPr>
        <w:tc>
          <w:tcPr>
            <w:tcW w:w="19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70AD47"/>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1480" w:type="dxa"/>
            <w:vAlign w:val="bottom"/>
            <w:tcBorders>
              <w:bottom w:val="single" w:sz="8" w:color="70AD47"/>
              <w:right w:val="single" w:sz="8" w:color="70AD47"/>
            </w:tcBorders>
          </w:tcPr>
          <w:p>
            <w:pPr>
              <w:spacing w:after="0"/>
              <w:rPr>
                <w:sz w:val="19"/>
                <w:szCs w:val="19"/>
                <w:color w:val="auto"/>
              </w:rPr>
            </w:pPr>
          </w:p>
        </w:tc>
        <w:tc>
          <w:tcPr>
            <w:tcW w:w="440" w:type="dxa"/>
            <w:vAlign w:val="bottom"/>
            <w:tcBorders>
              <w:bottom w:val="single" w:sz="8" w:color="70AD47"/>
            </w:tcBorders>
          </w:tcPr>
          <w:p>
            <w:pPr>
              <w:spacing w:after="0"/>
              <w:rPr>
                <w:sz w:val="19"/>
                <w:szCs w:val="19"/>
                <w:color w:val="auto"/>
              </w:rPr>
            </w:pPr>
          </w:p>
        </w:tc>
        <w:tc>
          <w:tcPr>
            <w:tcW w:w="1020" w:type="dxa"/>
            <w:vAlign w:val="bottom"/>
            <w:tcBorders>
              <w:bottom w:val="single" w:sz="8" w:color="70AD47"/>
              <w:right w:val="single" w:sz="8" w:color="70AD47"/>
            </w:tcBorders>
          </w:tcPr>
          <w:p>
            <w:pPr>
              <w:spacing w:after="0"/>
              <w:rPr>
                <w:sz w:val="19"/>
                <w:szCs w:val="19"/>
                <w:color w:val="auto"/>
              </w:rPr>
            </w:pPr>
          </w:p>
        </w:tc>
      </w:tr>
      <w:tr>
        <w:trPr>
          <w:trHeight w:val="453"/>
        </w:trPr>
        <w:tc>
          <w:tcPr>
            <w:tcW w:w="1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€117,085</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338"/>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61,237</w:t>
            </w:r>
          </w:p>
        </w:tc>
        <w:tc>
          <w:tcPr>
            <w:tcW w:w="440" w:type="dxa"/>
            <w:vAlign w:val="bottom"/>
          </w:tcPr>
          <w:p>
            <w:pPr>
              <w:spacing w:after="0"/>
              <w:rPr>
                <w:sz w:val="24"/>
                <w:szCs w:val="24"/>
                <w:color w:val="auto"/>
              </w:rPr>
            </w:pP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33"/>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50,082</w:t>
            </w:r>
          </w:p>
        </w:tc>
        <w:tc>
          <w:tcPr>
            <w:tcW w:w="440" w:type="dxa"/>
            <w:vAlign w:val="bottom"/>
          </w:tcPr>
          <w:p>
            <w:pPr>
              <w:spacing w:after="0"/>
              <w:rPr>
                <w:sz w:val="24"/>
                <w:szCs w:val="24"/>
                <w:color w:val="auto"/>
              </w:rPr>
            </w:pP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14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40" w:type="dxa"/>
            <w:vAlign w:val="bottom"/>
            <w:tcBorders>
              <w:bottom w:val="single" w:sz="8" w:color="70AD47"/>
            </w:tcBorders>
          </w:tcPr>
          <w:p>
            <w:pPr>
              <w:spacing w:after="0"/>
              <w:rPr>
                <w:sz w:val="20"/>
                <w:szCs w:val="20"/>
                <w:color w:val="auto"/>
              </w:rPr>
            </w:pPr>
          </w:p>
        </w:tc>
        <w:tc>
          <w:tcPr>
            <w:tcW w:w="10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920" w:type="dxa"/>
            <w:vAlign w:val="bottom"/>
            <w:tcBorders>
              <w:bottom w:val="single" w:sz="8" w:color="70AD47"/>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€228,235</w:t>
            </w:r>
          </w:p>
        </w:tc>
        <w:tc>
          <w:tcPr>
            <w:tcW w:w="10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r>
    </w:tbl>
    <w:p>
      <w:pPr>
        <w:spacing w:after="0" w:line="200" w:lineRule="exact"/>
        <w:rPr>
          <w:sz w:val="20"/>
          <w:szCs w:val="20"/>
          <w:color w:val="auto"/>
        </w:rPr>
      </w:pPr>
    </w:p>
    <w:p>
      <w:pPr>
        <w:sectPr>
          <w:pgSz w:w="11900" w:h="16838" w:orient="portrait"/>
          <w:cols w:equalWidth="0" w:num="2">
            <w:col w:w="8100" w:space="220"/>
            <w:col w:w="2940"/>
          </w:cols>
          <w:pgMar w:left="320" w:top="967" w:right="319" w:bottom="1440" w:gutter="0" w:footer="0" w:header="0"/>
          <w:type w:val="continuous"/>
        </w:sectPr>
      </w:pPr>
    </w:p>
    <w:p>
      <w:pPr>
        <w:spacing w:after="0" w:line="23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9"/>
          <w:szCs w:val="19"/>
          <w:color w:val="auto"/>
        </w:rPr>
        <w:t>Research and development expenses of our biotech business unit increased by €177.6 million, or 353%, to €227.9 million in the three months ended September 30, 2020 from €50.3 million in the three months ended September 30, 2019 as well as by €228.2 million, or 142%, to €389.0 million in the nine months ended September 30, 2020 from €160.8 million in the nine months ended September 30, 2019. The increase was mainly due to an increase in development expenses from our BNT162 program, our vaccine program against COVID-19. Research and development expenses include our share of expenses under the terms of the collaboration agreement. Shared development costs are equally shared between Pfizer and us. The amount of shared development expenses which were initially incurred by the collaboration partner Pfizer and subsequently charged to us were recorded as purchased services classified within research and development and the reimbursement from Pfizer for research and development expenses initially incurred by us were recorded as a reduction to research and development expenses. The increase was further driven by an increase in headcount leading to higher wages, benefits and social security expenses as well as an increase in expenses for purchased laboratory supplies. In addition, from May 6, 2020, the date of acquisition, our new U.S.-based subsidiary, BioNTech US Inc., contributed €13.4 million to the research and development expenses of the Group.</w:t>
      </w:r>
    </w:p>
    <w:p>
      <w:pPr>
        <w:spacing w:after="0" w:line="18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type w:val="continuous"/>
        </w:sectPr>
      </w:pPr>
    </w:p>
    <w:bookmarkStart w:id="50" w:name="page51"/>
    <w:bookmarkEnd w:id="50"/>
    <w:p>
      <w:pPr>
        <w:ind w:right="4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following table summarizes our clinical research and development expenses, broken down by drug class and selected platforms, for each period presented:</w:t>
      </w:r>
    </w:p>
    <w:p>
      <w:pPr>
        <w:sectPr>
          <w:pgSz w:w="11900" w:h="16838" w:orient="portrait"/>
          <w:cols w:equalWidth="0" w:num="1">
            <w:col w:w="11260"/>
          </w:cols>
          <w:pgMar w:left="320" w:top="967" w:right="319" w:bottom="1440" w:gutter="0" w:footer="0" w:header="0"/>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70AD47"/>
              <w:right w:val="single" w:sz="8" w:color="70AD47"/>
            </w:tcBorders>
            <w:vMerge w:val="continue"/>
          </w:tcPr>
          <w:p>
            <w:pPr>
              <w:spacing w:after="0"/>
              <w:rPr>
                <w:sz w:val="19"/>
                <w:szCs w:val="19"/>
                <w:color w:val="auto"/>
              </w:rPr>
            </w:pPr>
          </w:p>
        </w:tc>
        <w:tc>
          <w:tcPr>
            <w:tcW w:w="2440" w:type="dxa"/>
            <w:vAlign w:val="bottom"/>
            <w:tcBorders>
              <w:bottom w:val="single" w:sz="8" w:color="70AD47"/>
            </w:tcBorders>
            <w:gridSpan w:val="2"/>
          </w:tcPr>
          <w:p>
            <w:pPr>
              <w:jc w:val="center"/>
              <w:ind w:left="5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8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Clinical research and development expenses</w:t>
            </w:r>
          </w:p>
        </w:tc>
        <w:tc>
          <w:tcPr>
            <w:tcW w:w="1580" w:type="dxa"/>
            <w:vAlign w:val="bottom"/>
            <w:tcBorders>
              <w:right w:val="single" w:sz="8" w:color="70AD47"/>
            </w:tcBorders>
            <w:shd w:val="clear" w:color="auto" w:fill="C6E0B4"/>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mRNA</w:t>
            </w:r>
          </w:p>
        </w:tc>
        <w:tc>
          <w:tcPr>
            <w:tcW w:w="1580" w:type="dxa"/>
            <w:vAlign w:val="bottom"/>
            <w:tcBorders>
              <w:right w:val="single" w:sz="8" w:color="70AD47"/>
            </w:tcBorders>
            <w:shd w:val="clear" w:color="auto" w:fill="C6E0B4"/>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260"/>
              <w:spacing w:after="0"/>
              <w:rPr>
                <w:sz w:val="20"/>
                <w:szCs w:val="20"/>
                <w:color w:val="auto"/>
              </w:rPr>
            </w:pPr>
            <w:r>
              <w:rPr>
                <w:rFonts w:ascii="Times New Roman" w:cs="Times New Roman" w:eastAsia="Times New Roman" w:hAnsi="Times New Roman"/>
                <w:sz w:val="18"/>
                <w:szCs w:val="18"/>
                <w:color w:val="auto"/>
              </w:rPr>
              <w:t>FixVac</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260"/>
              <w:spacing w:after="0"/>
              <w:rPr>
                <w:sz w:val="20"/>
                <w:szCs w:val="20"/>
                <w:color w:val="auto"/>
              </w:rPr>
            </w:pPr>
            <w:r>
              <w:rPr>
                <w:rFonts w:ascii="Times New Roman" w:cs="Times New Roman" w:eastAsia="Times New Roman" w:hAnsi="Times New Roman"/>
                <w:sz w:val="18"/>
                <w:szCs w:val="18"/>
                <w:color w:val="auto"/>
              </w:rPr>
              <w:t>iNeST</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260"/>
              <w:spacing w:after="0"/>
              <w:rPr>
                <w:sz w:val="20"/>
                <w:szCs w:val="20"/>
                <w:color w:val="auto"/>
              </w:rPr>
            </w:pPr>
            <w:r>
              <w:rPr>
                <w:rFonts w:ascii="Times New Roman" w:cs="Times New Roman" w:eastAsia="Times New Roman" w:hAnsi="Times New Roman"/>
                <w:sz w:val="18"/>
                <w:szCs w:val="18"/>
                <w:color w:val="auto"/>
              </w:rPr>
              <w:t>Infectious Disease Vaccines*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96,139</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260"/>
              <w:spacing w:after="0"/>
              <w:rPr>
                <w:sz w:val="20"/>
                <w:szCs w:val="20"/>
                <w:color w:val="auto"/>
              </w:rPr>
            </w:pPr>
            <w:r>
              <w:rPr>
                <w:rFonts w:ascii="Times New Roman" w:cs="Times New Roman" w:eastAsia="Times New Roman" w:hAnsi="Times New Roman"/>
                <w:sz w:val="18"/>
                <w:szCs w:val="18"/>
                <w:color w:val="auto"/>
              </w:rPr>
              <w:t>Other mRNA</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Total mRNA</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110,861</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Cell Therapies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Antibodies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Small Molecule Immunomodulators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70AD47"/>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clinical research and development expenses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€124,275</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€21,948</w:t>
            </w:r>
          </w:p>
        </w:tc>
        <w:tc>
          <w:tcPr>
            <w:tcW w:w="0" w:type="dxa"/>
            <w:vAlign w:val="bottom"/>
          </w:tcPr>
          <w:p>
            <w:pPr>
              <w:spacing w:after="0"/>
              <w:rPr>
                <w:sz w:val="1"/>
                <w:szCs w:val="1"/>
                <w:color w:val="auto"/>
              </w:rPr>
            </w:pPr>
          </w:p>
        </w:tc>
      </w:tr>
      <w:tr>
        <w:trPr>
          <w:trHeight w:val="22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w w:val="97"/>
              </w:rPr>
              <w:t>*Infectious Disease Vaccines was previously included in other mRNA</w:t>
            </w: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4"/>
                <w:szCs w:val="24"/>
                <w:color w:val="auto"/>
              </w:rPr>
            </w:pPr>
          </w:p>
        </w:tc>
        <w:tc>
          <w:tcPr>
            <w:tcW w:w="24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24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70AD47"/>
              <w:right w:val="single" w:sz="8" w:color="70AD47"/>
            </w:tcBorders>
            <w:vMerge w:val="continue"/>
          </w:tcPr>
          <w:p>
            <w:pPr>
              <w:spacing w:after="0"/>
              <w:rPr>
                <w:sz w:val="19"/>
                <w:szCs w:val="19"/>
                <w:color w:val="auto"/>
              </w:rPr>
            </w:pPr>
          </w:p>
        </w:tc>
        <w:tc>
          <w:tcPr>
            <w:tcW w:w="2440" w:type="dxa"/>
            <w:vAlign w:val="bottom"/>
            <w:tcBorders>
              <w:bottom w:val="single" w:sz="8" w:color="70AD47"/>
            </w:tcBorders>
            <w:gridSpan w:val="2"/>
          </w:tcPr>
          <w:p>
            <w:pPr>
              <w:jc w:val="center"/>
              <w:ind w:left="5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8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Clinical research and development expenses</w:t>
            </w:r>
          </w:p>
        </w:tc>
        <w:tc>
          <w:tcPr>
            <w:tcW w:w="1580" w:type="dxa"/>
            <w:vAlign w:val="bottom"/>
            <w:tcBorders>
              <w:right w:val="single" w:sz="8" w:color="70AD47"/>
            </w:tcBorders>
            <w:shd w:val="clear" w:color="auto" w:fill="C6E0B4"/>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mRNA</w:t>
            </w:r>
          </w:p>
        </w:tc>
        <w:tc>
          <w:tcPr>
            <w:tcW w:w="1580" w:type="dxa"/>
            <w:vAlign w:val="bottom"/>
            <w:tcBorders>
              <w:right w:val="single" w:sz="8" w:color="70AD47"/>
            </w:tcBorders>
            <w:shd w:val="clear" w:color="auto" w:fill="C6E0B4"/>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260"/>
              <w:spacing w:after="0"/>
              <w:rPr>
                <w:sz w:val="20"/>
                <w:szCs w:val="20"/>
                <w:color w:val="auto"/>
              </w:rPr>
            </w:pPr>
            <w:r>
              <w:rPr>
                <w:rFonts w:ascii="Times New Roman" w:cs="Times New Roman" w:eastAsia="Times New Roman" w:hAnsi="Times New Roman"/>
                <w:sz w:val="18"/>
                <w:szCs w:val="18"/>
                <w:color w:val="auto"/>
              </w:rPr>
              <w:t>FixVac</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260"/>
              <w:spacing w:after="0"/>
              <w:rPr>
                <w:sz w:val="20"/>
                <w:szCs w:val="20"/>
                <w:color w:val="auto"/>
              </w:rPr>
            </w:pPr>
            <w:r>
              <w:rPr>
                <w:rFonts w:ascii="Times New Roman" w:cs="Times New Roman" w:eastAsia="Times New Roman" w:hAnsi="Times New Roman"/>
                <w:sz w:val="18"/>
                <w:szCs w:val="18"/>
                <w:color w:val="auto"/>
              </w:rPr>
              <w:t>iNeST</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260"/>
              <w:spacing w:after="0"/>
              <w:rPr>
                <w:sz w:val="20"/>
                <w:szCs w:val="20"/>
                <w:color w:val="auto"/>
              </w:rPr>
            </w:pPr>
            <w:r>
              <w:rPr>
                <w:rFonts w:ascii="Times New Roman" w:cs="Times New Roman" w:eastAsia="Times New Roman" w:hAnsi="Times New Roman"/>
                <w:sz w:val="18"/>
                <w:szCs w:val="18"/>
                <w:color w:val="auto"/>
              </w:rPr>
              <w:t>Infectious Disease Vaccines*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109,236</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260"/>
              <w:spacing w:after="0"/>
              <w:rPr>
                <w:sz w:val="20"/>
                <w:szCs w:val="20"/>
                <w:color w:val="auto"/>
              </w:rPr>
            </w:pPr>
            <w:r>
              <w:rPr>
                <w:rFonts w:ascii="Times New Roman" w:cs="Times New Roman" w:eastAsia="Times New Roman" w:hAnsi="Times New Roman"/>
                <w:sz w:val="18"/>
                <w:szCs w:val="18"/>
                <w:color w:val="auto"/>
              </w:rPr>
              <w:t>Other mRNA</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13,179</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0" w:type="dxa"/>
            <w:vAlign w:val="bottom"/>
          </w:tcPr>
          <w:p>
            <w:pPr>
              <w:spacing w:after="0"/>
              <w:rPr>
                <w:sz w:val="1"/>
                <w:szCs w:val="1"/>
                <w:color w:val="auto"/>
              </w:rPr>
            </w:pPr>
          </w:p>
        </w:tc>
      </w:tr>
      <w:tr>
        <w:trPr>
          <w:trHeight w:val="229"/>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Total mRNA</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152,796</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Cell Therapies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Antibodies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22,941</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0" w:type="dxa"/>
            <w:vAlign w:val="bottom"/>
          </w:tcPr>
          <w:p>
            <w:pPr>
              <w:spacing w:after="0"/>
              <w:rPr>
                <w:sz w:val="1"/>
                <w:szCs w:val="1"/>
                <w:color w:val="auto"/>
              </w:rPr>
            </w:pPr>
          </w:p>
        </w:tc>
      </w:tr>
      <w:tr>
        <w:trPr>
          <w:trHeight w:val="230"/>
        </w:trPr>
        <w:tc>
          <w:tcPr>
            <w:tcW w:w="498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Small Molecule Immunomodulators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70AD47"/>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60" w:type="dxa"/>
            <w:vAlign w:val="bottom"/>
            <w:tcBorders>
              <w:bottom w:val="single" w:sz="8" w:color="70AD47"/>
            </w:tcBorders>
          </w:tcPr>
          <w:p>
            <w:pPr>
              <w:spacing w:after="0"/>
              <w:rPr>
                <w:sz w:val="20"/>
                <w:szCs w:val="20"/>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clinical research and development expenses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€182,719</w:t>
            </w:r>
          </w:p>
        </w:tc>
        <w:tc>
          <w:tcPr>
            <w:tcW w:w="860" w:type="dxa"/>
            <w:vAlign w:val="bottom"/>
            <w:tcBorders>
              <w:bottom w:val="single" w:sz="8" w:color="70AD47"/>
            </w:tcBorders>
          </w:tcPr>
          <w:p>
            <w:pPr>
              <w:spacing w:after="0"/>
              <w:rPr>
                <w:sz w:val="19"/>
                <w:szCs w:val="19"/>
                <w:color w:val="auto"/>
              </w:rPr>
            </w:pPr>
          </w:p>
        </w:tc>
        <w:tc>
          <w:tcPr>
            <w:tcW w:w="68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€65,634</w:t>
            </w:r>
          </w:p>
        </w:tc>
        <w:tc>
          <w:tcPr>
            <w:tcW w:w="0" w:type="dxa"/>
            <w:vAlign w:val="bottom"/>
          </w:tcPr>
          <w:p>
            <w:pPr>
              <w:spacing w:after="0"/>
              <w:rPr>
                <w:sz w:val="1"/>
                <w:szCs w:val="1"/>
                <w:color w:val="auto"/>
              </w:rPr>
            </w:pPr>
          </w:p>
        </w:tc>
      </w:tr>
      <w:tr>
        <w:trPr>
          <w:trHeight w:val="22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w w:val="97"/>
              </w:rPr>
              <w:t>*Infectious Disease Vaccines was previously included in other mRNA</w:t>
            </w: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r>
      <w:tr>
        <w:trPr>
          <w:trHeight w:val="238"/>
        </w:trPr>
        <w:tc>
          <w:tcPr>
            <w:tcW w:w="192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70AD47"/>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1920" w:type="dxa"/>
            <w:vAlign w:val="bottom"/>
            <w:tcBorders>
              <w:bottom w:val="single" w:sz="8" w:color="70AD47"/>
            </w:tcBorders>
          </w:tcPr>
          <w:p>
            <w:pPr>
              <w:spacing w:after="0"/>
              <w:rPr>
                <w:sz w:val="19"/>
                <w:szCs w:val="19"/>
                <w:color w:val="auto"/>
              </w:rPr>
            </w:pPr>
          </w:p>
        </w:tc>
        <w:tc>
          <w:tcPr>
            <w:tcW w:w="1020" w:type="dxa"/>
            <w:vAlign w:val="bottom"/>
            <w:tcBorders>
              <w:bottom w:val="single" w:sz="8" w:color="70AD47"/>
              <w:right w:val="single" w:sz="8" w:color="70AD47"/>
            </w:tcBorders>
          </w:tcPr>
          <w:p>
            <w:pPr>
              <w:spacing w:after="0"/>
              <w:rPr>
                <w:sz w:val="19"/>
                <w:szCs w:val="19"/>
                <w:color w:val="auto"/>
              </w:rPr>
            </w:pPr>
          </w:p>
        </w:tc>
      </w:tr>
      <w:tr>
        <w:trPr>
          <w:trHeight w:val="677"/>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€1,682</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(2,280)</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95,099</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9,144</w:t>
            </w:r>
          </w:p>
        </w:tc>
      </w:tr>
      <w:tr>
        <w:trPr>
          <w:trHeight w:val="229"/>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(134)</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94,366</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1,595</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8,078</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(992)</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1920" w:type="dxa"/>
            <w:vAlign w:val="bottom"/>
            <w:tcBorders>
              <w:bottom w:val="single" w:sz="8" w:color="70AD47"/>
            </w:tcBorders>
          </w:tcPr>
          <w:p>
            <w:pPr>
              <w:jc w:val="right"/>
              <w:ind w:right="390"/>
              <w:spacing w:after="0"/>
              <w:rPr>
                <w:sz w:val="20"/>
                <w:szCs w:val="20"/>
                <w:color w:val="auto"/>
              </w:rPr>
            </w:pPr>
            <w:r>
              <w:rPr>
                <w:rFonts w:ascii="Times New Roman" w:cs="Times New Roman" w:eastAsia="Times New Roman" w:hAnsi="Times New Roman"/>
                <w:sz w:val="18"/>
                <w:szCs w:val="18"/>
                <w:color w:val="auto"/>
              </w:rPr>
              <w:t>(720)</w:t>
            </w:r>
          </w:p>
        </w:tc>
        <w:tc>
          <w:tcPr>
            <w:tcW w:w="10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1920" w:type="dxa"/>
            <w:vAlign w:val="bottom"/>
            <w:tcBorders>
              <w:bottom w:val="single" w:sz="8" w:color="70AD47"/>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€102,327</w:t>
            </w:r>
          </w:p>
        </w:tc>
        <w:tc>
          <w:tcPr>
            <w:tcW w:w="10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r>
      <w:tr>
        <w:trPr>
          <w:trHeight w:val="898"/>
        </w:trPr>
        <w:tc>
          <w:tcPr>
            <w:tcW w:w="1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4"/>
                <w:szCs w:val="24"/>
                <w:color w:val="auto"/>
              </w:rPr>
            </w:pPr>
          </w:p>
        </w:tc>
      </w:tr>
      <w:tr>
        <w:trPr>
          <w:trHeight w:val="238"/>
        </w:trPr>
        <w:tc>
          <w:tcPr>
            <w:tcW w:w="192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70AD47"/>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1920" w:type="dxa"/>
            <w:vAlign w:val="bottom"/>
            <w:tcBorders>
              <w:bottom w:val="single" w:sz="8" w:color="70AD47"/>
            </w:tcBorders>
          </w:tcPr>
          <w:p>
            <w:pPr>
              <w:spacing w:after="0"/>
              <w:rPr>
                <w:sz w:val="19"/>
                <w:szCs w:val="19"/>
                <w:color w:val="auto"/>
              </w:rPr>
            </w:pPr>
          </w:p>
        </w:tc>
        <w:tc>
          <w:tcPr>
            <w:tcW w:w="1020" w:type="dxa"/>
            <w:vAlign w:val="bottom"/>
            <w:tcBorders>
              <w:bottom w:val="single" w:sz="8" w:color="70AD47"/>
              <w:right w:val="single" w:sz="8" w:color="70AD47"/>
            </w:tcBorders>
          </w:tcPr>
          <w:p>
            <w:pPr>
              <w:spacing w:after="0"/>
              <w:rPr>
                <w:sz w:val="19"/>
                <w:szCs w:val="19"/>
                <w:color w:val="auto"/>
              </w:rPr>
            </w:pPr>
          </w:p>
        </w:tc>
      </w:tr>
      <w:tr>
        <w:trPr>
          <w:trHeight w:val="677"/>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€3,639</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3,473</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105,999</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30"/>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(2,009)</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111,102</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4,225</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30"/>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13,170</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(538)</w:t>
            </w:r>
          </w:p>
        </w:tc>
        <w:tc>
          <w:tcPr>
            <w:tcW w:w="1020" w:type="dxa"/>
            <w:vAlign w:val="bottom"/>
            <w:tcBorders>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920" w:type="dxa"/>
            <w:vAlign w:val="bottom"/>
            <w:tcBorders>
              <w:bottom w:val="single" w:sz="8" w:color="70AD47"/>
            </w:tcBorders>
          </w:tcPr>
          <w:p>
            <w:pPr>
              <w:jc w:val="right"/>
              <w:ind w:right="390"/>
              <w:spacing w:after="0"/>
              <w:rPr>
                <w:sz w:val="20"/>
                <w:szCs w:val="20"/>
                <w:color w:val="auto"/>
              </w:rPr>
            </w:pPr>
            <w:r>
              <w:rPr>
                <w:rFonts w:ascii="Times New Roman" w:cs="Times New Roman" w:eastAsia="Times New Roman" w:hAnsi="Times New Roman"/>
                <w:sz w:val="18"/>
                <w:szCs w:val="18"/>
                <w:color w:val="auto"/>
              </w:rPr>
              <w:t>(10,873)</w:t>
            </w:r>
          </w:p>
        </w:tc>
        <w:tc>
          <w:tcPr>
            <w:tcW w:w="10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1920" w:type="dxa"/>
            <w:vAlign w:val="bottom"/>
            <w:tcBorders>
              <w:bottom w:val="single" w:sz="8" w:color="70AD47"/>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€117,085</w:t>
            </w:r>
          </w:p>
        </w:tc>
        <w:tc>
          <w:tcPr>
            <w:tcW w:w="1020" w:type="dxa"/>
            <w:vAlign w:val="bottom"/>
            <w:tcBorders>
              <w:bottom w:val="single" w:sz="8" w:color="70AD47"/>
              <w:right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r>
    </w:tbl>
    <w:p>
      <w:pPr>
        <w:spacing w:after="0" w:line="434" w:lineRule="exact"/>
        <w:rPr>
          <w:sz w:val="20"/>
          <w:szCs w:val="20"/>
          <w:color w:val="auto"/>
        </w:rPr>
      </w:pPr>
    </w:p>
    <w:p>
      <w:pPr>
        <w:sectPr>
          <w:pgSz w:w="11900" w:h="16838" w:orient="portrait"/>
          <w:cols w:equalWidth="0" w:num="2">
            <w:col w:w="8100" w:space="220"/>
            <w:col w:w="2940"/>
          </w:cols>
          <w:pgMar w:left="320" w:top="967" w:right="319" w:bottom="1440" w:gutter="0" w:footer="0" w:header="0"/>
          <w:type w:val="continuous"/>
        </w:sectPr>
      </w:pPr>
    </w:p>
    <w:p>
      <w:pPr>
        <w:spacing w:after="0" w:line="21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During the three months ended September 30, 2020, other mRNA expenses mainly included €2.0 million Intratumoral Immunotherapy costs, €1.1 million RiboMabs costs, €1.0 million RiboCytokines costs and €0.1 million Protein Replacement Therapy costs. Other mRNA expenses during the three months ended September 30, 2019 mainly included €2.0 million RiboCytokines costs, €1.1 million Intratumoral Immunotherapy costs, €0.6 million RiboMabs costs and €0.2 million Protein Replacement Therapy costs.</w:t>
      </w:r>
    </w:p>
    <w:p>
      <w:pPr>
        <w:spacing w:after="0" w:line="18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During the nine months ended September 30, 2020, other mRNA expenses mainly included €4.8 million Intratumoral Immunotherapy costs, €2.8 million RiboCytokines costs, €2.7 million RiboMabs costs and €1.3 million Protein Replacement Therapy costs. Other mRNA expenses during the nine months ended September 30, 2019 mainly included €6.2 million RiboCytokines costs, €3.7 million Intratumoral Immunotherapy costs, €2.6 million RiboMabs costs and €1.1 million Protein Replacement Therapy costs.</w:t>
      </w:r>
    </w:p>
    <w:p>
      <w:pPr>
        <w:spacing w:after="0" w:line="18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Sales and Marketing Expenses</w:t>
      </w:r>
    </w:p>
    <w:p>
      <w:pPr>
        <w:spacing w:after="0" w:line="11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Sales and marketing expenses of our biotech business unit increased by €3.4 million, or 963%, to €3.8 million in the three months ended September 30, 2020 from €0.4 million in the three months ended September 30, 2019 as well as by €5.5 million, or 592%, to €6.4 million in the nine months ended September 30, 2020 from €0.9 million in the nine months ended September 30, 2019. The increase was mainly due to increased marketing consulting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General and administrative expenses of our biotech business unit increased by €12.9 million, or 135%, to €22.5 million in the three months ended September 30, 2020 from €9.6 million in the three months ended September 30, 2019 as well as by €23.6 million, or 73%, to €55.7 million in the nine months ended September 30, 2020 from €32.1 million in the nine months ended September 30, 2019. The increase was mainly influenced by higher expenses for purchased management consulting and legal services as well as an increase in headcount leading to higher wages, benefits and social security expenses. In addition, from May 6, 2020, the date of acquisition, our new U.S.-based subsidiary, BioNTech US Inc. contributed €4.5 million to the general and administrative expenses of the Group.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Result</w:t>
      </w:r>
    </w:p>
    <w:p>
      <w:pPr>
        <w:spacing w:after="0" w:line="11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The other result of our biotech business unit increased by €8.1 million, or 3818%, to €8.3 million in the three months ended September 30, 2020 from €0.2 million in the three months ended September 30, 2019. The other result of our biotech business unit increased by €7.8 million, or 975%, to €8.6 million in the nine months ended September 30, 2020 from €0.8 million in the nine months ended September 30, 2019. The increase was mainly derived from drawing down €8.5 million government grants under the BMBF funding. The funding drawn down represents a compensation for expenses already incurred in the period ended September 30, 2020. Therefore, €8.5 million were recognized as other operating income within the statements of operations during the three months ended September 30,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External Services Business Unit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statements of operations of our external services business unit for each period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4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60" w:type="dxa"/>
            <w:vAlign w:val="bottom"/>
          </w:tcPr>
          <w:p>
            <w:pPr>
              <w:spacing w:after="0"/>
              <w:rPr>
                <w:sz w:val="18"/>
                <w:szCs w:val="18"/>
                <w:color w:val="auto"/>
              </w:rPr>
            </w:pPr>
          </w:p>
        </w:tc>
        <w:tc>
          <w:tcPr>
            <w:tcW w:w="24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p>
        </w:tc>
        <w:tc>
          <w:tcPr>
            <w:tcW w:w="24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Borders>
              <w:right w:val="single" w:sz="8" w:color="C6E0B4"/>
            </w:tcBorders>
          </w:tcPr>
          <w:p>
            <w:pPr>
              <w:spacing w:after="0"/>
              <w:rPr>
                <w:sz w:val="19"/>
                <w:szCs w:val="19"/>
                <w:color w:val="auto"/>
              </w:rPr>
            </w:pP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60" w:type="dxa"/>
            <w:vAlign w:val="bottom"/>
          </w:tcPr>
          <w:p>
            <w:pPr>
              <w:spacing w:after="0"/>
              <w:rPr>
                <w:sz w:val="22"/>
                <w:szCs w:val="22"/>
                <w:color w:val="auto"/>
              </w:rPr>
            </w:pPr>
          </w:p>
        </w:tc>
        <w:tc>
          <w:tcPr>
            <w:tcW w:w="2400" w:type="dxa"/>
            <w:vAlign w:val="bottom"/>
            <w:tcBorders>
              <w:left w:val="single" w:sz="8" w:color="70AD47"/>
            </w:tcBorders>
            <w:gridSpan w:val="2"/>
          </w:tcPr>
          <w:p>
            <w:pPr>
              <w:jc w:val="center"/>
              <w:ind w:left="67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000" w:type="dxa"/>
            <w:vAlign w:val="bottom"/>
            <w:tcBorders>
              <w:bottom w:val="single" w:sz="8" w:color="70AD47"/>
              <w:right w:val="single" w:sz="8" w:color="70AD47"/>
            </w:tcBorders>
          </w:tcPr>
          <w:p>
            <w:pPr>
              <w:spacing w:after="0"/>
              <w:rPr>
                <w:sz w:val="2"/>
                <w:szCs w:val="2"/>
                <w:color w:val="auto"/>
              </w:rPr>
            </w:pPr>
          </w:p>
        </w:tc>
        <w:tc>
          <w:tcPr>
            <w:tcW w:w="1560" w:type="dxa"/>
            <w:vAlign w:val="bottom"/>
            <w:tcBorders>
              <w:bottom w:val="single" w:sz="8" w:color="70AD47"/>
            </w:tcBorders>
          </w:tcPr>
          <w:p>
            <w:pPr>
              <w:spacing w:after="0"/>
              <w:rPr>
                <w:sz w:val="2"/>
                <w:szCs w:val="2"/>
                <w:color w:val="auto"/>
              </w:rPr>
            </w:pPr>
          </w:p>
        </w:tc>
        <w:tc>
          <w:tcPr>
            <w:tcW w:w="880" w:type="dxa"/>
            <w:vAlign w:val="bottom"/>
            <w:tcBorders>
              <w:bottom w:val="single" w:sz="8" w:color="70AD47"/>
            </w:tcBorders>
          </w:tcPr>
          <w:p>
            <w:pPr>
              <w:spacing w:after="0"/>
              <w:rPr>
                <w:sz w:val="2"/>
                <w:szCs w:val="2"/>
                <w:color w:val="auto"/>
              </w:rPr>
            </w:pPr>
          </w:p>
        </w:tc>
        <w:tc>
          <w:tcPr>
            <w:tcW w:w="660" w:type="dxa"/>
            <w:vAlign w:val="bottom"/>
            <w:tcBorders>
              <w:bottom w:val="single" w:sz="8" w:color="70AD47"/>
            </w:tcBorders>
          </w:tcPr>
          <w:p>
            <w:pPr>
              <w:spacing w:after="0"/>
              <w:rPr>
                <w:sz w:val="2"/>
                <w:szCs w:val="2"/>
                <w:color w:val="auto"/>
              </w:rPr>
            </w:pPr>
          </w:p>
        </w:tc>
        <w:tc>
          <w:tcPr>
            <w:tcW w:w="1600" w:type="dxa"/>
            <w:vAlign w:val="bottom"/>
            <w:tcBorders>
              <w:left w:val="single" w:sz="8" w:color="70AD47"/>
              <w:bottom w:val="single" w:sz="8" w:color="70AD47"/>
            </w:tcBorders>
          </w:tcPr>
          <w:p>
            <w:pPr>
              <w:spacing w:after="0"/>
              <w:rPr>
                <w:sz w:val="2"/>
                <w:szCs w:val="2"/>
                <w:color w:val="auto"/>
              </w:rPr>
            </w:pPr>
          </w:p>
        </w:tc>
        <w:tc>
          <w:tcPr>
            <w:tcW w:w="800" w:type="dxa"/>
            <w:vAlign w:val="bottom"/>
            <w:tcBorders>
              <w:bottom w:val="single" w:sz="8" w:color="70AD47"/>
            </w:tcBorders>
          </w:tcPr>
          <w:p>
            <w:pPr>
              <w:spacing w:after="0"/>
              <w:rPr>
                <w:sz w:val="2"/>
                <w:szCs w:val="2"/>
                <w:color w:val="auto"/>
              </w:rPr>
            </w:pPr>
          </w:p>
        </w:tc>
        <w:tc>
          <w:tcPr>
            <w:tcW w:w="740" w:type="dxa"/>
            <w:vAlign w:val="bottom"/>
            <w:tcBorders>
              <w:bottom w:val="single" w:sz="8" w:color="70AD47"/>
            </w:tcBorders>
          </w:tcPr>
          <w:p>
            <w:pPr>
              <w:spacing w:after="0"/>
              <w:rPr>
                <w:sz w:val="2"/>
                <w:szCs w:val="2"/>
                <w:color w:val="auto"/>
              </w:rPr>
            </w:pPr>
          </w:p>
        </w:tc>
        <w:tc>
          <w:tcPr>
            <w:tcW w:w="20" w:type="dxa"/>
            <w:vAlign w:val="bottom"/>
            <w:tcBorders>
              <w:bottom w:val="single" w:sz="8" w:color="70AD47"/>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500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Revenues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8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8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60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(16,897)</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0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€1,032</w:t>
            </w:r>
          </w:p>
        </w:tc>
        <w:tc>
          <w:tcPr>
            <w:tcW w:w="880" w:type="dxa"/>
            <w:vAlign w:val="bottom"/>
            <w:tcBorders>
              <w:top w:val="single" w:sz="8" w:color="70AD47"/>
            </w:tcBorders>
          </w:tcPr>
          <w:p>
            <w:pPr>
              <w:spacing w:after="0"/>
              <w:rPr>
                <w:sz w:val="24"/>
                <w:szCs w:val="24"/>
                <w:color w:val="auto"/>
              </w:rPr>
            </w:pPr>
          </w:p>
        </w:tc>
        <w:tc>
          <w:tcPr>
            <w:tcW w:w="66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€2,117</w:t>
            </w:r>
          </w:p>
        </w:tc>
        <w:tc>
          <w:tcPr>
            <w:tcW w:w="160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€5,929</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€2,956</w:t>
            </w:r>
          </w:p>
        </w:tc>
        <w:tc>
          <w:tcPr>
            <w:tcW w:w="20" w:type="dxa"/>
            <w:vAlign w:val="bottom"/>
            <w:tcBorders>
              <w:top w:val="single" w:sz="8" w:color="70AD47"/>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00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60" w:type="dxa"/>
            <w:vAlign w:val="bottom"/>
            <w:tcBorders>
              <w:top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80" w:type="dxa"/>
            <w:vAlign w:val="bottom"/>
            <w:tcBorders>
              <w:top w:val="single" w:sz="8" w:color="70AD47"/>
            </w:tcBorders>
          </w:tcPr>
          <w:p>
            <w:pPr>
              <w:spacing w:after="0"/>
              <w:rPr>
                <w:sz w:val="24"/>
                <w:szCs w:val="24"/>
                <w:color w:val="auto"/>
              </w:rPr>
            </w:pPr>
          </w:p>
        </w:tc>
        <w:tc>
          <w:tcPr>
            <w:tcW w:w="66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0" w:type="dxa"/>
            <w:vAlign w:val="bottom"/>
            <w:tcBorders>
              <w:top w:val="single" w:sz="8" w:color="70AD47"/>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0" w:type="dxa"/>
            <w:vAlign w:val="bottom"/>
            <w:tcBorders>
              <w:top w:val="single" w:sz="8" w:color="70AD47"/>
            </w:tcBorders>
          </w:tcPr>
          <w:p>
            <w:pPr>
              <w:spacing w:after="0"/>
              <w:rPr>
                <w:sz w:val="24"/>
                <w:szCs w:val="24"/>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Borders>
              <w:top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00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6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600" w:type="dxa"/>
            <w:vAlign w:val="bottom"/>
            <w:tcBorders>
              <w:left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0" w:type="dxa"/>
            <w:vAlign w:val="bottom"/>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color w:val="auto"/>
              </w:rPr>
              <w:t>Other result</w:t>
            </w:r>
          </w:p>
        </w:tc>
        <w:tc>
          <w:tcPr>
            <w:tcW w:w="1560" w:type="dxa"/>
            <w:vAlign w:val="bottom"/>
            <w:tcBorders>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0" w:type="dxa"/>
            <w:vAlign w:val="bottom"/>
            <w:tcBorders>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Borders>
              <w:bottom w:val="single" w:sz="8" w:color="70AD47"/>
            </w:tcBorders>
            <w:shd w:val="clear" w:color="auto" w:fill="70AD47"/>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00" w:type="dxa"/>
            <w:vAlign w:val="bottom"/>
            <w:tcBorders>
              <w:top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560" w:type="dxa"/>
            <w:vAlign w:val="bottom"/>
            <w:tcBorders>
              <w:top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880" w:type="dxa"/>
            <w:vAlign w:val="bottom"/>
            <w:tcBorders>
              <w:top w:val="single" w:sz="8" w:color="70AD47"/>
            </w:tcBorders>
          </w:tcPr>
          <w:p>
            <w:pPr>
              <w:spacing w:after="0"/>
              <w:rPr>
                <w:sz w:val="22"/>
                <w:szCs w:val="22"/>
                <w:color w:val="auto"/>
              </w:rPr>
            </w:pPr>
          </w:p>
        </w:tc>
        <w:tc>
          <w:tcPr>
            <w:tcW w:w="66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1600" w:type="dxa"/>
            <w:vAlign w:val="bottom"/>
            <w:tcBorders>
              <w:top w:val="single" w:sz="8" w:color="70AD47"/>
              <w:left w:val="single" w:sz="8" w:color="70AD47"/>
              <w:bottom w:val="single" w:sz="8" w:color="C6E0B4"/>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€1,835</w:t>
            </w:r>
          </w:p>
        </w:tc>
        <w:tc>
          <w:tcPr>
            <w:tcW w:w="800" w:type="dxa"/>
            <w:vAlign w:val="bottom"/>
            <w:tcBorders>
              <w:top w:val="single" w:sz="8" w:color="70AD47"/>
            </w:tcBorders>
          </w:tcPr>
          <w:p>
            <w:pPr>
              <w:spacing w:after="0"/>
              <w:rPr>
                <w:sz w:val="22"/>
                <w:szCs w:val="22"/>
                <w:color w:val="auto"/>
              </w:rPr>
            </w:pPr>
          </w:p>
        </w:tc>
        <w:tc>
          <w:tcPr>
            <w:tcW w:w="740" w:type="dxa"/>
            <w:vAlign w:val="bottom"/>
            <w:tcBorders>
              <w:top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20" w:type="dxa"/>
            <w:vAlign w:val="bottom"/>
            <w:tcBorders>
              <w:top w:val="single" w:sz="8" w:color="70AD47"/>
              <w:bottom w:val="single" w:sz="8" w:color="70AD47"/>
            </w:tcBorders>
            <w:shd w:val="clear" w:color="auto" w:fill="70AD4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Borders>
              <w:right w:val="single" w:sz="8" w:color="70AD47"/>
            </w:tcBorders>
            <w:shd w:val="clear" w:color="auto" w:fill="70AD47"/>
          </w:tcPr>
          <w:p>
            <w:pPr>
              <w:spacing w:after="0" w:line="20" w:lineRule="exact"/>
              <w:rPr>
                <w:sz w:val="1"/>
                <w:szCs w:val="1"/>
                <w:color w:val="auto"/>
              </w:rPr>
            </w:pPr>
          </w:p>
        </w:tc>
        <w:tc>
          <w:tcPr>
            <w:tcW w:w="1560" w:type="dxa"/>
            <w:vAlign w:val="bottom"/>
            <w:tcBorders>
              <w:right w:val="single" w:sz="8" w:color="70AD47"/>
            </w:tcBorders>
            <w:shd w:val="clear" w:color="auto" w:fill="70AD47"/>
          </w:tcPr>
          <w:p>
            <w:pPr>
              <w:spacing w:after="0" w:line="20" w:lineRule="exact"/>
              <w:rPr>
                <w:sz w:val="1"/>
                <w:szCs w:val="1"/>
                <w:color w:val="auto"/>
              </w:rPr>
            </w:pPr>
          </w:p>
        </w:tc>
        <w:tc>
          <w:tcPr>
            <w:tcW w:w="880" w:type="dxa"/>
            <w:vAlign w:val="bottom"/>
            <w:shd w:val="clear" w:color="auto" w:fill="70AD47"/>
          </w:tcPr>
          <w:p>
            <w:pPr>
              <w:spacing w:after="0" w:line="20" w:lineRule="exact"/>
              <w:rPr>
                <w:sz w:val="1"/>
                <w:szCs w:val="1"/>
                <w:color w:val="auto"/>
              </w:rPr>
            </w:pPr>
          </w:p>
        </w:tc>
        <w:tc>
          <w:tcPr>
            <w:tcW w:w="660" w:type="dxa"/>
            <w:vAlign w:val="bottom"/>
            <w:shd w:val="clear" w:color="auto" w:fill="70AD47"/>
          </w:tcPr>
          <w:p>
            <w:pPr>
              <w:spacing w:after="0" w:line="20" w:lineRule="exact"/>
              <w:rPr>
                <w:sz w:val="1"/>
                <w:szCs w:val="1"/>
                <w:color w:val="auto"/>
              </w:rPr>
            </w:pPr>
          </w:p>
        </w:tc>
        <w:tc>
          <w:tcPr>
            <w:tcW w:w="1600" w:type="dxa"/>
            <w:vAlign w:val="bottom"/>
            <w:tcBorders>
              <w:left w:val="single" w:sz="8" w:color="70AD47"/>
              <w:right w:val="single" w:sz="8" w:color="70AD47"/>
            </w:tcBorders>
            <w:shd w:val="clear" w:color="auto" w:fill="70AD47"/>
          </w:tcPr>
          <w:p>
            <w:pPr>
              <w:spacing w:after="0" w:line="20" w:lineRule="exact"/>
              <w:rPr>
                <w:sz w:val="1"/>
                <w:szCs w:val="1"/>
                <w:color w:val="auto"/>
              </w:rPr>
            </w:pPr>
          </w:p>
        </w:tc>
        <w:tc>
          <w:tcPr>
            <w:tcW w:w="800" w:type="dxa"/>
            <w:vAlign w:val="bottom"/>
            <w:shd w:val="clear" w:color="auto" w:fill="70AD47"/>
          </w:tcPr>
          <w:p>
            <w:pPr>
              <w:spacing w:after="0" w:line="20" w:lineRule="exact"/>
              <w:rPr>
                <w:sz w:val="1"/>
                <w:szCs w:val="1"/>
                <w:color w:val="auto"/>
              </w:rPr>
            </w:pPr>
          </w:p>
        </w:tc>
        <w:tc>
          <w:tcPr>
            <w:tcW w:w="740" w:type="dxa"/>
            <w:vAlign w:val="bottom"/>
            <w:shd w:val="clear" w:color="auto" w:fill="70AD47"/>
          </w:tcPr>
          <w:p>
            <w:pPr>
              <w:spacing w:after="0" w:line="20" w:lineRule="exact"/>
              <w:rPr>
                <w:sz w:val="1"/>
                <w:szCs w:val="1"/>
                <w:color w:val="auto"/>
              </w:rPr>
            </w:pPr>
          </w:p>
        </w:tc>
        <w:tc>
          <w:tcPr>
            <w:tcW w:w="20" w:type="dxa"/>
            <w:vAlign w:val="bottom"/>
            <w:shd w:val="clear" w:color="auto" w:fill="70AD4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the three months ended September 30, 2020, our external services business unit generated an operating loss of €0.4 million. The result decreased compared to the operating income of €0.9 million generated during the three months ended September 30, 2019 due to increased cost of sales during the</w:t>
      </w:r>
    </w:p>
    <w:p>
      <w:pPr>
        <w:spacing w:after="0" w:line="18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interim period. Overall, in the nine months ended September 30, 2020, our external services business unit generated an operating income of €1.9 million and was able to turn the operating loss of €0.3 million generated during the nine months ended September 30, 2019 around mainly by increasing revenues due to increased orders.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Related party transactions that occurred during the three and nine months ended September 30, 2020 and 2019 are explained in Note 14 to the unaudited interim condensed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Merger Agreement with BioNTech US Inc. (formerly Neon Therapeutics, Inc.)</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May 6, 2020, we acquired Neon Therapeutics, Inc. (formerly Nasdaq: NTGN), or Neon, a biotechnology company developing novel neoantigen-based T-cell therapies, through a stock transaction and including de minimis cash consideration, or the Merger. The Merger was first announced on January 16, 2020. Neon, now BioNTech US Inc., or BioNTech US, is operated as a wholly-owned subsidiary of BioNTech SE. The new subsidiary is based in Cambridge, Massachusetts and serves as our U.S. headquarters.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The transaction combines two organizations with a common culture of pioneering translational science and a shared vision for the future of cancer immunotherapy. Through the acquisition, we leverage Neon’s deep expertise in the development of neoantigen therapies, with both vaccine and T-cell capabilities. Our most advanced program acquired in the Merger is BNT221 (NEO-PTC-01), a personalized neoantigen-targeted T-cell therapy candidate consisting of multiple T-cell populations targeting the most therapeutically relevant neoantigens from each patient’s tumor. We also acquired a precision T-cell therapy program targeting shared neoantigens in genetically defined patient populations. The lead program from this approach, BNT222 (NEO-STC-01), is a T-cell therapy candidate targeting shared RAS neoantigens. In addition, Neon had assembled libraries of high-quality TCRs against various shared neoantigens across common HLAs. This pipeline is underpinned by Neon’s platform technologies including RECON®, its machine-learning bioinformatics platform, and NEO-STIM™, its proprietary process to directly prime, activate and expand neoantigen-targeting T-cells </w:t>
      </w:r>
      <w:r>
        <w:rPr>
          <w:rFonts w:ascii="Times New Roman" w:cs="Times New Roman" w:eastAsia="Times New Roman" w:hAnsi="Times New Roman"/>
          <w:sz w:val="20"/>
          <w:szCs w:val="20"/>
          <w:i w:val="1"/>
          <w:iCs w:val="1"/>
          <w:color w:val="auto"/>
        </w:rPr>
        <w:t>ex vivo</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Based on the acquisition date share price, the implied aggregate value of the merger consideration was €89.9 million ($97.1 million) financed by issuing 1,935,488 ordinary shares as a stock transaction and including a de minimis cash consideration which was paid to settle Neon’s outstanding stock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of COVID-19</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March 11, 2020, the World Health Organization declared the outbreak of COVID-19 as a pandemic, which continues to spread around the world.</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we advance our clinical programs, we are in close contact with our principal investigators and clinical sites, which are located in jurisdictions affected by the COVID-19 pandemic, and are assessing the impact of the COVID-19 pandemic on our clinical trials, expected timelines and costs on an ongoing basis. We have modified our business practices, in response to the spread of COVID-19, including restricting employee travel, developing social distancing plans for employees and cancelling physical participation in meetings, events and conferences. In addition, for certain programs, including BNT111, BNT113, BNT122, BNT141 and BNT142 (RiboMabs), BNT151 and BNT152/153 (RiboCytokines), BNT221, BNT161 (Influenza) and BNT171 (Rare Disease), the commencement of trials has been delayed, partially due to slowed patient enrollment or other delays as a result of the COVID-19 pandemic. This partial disruption, even temporary, may severely impact our operations and overall business by delaying the progress of our clinical trials and preclinical studies. Our operations, including research and manufacturing, could also be disrupted due to the potential of the impact of staff absences as a result of self-isolation procedures or extended illness. Such factors were evaluated and considered carefully when preparing this quarterly report for the three and nine months ended September 30, 2020. We will continue to evaluate potential effects of the COVID-19 pandemic.</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COVID-19 Collaborations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Aiming at preventing COVID-19, our BNT162 program is evaluating multiple vaccine candidates, including BNT162b2 as the lead candidate currently being developed in a global Phase 3 trial. As part of the program, we executed two strategic collaborations with large pharmaceutical companies to globally develop our vaccine candidates and to support a global supply of a potential vaccine upon approval. The collaboration with Pfizer aims to rapidly advance multiple COVID-19 vaccine candidates based on our proprietary mRNA vaccine technology. As part of our strategic collaboration, we and Fosun Pharma will jointly conduct clinical trials in China, leveraging our proprietary mRNA vaccine technology and Fosun Pharma’s clinical development and commercialization capabilities in China. Fosun Pharma will commercialize the vaccine in China upon regulatory approval.</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collaboration and license agreement entered into with Fosun Pharma includes a non-refundable upfront cash payment of €0.9 million ($1.0 million) as well as an equity investment of €45.6 million ($50.0 million), both received in April 2020. The issuance of 1,580,777 ordinary shares with the nominal amount of €1.6 million was registered within the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 as of April 23, 2020. BioNTech is eligible to receive future milestone payments of up to $84.0 million. One development milestone with an amount of €1.7 million was achieved and received by us in September.</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Under the terms of the agreement, Pfizer agreed to pay us $185.0 million in upfront payments, including an equity investment of €103.9 million ($113.0 million) and a cash payment of €66.3 million ($72.0 million) which were received in two installments in late April 2020 and May 2020. The issuance of 2,377,446 ordinary shares with the nominal amount of € 2.4 million was registered with the commercial register (</w:t>
      </w:r>
      <w:r>
        <w:rPr>
          <w:rFonts w:ascii="Times New Roman" w:cs="Times New Roman" w:eastAsia="Times New Roman" w:hAnsi="Times New Roman"/>
          <w:sz w:val="20"/>
          <w:szCs w:val="20"/>
          <w:i w:val="1"/>
          <w:iCs w:val="1"/>
          <w:color w:val="auto"/>
        </w:rPr>
        <w:t>Handelsregister</w:t>
      </w:r>
      <w:r>
        <w:rPr>
          <w:rFonts w:ascii="Times New Roman" w:cs="Times New Roman" w:eastAsia="Times New Roman" w:hAnsi="Times New Roman"/>
          <w:sz w:val="20"/>
          <w:szCs w:val="20"/>
          <w:color w:val="auto"/>
        </w:rPr>
        <w:t>) on May 5, 2020. We are eligible to receive future milestone payments of up to $563.0 million for potential aggregate consideration of $748.0 million.</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and Pfizer are jointly conducting clinical trials for COVID-19 vaccine candidates across approximately 150 clinical trial sites globally. In late April 2020, we and Pfizer announced that the German regulatory authority, the Paul-Ehrlich-Institut, approved the Phase 1/2 clinical trial and the first patients in the first cohort of the Phase 1/2 clinical trial were dosed shortly thereafter. In early May 2020, Pfizer and we initiated a clinical trial for BNT162 in the U.S. and the first participants were dosed shortly thereafter.</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clinical development stage, we and our partners are providing clinical supply of the vaccine from our and our partners’ GMP-certified mRNA manufacturing facilities in Europe. We and Pfizer are working together to scale-up manufacturing capacity at risk to support a global supply upon approval in order to help address the pandemic. If the vaccine candidate is approved, we and Pfizer would work jointly to commercialize the vaccine worldwide (excluding China which is covered by the collaboration with Fosun Pharma).</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and Pfizer previously announced commercial supply agreements for 2020 and 2021 – totaling more than 570 million doses, including options to purchase an additional 600 million doses – with multiple governments, including Canada, Japan, the UK, the U.S. and the EU. All agreements are subject to clinical success and regulatory approval.</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Based on preclinical and clinical data observed to date, we and Pfizer have progressed our BNT162 program into a Phase 2b/3 trial which commenced in late July 2020. For the initial Phase 2b/3 trial, we selected our nucleoside-modified mRNA (modRNA) vaccine candidate variant targeting the 2P-mutated full spike protein, BNT162b2. Both BNT162b2 and our BNT162b1 vaccine candidate, which uses modRNA and encodes the receptor binding domain antigen, received Fast Track status from the FDA. On the basis of data collected and analyzed for BNT162b1 and BNT162b2, including the overall observed safety, tolerability and immunogenicity profiles for each vaccine candidate at different dose levels, along with input from the FDA, we selected BNT162b2 as our lead candidate to take into a Phase 2b/3 trial.</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 August, we and Fosun initiated a Phase 1 study to evaluate safety and immunogenicity in Chinese participants. We expect to initiate a Phase 2 clinical trial in China with BNT162b2 upon regulatory IND approval from the Chinese regulatory authority, National Medical Products Administration (NMPA), by the end of 2020.</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October 6, 2020, we announced the initiation of a rolling submission to the European Medicines Agency (EMA) for BNT162b2. The EMA’s decision to start a rolling review follows the encouraging preliminary results from pre-clinical and early clinical studies in adults, which suggest that BNT162b2 triggers the production of neutralizing antibodies and TH-1 dominant CD4+ and CD8+ T cells that target SARS-CoV-2. A combination of an antibody and T cell response is believed to be important in eliciting protection against viral infection and disease. We and Pfizer plan to work with the EMA’s Committee for Medicinal Products for Human Use (CHMP) to complete the rolling review process to facilitate the final Marketing Authorization Application (MAA).</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October 21, 2020 we and Pfizer announced initiation of a Phase 1/2 clinical trial in Japan to evaluate safety, tolerability and immunogenicity of two doses separated by 21 days and a single dose of BNT162b2. The randomized, placebo-controlled, and observer-blind study is being conducted in healthy adults ages 20 to 85.</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BNT162b2 demonstrated evidence of efficacy against COVID-19 in participants without prior evidence of SARS-CoV-2 infection, based on the first interim efficacy analysis from the Phase 3 clinical study conducted on November 8, 2020, by an external, independent Data Monitoring Committee (DMC). After discussion with the FDA, we and Pfizer recently elected to drop the 32-case interim analysis and conduct the first interim analysis at a minimum of 62 cases. Upon conclusion of those discussions, the evaluable case count reached 94 and the DMC performed its first analysis on all cases. The case split between vaccinated individuals and those who received the placebo indicates a vaccine efficacy rate above 90%, at seven days after the second dose. This means that protection is achieved 28 days after the initiation of the vaccination, which consists of a 2-dose schedule. As the study continues, the final vaccine efficacy percentage may vary. The DMC has not reported any serious safety concerns and recommends that the study continues to collect additional safety and efficacy data as planned. We and Pfizer plan to submit data from the full Phase 3 trial for scientific peer-review publication.</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Phase 3 clinical trial of BNT162b2 began on July 27 and has enrolled 43,538 participants to date, 38,955 of whom have received a second dose of the vaccine candidate as of November 8, 2020. Approximately 42% of global participants and 30% of U.S. participants have racially and ethnically diverse backgrounds. The trial is continuing to enroll and is expected to continue through the final analysis when a total of 164 confirmed COVID-19 cases have accrued.</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to the primary efficacy endpoints evaluating confirmed COVID-19 cases accruing from seven days after the second dose, the final analysis now will include, with the approval of the FDA, new secondary endpoints evaluating efficacy based on cases accruing 14 days after the second dose as well. The companies believe that the addition of these secondary endpoints will help align data across all COVID-19 vaccine studies and allow for cross-trial learnings and comparisons between these novel vaccine platforms.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Use of Estimates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unaudited interim condensed consolidated financial statements for the three and nine months ended September 30, 2020 have been prepared in accordance with IFRS, as issued by the IASB.</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accordance with IFRS requires the use of estimates and assumptions by the management that affect the value of assets and liabilities—as well as contingent assets and liabilities—as reported on the balance sheet date, and revenues and expenses arising during the respective reporting period. The main areas in which assumptions, estimates and the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5" w:name="page56"/>
    <w:bookmarkEnd w:id="55"/>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exercising of a degree of discretion are appropriate relate to the determination of the useful lives of non-current assets, establishing the fair value of intangibles and derivatives, the formation of provisions, as well as income taxes. We base our assumptions and estimates on parameters available when the consolidated financial statements are prepared. Existing circumstances and assumptions about future developments, however, may change due to market changes or circumstances arising that are beyond our control. Hence, our estimates may vary from the actual values.</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Our critical accounting policies are those related to revenue recognition, research and development expenses, share-based compensation, fair value measurement of share-based awards as well as taxes. Our critical accounting policies are discussed further in Item 5 of our Annual Report on Form 20-F as of and for the year ended December 31, 2019 as well as Note 2.3 to our consolidated financial statements included in that Annual Report. Our accounting policies have been specified as described in Note 2 to the unaudited interim condensed consolidated financial statements. Actual results in the areas related to critical accounting estimates could differ from management’s estimates.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Liquidity and Capital Resources</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historically funded our operations primarily from private placements of our ordinary shares, from issuing ordinary shares in connection with our initial public offering, proceeds from collaborators and services and proceeds from secured bank loans. Recently we issued a convertible note as part of a private investment. As of September 30, 2020, we had cash and cash equivalents of €990.5 million. Cash and cash equivalents are invested in accordance with our investment policy, primarily with a view to liquidity and capital preservation, and consist primarily of cash in banks and on hand and short-term deposits with an original maturity of three months or less, which are stated at fair value.</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maintain two secured loans with Deutsche Bank AG, or Deutsche Bank, to finance the buildouts of our JPT Peptide Technologies GmbH facility and Innovative Manufacturing Services GmbH facility. Our €10.0 million secured credit facility, entered into with Deutsche Bank by our subsidiary BioNTech Innovative Manufacturing Services GmbH, bears interest at a rate of 2.15% and matures on December 30, 2027. The loan is repayable in equal quarterly installments of k€322.6 commencing on June 30, 2020. As of September 30, 2020, the full amount under this facility is drawn down and the first two scheduled repayments have occurred. Our €9.45 million secured credit facility, entered into with Deutsche Bank by our subsidiary JPT Peptide Technologies GmbH, bears interest at a rate of 2.08% and matures on September 30, 2028. The loan is repayable by quarterly installments of k€286.4 commencing on September 30, 2020. As of September 30, 2020, the full amount under this facility is drawn down and the first scheduled repayment has occurred. Each of these facilities is secured by liens over our property.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In December 2019, we signed a financing arrangement with the European Investment Bank, or the EIB, to partially support the implementation of certain technical aspects of our investment in the development of patient-tailored therapeutic vaccines for cancer in Germany, or the Investment. Under this arrangement, the EIB has agreed to provide us with a credit in an amount of up to €50 million to partially finance the Investment, provided that the amount of credit does not exceed 50% of the cost of the Investment. The credit consists of</w:t>
      </w:r>
    </w:p>
    <w:p>
      <w:pPr>
        <w:spacing w:after="0" w:line="1" w:lineRule="exact"/>
        <w:rPr>
          <w:sz w:val="20"/>
          <w:szCs w:val="20"/>
          <w:color w:val="auto"/>
        </w:rPr>
      </w:pPr>
    </w:p>
    <w:p>
      <w:pPr>
        <w:jc w:val="both"/>
        <w:ind w:firstLine="8"/>
        <w:spacing w:after="0"/>
        <w:tabs>
          <w:tab w:leader="none" w:pos="23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term loan in the amount of €25 million that may be drawn in a single tranche upon the achievement of certain milestone events, not all of which have been achieved (Credit A), and (ii) a term loan in the amount of €25 million that may be drawn in a maximum of four tranches each of which must be for a minimum of €5 million or the balance of the remaining facility (Credit B). Tranches under Credit B may only be drawn after Credit A has been drawn down and upon the achievement of certain milestone events. Each tranche under Credit A and Credit B must be repaid within six years from the date on which the tranche is disbursed to us. Interest is payable on the outstanding balance of Credit A at the cash interest fixed rate of 1% per annum quarterly in arrears, plus deferred interest at fixed rate of 5% per annum. We pay interest on the outstanding balance of Credit B at the cash interest fixed rate of 2% per annum quarterly in arrears. In addition, we are obligated to pay the EIB a tiered proportion of drug product revenues received by us ranging from less than single-digit</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to low single-digit percentages. The profit participation right will end at the end of a six-year period beginning in 2023 or when the EIB has received €15 million in profit participation payments, whichever occurs first. The financing arrangement is to be secured by way of liens over certain of our property.</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June 2020, we entered into an agreement with the EIB for a €100 million credit facility to partially support the development of BNT162 and fund expansion of our manufacturing capacity to provide worldwide supply of BNT162 in response to the COVID-19 pandemic. Under this arrangement, the EIB agreed to provide us with a credit in an amount up to €100 million to partially finance such development and expansion. The credit consists of (i) a term loan in the amount of €50 million that may be drawn in a single tranche upon the achievement of certain milestone events (Credit A), and (ii) a term loan in the amount of €50 million that may be drawn in a single tranche (Credit B). Credit B may only be drawn after Credit A has been drawn down and upon the achievement of certain milestone events. Each tranche under Credit A and Credit B must be repaid within six years from the date on which the tranche is disbursed. As of September 30, 2020, there has been no draw down.</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July 27, 2020, 5,500,000 ADS each representing one of our ordinary shares were offered on the Nasdaq Global Select Market at a public offering price of $93.00 per ADS (“Underwritten Offering”). On August 27, 2020, following the Underwritten Offering, 16,124 ADS each representing one of our ordinary shares were issued additionally at a public offering price of $93.00 per ADS (“Rights Offering”). The Underwritten Offering and the Rights Offering are part of a single, global offering which we refer to as the Global Offering. The gross proceeds of the Global Offering were €436.3 million ($513.0 million).</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 fund associated with Temasek Capital Management Pte. Ltd., or Temasek, and another accredited investor have contributed a private investment which we refer to as the “June 2020 Private Placement”. The private placement includes an investment in a 4-year mandatory convertible note and an investment in ordinary shares. The €100.0 million four-year mandatory convertible note has a coupon of 4.5% per annum and a conversion premium of 20% above the reference price. Subject to customary closing conditions, the investment closed as of August 28, 2020. The investment of €123.9 million for 2,595,996 of our ordinary shares is subject to a 180-day lock-up agreement and was registered with the commercial register (Handelsregister) on September 8, 2020.</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September 2020, we became eligible to receive up to €375.0 million in funding from an initiative by the German Federal Ministry of Education (</w:t>
      </w:r>
      <w:r>
        <w:rPr>
          <w:rFonts w:ascii="Times New Roman" w:cs="Times New Roman" w:eastAsia="Times New Roman" w:hAnsi="Times New Roman"/>
          <w:sz w:val="20"/>
          <w:szCs w:val="20"/>
          <w:i w:val="1"/>
          <w:iCs w:val="1"/>
          <w:color w:val="auto"/>
        </w:rPr>
        <w:t>Bundesministerium für Bildung und Forschung</w:t>
      </w:r>
      <w:r>
        <w:rPr>
          <w:rFonts w:ascii="Times New Roman" w:cs="Times New Roman" w:eastAsia="Times New Roman" w:hAnsi="Times New Roman"/>
          <w:sz w:val="20"/>
          <w:szCs w:val="20"/>
          <w:color w:val="auto"/>
        </w:rPr>
        <w:t>, or the BMBF) to support our COVID-19 vaccine program BNT162. The milestone-based BMBF funding will be used to accelerate our vaccine development, as well as for upscaling of manufacturing capabilities in Germany. As of September 30, 2020, €8.5 million were recorded as other current asset since they relate to amounts drawn down for which there is reasonable assurance that the government grant will be received, and all conditions, wholly in our control, will be complied with. The funding drawn down represents a compensation for expenses already incurred in the period ended September 30, 2020. Therefore, €8.5 million were recognized as other operating income within the statements of operations during the three months ended September 30, 2020.</w:t>
      </w:r>
    </w:p>
    <w:p>
      <w:pPr>
        <w:spacing w:after="0" w:line="198"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Cash Flow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primary sources and uses of cash for each period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30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20" w:type="dxa"/>
            <w:vAlign w:val="bottom"/>
          </w:tcPr>
          <w:p>
            <w:pPr>
              <w:spacing w:after="0"/>
              <w:rPr>
                <w:sz w:val="20"/>
                <w:szCs w:val="20"/>
                <w:color w:val="auto"/>
              </w:rPr>
            </w:pPr>
          </w:p>
        </w:tc>
        <w:tc>
          <w:tcPr>
            <w:tcW w:w="23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20" w:type="dxa"/>
            <w:vAlign w:val="bottom"/>
            <w:tcBorders>
              <w:right w:val="single" w:sz="8" w:color="70AD47"/>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70AD47"/>
              <w:right w:val="single" w:sz="8" w:color="70AD47"/>
            </w:tcBorders>
            <w:vMerge w:val="continue"/>
          </w:tcPr>
          <w:p>
            <w:pPr>
              <w:spacing w:after="0"/>
              <w:rPr>
                <w:sz w:val="19"/>
                <w:szCs w:val="19"/>
                <w:color w:val="auto"/>
              </w:rPr>
            </w:pPr>
          </w:p>
        </w:tc>
        <w:tc>
          <w:tcPr>
            <w:tcW w:w="2300" w:type="dxa"/>
            <w:vAlign w:val="bottom"/>
            <w:tcBorders>
              <w:bottom w:val="single" w:sz="8" w:color="70AD47"/>
            </w:tcBorders>
            <w:gridSpan w:val="2"/>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820" w:type="dxa"/>
            <w:vAlign w:val="bottom"/>
            <w:tcBorders>
              <w:bottom w:val="single" w:sz="8" w:color="70AD47"/>
            </w:tcBorders>
          </w:tcPr>
          <w:p>
            <w:pPr>
              <w:spacing w:after="0"/>
              <w:rPr>
                <w:sz w:val="19"/>
                <w:szCs w:val="19"/>
                <w:color w:val="auto"/>
              </w:rPr>
            </w:pPr>
          </w:p>
        </w:tc>
        <w:tc>
          <w:tcPr>
            <w:tcW w:w="20" w:type="dxa"/>
            <w:vAlign w:val="bottom"/>
            <w:tcBorders>
              <w:bottom w:val="single" w:sz="8" w:color="70AD47"/>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20" w:type="dxa"/>
            <w:vAlign w:val="bottom"/>
            <w:tcBorders>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from (used in):</w:t>
            </w:r>
          </w:p>
        </w:tc>
        <w:tc>
          <w:tcPr>
            <w:tcW w:w="1580" w:type="dxa"/>
            <w:vAlign w:val="bottom"/>
            <w:tcBorders>
              <w:right w:val="single" w:sz="8" w:color="70AD47"/>
            </w:tcBorders>
            <w:shd w:val="clear" w:color="auto" w:fill="C6E0B4"/>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shd w:val="clear" w:color="auto" w:fill="70AD47"/>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€(262,738)</w:t>
            </w: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€(134,910)</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Borders>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580" w:type="dxa"/>
            <w:vAlign w:val="bottom"/>
            <w:tcBorders>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(45,012)</w:t>
            </w: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(67,046)</w:t>
            </w:r>
          </w:p>
        </w:tc>
        <w:tc>
          <w:tcPr>
            <w:tcW w:w="20" w:type="dxa"/>
            <w:vAlign w:val="bottom"/>
            <w:shd w:val="clear" w:color="auto" w:fill="70AD47"/>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20" w:type="dxa"/>
            <w:vAlign w:val="bottom"/>
            <w:tcBorders>
              <w:bottom w:val="single" w:sz="8" w:color="70AD47"/>
              <w:right w:val="single" w:sz="8" w:color="70AD47"/>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color w:val="auto"/>
              </w:rPr>
              <w:t>778,427</w:t>
            </w:r>
          </w:p>
        </w:tc>
        <w:tc>
          <w:tcPr>
            <w:tcW w:w="720" w:type="dxa"/>
            <w:vAlign w:val="bottom"/>
            <w:tcBorders>
              <w:bottom w:val="single" w:sz="8" w:color="70AD47"/>
            </w:tcBorders>
          </w:tcPr>
          <w:p>
            <w:pPr>
              <w:spacing w:after="0"/>
              <w:rPr>
                <w:sz w:val="20"/>
                <w:szCs w:val="20"/>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color w:val="auto"/>
              </w:rPr>
              <w:t>253,723</w:t>
            </w:r>
          </w:p>
        </w:tc>
        <w:tc>
          <w:tcPr>
            <w:tcW w:w="20" w:type="dxa"/>
            <w:vAlign w:val="bottom"/>
            <w:tcBorders>
              <w:bottom w:val="single" w:sz="8" w:color="70AD47"/>
            </w:tcBorders>
            <w:shd w:val="clear" w:color="auto" w:fill="70AD4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tcBorders>
              <w:bottom w:val="single" w:sz="8" w:color="70AD47"/>
              <w:right w:val="single" w:sz="8" w:color="70AD47"/>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inflow</w:t>
            </w:r>
          </w:p>
        </w:tc>
        <w:tc>
          <w:tcPr>
            <w:tcW w:w="1580" w:type="dxa"/>
            <w:vAlign w:val="bottom"/>
            <w:tcBorders>
              <w:bottom w:val="single" w:sz="8" w:color="70AD47"/>
              <w:right w:val="single" w:sz="8" w:color="70AD47"/>
            </w:tcBorders>
            <w:shd w:val="clear" w:color="auto" w:fill="C6E0B4"/>
          </w:tcPr>
          <w:p>
            <w:pPr>
              <w:jc w:val="right"/>
              <w:spacing w:after="0"/>
              <w:rPr>
                <w:sz w:val="20"/>
                <w:szCs w:val="20"/>
                <w:color w:val="auto"/>
              </w:rPr>
            </w:pPr>
            <w:r>
              <w:rPr>
                <w:rFonts w:ascii="Times New Roman" w:cs="Times New Roman" w:eastAsia="Times New Roman" w:hAnsi="Times New Roman"/>
                <w:sz w:val="18"/>
                <w:szCs w:val="18"/>
                <w:b w:val="1"/>
                <w:bCs w:val="1"/>
                <w:color w:val="auto"/>
              </w:rPr>
              <w:t>€470,677</w:t>
            </w:r>
          </w:p>
        </w:tc>
        <w:tc>
          <w:tcPr>
            <w:tcW w:w="720" w:type="dxa"/>
            <w:vAlign w:val="bottom"/>
            <w:tcBorders>
              <w:bottom w:val="single" w:sz="8" w:color="70AD47"/>
            </w:tcBorders>
          </w:tcPr>
          <w:p>
            <w:pPr>
              <w:spacing w:after="0"/>
              <w:rPr>
                <w:sz w:val="19"/>
                <w:szCs w:val="19"/>
                <w:color w:val="auto"/>
              </w:rPr>
            </w:pPr>
          </w:p>
        </w:tc>
        <w:tc>
          <w:tcPr>
            <w:tcW w:w="820" w:type="dxa"/>
            <w:vAlign w:val="bottom"/>
            <w:tcBorders>
              <w:bottom w:val="single" w:sz="8" w:color="70AD47"/>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€51,767</w:t>
            </w:r>
          </w:p>
        </w:tc>
        <w:tc>
          <w:tcPr>
            <w:tcW w:w="20" w:type="dxa"/>
            <w:vAlign w:val="bottom"/>
            <w:tcBorders>
              <w:bottom w:val="single" w:sz="8" w:color="70AD47"/>
            </w:tcBorders>
            <w:shd w:val="clear" w:color="auto" w:fill="70AD47"/>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We derive cash flows from operations primarily from collaborations, the sale of products and services rendered. Our cash flows from operating activities are significantly influenced by our use of cash for operating expenses and working capital to support the business. We have historically experienced negative cash flows from operating activities as we have invested in the development of our technologies and manufacturing capabilities, as well as for clinical and preclinical development of our product candidates.</w:t>
      </w:r>
    </w:p>
    <w:p>
      <w:pPr>
        <w:spacing w:after="0" w:line="18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Net cash used in operating activities for the nine months ended September 30, 2020 was €262.7 million, comprising a loss before tax of €351.4 million, non-cash adjustments of €50.1 million, and a net positive change in assets and liabilities of €39.7 million. Non-cash items primarily included depreciation and amortization, share-based compensation expenses, non-cash effective finance expenses as well as an offsetting effect from government grant income not yet received in cash. The net change in assets and liabilities includes two offsetting effects: the amounts spent in advance for future services and products are overcompensated by the increase in liabilities outstanding on shared development expenses under our COVID-19 collaboration which were initially incurred by the collaboration partner Pfizer and subsequently charged to us.</w:t>
      </w:r>
    </w:p>
    <w:p>
      <w:pPr>
        <w:spacing w:after="0" w:line="18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Net cash used in operating activities for the nine months ended September 30, 2019 was €134.9 million, comprising a loss before tax of €120.9 million, non-cash adjustments of €46.8 million, and a net negative change in assets and liabilities of €60.4 million. Non-cash items primarily included depreciation and amortization as well as share-based compensation expenses. The net negative change in assets and liabilities was primarily due to a decrease in contract liabilities.</w:t>
      </w:r>
    </w:p>
    <w:p>
      <w:pPr>
        <w:spacing w:after="0" w:line="18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Overall, the increase in net cash used in operating activities from the nine months ended September 30, 2019 to the nine months ended September 30, 2020 was primarily due to an increase in spending on development expenses from our BNT162 program, our vaccine program against COVID-19.</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Net cash used in investing activities for the nine months ended September 30, 2020 was €45.0 million, of which €40.7 million was attributable to the purchase of property, plant and equipment, mainly including the amounts spent with respect to the new buildings at our BioNTech IMFS facility in Idar-Oberstein and €5.2 million was attributable to the purchase of intangible assets. The net cash used attributable to the acquisition of assets, employees and proprietary know-how of Lipocalyx GmbH and its related parties based in Halle, Germany was offset by the net cash acquired attributable to the acquisition of Neon.</w:t>
      </w:r>
    </w:p>
    <w:p>
      <w:pPr>
        <w:spacing w:after="0" w:line="19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58" w:name="page59"/>
    <w:bookmarkEnd w:id="58"/>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Net cash used in investing activities for the nine months ended September 30, 2019 was €67.0 million of which €32.9 million was attributable to the purchase of intangible assets, including the final installment payment for the license agreement for the CellScript patent and €28.6 million was attributable to the purchase of property, plant and equipment, partially offset by proceeds from the sale of property, plant and equipment amounting to €0.6 million. In addition, €6.1 million was attributable to the acquisition of MAB Discovery GmbH’s operational antibody generation unit based near Munich, Germany.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primary financing activities consist of issuances of share capital and other funding contributions, proceeds from bank loans as well as payments of finance lease liabilities.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nine months ended September 30, 2020, we generated cash from financing activities of €778.4 million, primarily from proceeds from the issuance of shares in the amount of €680.1 million received from Fosun Pharma via Fosun Industrial Co., Limited, Hong Kong, Pfizer, the Global Offering as well as the June 2020 Private Placement, net of transaction costs related to all financing transactions. In addition, €102.4 million proceeds from loans and borrowings were generated mainly from issuing a 4-year mandatory convertible note.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nine months ended September 30, 2019, we generated cash from financing activities of €253.7 million, primarily from proceeds from the issuance of shares in the amount of €247.9 million, partially offset by the payment of finance lease liabilities in the amount of €2.2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 and Funding Requirements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Since our inception, we have incurred significant losses and negative cash flows from operations due to our significant research and development expenses and our investment in our manufacturing capabilities. We have accumulated losses of €776.5 million as of September 30, 2020 and €424.8 million as of December 31, 2019. We may incur losses for the foreseeable future and expect our expenses to increase in connection with our ongoing activities, particularly as we continue research and development and clinical activities for our product candidates. Our expenses will also increase if, and as, we:</w:t>
      </w:r>
    </w:p>
    <w:p>
      <w:pPr>
        <w:spacing w:after="0" w:line="77" w:lineRule="exact"/>
        <w:rPr>
          <w:sz w:val="20"/>
          <w:szCs w:val="20"/>
          <w:color w:val="auto"/>
        </w:rPr>
      </w:pP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or expand our research or development of our programs in preclinical development;</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or expand the scope of our clinical trials for our product candidates;</w:t>
      </w:r>
    </w:p>
    <w:p>
      <w:pPr>
        <w:ind w:left="900" w:hanging="447"/>
        <w:spacing w:after="0" w:line="239" w:lineRule="auto"/>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additional preclinical studies or clinical or other trials for our product candidates, including under our collaboration agreements;</w:t>
      </w: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invest in our immunotherapy platforms to conduct research to identify novel technologies;</w:t>
      </w: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or add to internal manufacturing capacity or capability;</w:t>
      </w: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or add additional suppliers;</w:t>
      </w:r>
    </w:p>
    <w:p>
      <w:pPr>
        <w:ind w:left="900" w:hanging="447"/>
        <w:spacing w:after="0" w:line="239" w:lineRule="auto"/>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additional infrastructure to our quality control, quality assurance, legal, compliance and other groups to support our operations as we progress our product candidates toward commercialization;</w:t>
      </w: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and retain skilled personnel;</w:t>
      </w:r>
    </w:p>
    <w:p>
      <w:pPr>
        <w:ind w:left="900" w:hanging="447"/>
        <w:spacing w:after="0" w:line="239" w:lineRule="auto"/>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additional infrastructure to support our operations as a public company and our product development and planned future commercialization efforts, including expansion of sites in Germany and new sites in the United States;</w:t>
      </w: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marketing approvals and reimbursement for our product candidates;</w:t>
      </w:r>
    </w:p>
    <w:p>
      <w:pPr>
        <w:ind w:left="900" w:hanging="447"/>
        <w:spacing w:after="0" w:line="239" w:lineRule="auto"/>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sales, marketing and distribution infrastructure to commercialize any products for which we may obtain marketing approval;</w:t>
      </w: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to identify and validate additional product candidates;</w:t>
      </w: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in-license other product candidates and technologies;</w:t>
      </w: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milestone or other payments under any in-license agreements;</w:t>
      </w: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protect, defend, enforce and expand our intellectual property portfolio; and</w:t>
      </w:r>
    </w:p>
    <w:p>
      <w:pPr>
        <w:ind w:left="900" w:hanging="447"/>
        <w:spacing w:after="0"/>
        <w:tabs>
          <w:tab w:leader="none" w:pos="9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any delays or encounter issues with any of the above.</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9" w:name="page60"/>
    <w:bookmarkEnd w:id="59"/>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We are subject to all of the risks related to the development and commercialization of pharmaceutical products, and we may encounter unforeseen expenses, difficulties, complications, delays and other unknown factors that may adversely affect our business.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Mainly influenced by the spending related to our BNT162 program, we expect the net cash used in operating activities and for investments into property, plant and equipment to be between €450 million and €600 million in the full year 2020, likely to hit the upper end of the range due to our acquisition of the manufacturing facility in Marburg. We anticipate that existing cash and cash equivalents, without considering any potential proceeds from the shelf registration statement filed and the Sales Agreement entered with Jefferies and Leerink for an at-the-market offering program, will enable us to fund our operating expenses and capital requirements through at least the next 24 months if we do not generate cash from commercialization of the BNT162 COVID-19 vaccine.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future funding requirements will depend on many factors, including, but not limited to:</w:t>
      </w:r>
    </w:p>
    <w:p>
      <w:pPr>
        <w:spacing w:after="0" w:line="108" w:lineRule="exact"/>
        <w:rPr>
          <w:sz w:val="20"/>
          <w:szCs w:val="20"/>
          <w:color w:val="auto"/>
        </w:rPr>
      </w:pPr>
    </w:p>
    <w:p>
      <w:pPr>
        <w:ind w:left="900" w:hanging="447"/>
        <w:spacing w:after="0"/>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initiation, progress, timing, costs and results of preclinical or nonclinical studies and clinical trials for our product candidates;</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receive approval for a COVID-19 vaccine, and the amount and timing of revenues for any such vaccine if approved;</w:t>
      </w:r>
    </w:p>
    <w:p>
      <w:pPr>
        <w:spacing w:after="0" w:line="11" w:lineRule="exact"/>
        <w:rPr>
          <w:rFonts w:ascii="Times New Roman" w:cs="Times New Roman" w:eastAsia="Times New Roman" w:hAnsi="Times New Roman"/>
          <w:sz w:val="19"/>
          <w:szCs w:val="19"/>
          <w:color w:val="auto"/>
        </w:rPr>
      </w:pPr>
    </w:p>
    <w:p>
      <w:pPr>
        <w:ind w:left="900" w:hanging="447"/>
        <w:spacing w:after="0"/>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research and our other platform activities;</w:t>
      </w:r>
    </w:p>
    <w:p>
      <w:pPr>
        <w:ind w:left="900" w:hanging="447"/>
        <w:spacing w:after="0"/>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development plans we establish for our product candidates;</w:t>
      </w:r>
    </w:p>
    <w:p>
      <w:pPr>
        <w:ind w:left="900" w:hanging="447"/>
        <w:spacing w:after="0"/>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any agreements with our current or future collaborators;</w:t>
      </w:r>
    </w:p>
    <w:p>
      <w:pPr>
        <w:ind w:left="900" w:hanging="447"/>
        <w:spacing w:after="0"/>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characteristics of product candidates that we develop or may in-license;</w:t>
      </w:r>
    </w:p>
    <w:p>
      <w:pPr>
        <w:ind w:left="900" w:hanging="447"/>
        <w:spacing w:after="0" w:line="239" w:lineRule="auto"/>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timing and cost of meeting regulatory requirements established by the FDA, European Medicines Agency and other comparable regulatory authorities;</w:t>
      </w:r>
    </w:p>
    <w:p>
      <w:pPr>
        <w:jc w:val="both"/>
        <w:ind w:left="900" w:hanging="447"/>
        <w:spacing w:after="0" w:line="239" w:lineRule="auto"/>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1" w:lineRule="exact"/>
        <w:rPr>
          <w:rFonts w:ascii="Times New Roman" w:cs="Times New Roman" w:eastAsia="Times New Roman" w:hAnsi="Times New Roman"/>
          <w:sz w:val="20"/>
          <w:szCs w:val="20"/>
          <w:color w:val="auto"/>
        </w:rPr>
      </w:pPr>
    </w:p>
    <w:p>
      <w:pPr>
        <w:ind w:left="900" w:hanging="447"/>
        <w:spacing w:after="0" w:line="239" w:lineRule="auto"/>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competing technological and market developments, including other products that may compete with one or more of our product candidates;</w:t>
      </w:r>
    </w:p>
    <w:p>
      <w:pPr>
        <w:ind w:left="900" w:hanging="447"/>
        <w:spacing w:after="0" w:line="239" w:lineRule="auto"/>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completion and further expansion of clinical and commercial scale manufacturing activities sufficient to support all of our current and future programs; and</w:t>
      </w:r>
    </w:p>
    <w:p>
      <w:pPr>
        <w:ind w:left="900" w:hanging="447"/>
        <w:spacing w:after="0" w:line="246" w:lineRule="auto"/>
        <w:tabs>
          <w:tab w:leader="none" w:pos="9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Risk Factors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Our business is subject to various risks, including those described below. You should consider carefully the risks and uncertainties described below and in our future filings. If any of the following risks are realized, our business, financial condition, results of operations and prospects could be materially and adversely affected. Additionally, risks and uncertainties not currently known to us or that we currently deem to be immaterial also may materially adversely affect our business, financial condition, results of operations and/or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 and Capital Requirements</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are a clinical-stage biopharmaceutical company with no pharmaceutical products approved for commercial sale. We have incurred significant losses since our inception and we anticipate that we</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will continue to incur significant losses for the foreseeable future, which makes it difficult to assess our future viability.</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have incurred net losses in each year since our inception in 2008, including net losses of €179.2 million and €48.3 million for the years ended December 31, 2019 and December 31, 2018, respectively and €351.7 million and €120.9 million for the nine months ended September 30, 2020 and September 30, 2019, respectively. As of September 30, 2020, we had accumulated losses of €776.5 million. We have devoted most of our financial resources to research and development, including our clinical and preclinical development activities and the development of our platforms. To date, we have financed our operations primarily through the sale of equity securities and proceeds from collaborations and, to a lesser extent, through revenue from manufacturing operations and grants from governmental and private organizations. The amount of our future net losses will depend, in part, on the rate of our future expenditures and our ability to obtain funding through equity or debt financings, sales of assets, collaborations or grants. We have not completed pivotal clinical trials for our programs and do not have a product candidate ready for commercialization. Even if we obtain regulatory approval to market a product candidate, our future revenues will depend upon the size of any markets in which our product candidates have received approval, and our ability to achieve sufficient market acceptance, reimbursement from third-party payors, and adequate market share in those markets. We may never achieve profitability.</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expect to continue to incur significant expenses and increasing operating losses for the foreseeable future. We anticipate that our expenses will increase substantially if and as we and our collaborators:</w:t>
      </w:r>
    </w:p>
    <w:p>
      <w:pPr>
        <w:spacing w:after="0" w:line="159" w:lineRule="exact"/>
        <w:rPr>
          <w:sz w:val="20"/>
          <w:szCs w:val="20"/>
          <w:color w:val="auto"/>
        </w:rPr>
      </w:pP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or expand our research or development of our programs in preclinical development;</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or expand the scope of our clinical trials for our product candidates;</w:t>
      </w: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additional preclinical, clinical, or other trials for our product candidates, including under our collaboration agreements;</w:t>
      </w: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invest in our immunotherapy platforms to conduct research to identify novel technologies;</w:t>
      </w: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or add to internal manufacturing capacity or capability;</w:t>
      </w: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or add additional suppliers;</w:t>
      </w:r>
    </w:p>
    <w:p>
      <w:pPr>
        <w:ind w:left="900" w:hanging="447"/>
        <w:spacing w:after="0" w:line="239" w:lineRule="auto"/>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additional infrastructure to our quality control, quality assurance, legal, compliance and other groups to support our operations as we progress our product candidates toward commercialization;</w:t>
      </w: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and retain skilled personnel;</w:t>
      </w:r>
    </w:p>
    <w:p>
      <w:pPr>
        <w:ind w:left="900" w:right="300" w:hanging="447"/>
        <w:spacing w:after="0" w:line="239" w:lineRule="auto"/>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additional infrastructure to support our operations as a public company and our product development and planned future commercialization efforts, including expansion of sites in Germany and new sites in the United States;</w:t>
      </w: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marketing approvals and reimbursement for our product candidates;</w:t>
      </w:r>
    </w:p>
    <w:p>
      <w:pPr>
        <w:ind w:left="900" w:right="360" w:hanging="447"/>
        <w:spacing w:after="0" w:line="239" w:lineRule="auto"/>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sales, marketing, and distribution infrastructure to commercialize any products for which we may obtain marketing approval;</w:t>
      </w: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to identify and validate additional product candidates;</w:t>
      </w: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in-license other product candidates and technologies;</w:t>
      </w: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milestone or other payments under any in-license agreements;</w:t>
      </w: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protect, defend, enforce and expand our intellectual property portfolio; and</w:t>
      </w:r>
    </w:p>
    <w:p>
      <w:pPr>
        <w:ind w:left="900" w:hanging="447"/>
        <w:spacing w:after="0"/>
        <w:tabs>
          <w:tab w:leader="none" w:pos="9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any delays or encounter issues with any of the above.</w:t>
      </w:r>
    </w:p>
    <w:p>
      <w:pPr>
        <w:spacing w:after="0" w:line="19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which makes our future operating results difficult to predict. If our operating results fall below expectations, the price of the ADSs could decline.</w:t>
      </w:r>
    </w:p>
    <w:p>
      <w:pPr>
        <w:spacing w:after="0" w:line="4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Our financial condition and operating results have varied in the past and will continue to fluctuate from one financial period to the next due to a variety of factors, many of which are beyond our control.</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1" w:name="page62"/>
    <w:bookmarkEnd w:id="61"/>
    <w:p>
      <w:pPr>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Factors relating to our business that may contribute to these fluctuations include the following, as well as other factors described elsewhere in this report:</w:t>
      </w:r>
    </w:p>
    <w:p>
      <w:pPr>
        <w:spacing w:after="0" w:line="159" w:lineRule="exact"/>
        <w:rPr>
          <w:sz w:val="20"/>
          <w:szCs w:val="20"/>
          <w:color w:val="auto"/>
        </w:rPr>
      </w:pP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receive approval for a COVID-19 vaccine, and the size and timing of orders for any such vaccine if approved;</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failures in advancement of existing or future product candidates into the clinic or in clinical trials;</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manufacture and commercialize our product candidates;</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our growth;</w:t>
      </w:r>
    </w:p>
    <w:p>
      <w:pPr>
        <w:ind w:left="900" w:right="260" w:hanging="447"/>
        <w:spacing w:after="0" w:line="239" w:lineRule="auto"/>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outcomes of research programs, clinical trials, or other product development or approval processes conducted by us and our collaborators;</w:t>
      </w:r>
    </w:p>
    <w:p>
      <w:pPr>
        <w:ind w:left="900" w:right="580" w:hanging="447"/>
        <w:spacing w:after="0" w:line="239" w:lineRule="auto"/>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collaborators to develop and successfully commercialize products developed from our suite of therapeutic classes;</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relationships, and any associated exclusivity terms, with collaborators;</w:t>
      </w:r>
    </w:p>
    <w:p>
      <w:pPr>
        <w:ind w:left="900" w:right="880" w:hanging="447"/>
        <w:spacing w:after="0" w:line="239" w:lineRule="auto"/>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contractual or other obligations to provide resources to fund our product candidates, and to provide resources to our collaborators or to the collaborations themselves;</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operation may be in a net loss position for the foreseeable future;</w:t>
      </w:r>
    </w:p>
    <w:p>
      <w:pPr>
        <w:ind w:left="900" w:right="80" w:hanging="447"/>
        <w:spacing w:after="0" w:line="239" w:lineRule="auto"/>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the international aspects of our business outside Germany, including the conduct of clinical trials in multiple locations and potential commercialization in such locations;</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consistently manufacture our product candidates;</w:t>
      </w:r>
    </w:p>
    <w:p>
      <w:pPr>
        <w:ind w:left="900" w:right="340" w:hanging="447"/>
        <w:spacing w:after="0" w:line="239" w:lineRule="auto"/>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minimize and manage product recalls or inventory losses caused by unforeseen events, cold chain interruption or testing difficulties;</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accurately report our financial results in a timely manner;</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and the need to attract and retain, key management and other personnel;</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protect, maintain, defend and enforce our intellectual property rights;</w:t>
      </w:r>
    </w:p>
    <w:p>
      <w:pPr>
        <w:ind w:left="900" w:right="520" w:hanging="447"/>
        <w:spacing w:after="0" w:line="239" w:lineRule="auto"/>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prevent the theft or infringement, misappropriation or other violation of our intellectual property, trade secrets, know- how or technologies;</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and our collaborators’ ability to defend against claims of infringement of the intellectual property rights of third parties;</w:t>
      </w:r>
    </w:p>
    <w:p>
      <w:pPr>
        <w:ind w:left="900" w:right="180" w:hanging="447"/>
        <w:spacing w:after="0" w:line="239" w:lineRule="auto"/>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advantages that our competitors and potential competitors may have in securing funding, obtaining the rights to critical intellectual property or developing competing technologies or products;</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additional capital that may be necessary to expand our business;</w:t>
      </w:r>
    </w:p>
    <w:p>
      <w:pPr>
        <w:ind w:left="900" w:right="440" w:hanging="447"/>
        <w:spacing w:after="0" w:line="239" w:lineRule="auto"/>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collaborators’ ability to obtain additional capital that may be necessary to develop and commercialize products under our collaboration agreements;</w:t>
      </w:r>
    </w:p>
    <w:p>
      <w:pPr>
        <w:ind w:left="900" w:right="340" w:hanging="447"/>
        <w:spacing w:after="0" w:line="239" w:lineRule="auto"/>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minimize and manage product liability claims arising from the use of our product candidates and our products, if approved;</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interruptions such as power outages, strikes, acts of terrorism or natural disasters; and</w:t>
      </w:r>
    </w:p>
    <w:p>
      <w:pPr>
        <w:ind w:left="900" w:hanging="447"/>
        <w:spacing w:after="0"/>
        <w:tabs>
          <w:tab w:leader="none" w:pos="9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use our net operating loss carryforwards to offset future taxable income.</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Each of the factors listed above may be affected by the COVID-19 pandemic currently affecting the global community and the global economy.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Due to the various factors mentioned above, and others, the results of any of our periods should not be relied upon as indications of our future operating performance. The net losses we incur may fluctuate significantly from one reporting period to the next, such that a period-to-period comparison of our results of operations may not be a good indication of our future performance.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2" w:name="page63"/>
    <w:bookmarkEnd w:id="62"/>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provide forward- 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overall valuation. The price of the ADSs may decline as a result of unexpected clinical trial results in one or more of our programs, including adverse safety events reported for any of our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only generated limited revenue and may never be profitable.</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ability to generate revenue and achieve profitability depends on our ability, alone or with collaborators, to successfully complete the development of, and obtain the regulatory approvals necessary to commercialize, our product candidates. Although we generate limited revenue from sales of products by our external services business unit, we may not generate revenues from pharmaceutical product sales in the near term. Our ability to generate future revenues from pharmaceutical product sales depends heavily on our success in:</w:t>
      </w:r>
    </w:p>
    <w:p>
      <w:pPr>
        <w:spacing w:after="0" w:line="180" w:lineRule="exact"/>
        <w:rPr>
          <w:sz w:val="20"/>
          <w:szCs w:val="20"/>
          <w:color w:val="auto"/>
        </w:rPr>
      </w:pPr>
    </w:p>
    <w:p>
      <w:pPr>
        <w:ind w:left="900" w:hanging="447"/>
        <w:spacing w:after="0"/>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completing research and preclinical and clinical development of our product candidates;</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and obtaining U.S. and non-U.S. marketing approvals for product candidates for which we complete clinical trials;</w:t>
      </w:r>
    </w:p>
    <w:p>
      <w:pPr>
        <w:jc w:val="both"/>
        <w:ind w:left="900" w:right="240" w:hanging="447"/>
        <w:spacing w:after="0" w:line="239" w:lineRule="auto"/>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furthering the development of our own manufacturing capabilities and manufacturing relationships with third parties in order to provide adequate (in amount and quality) products and services to support clinical development and the market demand for our product candidates, if approved;</w:t>
      </w:r>
    </w:p>
    <w:p>
      <w:pPr>
        <w:spacing w:after="0" w:line="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market acceptance of our product candidates as a treatment option;</w:t>
      </w:r>
    </w:p>
    <w:p>
      <w:pPr>
        <w:ind w:left="900" w:right="300" w:hanging="447"/>
        <w:spacing w:after="0" w:line="239" w:lineRule="auto"/>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and commercializing product candidates for which we obtain marketing approval and reimbursement, either through collaborations or, if launched independently, by establishing a sales force, marketing and distribution infrastructure;</w:t>
      </w:r>
    </w:p>
    <w:p>
      <w:pPr>
        <w:ind w:left="900" w:hanging="447"/>
        <w:spacing w:after="0"/>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addressing any competing technological and market developments;</w:t>
      </w:r>
    </w:p>
    <w:p>
      <w:pPr>
        <w:ind w:left="900" w:hanging="447"/>
        <w:spacing w:after="0"/>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additional internal systems and infrastructure;</w:t>
      </w:r>
    </w:p>
    <w:p>
      <w:pPr>
        <w:ind w:left="900" w:hanging="447"/>
        <w:spacing w:after="0"/>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negotiating favorable terms in any collaboration, licensing or other arrangements into which we may enter;</w:t>
      </w:r>
    </w:p>
    <w:p>
      <w:pPr>
        <w:ind w:left="900" w:right="180" w:hanging="447"/>
        <w:spacing w:after="0" w:line="239" w:lineRule="auto"/>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defending, protecting, enforcing and expanding our portfolio of intellectual property rights, including patents, trade secrets and know-how; and</w:t>
      </w:r>
    </w:p>
    <w:p>
      <w:pPr>
        <w:ind w:left="900" w:hanging="447"/>
        <w:spacing w:after="0"/>
        <w:tabs>
          <w:tab w:leader="none" w:pos="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attracting, hiring and retaining qualified personnel.</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If one or more of the product candidates that we develop is approved for commercial sale, we anticipate incurring significant costs associated with commercializing any approved product candidate. Our expenses could increase beyond our expectations if we are required by the U.S. Food and Drug Administration, or the FDA, the European Medicines Agency, or the EMA, or other regulatory agencies to perform clinical and other trials or make changes to our manufacturing or quality systems in addition to those that we currently anticipate. Even if we are able to generate revenues from the sale of any approved products, we may not become profitable and may need to obtain additional funding to continue operations.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amount of and our ability to use net operating losses and research and development credits to offset future taxable income may be subject to certain limitations and uncertainty.</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Germany, we have unused tax loss carryforwards for corporate taxes, though we have not recognized deferred tax assets related to such loss carryforwards for International Financial Reporting Standards, or IFRS, reporting purposes. In general, net operating loss, or NOL, carryforwards in Germany do not expire. They are, however, subject to review and possible adjustment by the German tax authorities. Furthermore, under current German tax laws, certain substantial changes in the Company’s ownership and business may further limit the amount of NOL carryforwards that can be used annually to offset future taxable income. In addition, certain of our U.S. subsidiaries have, and may in the future have,</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3" w:name="page64"/>
    <w:bookmarkEnd w:id="63"/>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federal and state NOL carryforwards. U.S. federal NOL carryforwards generated in taxable years ending after December 31, 2017 are not subject to expiration. U.S. federal NOL carryforwards generated in taxable years ending December 31, 2017 and prior are partially limited in time and amount, subject to applicable state and federal rules. U.S. state NOL carryforward are partially limited in time and amount, subject to applicable state rules.</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may not be able to utilize a material portion of our NOLs or credits in either Germany or the United States. In addition, the rules regarding the timing of revenue and expense recognition for tax purposes in connection with various transactions are complex and uncertain in many respects, and our recognition could be subject to challenge by taxing authorities. In the event any such challenge is sustained, our NOLs could be materially reduced or we could be determined to be a material cash taxpayer for one or more years. Furthermore, our ability to use our NOLs or credits is conditioned upon our attaining profitability and generating taxable income. As described above, we have incurred significant net losses since our inception and anticipate that we will continue to incur significant losses for the foreseeable future. We do not know whether or when we will generate the taxable income necessary to utilize our NOL or credit carryforwards.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Under German tax laws, we are obligated to withhold a percentage of royalty payments we make to third party licensors of intellectual property rights and remit those withholdings to German tax authorities, and late withholding tax payments may subject us to penalties and fees.</w:t>
      </w:r>
    </w:p>
    <w:p>
      <w:pPr>
        <w:spacing w:after="0" w:line="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Under German tax laws, we are obligated to withhold a percentage of royalty payments we make to third parties in consideration of the grant of rights under their intellectual property and remit those withholdings to German tax authorities. As a result of an internal review, we have discovered that in the 11-year period before April 2019 we and certain of our subsidiaries did not withhold, report and remit certain withholding taxes in connection with the in-licensing of intellectual property as required to be withheld under German tax laws, and have not made the requisite recordings in our and their financial books and records in relation thereto. We have notified the tax authorities of the late payments and made the respective payments still in 2019. No administrative offence or criminal proceeding were opened or are expected in the future.</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It is possible to seek the refund of these withholding taxes from the German Federal Central Tax office after filing exemption and refund applications. We started to process of filing such refund and exemption applications and part of the taxes paid have already been refunded and we expect further refunds to be paid out in the future. However, there is a possibility that the relevant claims against the licensors and/or the authority, may in some instances, not be enforceable as a result of a licensor no longer existing, the lapse of time or any other facts preventing the enforcement of such claims.</w:t>
      </w:r>
    </w:p>
    <w:p>
      <w:pPr>
        <w:spacing w:after="0" w:line="18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will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of September 30, 2020, we had cash and cash equivalents of €990.5 million. We anticipate that existing cash and cash equivalents, without considering any potential proceeds from the shelf registration statement filed and the Sales Agreement entered with Jefferies and Leerink for an at-the-market offering program, will enable us to fund our operating expenses and capital requirements through at least the next 24 months if we do not generate cash from commercialization of the BNT162 COVID-19 vaccine. However, our operating plan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In any event, we will require additional capital to obtain regulatory approval for, and to commercialize, our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high uncertainty of the length of time and activities associated with discovery and development</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4" w:name="page65"/>
    <w:bookmarkEnd w:id="64"/>
    <w:p>
      <w:pPr>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of our product candidates, we are unable to estimate the actual funds we will require for development, marketing and commercialization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future funding requirements, both near and long term, will depend on many factors, including, but not limited to:</w:t>
      </w:r>
    </w:p>
    <w:p>
      <w:pPr>
        <w:spacing w:after="0" w:line="216" w:lineRule="exact"/>
        <w:rPr>
          <w:sz w:val="20"/>
          <w:szCs w:val="20"/>
          <w:color w:val="auto"/>
        </w:rPr>
      </w:pPr>
    </w:p>
    <w:p>
      <w:pPr>
        <w:ind w:left="900" w:hanging="447"/>
        <w:spacing w:after="0"/>
        <w:tabs>
          <w:tab w:leader="none" w:pos="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initiation, progress, timing, costs, and results of preclinical or nonclinical studies and clinical trials for our product candidates;</w:t>
      </w:r>
    </w:p>
    <w:p>
      <w:pPr>
        <w:spacing w:after="0" w:line="33" w:lineRule="exact"/>
        <w:rPr>
          <w:rFonts w:ascii="Times New Roman" w:cs="Times New Roman" w:eastAsia="Times New Roman" w:hAnsi="Times New Roman"/>
          <w:sz w:val="19"/>
          <w:szCs w:val="19"/>
          <w:color w:val="auto"/>
        </w:rPr>
      </w:pPr>
    </w:p>
    <w:p>
      <w:pPr>
        <w:ind w:left="900" w:hanging="447"/>
        <w:spacing w:after="0"/>
        <w:tabs>
          <w:tab w:leader="none" w:pos="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receive approval for a COVID-19 vaccine, and the amount and timing of revenues for any such vaccine if approved;</w:t>
      </w:r>
    </w:p>
    <w:p>
      <w:pPr>
        <w:spacing w:after="0" w:line="11" w:lineRule="exact"/>
        <w:rPr>
          <w:rFonts w:ascii="Times New Roman" w:cs="Times New Roman" w:eastAsia="Times New Roman" w:hAnsi="Times New Roman"/>
          <w:sz w:val="19"/>
          <w:szCs w:val="19"/>
          <w:color w:val="auto"/>
        </w:rPr>
      </w:pPr>
    </w:p>
    <w:p>
      <w:pPr>
        <w:ind w:left="900" w:hanging="447"/>
        <w:spacing w:after="0"/>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research and our other platform activities;</w:t>
      </w:r>
    </w:p>
    <w:p>
      <w:pPr>
        <w:ind w:left="900" w:hanging="447"/>
        <w:spacing w:after="0"/>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development plans we establish for our product candidates;</w:t>
      </w:r>
    </w:p>
    <w:p>
      <w:pPr>
        <w:ind w:left="900" w:hanging="447"/>
        <w:spacing w:after="0"/>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any agreements with our current or future collaborators;</w:t>
      </w:r>
    </w:p>
    <w:p>
      <w:pPr>
        <w:ind w:left="900" w:hanging="447"/>
        <w:spacing w:after="0"/>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characteristics of product candidates that we develop or may in-license;</w:t>
      </w:r>
    </w:p>
    <w:p>
      <w:pPr>
        <w:ind w:left="900" w:right="700" w:hanging="447"/>
        <w:spacing w:after="0" w:line="239" w:lineRule="auto"/>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timing and cost of meeting regulatory requirements established by the FDA, the EMA and other comparable regulatory authorities;</w:t>
      </w:r>
    </w:p>
    <w:p>
      <w:pPr>
        <w:ind w:left="900" w:right="20" w:hanging="447"/>
        <w:spacing w:after="0" w:line="239" w:lineRule="auto"/>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1" w:lineRule="exact"/>
        <w:rPr>
          <w:rFonts w:ascii="Times New Roman" w:cs="Times New Roman" w:eastAsia="Times New Roman" w:hAnsi="Times New Roman"/>
          <w:sz w:val="20"/>
          <w:szCs w:val="20"/>
          <w:color w:val="auto"/>
        </w:rPr>
      </w:pPr>
    </w:p>
    <w:p>
      <w:pPr>
        <w:ind w:left="900" w:right="200" w:hanging="447"/>
        <w:spacing w:after="0" w:line="239" w:lineRule="auto"/>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competing technological and market developments, including other products that may compete with one or more of our product candidates;</w:t>
      </w:r>
    </w:p>
    <w:p>
      <w:pPr>
        <w:ind w:left="900" w:right="320" w:hanging="447"/>
        <w:spacing w:after="0" w:line="239" w:lineRule="auto"/>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completion and further expansion of clinical and commercial scale manufacturing activities sufficient to support all of our current and future programs; and</w:t>
      </w:r>
    </w:p>
    <w:p>
      <w:pPr>
        <w:ind w:left="900" w:right="640" w:hanging="447"/>
        <w:spacing w:after="0" w:line="246" w:lineRule="auto"/>
        <w:tabs>
          <w:tab w:leader="none" w:pos="9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To date, we have financed our operations primarily through the sale of equity securities and revenue from collaborations and we cannot be certain that additional funding will be available on favorable terms, or at all. Until we can generate sufficient product sales or royalty revenue to finance our operations, which we may never do, we expect to finance our future cash needs through a combination of public or private equity offerings, debt financings, collaborations, sales of assets,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including as a result of the impact that the COVID-19 pandemic may have on the capital markets.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our shares to decline. If we raise additional funds through public or private equity offerings, the terms of these securities may include liquidation or other preferences that may adversely affect our shareholders’ rights.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Further, to the extent that we raise additional capital through the sale of ADSs, ordinary shares or securities convertible or exchangeable into ordinary shares, share ownership interest will be diluted. We have entered into four credit facilities with an aggregate drawing capacity of €170 million. As of September 30, 2020, two secured credit facilities with a total aggregate drawing of €20 million were fully drawn down and the first scheduled repayments have occurred. In addition, we may enter into additional credit facilities from time to time, which may be secured, to fund certain of our operations. If we raise</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5" w:name="page66"/>
    <w:bookmarkEnd w:id="65"/>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or other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18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will need to develop and expand our company, and we may encounter difficulties in managing this development and expansion, which could disrupt our operations.</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assembled an exceptional team of over 1,800 employees, including approximately 300 employees from our acquisition of the production site in Marburg in October 2020. To manage our anticipated development and expansion, we must continue to implement and improve our managerial, operational, legal, compliance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a growing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have incurred increased costs as a result of operating as a public company, and our management has been required to devote substantial time to new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 public company, and particularly after we are no longer an “emerging growth company” as defined in the Jumpstart Our Business Startups Act of 2012, or the JOBS Act, we expect to incur significant legal, accounting and other expenses that we did not incur as a private company. We expect that we will cease to be an emerging growth company no later than December 31, 2020, and thus will not be able to</w:t>
      </w:r>
    </w:p>
    <w:p>
      <w:pPr>
        <w:spacing w:after="0" w:line="18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6" w:name="page67"/>
    <w:bookmarkEnd w:id="66"/>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rely on emerging growth company rules for our 20-F filed for FY2020. In addition, the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have made some activities more time-consuming and costly.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Pursuant to Section 404 of the Sarbanes-Oxley Act, or Section 404, concurrent with our second Annual Report on Form 20-F we are required to furnish a report by our management on our internal control over financial reporting, including the attestation report on internal control over financial reporting issued by our independent registered public accounting firm. Per the above, we will likely be subject to this requirement in our 20-F to be filed for FY2020; however, while we remain an emerging growth company, we will not be required to include an attestation report on internal control over financial reporting issued by our independent registered public accounting firm in our annual filings with the SEC. To achieve compliance with Section 404 within the prescribed period, we have initiated the process to document and evaluate our internal control over financial reporting, which is both costly and challenging. In this regard, we will need to continue to dedicate internal resources, have engaged outside consultants, and are adopting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(once we are no longer an emerging growth company)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our initial public offering. We intend to take advantage of this new legislation but cannot guarantee that we will not be required to implement these requirements sooner than budgeted or planned and thereby incur unexpected expenses.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need to devote a substantial amount of time to these compliance initiatives.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a material weakness in our internal control over financial reporting and may identify additional material weaknesses in the future that may cause us to fail to meet our reporting obligations or result in</w:t>
      </w: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material misstatements in our financial statements. If we fail to remediate our material weakness, we may not be able to report our financial results accurately or to prevent fraud.</w:t>
      </w:r>
    </w:p>
    <w:p>
      <w:pPr>
        <w:spacing w:after="0" w:line="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7" w:name="page68"/>
    <w:bookmarkEnd w:id="67"/>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Prior to our initial public offering, we operated as a private company that was not required to comply with the obligations of a public company with respect to internal control over financial reporting. We have historically operated with limited accounting personnel and other resources with which to address our internal control over financial reporting.</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and our auditors identified a material weakness primarily related to (i) a lack of sufficient accounting and supervisory personnel who have the appropriate level of technical accounting experience and training, (ii) a lack of supervision over external consultants providing technical accounting services and (iii) a lack of consistent application of accounting processes and procedures by our accounting personnel. These deficiencies constitute a material weakness in our internal control over financial reporting in both design and operation. As a result of the material weakness, management failed to identify adjustments in various areas, including but not limited to revenue, capitalization of tangible and intangible assets, and share-based compensation. We have relied on the assistance of outside advisors with expertise in these matters to assist us in the preparation of our financial statements and in our compliance with SEC reporting obligations related to our initial public offering, and we expect to continue to do so while we remediate this material weakness.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are continuing to develop and implement a remediation plan to address the material weakness; however, our overall control environment still requires enhancement and may expose us to errors, losses or fraud. Our remediation plan includes the hiring of additional suitably qualified staff. Additionally, we intend to document and implement consistent accounting policies and procedures and provide additional training to our accounting and finance staff. While we are working to remediate the material weakness as quickly and efficiently as possible, we cannot at this time provide an estimate of the costs we expect to incur or the expected timeline in connection with implementing our remediation plan. These remediation measures may be time-consuming and costly, and might place significant demands on our financial and operational resources. If we are unable to successfully remediate this material weakness or successfully supervise and rely on outside advisors with expertise in these matters to assist us in the preparation of our financial statements, our financial statements could contain material misstatements that, when discovered in the future, could cause us to fail to meet our future reporting obligations and cause the price of our ADSs to decline.</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the reduced disclosure requirements applicable to emerging growth companies may make our ordinary shares and the ADSs less attractive to investors.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an “emerging growth company” under the JOBS Act, and we will remain an emerging growth company until the earlier of:</w:t>
      </w:r>
    </w:p>
    <w:p>
      <w:pPr>
        <w:spacing w:after="0" w:line="216" w:lineRule="exact"/>
        <w:rPr>
          <w:sz w:val="20"/>
          <w:szCs w:val="20"/>
          <w:color w:val="auto"/>
        </w:rPr>
      </w:pPr>
    </w:p>
    <w:p>
      <w:pPr>
        <w:ind w:left="900" w:hanging="447"/>
        <w:spacing w:after="0"/>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last day of the first fiscal year in which our annual gross revenues exceed $1.07 billion;</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we have issued more than $1 billion in nonconvertible debt securities during the previous three years;</w:t>
      </w:r>
    </w:p>
    <w:p>
      <w:pPr>
        <w:ind w:left="900" w:right="20" w:hanging="447"/>
        <w:spacing w:after="0" w:line="239" w:lineRule="auto"/>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we are deemed to be a large accelerated filer under the rules of the SEC, which means the first day of the year following the first year in which, as of the last business day of our most recently completed second fiscal quarter, the market value of our common equity held by non-affiliates exceeds $700 million; and</w:t>
      </w:r>
    </w:p>
    <w:p>
      <w:pPr>
        <w:spacing w:after="0" w:line="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last day of the fiscal year following the fifth anniversary of the date of the completion of our initial public offering.</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We expect that we will cease to be an emerging growth company no later than December 31, 2020. For so long as we remain an emerging growth company, we are permitted and intend to rely on exemptions from certain disclosure requirements that are applicable to public companies that are not emerging growth companies. These exemptions include:</w:t>
      </w:r>
    </w:p>
    <w:p>
      <w:pPr>
        <w:spacing w:after="0" w:line="174" w:lineRule="exact"/>
        <w:rPr>
          <w:sz w:val="20"/>
          <w:szCs w:val="20"/>
          <w:color w:val="auto"/>
        </w:rPr>
      </w:pPr>
    </w:p>
    <w:p>
      <w:pPr>
        <w:ind w:left="900" w:hanging="447"/>
        <w:spacing w:after="0"/>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being required to comply with the auditor attestation requirements of Section 404 of the Sarbanes- Oxley Act;</w:t>
      </w:r>
    </w:p>
    <w:p>
      <w:pPr>
        <w:spacing w:after="0" w:line="21" w:lineRule="exact"/>
        <w:rPr>
          <w:rFonts w:ascii="Times New Roman" w:cs="Times New Roman" w:eastAsia="Times New Roman" w:hAnsi="Times New Roman"/>
          <w:sz w:val="20"/>
          <w:szCs w:val="20"/>
          <w:color w:val="auto"/>
        </w:rPr>
      </w:pPr>
    </w:p>
    <w:p>
      <w:pPr>
        <w:ind w:left="900" w:right="240" w:hanging="447"/>
        <w:spacing w:after="0" w:line="239" w:lineRule="auto"/>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disclosure obligations regarding executive compensation; and</w:t>
      </w:r>
    </w:p>
    <w:p>
      <w:pPr>
        <w:ind w:left="900" w:right="80" w:hanging="447"/>
        <w:spacing w:after="0" w:line="246" w:lineRule="auto"/>
        <w:tabs>
          <w:tab w:leader="none" w:pos="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exemptions from the requirements of holding a nonbinding advisory vote on executive compensation and shareholder approval of any golden parachute payments not previously approved.</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may choose to take advantage of some, but not all, of the available exemptions. We have to date taken advantage of reduced reporting burdens. In particular, we have not included all of the executive compensation information that would be required if we were not an emerging growth company. We cannot predict whether investors will find the ADSs less attractive if we rely on certain or all of these exemptions. If some investors find the ADSs less attractive as a result, there may be a less active trading market for the ADSs and the price per ADS may be more volatile.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addition, the JOBS Act provides that an emerging growth company may take advantage of an extended transition period for complying with new or revised accounting standards. This allows an emerging growth company to delay the adoption of certain accounting standards until those standards would otherwise apply to private companies. Such provisions are only applicable under U.S. GAAP. As a result, we will adopt new or revised accounting standards on the relevant dates on which adoption of such standards is required or permitted by the IASB.</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As a “foreign private issuer,” we are exempt from a number of rules under the U.S. securities laws, as well as Nasdaq rules, and we are permitted to file less information with the SEC than are U.S. companies. This may limit the information available to holders of the ADSs and may make our ordinary shares and the ADSs less attractive to investors.</w:t>
      </w:r>
    </w:p>
    <w:p>
      <w:pPr>
        <w:spacing w:after="0" w:line="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are a “foreign private issuer,” as defined in the rules and regulations of the SEC, and, consequently, we are not subject to all of the disclosure requirements applicable to companies organized within the United States. For example, we are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a foreign private issuer, we will file an Annual Report on Form 20-F within four months of the close of each fiscal year ending December 31 and reports on Form 6-K relating to certain material events promptly after we publicly announce these events. Additionally, we rely on a provision in Nasdaq’s Listed Company Manual that allows us to follow German company law and European law applicable to European stock corporations in general and the German Stock Corporation Act (</w:t>
      </w:r>
      <w:r>
        <w:rPr>
          <w:rFonts w:ascii="Times New Roman" w:cs="Times New Roman" w:eastAsia="Times New Roman" w:hAnsi="Times New Roman"/>
          <w:sz w:val="20"/>
          <w:szCs w:val="20"/>
          <w:i w:val="1"/>
          <w:iCs w:val="1"/>
          <w:color w:val="auto"/>
        </w:rPr>
        <w:t>Aktiengesetz</w:t>
      </w:r>
      <w:r>
        <w:rPr>
          <w:rFonts w:ascii="Times New Roman" w:cs="Times New Roman" w:eastAsia="Times New Roman" w:hAnsi="Times New Roman"/>
          <w:sz w:val="20"/>
          <w:szCs w:val="20"/>
          <w:color w:val="auto"/>
        </w:rPr>
        <w:t>), the Council Regulation (EC) No 2157/2001 of October 8, 2001 on the Statute for a European company (SE), or the SE Regulation, and the German Act on the Implementation of Council Regulation (EC) No 2157/2001 of October 8, 2001 on the Statute for a European company (SE) (</w:t>
      </w:r>
      <w:r>
        <w:rPr>
          <w:rFonts w:ascii="Times New Roman" w:cs="Times New Roman" w:eastAsia="Times New Roman" w:hAnsi="Times New Roman"/>
          <w:sz w:val="20"/>
          <w:szCs w:val="20"/>
          <w:i w:val="1"/>
          <w:iCs w:val="1"/>
          <w:color w:val="auto"/>
        </w:rPr>
        <w:t>Gesetz zur Ausführung der</w:t>
      </w:r>
    </w:p>
    <w:p>
      <w:pPr>
        <w:spacing w:after="0" w:line="19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9" w:name="page70"/>
    <w:bookmarkEnd w:id="69"/>
    <w:p>
      <w:pPr>
        <w:jc w:val="both"/>
        <w:spacing w:after="0" w:line="276" w:lineRule="auto"/>
        <w:rPr>
          <w:sz w:val="20"/>
          <w:szCs w:val="20"/>
          <w:color w:val="auto"/>
        </w:rPr>
      </w:pPr>
      <w:r>
        <w:rPr>
          <w:rFonts w:ascii="Times New Roman" w:cs="Times New Roman" w:eastAsia="Times New Roman" w:hAnsi="Times New Roman"/>
          <w:sz w:val="19"/>
          <w:szCs w:val="19"/>
          <w:i w:val="1"/>
          <w:i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Verordnung (EG) NR. 2157/2001 des Rates vom 8. Oktober 2001 über das Statut der Europäischen Gesellschaft (SE)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SE-Ausführungsgesetz —SEAG</w:t>
      </w:r>
      <w:r>
        <w:rPr>
          <w:rFonts w:ascii="Times New Roman" w:cs="Times New Roman" w:eastAsia="Times New Roman" w:hAnsi="Times New Roman"/>
          <w:sz w:val="19"/>
          <w:szCs w:val="19"/>
          <w:color w:val="auto"/>
        </w:rPr>
        <w:t>), in particular with regard to certain aspects of corporate governance. This allows us to follow certain corporate governance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practices that differ in significant respects from the corporate governance requirements applicable to U.S. companies listed on Nasdaq.</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example, we are exempt from regulations of Nasdaq that require a listed U.S. company to:</w:t>
      </w:r>
    </w:p>
    <w:p>
      <w:pPr>
        <w:spacing w:after="0" w:line="216" w:lineRule="exact"/>
        <w:rPr>
          <w:sz w:val="20"/>
          <w:szCs w:val="20"/>
          <w:color w:val="auto"/>
        </w:rPr>
      </w:pPr>
    </w:p>
    <w:p>
      <w:pPr>
        <w:ind w:left="900" w:hanging="447"/>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 majority of the board of directors consist of independent directors;</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non-management directors to meet on a regular basis without management present;</w:t>
      </w:r>
    </w:p>
    <w:p>
      <w:pPr>
        <w:ind w:left="900" w:right="460" w:hanging="447"/>
        <w:spacing w:after="0" w:line="239" w:lineRule="auto"/>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a code of conduct and promptly disclose any waivers of the code for directors or executive officers that should address certain specified items;</w:t>
      </w:r>
    </w:p>
    <w:p>
      <w:pPr>
        <w:ind w:left="900" w:hanging="447"/>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an independent compensation committee;</w:t>
      </w:r>
    </w:p>
    <w:p>
      <w:pPr>
        <w:ind w:left="900" w:hanging="447"/>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an independent nominating committee;</w:t>
      </w:r>
    </w:p>
    <w:p>
      <w:pPr>
        <w:ind w:left="900" w:hanging="447"/>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proxies and provide proxy statements for all shareholder meetings;</w:t>
      </w:r>
    </w:p>
    <w:p>
      <w:pPr>
        <w:ind w:left="900" w:hanging="447"/>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related party transactions; and</w:t>
      </w:r>
    </w:p>
    <w:p>
      <w:pPr>
        <w:ind w:left="900" w:hanging="447"/>
        <w:spacing w:after="0"/>
        <w:tabs>
          <w:tab w:leader="none" w:pos="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shareholder approval for the implementation of certain equity compensation plans and issuances of ordinary shares.</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foreign private issuer, we are permitted to follow home country practice in lieu of the above requirements. We therefore continue to follow German corporate governance practices in lieu of the corporate governance requirements of Nasdaq in certain respects. In particular, we follow German corporate governance practices in connection with the distribution of annual and interim reports to shareholders, the application of our code of conduct to our Supervisory Board, proxy solicitation in connection with shareholders’ meetings, and obtaining shareholder approval in connection with the establishment of or material amendment to certain equity- based compensation plans.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accordance with our Nasdaq listing, 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the Nasdaq applicable to listed U.S. companies, including an affirmative determination that all members of the audit committee are “independent,” using more stringent criteria than those applicable to us as a foreign private issuer.</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risks related to health epidemics, such as COVID-19, that could adversely affect our operations.</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business could be adversely impacted by the effects of COVID-19 or other epidemics. The COVID-19 pandemic may negatively impact our revenue or operations in the future and could also affect our ability to enroll patients in clinical studies and complete clinical trials on the timelines we currently anticipate. For certain of our programs, including BNT111, BNT113, BNT122, BNT141 and BNT142 (RiboMabs), BNT151 and BNT152/153 (RiboCytokines), BNT221, BNT161 (Influenza) and BNT171 (Rare Disease), the commencement of trials has been delayed, partially due to slowed patient enrollment or other delays as a result of the COVID-19 pandemic. In addition, in response to the spread of COVID-19, we have modified our business practices, in response to the spread of COVID-19, including restricting employee travel, developing social distancing plans for employees and cancelling physical participation in meetings, events and conferences. This partial disruption, even temporary, may severely impact our operations and overall business by delaying the progress of our clinical trials and preclinical studies. Our operations, including research and manufacturing, could also be disrupted due to the potential of the impact of staff absences as a result of self-isolation procedures or extended illness.</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0" w:name="page71"/>
    <w:bookmarkEnd w:id="70"/>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Our suppliers, licensors or collaborators could also be disrupted by conditions related to COVID-19, or other epidemics, possibly resulting in disruption to our supply chain, clinical trials, partnerships or operations. If our suppliers, licensors, CROs or collaborators are unable or fail to fulfill their obligations to us for any reason, our business could be adversely affected. Our customers could also be disrupted by conditions related to COVID-19 or other epidemics, possibly through deferring purchasing decisions or delaying research programs.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this point in time, there is uncertainty relating to the potential effect of COVID-19 on our business. Infections may become more widespread and a significant health epidemic could adversely affect the economies and financial markets of many countries, resulting in an economic downturn that could affect demand for our products and services or our ability to raise capital, which could have a material adverse effect on our business, operating results and financial condition.</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insurance policies are expensive and protect us only from some business risks, which leaves us exposed to significant uninsured liabilities.</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We currently maintain insurance coverage for losses relating to an interruption of our development, manufacturing or commercialization efforts caused by contamination in an amount of €50,000,000 per claim up to an aggregate cap of €160,000,000 in any two-year period, and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operating as a public company has made it more expensive for us to obtain director and officer liability insurance. As a result, it may be more difficult for us to attract and retain qualified individuals to serve on our Supervisory Board, our board committees or our Management Board.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spacing w:after="0" w:line="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Even if we complete the necessary preclinical studies and clinical trials, the marketing approval process is expensive, time-consuming and uncertain, and we may not be able to obtain approvals for the commercialization of any product candidates we may develop. Any immunotherapy we may develop and the activities associated with its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to commercialize any of our product candidates, we and our collaborators must demonstrate through extensive preclinical studies and clinical trials that our products are safe and effective, including in the target populations. Successful completion of clinical trials is a prerequisite to submitting a biologics license application, or BLA, or a new drug application, or NDA, to</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1" w:name="page72"/>
    <w:bookmarkEnd w:id="71"/>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Failure to obtain marketing approval for a product candidate will prevent us from commercializing the product candidate in a given jurisdiction. We have not received approval to market any biopharmaceutical product candidates from regulatory authorities in any jurisdiction, and it is possible that none of our product candidates, or any product candidates we may seek to develop in the future, will ever obtain regulatory approval. We have limited experience in filing and supporting the applications necessary to gain marketing approvals and may need to rely on third-party contract research organizations, or CROs, regulatory consultants or collaborators to assist us in this process. To our knowledge, there is no current precedent for an mRNA-based immunotherapy such as the type we are developing being approved for sale by the FDA, European Commission or any other regulatory agency elsewhere in the world. Although we expect to submit BLAs for our mRNA-based product candidates in the United States, and in the European Union, mRNA therapies have been classified as gene therapy medicinal products, other jurisdictions may consider our mRNA-based product candidates to be new drugs, not biologics or gene therapy medicinal products, and require different marketing applications.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EMA and comparable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if an FDA panel of experts, referred to as an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Regulatory agencies also may approve an immunotherapy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72" w:name="page73"/>
    <w:bookmarkEnd w:id="72"/>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No mRNA immunotherapy has been approved, and none may ever be approved. mRNA drug development has substantial clinical development and regulatory risks due to the novel and unprecedented nature of this new category of therapeutics.</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potential new category of therapeutics, to our knowledge, no mRNA immunotherapies have been approved to date by the FDA, EMA or other regulatory agency. Successful discovery and development of mRNA-based (and other) immunotherapies by either us or our collaborators is highly uncertain and depends on numerous factors, many of which are beyond our or their control. To date, there has never been a commercialized mRNA-based product. Our product candidates that appear promising in the early phases of development may fail to advance, experience delays in the clinic or clinical holds, or fail to reach the market for many reasons, including:</w:t>
      </w:r>
    </w:p>
    <w:p>
      <w:pPr>
        <w:spacing w:after="0" w:line="185" w:lineRule="exact"/>
        <w:rPr>
          <w:sz w:val="20"/>
          <w:szCs w:val="20"/>
          <w:color w:val="auto"/>
        </w:rPr>
      </w:pPr>
    </w:p>
    <w:p>
      <w:pPr>
        <w:ind w:left="900" w:hanging="447"/>
        <w:spacing w:after="0"/>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discovery efforts aimed at identifying potential immunotherapies may not be successful;</w:t>
      </w:r>
    </w:p>
    <w:p>
      <w:pPr>
        <w:spacing w:after="0" w:line="21" w:lineRule="exact"/>
        <w:rPr>
          <w:rFonts w:ascii="Times New Roman" w:cs="Times New Roman" w:eastAsia="Times New Roman" w:hAnsi="Times New Roman"/>
          <w:sz w:val="20"/>
          <w:szCs w:val="20"/>
          <w:color w:val="auto"/>
        </w:rPr>
      </w:pPr>
    </w:p>
    <w:p>
      <w:pPr>
        <w:ind w:left="900" w:right="860" w:hanging="447"/>
        <w:spacing w:after="0" w:line="239" w:lineRule="auto"/>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nonclinical or preclinical study results may show product candidates to be less effective than desired or have harmful or problematic side effects;</w:t>
      </w:r>
    </w:p>
    <w:p>
      <w:pPr>
        <w:ind w:left="900" w:right="280" w:hanging="447"/>
        <w:spacing w:after="0" w:line="239" w:lineRule="auto"/>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 results may show the product candidates to be less effective than expected, including a failure to meet one or more endpoints or have unacceptable side effects or toxicities;</w:t>
      </w:r>
    </w:p>
    <w:p>
      <w:pPr>
        <w:ind w:left="900" w:right="200" w:hanging="447"/>
        <w:spacing w:after="0" w:line="239" w:lineRule="auto"/>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failures or insufficient supply of GMP materials for clinical trials, or higher than expected cost could delay or set back clinical trials, or make our product candidates commercially unattractive;</w:t>
      </w:r>
    </w:p>
    <w:p>
      <w:pPr>
        <w:ind w:left="900" w:right="580" w:hanging="447"/>
        <w:spacing w:after="0" w:line="239" w:lineRule="auto"/>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improvements in the manufacturing processes may not be sufficient to satisfy the clinical or commercial demand of our product candidates or regulatory requirements for clinical trials;</w:t>
      </w:r>
    </w:p>
    <w:p>
      <w:pPr>
        <w:ind w:left="900" w:hanging="447"/>
        <w:spacing w:after="0" w:line="239" w:lineRule="auto"/>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that we make to optimize our manufacturing, testing or formulating of GMP materials could impact the safety, tolerability and efficacy of our product candidates;</w:t>
      </w:r>
    </w:p>
    <w:p>
      <w:pPr>
        <w:ind w:left="900" w:right="800" w:hanging="447"/>
        <w:spacing w:after="0" w:line="239" w:lineRule="auto"/>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or reimbursement issues or other factors could delay clinical trials or make any immunotherapy uneconomical or noncompetitive with other therapies;</w:t>
      </w:r>
    </w:p>
    <w:p>
      <w:pPr>
        <w:ind w:left="900" w:right="200" w:hanging="447"/>
        <w:spacing w:after="0" w:line="252" w:lineRule="auto"/>
        <w:tabs>
          <w:tab w:leader="none" w:pos="9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ind w:left="900" w:right="1300" w:hanging="447"/>
        <w:spacing w:after="0" w:line="246" w:lineRule="auto"/>
        <w:tabs>
          <w:tab w:leader="none" w:pos="9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proprietary rights, products and technologies of our competitors may prevent our immunotherapies from being commercialized.</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Currently, mRNA is considered a gene therapy product by the FDA. Unlike certain gene therapies that irreversibly alter cell DNA and may cause certain side effects, mRNA-based medicines are designed not to irreversibly change cell DNA. Side effects observed in other gene therapies, however, could negatively impact the perception of immunotherapies despite the differences in mechanism. In addition, because no mRNA-based product has been approved, the regulatory pathway in the United States and may other jurisdictions for approval is uncertain. The pathway for an individualized therapy, such as our iNeST mRNA-based immunotherapy where each patient receives a different combination of mRNAs, remains particularly unsettled. The number and design of the clinical and preclinical studies required for the approval of these types of medicines have not been established, may be different from those required for gene therapy products or therapies that are not individualized or may require safety testing like gene therapy products. Moreover, the length of time necessary to complete clinical trials</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3" w:name="page74"/>
    <w:bookmarkEnd w:id="73"/>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and submit an application for marketing approval by a regulatory authority varies significantly from one pharmaceutical product to the next and may be difficult to predict.</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cannot guarantee that the BNT162 variant we chose to advance into late stage clinical development will perform better than any of the variants we did not choose to advance. Further, even if we demonstrate a sufficient safety profile for BNT162 we may not be able to demonstrate sufficient efficacy in subsequent trials to obtain regulatory approval.</w:t>
      </w:r>
    </w:p>
    <w:p>
      <w:pPr>
        <w:spacing w:after="0" w:line="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Based on preclinical and clinical data observed to date, we and Pfizer have progressed our BNT162 program into a Phase 2b/3 trial which commenced in late July 2020. For the initial Phase 2b/3 trial, we selected our nucleoside-modified mRNA (modRNA) vaccine candidate variant targeting the 2P-mutated full spike protein, BNT162b2. Both BNT162b2 and our BNT162b1 vaccine candidate, which uses modRNA and encodes the receptor binding domain antigen, received Fast Track status from the FDA. On the basis of data collected and analyzed for BNT162b1 and BNT162b2, including the overall observed safety, tolerability and immunogenicity profiles for each vaccine candidate at different dose levels, along with input from the FDA, we selected BNT162b2 as our lead candidate to take into a Phase 2b/3 trial.</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cannot guarantee that the candidate variant that we selected will ultimately prove to be the optimal variant. We and Pfizer chose the variant to advance based on our scientific judgment in light of the preclinical and clinical data available to us at the time as to which variant has the best chance for success. It is possible that subsequent data regarding the variant we chose could prove to be less favorable or subsequent data from a variant that is not advanced could prove to be more favorable.</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Regardless of the variant we selected for Phase 2b/3, we cannot guarantee that the results from subsequent data analyses and announcements will be in line with the data that we have previously published. The total number of patients evaluated in Phase 1 is small relative to the number we intend to evaluate in Phase 2b/3 and may not be indicative of the safety or immunogenicity of BNT162 in a larger and more diverse patient population in the clinical setting or upon commercialization. Similarly, the samples of convalescent sera, or blood samples from people who have recovered from COVID-19, used to benchmark the level of antibodies produced by subjects receiving BNT162 in Phase 1 clinical studies, have been taken from a small number of people and may not be representative of the antibody levels in a broader population of people who have recovered from COVID-19. Future results in clinical trials of BNT162 may not be as positive when compared to the antibody levels in other samples of convalescent sera.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Furthermore, because the assays being used to measure and analyze the effectiveness of COVID-19 vaccines have only recently been developed and are continuing to evolve, indications of immunogenicity and the duration of immunity observed in our Phase 1/2 trials may not be predictive of the achievement of clinically relevant endpoints.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by definition our Phase 1/2 clinical trials are designed to evaluate only safety and not efficacy. Positive results from these Phase 1/2 trials do not guarantee we will be able to demonstrate in our Phase 2b/3 trial that BNT162 is efficacious. On November 9, 2020 we and Pfizer announced that BNT162b2 demonstrated evidence of efficacy against COVID-19 in participants without prior evidence of SARS-CoV-2 infection, based on the first interim efficacy analysis conducted on November 8, 2020 by an external, independent Data Monitoring Committee (DMC) from the Phase 3 clinical study. However, the final analysis from that clinical study is not complete and could differ from the interim analysis as additional safety and additional efficacy data are collected. Failure to adequately demonstrate safety or to eventually demonstrate sufficient efficacy of BNT162 could delay or prevent us from receiving regulatory approval of BNT162 and there can be no assurance that BNT162 will be approved in a timely manner, if at all.</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4" w:name="page75"/>
    <w:bookmarkEnd w:id="74"/>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development of our BNT162 program may divert resources from the clinical development of our other product candidates and we may not recoup our investments in the program.</w:t>
      </w:r>
    </w:p>
    <w:p>
      <w:pPr>
        <w:spacing w:after="0" w:line="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Although we believe that our BNT162 program could result in an effective COVID-19 vaccine, clinical trials involve a lengthy and expensive process with an uncertain outcome. Given the severity and urgency of the COVID-19 pandemic, we have committed significant capital and resources to fund and supply the development of BNT162. However, the development of BNT162 will require us to expend financial, personnel and other resources and may cause delays in or otherwise negatively impact our other development programs, despite uncertainties surrounding the longevity and extent of COVID-19 as a global health concern. Furthermore, our business could be negatively impacted by our allocation of significant resources to a global health threat that is unpredictable and could rapidly dissipate or against which our vaccine, if developed, may not be partially or fully effective.</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successful in producing a vaccine against COVID-19, we may need to devote significant resources to its scale-up and development.</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If any clinical trials for BNT162 are perceived to be successful, we may need to work toward the large scale technical development, manufacturing scale-up and larger scale deployment of this vaccine candidate through a variety of government mechanisms such as an Emergency Use Authorization program in the United States. We may also need to access facilities capable of rapidly manufacturing BNT162 in the volumes necessary to support large-scale clinical trials or commercial sales. If we are unable to conduct production and manufacturing activities or if our vaccine requires more doses to achieve sufficient efficacy than we expect, we may not complete our product development or commercialization efforts in a timely manner. In addition, during a global health crisis, such as the COVID-19 pandemic, where the spread of a disease needs to be controlled, closed or heavily regulated national borders will create challenges and potential delays in our development and production activities and may necessitate that we pursue strategies to develop and produce our vaccine candidate variants within self-contained national or international borders, at potentially much greater expense and with longer timeframes for public distribution.</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There can be no assurance that BNT162, even if approved, would ever become profitable, due to government interest and public perception regarding a vaccine.</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a result of the emergency situations in many countries, there is a heightened risk that a COVID-19 vaccine may be subject to adverse governmental actions in certain countries, including intellectual property expropriation, compulsory licenses, strict price controls or other actions. Additionally, we may need to, or we may be required by governmental or non-governmental authorities to, set aside specific quantities of doses of BNT162 for designated purposes or geographic areas. We are likely to face challenges related to the allocation of supply of BNT162, particularly with respect to geographic distribution. Thus, even if BNT162 is approved, such governmental actions may limit our ability to recoup our current and future expenses.</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Furthermore, public sentiment regarding commercialization of a COVID-19 vaccine may limit or negate our ability to generate revenues from sales of BNT162. Given that COVID-19 has been designated as a pandemic and represents an urgent public health crisis, we are likely to face significant public attention and scrutiny over any future business models and pricing decisions with respect to BNT162. If we are unable to successfully manage these risks, we could face significant reputational harm, which could negatively affect the price of the ADSs representing our ordinary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regulatory pathway for BNT162 is highly dynamic and continues to evolve and may result in unexpected or unforeseen challenges.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 date, BNT162 has moved rapidly through the regulatory review process of the FDA and foreign regulatory authorities. The speed at which all parties are acting to create and test many therapeutics and vaccines for COVID-19 is unusual, and evolving or changing plans or priorities within the FDA and foreign regulatory authorities, including changes based on new knowledge of COVID-19 and how the disease affects the human body, may significantly affect the regulatory timeline for BNT162. Results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5" w:name="page76"/>
    <w:bookmarkEnd w:id="7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from clinical testing may raise new questions and require us to redesign proposed clinical trials, including revising proposed endpoints or adding new clinical trial sites or cohorts of subjects.</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example, the FDA on June 30, 2020 adopted guidance outlining the FDA’s current recommendations regarding the data needed to facilitate clinical development and licensure of vaccines to prevent COVID-19. In particular, the June 30, 2020 guidance suggests that the primary efficacy endpoint estimate for a placebo-controlled efficacy trial should be at least 50%. The guidance also includes discussion of chemical, manufacturing and controls and safety concerns. Although we intend to design any future clinical trials for BNT162 in accordance with this guidance, we cannot be certain that, as the regulatory pathway continues to evolve, we will be able to complete a clinical trial in accordance with the FDA’s guidance and regulations then in effect. A failure to complete a clinical trial in accordance with guidance and regulations then in effect could impair our ability to obtain approval for BNT162, which may adversely affect our operating results, reputation and ability to raise capital and enter into or maintain collaborations to advance our other product candidates.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Additionally, the FDA has the authority to grant an Emergency Use Authorization, or EUA, to allow unapproved medical products to be used in an emergency to diagnose, treat, or prevent serious or life-threatening diseases or conditions when there are no adequate, approved, and available alternatives. On October 6, 2020, the FDA issued its Guidance for Industry on Emergency Use Authorization for Vaccines to prevent COVID-19, outlining the FDA’s expectations for any EUA request for a vaccine candidate. Many of FDA’s expectations, such as for chemistry, manufacturing and controls information, non-clinical and clinical study information, and a benefit-risk profile, are identical to the requirements for a biologics license application. In addition, FDA gave detailed guidance on some of the specific data it expects a vaccine manufacturer to submit with its EUA request, including safety data from phase 3 trials including “a median follow-up duration of at least two months after completion of the full vaccination regimen” and additional safety data, including local and systemic adverse events in a sufficient number of study subjects to characterize the reactogenicity in each age cohort, all safety data up to database lock, including data for &gt;3,000 vaccine recipients “followed for serious adverse events and adverse events of special interest for at least one month after completion of the full vaccination regimen”, data on at least five cases of severe COVID-19 among study subjects to support a risk analysis for vaccine-induced enhanced respiratory disease, safety and outcomes data for subjects who were previously infected with COVID-19 who may have been asymptomatic, and a safety follow-up plan to collect data from individuals who receive the vaccine under an EUA.</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we are granted an Emergency Use Authorization for BNT162, we would be able to commercialize BNT162 prior to FDA approval. However,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BNT162 is not yet approved by the FDA and if we and our manufacturing partners have invested in the supply chain to provide BNT162 under an Emergency Use Authorization.</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Even if regulatory approval is received for a BNT162 vaccine candidate, the later discovery of previously unknown problems associated with BNT162 may result in restrictions, including withdrawal of the product from the market, and lead to significant liabilities and reputational damage.</w:t>
      </w:r>
    </w:p>
    <w:p>
      <w:pPr>
        <w:spacing w:after="0" w:line="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Because the path to marketing approval of any vaccine against COVID-19 is unclear, we may have a widely used vaccine in circulation in the United States or another country prior to our receipt of marketing approval. Unexpected safety issues, including any that we have not yet observed in our Phase 1/2 clinical trials for BNT162, could lead to significant reputational damage for BioNTech and our technology platforms going forward and other issues, including delays in our other programs, the need for re-design of our clinical trials and the need for significant additional financial resources.</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also may be restricted or prohibited from marketing or manufacturing a BNT162 vaccine, even after obtaining product approval, if previously unknown problems with the product or its manufacture are</w:t>
      </w:r>
    </w:p>
    <w:p>
      <w:pPr>
        <w:spacing w:after="0" w:line="168"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76" w:name="page77"/>
    <w:bookmarkEnd w:id="76"/>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subsequently discovered. We cannot provide assurance that newly discovered or developed safety issues will not arise following regulatory approval. With the use of any vaccine by a wide patient population, serious adverse events may occur from time to time that did not arise in the clinical trials of the product or that initially appeared to be unrelated to the vaccine itself and only with the collection of subsequent information were found to be causally related to the product. Any such safety issues could cause us to suspend or cease marketing of our approved products, possibly subject us to substantial liabilities, and adversely affect our ability to generate revenue and our financial condition.</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produce a successful COVID-19 vaccine and establish a competitive market share for our vaccine before a competitor or before the COVID-19 outbreak is effectively contained or the risk of coronavirus infection is significantly diminished.</w:t>
      </w:r>
    </w:p>
    <w:p>
      <w:pPr>
        <w:spacing w:after="0" w:line="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 large number of vaccine manufacturers, academic institutions and other organizations currently have programs to develop COVID-19 vaccine candidates. While we are not aware of all of our competitors’ efforts, we believe that the University of Oxford/AstraZeneca plc, CanSino Biologics Inc., Sanofi/GlaxoSmithKline plc, Inovio Pharmaceuticals, Inc., China National Pharmaceutical Group (Sinopharm)/Beijing Institute of Biological Products and Wuhan Institute of Biological Products, Moderna, Inc., Johnson &amp; Johnson, Novavax, Inc. and other companies are all developing vaccine candidates against COVID-19.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efforts to develop BNT162 for regulatory approval and commercialization may fail if competitors develop and commercialize one or more COVID-19 vaccines before we are able to do so, or if they develop and commercialize one or more COVID-19 vaccines that are safer, more effective, produce longer immunity against COVID-19, require fewer administrations, have fewer or less severe side effects, have broader market acceptance, are more convenient or are less expensive than any vaccine candidate that we may develop.</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not work as intended, may cause undesirable side effects or may have other properties that could delay or prevent their regulatory approval, limit the commercial profile of an approved label, or result in significant negative consequences following marketing approval, if any.</w:t>
      </w:r>
    </w:p>
    <w:p>
      <w:pPr>
        <w:spacing w:after="0" w:line="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with most biological products, use of our product candidates could be associated with side effects or adverse events which can vary in severity from minor reactions to death and in frequency from infrequent to prevalent. The potential for adverse events is especially acute in the oncology setting, where patients may have advanced disease, have compromised immune and other systems and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unacceptable side effects arise in the development of our product candidates, we, the FDA, competent authorities of European Union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7" w:name="page78"/>
    <w:bookmarkEnd w:id="77"/>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7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Monitoring the safety of patients receiving our product candidates is challenging, which could adversely affect our ability to obtain regulatory approval and commercialize our product candidates.</w:t>
      </w:r>
    </w:p>
    <w:p>
      <w:pPr>
        <w:spacing w:after="0" w:line="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our ongoing and planned clinical trials, we have contracted with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EMA or other comparable regulatory authority delaying, suspending or terminating one or more of our clinical trials, and which could jeopardize regulatory approval. We also expect the centers using our product candidates, if approved, on a commercial basis could have similar difficulty in managing adverse events. Medicines used at centers to help manage adverse side effects of our product candidates may not adequately control the side effects and may have a detrimental impact on the efficacy of the treatment. Use of these medicines may increase with new physicians and centers administering our product candidates.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even if we successfully advance one of our product candidates into and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 and safety consequences of taking our product candidates over a multi-year period.</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59" w:lineRule="exact"/>
        <w:rPr>
          <w:sz w:val="20"/>
          <w:szCs w:val="20"/>
          <w:color w:val="auto"/>
        </w:rPr>
      </w:pPr>
    </w:p>
    <w:p>
      <w:pPr>
        <w:ind w:left="900" w:hanging="447"/>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withdraw their approval of the product;</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recall a product or change the way such product is administered to patients;</w:t>
      </w:r>
    </w:p>
    <w:p>
      <w:pPr>
        <w:ind w:left="900" w:right="180" w:hanging="447"/>
        <w:spacing w:after="0" w:line="239" w:lineRule="auto"/>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restrictions may be imposed on the marketing of the particular product or the manufacturing processes for the product or any component thereof;</w:t>
      </w:r>
    </w:p>
    <w:p>
      <w:pPr>
        <w:ind w:left="900" w:hanging="447"/>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the addition of labeling statements, such as a “black box” warning or a contraindication;</w:t>
      </w:r>
    </w:p>
    <w:p>
      <w:pPr>
        <w:ind w:left="900" w:right="280" w:hanging="447"/>
        <w:spacing w:after="0" w:line="239" w:lineRule="auto"/>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implement a Risk Evaluation and Mitigation Strategy, or REMS, or create a Medication Guide outlining the risks of such side effects for distribution to patients;</w:t>
      </w:r>
    </w:p>
    <w:p>
      <w:pPr>
        <w:ind w:left="900" w:hanging="447"/>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sued and held liable for harm caused to patients;</w:t>
      </w:r>
    </w:p>
    <w:p>
      <w:pPr>
        <w:ind w:left="900" w:hanging="447"/>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may become less competitive; and</w:t>
      </w:r>
    </w:p>
    <w:p>
      <w:pPr>
        <w:ind w:left="900" w:hanging="447"/>
        <w:spacing w:after="0"/>
        <w:tabs>
          <w:tab w:leader="none" w:pos="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may suffer.</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18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Preclinical development is uncertain. Our preclinical programs may experience delays or may never advance to clinical trials, which would adversely affect our ability to obtain regulatory approvals or</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commercialize these programs on a timely basis or at all and would have an adverse effect on our business.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in the past and may in the future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180" w:lineRule="exact"/>
        <w:rPr>
          <w:sz w:val="20"/>
          <w:szCs w:val="20"/>
          <w:color w:val="auto"/>
        </w:rPr>
      </w:pPr>
    </w:p>
    <w:p>
      <w:pPr>
        <w:ind w:left="900" w:right="80" w:hanging="447"/>
        <w:spacing w:after="0" w:line="247"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ind w:left="900" w:right="180" w:hanging="447"/>
        <w:spacing w:after="0" w:line="239"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20"/>
          <w:szCs w:val="20"/>
          <w:color w:val="auto"/>
        </w:rPr>
      </w:pPr>
    </w:p>
    <w:p>
      <w:pPr>
        <w:ind w:left="900" w:right="40" w:hanging="447"/>
        <w:spacing w:after="0" w:line="239"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optimized in the past and may in the future optimize our manufacturing processes, including through changes to the scale and site of manufacturing, which may lead to additional studies (including bridging and bioequivalence studies) or potentially significant changes in our clinical trial designs, requiring additional cost and time, and, as a consequence, lead to a delay in plans for progressing one or more product candidates;</w:t>
      </w:r>
    </w:p>
    <w:p>
      <w:pPr>
        <w:spacing w:after="0" w:line="1" w:lineRule="exact"/>
        <w:rPr>
          <w:rFonts w:ascii="Times New Roman" w:cs="Times New Roman" w:eastAsia="Times New Roman" w:hAnsi="Times New Roman"/>
          <w:sz w:val="20"/>
          <w:szCs w:val="20"/>
          <w:color w:val="auto"/>
        </w:rPr>
      </w:pPr>
    </w:p>
    <w:p>
      <w:pPr>
        <w:ind w:left="900" w:right="200" w:hanging="447"/>
        <w:spacing w:after="0" w:line="239" w:lineRule="auto"/>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our preclinical studies and our early clinical trials may not be predictive of the success of later clinical trials, and interim results of a clinical trial do not necessarily predict final results;</w:t>
      </w:r>
    </w:p>
    <w:p>
      <w:pPr>
        <w:ind w:left="900" w:hanging="447"/>
        <w:spacing w:after="0"/>
        <w:tabs>
          <w:tab w:leader="none" w:pos="9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establish clinical endpoints that applicable regulatory authorities would consider clinically meaningful;</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79" w:name="page80"/>
    <w:bookmarkEnd w:id="79"/>
    <w:p>
      <w:pPr>
        <w:ind w:left="900" w:right="20" w:hanging="447"/>
        <w:spacing w:after="0" w:line="247"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 an effort to optimize product features, we have made in the past and may continue to make changes to our product candidates after we commence clinical trials of a medicine which may require us to repeat earlier stages of clinical testing or delay later-stage testing of the medicine;</w:t>
      </w:r>
    </w:p>
    <w:p>
      <w:pPr>
        <w:ind w:left="900" w:right="180" w:hanging="447"/>
        <w:spacing w:after="0" w:line="23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trials of any product candidates may fail to show safety or efficacy, or may produce negative or inconclusive results, and we may decide, or regulators may require us, to conduct additional nonclinical studies or clinical trials, or we may decide to abandon product development programs;</w:t>
      </w:r>
    </w:p>
    <w:p>
      <w:pPr>
        <w:spacing w:after="0" w:line="1" w:lineRule="exact"/>
        <w:rPr>
          <w:rFonts w:ascii="Times New Roman" w:cs="Times New Roman" w:eastAsia="Times New Roman" w:hAnsi="Times New Roman"/>
          <w:sz w:val="20"/>
          <w:szCs w:val="20"/>
          <w:color w:val="auto"/>
        </w:rPr>
      </w:pPr>
    </w:p>
    <w:p>
      <w:pPr>
        <w:ind w:left="900" w:right="220" w:hanging="447"/>
        <w:spacing w:after="0" w:line="23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differences in trial design between early-stage clinical trials and later-stage clinical trials may make it difficult to extrapolate the results of earlier clinical trials to later clinical trials;</w:t>
      </w:r>
    </w:p>
    <w:p>
      <w:pPr>
        <w:ind w:left="900" w:right="40" w:hanging="447"/>
        <w:spacing w:after="0" w:line="23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w:t>
      </w:r>
    </w:p>
    <w:p>
      <w:pPr>
        <w:ind w:left="900" w:right="200" w:hanging="447"/>
        <w:spacing w:after="0" w:line="23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may have undesirable side effects or other unexpected characteristics. One or more of such effects or events could cause 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1" w:lineRule="exact"/>
        <w:rPr>
          <w:rFonts w:ascii="Times New Roman" w:cs="Times New Roman" w:eastAsia="Times New Roman" w:hAnsi="Times New Roman"/>
          <w:sz w:val="20"/>
          <w:szCs w:val="20"/>
          <w:color w:val="auto"/>
        </w:rPr>
      </w:pPr>
    </w:p>
    <w:p>
      <w:pPr>
        <w:ind w:left="900" w:right="360" w:hanging="447"/>
        <w:spacing w:after="0" w:line="23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trial participants required for clinical trials of any product candidates may be larger than we anticipate, identification of trial participants for such trials may be limited, enrollment in these clinical trials may be slower than we anticipate due to perceived adverse effects, limited patient populations, competitive trials or other reasons, or participants may withdraw from clinical trials or fail to return for post-treatment follow-up at a higher rate than we anticipate;</w:t>
      </w:r>
    </w:p>
    <w:p>
      <w:pPr>
        <w:spacing w:after="0" w:line="1" w:lineRule="exact"/>
        <w:rPr>
          <w:rFonts w:ascii="Times New Roman" w:cs="Times New Roman" w:eastAsia="Times New Roman" w:hAnsi="Times New Roman"/>
          <w:sz w:val="20"/>
          <w:szCs w:val="20"/>
          <w:color w:val="auto"/>
        </w:rPr>
      </w:pPr>
    </w:p>
    <w:p>
      <w:pPr>
        <w:ind w:left="900" w:right="120" w:hanging="447"/>
        <w:spacing w:after="0" w:line="23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contractors may fail to comply with regulatory requirements or meet their contractual obligations to us in a timely manner, or at all, or may deviate from the clinical trial protocol or withdraw from the trial, which may require that we add new clinical trial sites;</w:t>
      </w:r>
    </w:p>
    <w:p>
      <w:pPr>
        <w:spacing w:after="0" w:line="1" w:lineRule="exact"/>
        <w:rPr>
          <w:rFonts w:ascii="Times New Roman" w:cs="Times New Roman" w:eastAsia="Times New Roman" w:hAnsi="Times New Roman"/>
          <w:sz w:val="20"/>
          <w:szCs w:val="20"/>
          <w:color w:val="auto"/>
        </w:rPr>
      </w:pPr>
    </w:p>
    <w:p>
      <w:pPr>
        <w:ind w:left="900" w:right="260" w:hanging="447"/>
        <w:spacing w:after="0" w:line="23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may elect to impose a clinical hold, or we, our investigators, IRBs or ethics committees may elect to suspend or terminate clinical research or trials for various reasons, including noncompliance with regulatory requirements or a finding that the participants are being exposed to an unacceptable benefit-risk ratio;</w:t>
      </w:r>
    </w:p>
    <w:p>
      <w:pPr>
        <w:spacing w:after="0" w:line="1" w:lineRule="exact"/>
        <w:rPr>
          <w:rFonts w:ascii="Times New Roman" w:cs="Times New Roman" w:eastAsia="Times New Roman" w:hAnsi="Times New Roman"/>
          <w:sz w:val="20"/>
          <w:szCs w:val="20"/>
          <w:color w:val="auto"/>
        </w:rPr>
      </w:pPr>
    </w:p>
    <w:p>
      <w:pPr>
        <w:jc w:val="both"/>
        <w:ind w:left="900" w:hanging="447"/>
        <w:spacing w:after="0" w:line="23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infectious disease vaccine trials in particular, we have to wait for particular level of infection in the placebo arm in order to assess protection provided by vaccine, and we cannot control the rate of exposure or infection which can make timing uncertain;</w:t>
      </w:r>
    </w:p>
    <w:p>
      <w:pPr>
        <w:spacing w:after="0" w:line="1" w:lineRule="exact"/>
        <w:rPr>
          <w:rFonts w:ascii="Times New Roman" w:cs="Times New Roman" w:eastAsia="Times New Roman" w:hAnsi="Times New Roman"/>
          <w:sz w:val="20"/>
          <w:szCs w:val="20"/>
          <w:color w:val="auto"/>
        </w:rPr>
      </w:pPr>
    </w:p>
    <w:p>
      <w:pPr>
        <w:ind w:left="900" w:right="580" w:hanging="447"/>
        <w:spacing w:after="0" w:line="23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preclinical or nonclinical testing and studies and clinical trials of any product candidates may be greater than we anticipate;</w:t>
      </w:r>
    </w:p>
    <w:p>
      <w:pPr>
        <w:ind w:left="900" w:right="640" w:hanging="447"/>
        <w:spacing w:after="0" w:line="23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supply or quality of our product candidates or other materials necessary to conduct clinical trials may be insufficient or inadequate;</w:t>
      </w:r>
    </w:p>
    <w:p>
      <w:pPr>
        <w:ind w:left="900" w:right="180" w:hanging="447"/>
        <w:spacing w:after="0" w:line="239"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 or efficacy concerns regarding our product candidates may result from any concerns arising from nonclinical or clinical testing of other therapies targeting a similar disease state or other therapies, such as gene therapy, that are perceived as similar to ours; and</w:t>
      </w:r>
    </w:p>
    <w:p>
      <w:pPr>
        <w:spacing w:after="0" w:line="1" w:lineRule="exact"/>
        <w:rPr>
          <w:rFonts w:ascii="Times New Roman" w:cs="Times New Roman" w:eastAsia="Times New Roman" w:hAnsi="Times New Roman"/>
          <w:sz w:val="20"/>
          <w:szCs w:val="20"/>
          <w:color w:val="auto"/>
        </w:rPr>
      </w:pPr>
    </w:p>
    <w:p>
      <w:pPr>
        <w:ind w:left="900" w:right="120" w:hanging="447"/>
        <w:spacing w:after="0" w:line="246" w:lineRule="auto"/>
        <w:tabs>
          <w:tab w:leader="none" w:pos="9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other regulatory authorities may require us to submit additional data, such as long-term toxicology studies, or impose other requirements before permitting us to initiate a clinical trial.</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seeking approval for our COVID-19 vaccine candidate (and expect to also do so for future vaccine product candidates) via a placebo-controlled trial, which means that approval cannot be obtained until a certain level of infection occurs in the population of trial participants who receive placebo rather than our test vaccine. Furthermore, if another vaccine is approved before ours, and agencies may require proof of superiority relative to the already-approved vaccine in order to grant approval; our vaccine may not achieve such superiority and therefore may not be approved.</w:t>
      </w:r>
    </w:p>
    <w:p>
      <w:pPr>
        <w:spacing w:after="0" w:line="18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could also encounter delays if a clinical trial is suspended or terminated by us, the FDA or other regulatory authorities, ethics committees, or the IRBs of the institutions in which such trials are being</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conducted, or if such trial is recommended for suspension or termination by the DSMB. We may in the 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Moreover,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Significant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of our product candidates may harm our business, financial condition and prospects significantly.</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or our collaborators encounter difficulties enrolling participants in our clinical trials, our clinical development activities could be delayed or otherwise adversely affected.</w:t>
      </w:r>
    </w:p>
    <w:p>
      <w:pPr>
        <w:spacing w:after="0" w:line="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The COVID-19 global pandemic has introduced additional challenges in enrolling patients into many of our clinical trials.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1" w:name="page82"/>
    <w:bookmarkEnd w:id="81"/>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because of negative publicity from adverse events in our trials or other trials of similar products, or those related to specific a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18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138" w:lineRule="exact"/>
        <w:rPr>
          <w:sz w:val="20"/>
          <w:szCs w:val="20"/>
          <w:color w:val="auto"/>
        </w:rPr>
      </w:pP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complexity and design of the study protocol;</w:t>
      </w: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size of the patient population;</w:t>
      </w: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eligibility criteria for the study in question;</w:t>
      </w: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proximity and availability of clinical study sites for prospective trial participants;</w:t>
      </w: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of competing therapies and clinical trials, including between our own clinical trials;</w:t>
      </w: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efforts to facilitate timely enrollment in clinical trials;</w:t>
      </w: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referral practices of physicians;</w:t>
      </w: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monitor trial participants adequately during and after treatment;</w:t>
      </w: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recruit clinical trial investigators with the appropriate competencies and experience;</w:t>
      </w:r>
    </w:p>
    <w:p>
      <w:pPr>
        <w:ind w:left="900" w:right="80" w:hanging="447"/>
        <w:spacing w:after="0" w:line="239" w:lineRule="auto"/>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clinicians’ and trial participants’ perceptions of the potential advantages and side effects of the product candidate being studied in relation to other available therapies, including any new drugs or treatments that may be approved for the indications we are investigating;</w:t>
      </w:r>
    </w:p>
    <w:p>
      <w:pPr>
        <w:spacing w:after="0" w:line="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participant informed consent;</w:t>
      </w: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impacts of the COVID-19 global pandemic; and</w:t>
      </w:r>
    </w:p>
    <w:p>
      <w:pPr>
        <w:ind w:left="900" w:hanging="447"/>
        <w:spacing w:after="0"/>
        <w:tabs>
          <w:tab w:leader="none" w:pos="9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trial participants enrolled in clinical trials will not complete a clinical trial.</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our clinical trials will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departure from more traditional methods for disease treatment and prevention, potential trial participants and their doctors may be inclined to use conventional therapies or other new therapies rather than enroll trial participants in any future clinical trial involving individualized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 As discussed above, each of the foregoing risks is exacerbated by the COVID-19 pandemic currently affecting the global community and the global economy.</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82" w:name="page83"/>
    <w:bookmarkEnd w:id="82"/>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 variety of risks associated with conducting research and clinical trials abroad and marketing our product candidates internationally could materially adversely affect our business.</w:t>
      </w:r>
    </w:p>
    <w:p>
      <w:pPr>
        <w:spacing w:after="0" w:line="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Clinical trials of our product candidates are currently being conducted in numerous countries, including Germany, Austria, Belgium, Czech, France, Italy, the Netherlands, Poland, Spain, Sweden, the United Kingdom, Israel, Australia, Canada and the United States, and we plan to commercialize our product candidates, if approved, globally. Accordingly, we are subject to additional risks related to operating in multiple countries, including:</w:t>
      </w:r>
    </w:p>
    <w:p>
      <w:pPr>
        <w:spacing w:after="0" w:line="180" w:lineRule="exact"/>
        <w:rPr>
          <w:sz w:val="20"/>
          <w:szCs w:val="20"/>
          <w:color w:val="auto"/>
        </w:rPr>
      </w:pP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regulatory requirements in such countries;</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tariffs, trade barriers, price and exchange controls and other regulatory requirements;</w:t>
      </w:r>
    </w:p>
    <w:p>
      <w:pPr>
        <w:ind w:left="900" w:right="760" w:hanging="447"/>
        <w:spacing w:after="0" w:line="239" w:lineRule="auto"/>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difficulties in managing the logistics and transportation of storing and shipping product candidates produced in Germany and shipping the product candidate to the patient abroad;</w:t>
      </w: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 and export requirements and restrictions;</w:t>
      </w: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weakness, including inflation, or political instability in particular economies and markets;</w:t>
      </w: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tax, employment, immigration and labor laws for employees living or traveling abroad;</w:t>
      </w: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including withholding of payroll taxes;</w:t>
      </w:r>
    </w:p>
    <w:p>
      <w:pPr>
        <w:ind w:left="900" w:right="200" w:hanging="447"/>
        <w:spacing w:after="0" w:line="239" w:lineRule="auto"/>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fluctuations, which could result in increased operating expenses and reduced revenue, and other obligations incident to doing business in another country;</w:t>
      </w: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staffing and managing operations outside of Germany;</w:t>
      </w: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workforce uncertainty in countries where labor unrest is more common;</w:t>
      </w: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payor reimbursement regimes, governmental payors or patient self-pay systems, and price controls;</w:t>
      </w: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liability under the U.S. Foreign Corrupt Practices Act of 1977 or comparable regulations in other jurisdictions;</w:t>
      </w:r>
    </w:p>
    <w:p>
      <w:pPr>
        <w:ind w:left="900" w:right="200" w:hanging="447"/>
        <w:spacing w:after="0" w:line="239" w:lineRule="auto"/>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enforcing our contractual and intellectual property rights, especially in those countries that do not respect and protect intellectual property rights to the same extent as do Germany and the United States;</w:t>
      </w: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shortages resulting from any events affecting raw material supply or manufacturing capabilities abroad; and</w:t>
      </w:r>
    </w:p>
    <w:p>
      <w:pPr>
        <w:ind w:left="900" w:hanging="447"/>
        <w:spacing w:after="0"/>
        <w:tabs>
          <w:tab w:leader="none" w:pos="9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 or public health epidemics.</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extent to which the COVID-19 pandemic impacts our operations will depend on future developments, which are highly uncertain and cannot be predicted with confidence, including the duration of the outbreak, new information which may emerge concerning the severity of the coronavirus and the actions to contain the coronavirus or treat its impact, among others. In particular, the spread of the coronavirus globally could adversely impact our clinical trial operations, including the availability of specialist raw materials required to manufacture our clinical candidates and our ability to deliver clinical candidates to clinical trial sites. In the future, similar events could affect our ability to manufacture and commercialize our product candidates.</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These and other risks associated with our international operations and our collaborations with our collaborators may materially adversely affect our ability to attain or maintain profitable operations.</w:t>
      </w:r>
    </w:p>
    <w:p>
      <w:pPr>
        <w:spacing w:after="0" w:line="15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From time to time, we may publish interim top-line or preliminary data from preclinical studies or clinical trials. Interim data are subject to the risk that one or more of the outcomes may materially</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3" w:name="page84"/>
    <w:bookmarkEnd w:id="83"/>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On November 9, 2020 we and Pfizer announced that BNT162b2 demonstrated evidence of efficacy against COVID-19 in participants without prior evidence of SARS-CoV-2 infection, based on the first interim efficacy analysis conducted on November 8, 2020 by an external, independent Data Monitoring Committee (DMC) from the Phase 3 clinical study. However, the final analysis from that clinical study is not complete and could differ from the interim analysis as additional safety and additional efficacy data are collected.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our securityholders may not agree with what we determine is the material or otherwise appropriate information to include in our disclosure. Any information we determine not to disclose may ultimately be deemed significant by our securityholders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earlier studies and trials of our product candidates may not be predictive of future trial results.</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 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18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planned clinical trials or those of our collaborators may reveal significant adverse events not seen in our preclinical or nonclinical studies and may result in a safety profile that could delay or</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terminate clinical trials, or delay or prevent regulatory approval or market acceptance of any of our product candidates.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is typically an extremely high rate of attrition for product candidates across categories of medicines proceeding through clinical trials.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Some of our product candidates are being developed or are intended to be co-administered with other developmental therapies or approved medicines. For example, RO198457 (BNT122) is being developed to be co-administered with checkpoint inhibitors. Such combinations may have additional side effects which may be difficult to predict in future clinical trials.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applicable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develop or obtain approval for companion diagnostics required for commercialization of some of our product candidates.</w:t>
      </w:r>
    </w:p>
    <w:p>
      <w:pPr>
        <w:spacing w:after="0" w:line="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Administration of some of our product candidates may require the use of immuno-assays and bioinformatic tools in which patients are screened for optimal target antigens of our product candidates. If safe and effective use of a biologic product depends on an in vitro diagnostic, then the FDA generally requires approval or clearance of the diagnostic, known as a companion diagnostic, concurrently with approval of the therapeutic product. To date, the FDA has generally required in vitro companion diagnostics intended to select the patients who will respond to cancer treatment to obtain a pre-market approval, or PMA, for that diagnostic, which can take up to several years, simultaneously with approval of the biologic product. Similarly, in the European Union, an in vitro companion diagnostic may be placed on the market only if it conforms to certain “essential requirements” and bears the Conformité Européene Mark, or CE Mark, and the conformity assessment process to obtain the CE Mark can be lengthy.</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For our individualized immunotherapy candidates, the FDA and similar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 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w:t>
      </w:r>
    </w:p>
    <w:p>
      <w:pPr>
        <w:spacing w:after="0" w:line="195"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5" w:name="page86"/>
    <w:bookmarkEnd w:id="85"/>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Because we are developing some of our product candidates for the treatment of diseases in which there is little clinical experience and, in some cases, using new endpoints or methodologies, the FDA, EMA or other regulatory authorities may not consider the endpoints of our clinical trials to provide clinically meaningful results.</w:t>
      </w:r>
    </w:p>
    <w:p>
      <w:pPr>
        <w:spacing w:after="0" w:line="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There may not be pharmacologic therapies approved to treat the underlying causes of many diseases that we may address in the future. For instance, we and our collaborators are applying our technology to develop 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countries may make similar findings with respect to these endpoints.</w:t>
      </w:r>
    </w:p>
    <w:p>
      <w:pPr>
        <w:spacing w:after="0" w:line="1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FDA, EMA or other comparable regulatory authorities may disagree with our regulatory plan and we may fail to obtain regulatory approval of our product candidates.</w:t>
      </w:r>
    </w:p>
    <w:p>
      <w:pPr>
        <w:spacing w:after="0" w:line="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the results of our clinical trials are sufficiently compelling, we or our collaborators intend to discuss with the FDA submission of a BLA for our product candidates. However, we do not have any agreement or guidance from the FDA that our regulatory development plans will be sufficient for submission of a BLA for any of our product candidates. The FDA, EMA or other regulatory agencies may grant accelerated approval for our product candidates and, as a condition for accelerated approval, the FDA,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EMA or other regulatory agencies that are more accelerated than those available for regular approvals. In addition, the standard of care may change with the approval of new products in the same indications that we are studying. This may result in the FDA, EMA or other regulatory agencies requesting additional studies to show that our product candidate is superior to the new products.</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clinical trial results may also not support approval. In addition, our product candidates could fail to receive regulatory approval for many reasons, including the following:</w:t>
      </w:r>
    </w:p>
    <w:p>
      <w:pPr>
        <w:spacing w:after="0" w:line="159" w:lineRule="exact"/>
        <w:rPr>
          <w:sz w:val="20"/>
          <w:szCs w:val="20"/>
          <w:color w:val="auto"/>
        </w:rPr>
      </w:pPr>
    </w:p>
    <w:p>
      <w:pPr>
        <w:ind w:left="900" w:hanging="447"/>
        <w:spacing w:after="0"/>
        <w:tabs>
          <w:tab w:leader="none" w:pos="9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EMA or comparable regulatory authorities may disagree with the design or implementation of our clinical trials;</w:t>
      </w:r>
    </w:p>
    <w:p>
      <w:pPr>
        <w:spacing w:after="0" w:line="21" w:lineRule="exact"/>
        <w:rPr>
          <w:rFonts w:ascii="Times New Roman" w:cs="Times New Roman" w:eastAsia="Times New Roman" w:hAnsi="Times New Roman"/>
          <w:sz w:val="20"/>
          <w:szCs w:val="20"/>
          <w:color w:val="auto"/>
        </w:rPr>
      </w:pPr>
    </w:p>
    <w:p>
      <w:pPr>
        <w:ind w:left="900" w:right="220" w:hanging="447"/>
        <w:spacing w:after="0" w:line="246" w:lineRule="auto"/>
        <w:tabs>
          <w:tab w:leader="none" w:pos="9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demonstrate to the satisfaction of the FDA, the EMA or comparable regulatory authorities that our product candidates are safe and effective for any of their proposed indications;</w:t>
      </w:r>
    </w:p>
    <w:p>
      <w:pPr>
        <w:spacing w:after="0" w:line="191"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6" w:name="page87"/>
    <w:bookmarkEnd w:id="86"/>
    <w:p>
      <w:pPr>
        <w:ind w:left="900" w:right="660" w:hanging="447"/>
        <w:spacing w:after="0" w:line="250" w:lineRule="auto"/>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results of clinical trials may not meet the level of statistical significance required by the FDA, the EMA or comparable regulatory authorities for approval, including due to the heterogeneity of patient populations;</w:t>
      </w:r>
    </w:p>
    <w:p>
      <w:pPr>
        <w:spacing w:after="0" w:line="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demonstrate that our product candidates’ clinical and other benefits outweigh their safety risks;</w:t>
      </w:r>
    </w:p>
    <w:p>
      <w:pPr>
        <w:ind w:left="900" w:right="240" w:hanging="447"/>
        <w:spacing w:after="0" w:line="239" w:lineRule="auto"/>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EMA or comparable regulatory authorities may disagree with our interpretation of data from preclinical studies or clinical trials;</w:t>
      </w:r>
    </w:p>
    <w:p>
      <w:pPr>
        <w:ind w:left="900" w:right="220" w:hanging="447"/>
        <w:spacing w:after="0" w:line="239" w:lineRule="auto"/>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the satisfaction of the FDA, the EMA or comparable regulatory authorities to support the submission of a BLA or other comparable submissions or to obtain regulatory approval in the United States or elsewhere;</w:t>
      </w:r>
    </w:p>
    <w:p>
      <w:pPr>
        <w:spacing w:after="0" w:line="1" w:lineRule="exact"/>
        <w:rPr>
          <w:rFonts w:ascii="Times New Roman" w:cs="Times New Roman" w:eastAsia="Times New Roman" w:hAnsi="Times New Roman"/>
          <w:sz w:val="20"/>
          <w:szCs w:val="20"/>
          <w:color w:val="auto"/>
        </w:rPr>
      </w:pPr>
    </w:p>
    <w:p>
      <w:pPr>
        <w:ind w:left="900" w:right="640" w:hanging="447"/>
        <w:spacing w:after="0" w:line="239" w:lineRule="auto"/>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the EMA or comparable regulatory authorities will inspect our manufacturing facilities and may not approve our facilities; and</w:t>
      </w:r>
    </w:p>
    <w:p>
      <w:pPr>
        <w:ind w:left="900" w:right="460" w:hanging="447"/>
        <w:spacing w:after="0" w:line="246" w:lineRule="auto"/>
        <w:tabs>
          <w:tab w:leader="none" w:pos="9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policies or regulations of the FDA, the EMA or comparable regulatory authorities may significantly change in a manner rendering our clinical data insufficient for approval.</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file INDs with the FDA, clinical trial applications with the competent authorities of European Union member states or similar applications with other comparable regulatory authorities to commence additional clinical trials on the timelines we expect, and even if we are able to, one or more of these regulatory authorities may not permit us to proceed.</w:t>
      </w:r>
    </w:p>
    <w:p>
      <w:pPr>
        <w:spacing w:after="0" w:line="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timing of filing on our product candidates is dependent on further preclinical, clinical and manufacturing success. We cannot be sure that submission of an IND or IND amendment with the FDA, a clinical trial application with the competent authorities of European Union member states or similar application with other comparable regulatory authorities will result in the FDA, the competent authorities of European Union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strategy includes filing for orphan drug designation where available for our product candidates. Under the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1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exclusive marketing rights in the United States may be limited if we seek approval for an indication broader than the orphan-designated indication or may be lost if the FDA later determines</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87" w:name="page88"/>
    <w:bookmarkEnd w:id="87"/>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that the request for designation was materially defective. Further, even if we obtain orphan drug exclusivity for a product, that exclusivity may not effectively protect the product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seek breakthrough therapy or fast-track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may also seek Fast Track Designation in the United States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we cannot be sure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8" w:name="page89"/>
    <w:bookmarkEnd w:id="88"/>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We expect some of the product candidates we develop will be regulated as biologics in the United States and therefore they may be subject to competition from biosimilars approved through an abbreviated regulatory pathway.</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Patient Protection and Affordable Care Act, as amended by the Health Care and Education Reconciliation Act of 2010, or 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integrate into cell DNA, or otherwise make any permanent changes to cell DNA. Consequently, we expect that our product candidates will have a different potential side effect profile from gene therapies because they lack risks associated with altering cell DNA irreversibly. Further, we may avail ourselves of ways of mitigating side effects in developing our product candidates to address safety concerns that are not available to all gene therapies, such as lowering the dose of our product candidates during repeat dosing or stopping treatment to potentially ameliorate undesirable side effects.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Specifically, in Japan, the Pharmaceuticals and</w:t>
      </w:r>
    </w:p>
    <w:p>
      <w:pPr>
        <w:spacing w:after="0" w:line="19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9" w:name="page90"/>
    <w:bookmarkEnd w:id="89"/>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Medical Devices Agency has not taken a position on the regulatory classification.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clinical hold on gene therapy products across the field due to risks associated with altering cell DNA irreversibly may apply to our mRNA product candidates irrespective of the mechanistic differences between gene therapies and mRNA.</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mRNA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or IBC,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or CAT,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18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These various regulatory review committees and advisory groups and new or revised guidelines that they promulgate from time to time may lengthen the regulatory review process, require us to perform</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0" w:name="page91"/>
    <w:bookmarkEnd w:id="90"/>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 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Delay or failure to obtain, or unexpected costs in obtaining, the regulatory approval necessary to bring a potential product to market could decrease our ability to generate sufficient product sales revenue to maintain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obtain regulatory approval for our product candidates under applicable international regulatory requirements.</w:t>
      </w:r>
    </w:p>
    <w:p>
      <w:pPr>
        <w:spacing w:after="0" w:line="11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denial or delay of such approval would delay commercialization of our product candidates and adversely impact our potential to generate revenue, our business and our results of operations.</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Approval by the FDA in the United States, if obtained, does not ensure approval by regulatory authorities in other countries or jurisdictions. In order to eventually market any of our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 third-party investigational drug used in combination with our product candidates may be unable to obtain regulatory approval, which may delay commercialization of our product candidates.</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We are developing several of our product candidates to be used in combination with our and third-party drugs. Even if any product candidate we develop were to receive marketing approval or be commercialized for use in combination with other existing therapies, we would continue to be subject to the risks that the FDA, the EMA or similar regulatory authorities in other jurisdictions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the EMA or similar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therapies that have not yet been approved for marketing by the FDA, the EMA or similar regulatory authorities in other jurisdictions. We will not be able to market any product candidate we develop in combination with an unapproved therapy if that unapproved therapy does not ultimately obtain marketing approval. In addition, unapproved therapies face the same risks described with respect to our product</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1" w:name="page92"/>
    <w:bookmarkEnd w:id="91"/>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candidates currently in development and clinical trials, including the potential for serious adverse effects, delay in their clinical trials and lack of FDA, EMA or similar regulatory authority approval.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the FDA, the EMA or similar regulatory authorities in other jurisdictions do not approve these other drugs or revoke their approval of, or if safety, efficacy, manufacturing or supply issues arise with, the drugs we choose to evaluate in combination with any product candidate we develop, we may be unable to obtain approval of or market any product candidate we develop.</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of our product candidates, we will be subject to ongoing regulatory obligations and continued regulatory review, which may result in significant additional expense. We may be subject to penalties if we fail to comply with regulatory requirements or experience unanticipated problems with our product candidates.</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Even if we obtain regulatory approval in a jurisdiction,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we fail to comply with applicable regulatory requirements following approval of any of our product candidates, a regulatory agency may:</w:t>
      </w:r>
    </w:p>
    <w:p>
      <w:pPr>
        <w:spacing w:after="0" w:line="216" w:lineRule="exact"/>
        <w:rPr>
          <w:sz w:val="20"/>
          <w:szCs w:val="20"/>
          <w:color w:val="auto"/>
        </w:rPr>
      </w:pPr>
    </w:p>
    <w:p>
      <w:pPr>
        <w:ind w:left="900" w:hanging="447"/>
        <w:spacing w:after="0"/>
        <w:tabs>
          <w:tab w:leader="none" w:pos="9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 warning letter asserting that we are in violation of the law;</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an injunction or impose civil or criminal penalties or monetary fines;</w:t>
      </w:r>
    </w:p>
    <w:p>
      <w:pPr>
        <w:ind w:left="900" w:hanging="447"/>
        <w:spacing w:after="0"/>
        <w:tabs>
          <w:tab w:leader="none" w:pos="9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suspend or withdraw regulatory approval or revoke a license;</w:t>
      </w:r>
    </w:p>
    <w:p>
      <w:pPr>
        <w:ind w:left="900" w:hanging="447"/>
        <w:spacing w:after="0"/>
        <w:tabs>
          <w:tab w:leader="none" w:pos="9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suspend any ongoing clinical studies;</w:t>
      </w:r>
    </w:p>
    <w:p>
      <w:pPr>
        <w:ind w:left="900" w:hanging="447"/>
        <w:spacing w:after="0"/>
        <w:tabs>
          <w:tab w:leader="none" w:pos="9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refuse to approve a pending BLA or supplements to a BLA submitted by us;</w:t>
      </w:r>
    </w:p>
    <w:p>
      <w:pPr>
        <w:ind w:left="900" w:hanging="447"/>
        <w:spacing w:after="0"/>
        <w:tabs>
          <w:tab w:leader="none" w:pos="9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seize product; or</w:t>
      </w:r>
    </w:p>
    <w:p>
      <w:pPr>
        <w:ind w:left="900" w:hanging="447"/>
        <w:spacing w:after="0"/>
        <w:tabs>
          <w:tab w:leader="none" w:pos="9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refuse to allow us to enter into supply contracts, including government contracts.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If any of our product candidates cause undesirable side effects, it could delay or prevent their regulatory approval, limit the commercial potential, or result in significant negative consequences following any potential marketing approval. Product candidates we may develop may be associated with an adverse immune response or other serious adverse events, undesirable side effects or unexpected characteristics. In addition to serious adverse events or side effects caused by any of our product candidates, the administration process or related procedures also can cause undesirable side effects. If any such events occur, the clinical trials of any of our product candidates could be suspended or terminated.</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92" w:name="page93"/>
    <w:bookmarkEnd w:id="92"/>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Additionally, if we successfully obtain regulatory approval for a product candidate, the FDA or other regulatory authority could require us to adopt a REMS or a risk management plan, or RMP,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Furthermore, if we or others later identify undesirable side effects caused by any product that we develop, several potentially significant negative consequences could result, including:</w:t>
      </w:r>
    </w:p>
    <w:p>
      <w:pPr>
        <w:spacing w:after="0" w:line="159" w:lineRule="exact"/>
        <w:rPr>
          <w:sz w:val="20"/>
          <w:szCs w:val="20"/>
          <w:color w:val="auto"/>
        </w:rPr>
      </w:pPr>
    </w:p>
    <w:p>
      <w:pPr>
        <w:ind w:left="900" w:hanging="447"/>
        <w:spacing w:after="0"/>
        <w:tabs>
          <w:tab w:leader="none" w:pos="9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suspend or withdraw approvals or revoke licenses of such product;</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additional warnings on the label;</w:t>
      </w:r>
    </w:p>
    <w:p>
      <w:pPr>
        <w:ind w:left="900" w:hanging="447"/>
        <w:spacing w:after="0"/>
        <w:tabs>
          <w:tab w:leader="none" w:pos="9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change the way a product is administered or conduct additional clinical trials;</w:t>
      </w:r>
    </w:p>
    <w:p>
      <w:pPr>
        <w:ind w:left="900" w:hanging="447"/>
        <w:spacing w:after="0"/>
        <w:tabs>
          <w:tab w:leader="none" w:pos="9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sued and held liable for harm caused to patients and their children; and</w:t>
      </w:r>
    </w:p>
    <w:p>
      <w:pPr>
        <w:ind w:left="900" w:hanging="447"/>
        <w:spacing w:after="0"/>
        <w:tabs>
          <w:tab w:leader="none" w:pos="9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may suffer.</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any products we may identify and develop and could have a material adverse impact on our business, financial condition, results of operations and prospects.</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we are successful in gaining approval for any of our product candidates, we will continue to face significant regulatory oversight of the manufacturing and distribution of our products. Product manufacturers and their facilities are subject to payment of user fees and continual review and periodic inspections by the FDA and other regulatory authorities for compliance with GMP and adherence to commitments made in the BLA.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8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not successful in discovering, developing and commercializing additional product candidates beyond our current portfolio, our ability to expand our business and achieve our strategic objectives would be impaired.</w:t>
      </w:r>
    </w:p>
    <w:p>
      <w:pPr>
        <w:spacing w:after="0" w:line="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Although a substantial amount of our efforts will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successfully develop and commercialize such products for many reasons, including the following:</w:t>
      </w:r>
    </w:p>
    <w:p>
      <w:pPr>
        <w:spacing w:after="0" w:line="186" w:lineRule="exact"/>
        <w:rPr>
          <w:sz w:val="20"/>
          <w:szCs w:val="20"/>
          <w:color w:val="auto"/>
        </w:rPr>
      </w:pPr>
    </w:p>
    <w:p>
      <w:pPr>
        <w:ind w:left="900" w:hanging="447"/>
        <w:spacing w:after="0"/>
        <w:tabs>
          <w:tab w:leader="none" w:pos="9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research methodology used may not be successful in identifying potential product candidates;</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competitors may develop alternatives that render our product candidates obsolete;</w:t>
      </w:r>
    </w:p>
    <w:p>
      <w:pPr>
        <w:ind w:left="900" w:hanging="447"/>
        <w:spacing w:after="0"/>
        <w:tabs>
          <w:tab w:leader="none" w:pos="9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candidates we develop may nevertheless be covered by third parties’ patents or other exclusive rights;</w:t>
      </w:r>
    </w:p>
    <w:p>
      <w:pPr>
        <w:ind w:left="900" w:right="60" w:hanging="447"/>
        <w:spacing w:after="0" w:line="246" w:lineRule="auto"/>
        <w:tabs>
          <w:tab w:leader="none" w:pos="9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product candidate may, on further study, be shown to have harmful side effects or other characteristics that indicate it is unlikely to be effective or otherwise does not meet applicable regulatory criteria;</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3" w:name="page94"/>
    <w:bookmarkEnd w:id="93"/>
    <w:p>
      <w:pPr>
        <w:ind w:left="900" w:hanging="447"/>
        <w:spacing w:after="0"/>
        <w:tabs>
          <w:tab w:leader="none" w:pos="9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 product candidate may not be capable of being produced in commercial quantities at an acceptable cost, or at all; and</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approved product may not be accepted as safe and effective by trial participants, the medical community or third-party payors.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we are unsuccessful in identifying and developing additional products, our potential for growth may be impaired.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Manufacturing of our Product Candidates and Future Pipeline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Our mRNA product candidates are based on novel technologies and any product candidates we develop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manufacturing processes for our product candidates are novel and complex. There are no immunotherapies commercialized to date or manufactured at such scale. Due to the novel nature of this technology and limited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in the past resulted in and may in the future result in our having to resupply batches for preclinical or clinical activities when there is insufficient product stability during storage and insufficient supply. Insufficient stability or shelf life of our product candidates could materially delay our or our collaborators’ ability to continue the clinical trial for that product candidate or require us to begin a new clinical trial with a newly formulated drug product, due to the need to manufacture additional preclinical or clinical supply.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process to generate mRNA product candidates is complex and, if not developed and manufactured under well-controlled conditions, can adversely impact pharmacological activity. Furthermore, we have not manufactured immunotherapies at commercial scale.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we continue developing new manufacturing processes for our drug substance and drug product, the changes we implement to manufacturing process may in turn impact specification and stability of the drug product. Changes in our manufacturing processes may lead to failure of lots and this could lead to a substantial delay in our clinical trial. Our mRNA product candidates may prove to have a stability profile that leads to a lower than desired shelf life of the final approved immunotherapy. This poses risk in supply requirements, wasted stock and higher cost of goods.</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a number of equipment providers who are also implementing novel technology. Further, we have developed our own custom manufacturing equipment for certain of our product</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94" w:name="page95"/>
    <w:bookmarkEnd w:id="94"/>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candidates. If such equipment malfunctions or we encounter unexpected performance issues, we could encounter delays or interruptions to clinical and commercial supply.</w:t>
      </w:r>
    </w:p>
    <w:p>
      <w:pPr>
        <w:spacing w:after="0" w:line="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Due to the number of different programs, we may have cross contamination of products inside of our factories, CROs,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 month stability testing. That may require resupplying clinical material, or making additional GMP batches to keep up with clinical trial demand before such pharmaceutical property testing is completed.</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product candidates. Further, now and in the future one or more of our programs may have a single source of supply for raw materials and excipients.</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established a number of analytical assays, and may have to establish several more, to assess the quality of our mRNA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 candidates until the manufacturing or testing process is rectified.</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 candidates and result in delays or interruptions to clinical or commercial supply. In addition, the cost associated with such transportation services and the limited pool of vendors may also add additional risks of supply disruptions.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our product candidates for clinical trials or our products for patients, if approved, could be delayed or stopped, or we may be unable to maintain a commercially viable cost structure.</w:t>
      </w:r>
    </w:p>
    <w:p>
      <w:pPr>
        <w:spacing w:after="0" w:line="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159" w:lineRule="exact"/>
        <w:rPr>
          <w:sz w:val="20"/>
          <w:szCs w:val="20"/>
          <w:color w:val="auto"/>
        </w:rPr>
      </w:pPr>
    </w:p>
    <w:p>
      <w:pPr>
        <w:ind w:left="900" w:hanging="447"/>
        <w:spacing w:after="0"/>
        <w:tabs>
          <w:tab w:leader="none" w:pos="9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logistics associated with the collection of a patient’s tumor, blood or other tissue sample;</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shipping such samples to a facility for genetic sequencing;</w:t>
      </w:r>
    </w:p>
    <w:p>
      <w:pPr>
        <w:ind w:left="900" w:hanging="447"/>
        <w:spacing w:after="0"/>
        <w:tabs>
          <w:tab w:leader="none" w:pos="9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next-generation sequencing of the tumor mRNA;</w:t>
      </w:r>
    </w:p>
    <w:p>
      <w:pPr>
        <w:ind w:left="900" w:hanging="447"/>
        <w:spacing w:after="0"/>
        <w:tabs>
          <w:tab w:leader="none" w:pos="9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biopsy of a sufficient quantity of cancerous tissue to allow for proper sequencing and identification of tumor-specific mutations;</w:t>
      </w:r>
    </w:p>
    <w:p>
      <w:pPr>
        <w:ind w:left="900" w:hanging="447"/>
        <w:spacing w:after="0"/>
        <w:tabs>
          <w:tab w:leader="none" w:pos="9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appropriate tumor-specific mutations;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5" w:name="page96"/>
    <w:bookmarkEnd w:id="95"/>
    <w:p>
      <w:pPr>
        <w:ind w:left="900" w:right="200" w:hanging="447"/>
        <w:spacing w:after="0" w:line="264" w:lineRule="auto"/>
        <w:tabs>
          <w:tab w:leader="none" w:pos="9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use of a software program, including proprietary and open source components, which is hosted in the cloud and a part of our product candidate, to assist with the design of the patient-specific mRNA, which software must be maintained and secured;</w:t>
      </w:r>
    </w:p>
    <w:p>
      <w:pPr>
        <w:ind w:left="900" w:hanging="447"/>
        <w:spacing w:after="0"/>
        <w:tabs>
          <w:tab w:leader="none" w:pos="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design of the patient-specific mRNA that encodes for the required neoantigens;</w:t>
      </w:r>
    </w:p>
    <w:p>
      <w:pPr>
        <w:ind w:left="900" w:right="280" w:hanging="447"/>
        <w:spacing w:after="0" w:line="239" w:lineRule="auto"/>
        <w:tabs>
          <w:tab w:leader="none" w:pos="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batch-specific manufacturing failures or issues that arise due to the uniqueness of each patient-specific batch that may not have been foreseen;</w:t>
      </w:r>
    </w:p>
    <w:p>
      <w:pPr>
        <w:ind w:left="900" w:hanging="447"/>
        <w:spacing w:after="0"/>
        <w:tabs>
          <w:tab w:leader="none" w:pos="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quality control testing failures;</w:t>
      </w:r>
    </w:p>
    <w:p>
      <w:pPr>
        <w:ind w:left="900" w:hanging="447"/>
        <w:spacing w:after="0"/>
        <w:tabs>
          <w:tab w:leader="none" w:pos="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failures of batches placed on stability;</w:t>
      </w:r>
    </w:p>
    <w:p>
      <w:pPr>
        <w:ind w:left="900" w:right="100" w:hanging="447"/>
        <w:spacing w:after="0" w:line="239" w:lineRule="auto"/>
        <w:tabs>
          <w:tab w:leader="none" w:pos="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shortages or quality control issues with single-use assemblies, consumables or critical parts sourced from third-party vendors that must be changed out for each patient-specific batch;</w:t>
      </w:r>
    </w:p>
    <w:p>
      <w:pPr>
        <w:ind w:left="900" w:hanging="447"/>
        <w:spacing w:after="0"/>
        <w:tabs>
          <w:tab w:leader="none" w:pos="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costs associated with individualized manufacturing that may adversely affect our ability to continue development;</w:t>
      </w:r>
    </w:p>
    <w:p>
      <w:pPr>
        <w:ind w:left="900" w:hanging="447"/>
        <w:spacing w:after="0"/>
        <w:tabs>
          <w:tab w:leader="none" w:pos="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and timely manufacture and release of the patient-specific batch;</w:t>
      </w:r>
    </w:p>
    <w:p>
      <w:pPr>
        <w:ind w:left="900" w:hanging="447"/>
        <w:spacing w:after="0"/>
        <w:tabs>
          <w:tab w:leader="none" w:pos="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shipment issues encountered during transport of the batch to the site of patient care;</w:t>
      </w:r>
    </w:p>
    <w:p>
      <w:pPr>
        <w:ind w:left="900" w:hanging="447"/>
        <w:spacing w:after="0"/>
        <w:tabs>
          <w:tab w:leader="none" w:pos="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define a consistent safety profile at a given dose when each participant receives a unique treatment; and</w:t>
      </w:r>
    </w:p>
    <w:p>
      <w:pPr>
        <w:ind w:left="900" w:hanging="447"/>
        <w:spacing w:after="0"/>
        <w:tabs>
          <w:tab w:leader="none" w:pos="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single source suppliers.</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due to the custom nature of the equipment and single-use assemblies, we may not be able to supply this expanded need reliably without significant investments. In addition, there will be considerable time to scale up our facilities or build new facilities before we can begin to meet any commercial demand if one or more of our product candidates are approved. This expansion or addition of new facilities could also lead to product comparability issues, which can further delay introduction of new capacity.</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certain of our product candidates are manufactured for each individual patient, we will be required to maintain a chain of identity with respect to each patient’s tissue sample, sequence data derived from such tissue sample, analyze results of such patient’s genomic analysis, and the custom manufactured product for each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18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inability to manufacture sufficient quantities of our product candidates, or our failure to comply with applicable regulatory requirements, would materially and adversely affect our business.</w:t>
      </w:r>
    </w:p>
    <w:p>
      <w:pPr>
        <w:spacing w:after="0" w:line="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Manufacturing is a vital component of our individualized immunotherapy approach, and we have invested significantly in our manufacturing facilities. All internal manufacturing is performed under GMP guidelines. We do not rely on any external CMOs for the manufacture of our product candidates and at this time, we have limited redundancy among our facilities. Due to the individualized nature of our product candidates, we do not maintain product reserves. If any of our manufacturing facilities experiences difficulties, including related to manufacturing, product release, shelf life, testing, storage and supply chain management or shipping, our clinical development programs may be delayed or suspended until we can resume operations. We may also be required to incur significant expenditures to resolve such difficulties.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facilities are subject to various regulatory requirements and may be subject to the inspection of the FDA or other regulatory authorities.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96" w:name="page97"/>
    <w:bookmarkEnd w:id="96"/>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If we cannot successfully manufacture material that conforms to our specifications and the strict regulatory requirements of the FDA, EMA or comparable regulatory authorities in other jurisdictions, we may not be able to rely on our manufacturing facilities for the manufacture of our product candidates. If the FDA, EMA or another comparable regulatory authority finds our facilities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Additionally, we may experience manufacturing difficulties due to resource constraints or as a result of labor disputes or unstable political environments. If we were to encounter any of these difficulties, our ability to provide our product candidate to patients in clinical trials, or to provide product for the treatment of patients once approved, would be jeopardized.</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regulatory and operational risks associated with the physical and digital infrastructure at both our internal manufacturing facilities and at those of our external service providers.</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While the design of our facilities is based on current standards for biotechnology facilities, it has not been reviewed or pre-approved by any regulatory agency, nor have our facilities been inspected by any regulatory agency such as the FDA. We have designed our facilities to incorporate a significant level of automation of equipment with integration of several digital systems to improve efficiency of operations. We have attempted to achieve a high level of digitization for clinical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delay in supply or shutdown of our facilities. Any disruption in our manufacturing capabilities could cause delays in our production capacity for our drug substances or drug products, impose additional costs, or may require us to identify, qualify and establish an alternative manufacturing site, the occurrence of which could have a material adverse effect on our business, financial condition, results of operations and prospects.</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we expand our development and commercial capacity, we may establish additional manufacturing capabilities and expand to other locations or geographies, which may lead to regulatory delays or prove costly. If we fail to select the correct location, complete the construction in an efficient manner, recruit the required personnel, and generally manage our growth effectively, the development and production of our product candidates could be delayed or curtailed. Additional investments may be needed if changes in our manufacturing process lead to required changes in our infrastructure.</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Certain of our product candidates rely on the availability of specialty raw materials, which may not be available to us on acceptable terms or at all.</w:t>
      </w:r>
    </w:p>
    <w:p>
      <w:pPr>
        <w:spacing w:after="0" w:line="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product candidates require many specialty raw materials, some of which are manufactured by small companies with limited resources and experience to support a commercial product, and the suppliers may not be able to deliver raw materials to our specifications. In addition, those suppliers normally support blood-based hospital businesses and generally do not have the capacity to support commercial products manufactured under GMP by biopharmaceutical firms. These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7" w:name="page98"/>
    <w:bookmarkEnd w:id="97"/>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which could have a material adverse impact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product candidates are inherently sensitive to shipping and storage conditions and could be subject to risk of loss or damage.</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product candidates are sensitive to temperature, storage and handling conditions. For example, our BNT162 vaccine must be shipped and stored at very cold temperatures. Loss in product candidates could occur if the product or product intermediates are not stored or handled properly. Shelf life for our product candidates may vary by product and is not fully quantified and is expected to be variable, and it is possible that our product candidates could be lost due to expiration prior to use. This has in the past led and could in the future lead to additional manufacturing costs and delays in our ability to supply required quantities for clinical trials or otherwise. If we, our partners and customers are unable to adequately manage these issues, the market opportunity for our products may be reduced.</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significant regulatory oversight with respect to manufacturing our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clinical trials. Poor control of the GMP production processes can lead to product quality failures that can impact our ability to supply product, resulting in cost overruns and delays to clinical timelines, which could be extensive. Such production process issues include but are not limited to:</w:t>
      </w:r>
    </w:p>
    <w:p>
      <w:pPr>
        <w:spacing w:after="0" w:line="185" w:lineRule="exact"/>
        <w:rPr>
          <w:sz w:val="20"/>
          <w:szCs w:val="20"/>
          <w:color w:val="auto"/>
        </w:rPr>
      </w:pPr>
    </w:p>
    <w:p>
      <w:pPr>
        <w:ind w:left="900" w:hanging="447"/>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critical deviations in the manufacturing process;</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facility and equipment failures;</w:t>
      </w:r>
    </w:p>
    <w:p>
      <w:pPr>
        <w:ind w:left="900" w:hanging="447"/>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contamination of the product due to an ineffective quality control strategy;</w:t>
      </w:r>
    </w:p>
    <w:p>
      <w:pPr>
        <w:ind w:left="900" w:hanging="447"/>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facility contamination as assessed by the facility and utility environmental monitoring program;</w:t>
      </w:r>
    </w:p>
    <w:p>
      <w:pPr>
        <w:ind w:left="900" w:hanging="447"/>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ineffective process, equipment or analytical change management, resulting in failed lot release criteria;</w:t>
      </w:r>
    </w:p>
    <w:p>
      <w:pPr>
        <w:ind w:left="900" w:hanging="447"/>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raw material failures due to ineffective supplier qualification or regulatory compliance issues at critical suppliers;</w:t>
      </w:r>
    </w:p>
    <w:p>
      <w:pPr>
        <w:ind w:left="900" w:hanging="447"/>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ineffective product stability;</w:t>
      </w:r>
    </w:p>
    <w:p>
      <w:pPr>
        <w:ind w:left="900" w:hanging="447"/>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failed lot release or facility and utility quality control testing;</w:t>
      </w:r>
    </w:p>
    <w:p>
      <w:pPr>
        <w:ind w:left="900" w:right="980" w:hanging="447"/>
        <w:spacing w:after="0" w:line="239" w:lineRule="auto"/>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ineffective corrective actions or preventative actions taken to correct or avoid critical deviations due to our developing understanding of the manufacturing process as we scale; and</w:t>
      </w:r>
    </w:p>
    <w:p>
      <w:pPr>
        <w:ind w:left="900" w:hanging="447"/>
        <w:spacing w:after="0"/>
        <w:tabs>
          <w:tab w:leader="none" w:pos="9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failed or defective components or consumables.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Regulatory authorities typically require representative manufacturing site inspections to assess adequate compliance with GMPs and manufacturing controls as described in the filing. If either we or one of our third- party manufacturing sites fails to provide sufficient quality assurance or control, approval to commercialize our product candidates may not be granted. Inspections by regulatory authorities may occur</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8" w:name="page99"/>
    <w:bookmarkEnd w:id="98"/>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at any time during the development or commercialization phase of products. The inspections may be product-specific or facility- specific for broader GMP inspections or as a follow up to market or development issues that the regulatory agency may identify. Deficient inspection outcomes may influence the ability of our third-party manufacturers or suppliers to fulfill their supply obligations, impacting or delaying supply or delaying programs.</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manufacturing process for any products that we may develop is subject to the FDA’s, the EMA’s and other regulatory authorities’ approval processes, and we may need to contract with manufacturers who we believe can meet applicable regulatory authority requirements on an ongoing basis. If we or our third-party manufacturers are unable to reliably produce product candidates to specifications acceptable to the FDA, the EMA or other regulatory authorities, we or our collaborators may not obtain or maintain the approvals we or they need to commercialize such products. Even if we or our collaborators obtain regulatory approval for any of our immunotherapies, there is no assurance that either we or our CMOs will be able to manufacture our product candidates to specifications acceptable to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we may not have direct control over the ability of our contract manufacturers to maintain adequate quality control, quality assurance and qualified personnel. Furthermore, all of our contract manufacturers are engaged with other companies to supply or manufacture materials or products for such companies, which exposes our contract manufacturers to regulatory risks for the production of such materials and products. As a result, failure to meet the regulatory requirements for the production of those materials and products may generally affect the regulatory status of our CMOs’ facilities.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 Our potential future dependence upon others for the manufacture of our product candidates and raw materials may adversely affect our future profit margins and our ability to commercialize any products that receive regulatory approval on a timely and competitive basis.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FDA,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third-party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or product launches, which could be costly to us and otherwise harm our business, financial condition, results of operations and prospects.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for or ultimately detect intentional sabotage or negligence by any employee or contractor.</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Risks Related to the Commercialization of our Pipeline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The successful commercialization of our product candidates will depend in part on the extent to which governmental authorities, private health insurers and other third-party payors provide coverage and adequate reimbursement levels and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availability and extent of reimbursement by governmental and private payors is essential for most patients to be able to afford expensive treatments such as the medicines that we hope to develop and sell. In addition, because several of our product candidates represent new approaches to the treatment of cancer, we cannot accurately estimate how these products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in any of our products.</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There is significant uncertainty related to the insurance coverage and reimbursement of newly approved products,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For example, the U.S. government recently released a “blueprint,” which is a plan to reduce the cost of drugs. The blueprint contains certain measures that the HHS is already working to implement. At the state level, legislatures are increasingly passing legislation and</w:t>
      </w:r>
    </w:p>
    <w:p>
      <w:pPr>
        <w:spacing w:after="0" w:line="194"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00" w:name="page101"/>
    <w:bookmarkEnd w:id="100"/>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 the marketplace.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174" w:lineRule="exact"/>
        <w:rPr>
          <w:sz w:val="20"/>
          <w:szCs w:val="20"/>
          <w:color w:val="auto"/>
        </w:rPr>
      </w:pPr>
    </w:p>
    <w:p>
      <w:pPr>
        <w:ind w:left="900" w:right="440" w:hanging="447"/>
        <w:spacing w:after="0" w:line="250" w:lineRule="auto"/>
        <w:tabs>
          <w:tab w:leader="none" w:pos="9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financial, technical and human resources than we have at every stage of the discovery, development, manufacture and commercialization of products;</w:t>
      </w:r>
    </w:p>
    <w:p>
      <w:pPr>
        <w:spacing w:after="0" w:line="1" w:lineRule="exact"/>
        <w:rPr>
          <w:rFonts w:ascii="Times New Roman" w:cs="Times New Roman" w:eastAsia="Times New Roman" w:hAnsi="Times New Roman"/>
          <w:sz w:val="20"/>
          <w:szCs w:val="20"/>
          <w:color w:val="auto"/>
        </w:rPr>
      </w:pPr>
    </w:p>
    <w:p>
      <w:pPr>
        <w:ind w:left="900" w:right="140" w:hanging="447"/>
        <w:spacing w:after="0" w:line="239" w:lineRule="auto"/>
        <w:tabs>
          <w:tab w:leader="none" w:pos="9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extensive experience in preclinical testing, conducting clinical trials, obtaining regulatory approvals, and in manufacturing, marketing and selling drug products;</w:t>
      </w:r>
    </w:p>
    <w:p>
      <w:pPr>
        <w:ind w:left="900" w:hanging="447"/>
        <w:spacing w:after="0"/>
        <w:tabs>
          <w:tab w:leader="none" w:pos="9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candidates that are based on previously tested or accepted technologies;</w:t>
      </w:r>
    </w:p>
    <w:p>
      <w:pPr>
        <w:ind w:left="900" w:hanging="447"/>
        <w:spacing w:after="0"/>
        <w:tabs>
          <w:tab w:leader="none" w:pos="9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products that have been approved or are in late stages of development; and</w:t>
      </w:r>
    </w:p>
    <w:p>
      <w:pPr>
        <w:ind w:left="900" w:hanging="447"/>
        <w:spacing w:after="0"/>
        <w:tabs>
          <w:tab w:leader="none" w:pos="9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collaborative arrangements in our target markets with leading companies and research institutions.</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will face intense competition from drugs that have already been approved and accepted by the medical community for the treatment of the conditions for which we may develop drugs. We also expect to face competition from new drugs that enter the market. There are a number of drugs currently under development, which may become commercially available in the future, for the treatment of conditions for which we are trying, or may in the future try, to develop drugs. These drugs may be more effective, safer, less expensive, or marketed and sold more effectively, than any products we develop.</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anticipate competing with the largest pharmaceutical companies in the world, many of which are all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we successfully develop product candidates, and obtain approval for them, we will face competition based on many different factors, including:</w:t>
      </w:r>
    </w:p>
    <w:p>
      <w:pPr>
        <w:spacing w:after="0" w:line="159" w:lineRule="exact"/>
        <w:rPr>
          <w:sz w:val="20"/>
          <w:szCs w:val="20"/>
          <w:color w:val="auto"/>
        </w:rPr>
      </w:pPr>
    </w:p>
    <w:p>
      <w:pPr>
        <w:ind w:left="900" w:hanging="447"/>
        <w:spacing w:after="0"/>
        <w:tabs>
          <w:tab w:leader="none" w:pos="9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safety and effectiveness of our products relative to alternative therapies, if any;</w:t>
      </w:r>
    </w:p>
    <w:p>
      <w:pPr>
        <w:spacing w:after="0" w:line="21" w:lineRule="exact"/>
        <w:rPr>
          <w:rFonts w:ascii="Times New Roman" w:cs="Times New Roman" w:eastAsia="Times New Roman" w:hAnsi="Times New Roman"/>
          <w:sz w:val="20"/>
          <w:szCs w:val="20"/>
          <w:color w:val="auto"/>
        </w:rPr>
      </w:pPr>
    </w:p>
    <w:p>
      <w:pPr>
        <w:ind w:left="900" w:right="1060" w:hanging="447"/>
        <w:spacing w:after="0" w:line="239" w:lineRule="auto"/>
        <w:tabs>
          <w:tab w:leader="none" w:pos="9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ease with which our products can be administered and the extent to which patients accept relatively new routes of administration;</w:t>
      </w:r>
    </w:p>
    <w:p>
      <w:pPr>
        <w:ind w:left="900" w:hanging="447"/>
        <w:spacing w:after="0"/>
        <w:tabs>
          <w:tab w:leader="none" w:pos="9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scope of regulatory approvals for these products;</w:t>
      </w:r>
    </w:p>
    <w:p>
      <w:pPr>
        <w:ind w:left="900" w:hanging="447"/>
        <w:spacing w:after="0"/>
        <w:tabs>
          <w:tab w:leader="none" w:pos="9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cost of manufacturing, marketing and sales capabilities;</w:t>
      </w:r>
    </w:p>
    <w:p>
      <w:pPr>
        <w:ind w:left="900" w:hanging="447"/>
        <w:spacing w:after="0"/>
        <w:tabs>
          <w:tab w:leader="none" w:pos="9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of any approved immunotherapy;</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01" w:name="page102"/>
    <w:bookmarkEnd w:id="101"/>
    <w:p>
      <w:pPr>
        <w:ind w:left="900" w:hanging="447"/>
        <w:spacing w:after="0"/>
        <w:tabs>
          <w:tab w:leader="none" w:pos="9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reimbursement coverage; and</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position.</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competitors may develop or commercialize products with significant advantages over any products we develop based on any of the factors listed above or on other factors. In addition, our competitors may develop collaborations with or receive funding from larger pharmaceutical or biotechnology companies, providing them with an advantage over us. 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products, if approved.</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The market opportunities for certain of our product candidates may be limited due to the rarity of the disease, or limited to those patients who are ineligible for or have failed prior treatments, and may be small. As the target patient populations for some of our programs are small, we must be able to successfully identify trial participants and achieve a significant market share to maintain profitability and growth.</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FDA often approves new therapies initially only for use by patients with relapsed or refractory advanced cancer. We expect to initially seek approval of certain of our product candidates in this context. Subsequently, for those products that prove to be sufficiently beneficial, if any, we would expect to seek approval in earlier lines of treatment and potentially as a first-line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are small, we may never achieve profitability without obtaining regulatory approval for additional indications.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We have only recently begun building our marketing and sales organization and as a company, we have no experience in marketing pharmaceutical products. If we are unable to establish marketing and sales capabilities on our own or through third parties, we may not be able to market and sell our product candidates effectively in the United States and other jurisdictions, if approved, or generate product sales revenue.</w:t>
      </w:r>
    </w:p>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Given our stage of development, we have only recently begun to develop our sales, distribution or marketing capabilities, and we have not designed our preclinical studies and clinical trials with specific commercialization or marketing considerations in mind. To successfully commercialize any products that may result from our development programs, we will need to develop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future collaborators do not commit sufficient resources to commercialize our future products, if any, and we are unable to develop the necessary marketing capabilities on our own, we may be unable to generate sufficient product sales revenue to sustain our business. We will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02" w:name="page103"/>
    <w:bookmarkEnd w:id="102"/>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Our future profitability, if any,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future profitability, if any,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174" w:lineRule="exact"/>
        <w:rPr>
          <w:sz w:val="20"/>
          <w:szCs w:val="20"/>
          <w:color w:val="auto"/>
        </w:rPr>
      </w:pP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on a country-by-country basis, the applicable marketing authorization from the competent regulatory authority;</w:t>
      </w:r>
    </w:p>
    <w:p>
      <w:pPr>
        <w:spacing w:after="0" w:line="21" w:lineRule="exact"/>
        <w:rPr>
          <w:rFonts w:ascii="Times New Roman" w:cs="Times New Roman" w:eastAsia="Times New Roman" w:hAnsi="Times New Roman"/>
          <w:sz w:val="20"/>
          <w:szCs w:val="20"/>
          <w:color w:val="auto"/>
        </w:rPr>
      </w:pPr>
    </w:p>
    <w:p>
      <w:pPr>
        <w:ind w:left="900" w:right="560" w:hanging="447"/>
        <w:spacing w:after="0" w:line="239" w:lineRule="auto"/>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burden of complying with complex and changing regulatory, tax, accounting, labor and other legal requirements in each jurisdiction that we or our collaborators pursue;</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protection for intellectual property rights;</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medical practices and customs affecting acceptance in the marketplace;</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 or export licensing requirements;</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governmental controls, trade restrictions or changes in tariffs;</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weakness, including inflation, or political instability in particular non-U.S. economies and markets;</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shortages resulting from any events affecting raw material supply or manufacturing capabilities abroad;</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accounts receivable collection times;</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lead times for shipping;</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language barriers;</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exchange rate fluctuations;</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public health epidemics on employees and the global economy, such as the current coronavirus epidemic;</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 pricing and insurance regimes; and</w:t>
      </w:r>
    </w:p>
    <w:p>
      <w:pPr>
        <w:ind w:left="900" w:hanging="447"/>
        <w:spacing w:after="0"/>
        <w:tabs>
          <w:tab w:leader="none" w:pos="9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interpretation of contractual provisions governed by local laws in the event of a contract dispute.</w:t>
      </w:r>
    </w:p>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15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approval for our product candidates, the products may not gain the market acceptance among physicians, patients, hospitals, cancer treatment centers and others in the medical community necessary for commercial success.</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Any product that we bring to the market may not gain market acceptance by physicians, trial participants, third-party payors, and others in the medical community. Additionally, ethical, social and legal concerns about genetic research could result in additional regulations restricting or prohibiting the products and processes we may use. If these products do not achieve an adequate level of acceptance, we may not generate significant product sales revenue and may not become profitable. The degree of market acceptance of our product candidates, if approved for commercial sale, will depend on a number of factors, including:</w:t>
      </w:r>
    </w:p>
    <w:p>
      <w:pPr>
        <w:spacing w:after="0" w:line="185" w:lineRule="exact"/>
        <w:rPr>
          <w:sz w:val="20"/>
          <w:szCs w:val="20"/>
          <w:color w:val="auto"/>
        </w:rPr>
      </w:pPr>
    </w:p>
    <w:p>
      <w:pPr>
        <w:ind w:left="900" w:hanging="447"/>
        <w:spacing w:after="0"/>
        <w:tabs>
          <w:tab w:leader="none" w:pos="9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efficacy and potential advantages over alternative treatments;</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offer our products, if approved, at competitive prices;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03" w:name="page104"/>
    <w:bookmarkEnd w:id="103"/>
    <w:p>
      <w:pPr>
        <w:ind w:left="900" w:hanging="447"/>
        <w:spacing w:after="0"/>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prevalence and severity of any side effects, including any limitations or warnings contained in a product’s approved labeling;</w:t>
      </w:r>
    </w:p>
    <w:p>
      <w:pPr>
        <w:spacing w:after="0" w:line="21" w:lineRule="exact"/>
        <w:rPr>
          <w:rFonts w:ascii="Times New Roman" w:cs="Times New Roman" w:eastAsia="Times New Roman" w:hAnsi="Times New Roman"/>
          <w:sz w:val="20"/>
          <w:szCs w:val="20"/>
          <w:color w:val="auto"/>
        </w:rPr>
      </w:pPr>
    </w:p>
    <w:p>
      <w:pPr>
        <w:ind w:left="900" w:right="400" w:hanging="447"/>
        <w:spacing w:after="0" w:line="239" w:lineRule="auto"/>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any side effects resulting from checkpoint inhibitors or other drugs or therapies with which our products are administered;</w:t>
      </w:r>
    </w:p>
    <w:p>
      <w:pPr>
        <w:ind w:left="900" w:hanging="447"/>
        <w:spacing w:after="0"/>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relative convenience and ease of administration;</w:t>
      </w:r>
    </w:p>
    <w:p>
      <w:pPr>
        <w:ind w:left="900" w:hanging="447"/>
        <w:spacing w:after="0"/>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restrictions on the use of our products, if approved, together with other medications;</w:t>
      </w:r>
    </w:p>
    <w:p>
      <w:pPr>
        <w:ind w:left="900" w:right="240" w:hanging="447"/>
        <w:spacing w:after="0" w:line="239" w:lineRule="auto"/>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the target patient population to try new therapies, such as mRNA vaccines and therapies, and of physicians to prescribe these therapies;</w:t>
      </w:r>
    </w:p>
    <w:p>
      <w:pPr>
        <w:ind w:left="900" w:hanging="447"/>
        <w:spacing w:after="0"/>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marketing and distribution support and timing of market introduction of competitive products;</w:t>
      </w:r>
    </w:p>
    <w:p>
      <w:pPr>
        <w:ind w:left="900" w:hanging="447"/>
        <w:spacing w:after="0"/>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publicity concerning our products or competing products and treatments; and</w:t>
      </w:r>
    </w:p>
    <w:p>
      <w:pPr>
        <w:ind w:left="900" w:right="80" w:hanging="447"/>
        <w:spacing w:after="0" w:line="246" w:lineRule="auto"/>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sufficient third-party insurance coverage or reimbursement, and patients’ willingness to pay out-of-pocket in the absence of third-party coverage or adequate reimbursement.</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Commercial success of any approved products will also depend in large part on the availability of coverage and adequate reimbursement from third-party payors, including government payors such as the Medicare and Medicaid programs and entry into managed care organizations,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do not provide adequate coverage and reimbursement levels for any of our products once approved, whether due to healthcare reform legislation or otherwise, market acceptance and commercial success would be reduced.</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if any of our products are approved for marketing, we or a collaborator will be subject to significant regulatory obligations regarding the submission of safety and other post-marketing information and reports for such product, and will need to continue to comply (or ensure that our third-party providers comply) with GMP and current good clinical practices, or GCP, for any clinical trials that we or a collaborator conduct post-approval. In addition, there is always the risk that we or a 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Coverage and reimbursement may be limited or unavailable in certain market segments for our product candidates, which could make it difficult for us to sell our product candidates, if approved, profitably.</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Successful sales of our product candidates, if approved, depend on the availability of coverage and adequate reimbursement from third- 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04" w:name="page105"/>
    <w:bookmarkEnd w:id="104"/>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159" w:lineRule="exact"/>
        <w:rPr>
          <w:sz w:val="20"/>
          <w:szCs w:val="20"/>
          <w:color w:val="auto"/>
        </w:rPr>
      </w:pPr>
    </w:p>
    <w:p>
      <w:pPr>
        <w:ind w:left="900" w:hanging="447"/>
        <w:spacing w:after="0"/>
        <w:tabs>
          <w:tab w:leader="none" w:pos="9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 effective and medically necessary;</w:t>
      </w:r>
    </w:p>
    <w:p>
      <w:pPr>
        <w:ind w:left="900" w:hanging="447"/>
        <w:spacing w:after="0"/>
        <w:tabs>
          <w:tab w:leader="none" w:pos="9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appropriate for the specific patient;</w:t>
      </w:r>
    </w:p>
    <w:p>
      <w:pPr>
        <w:ind w:left="900" w:hanging="447"/>
        <w:spacing w:after="0"/>
        <w:tabs>
          <w:tab w:leader="none" w:pos="9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cost-effective; and</w:t>
      </w:r>
    </w:p>
    <w:p>
      <w:pPr>
        <w:ind w:left="900" w:hanging="447"/>
        <w:spacing w:after="0"/>
        <w:tabs>
          <w:tab w:leader="none" w:pos="9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Obtaining coverage and reimbursement of a product from a government or other third-party payor is a time- 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 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United States, no uniform policy of coverage and reimbursement for products exists among third- 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05" w:name="page106"/>
    <w:bookmarkEnd w:id="105"/>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reimbursement status is attained for one or more products for which we receive regulatory approval, less favorable coverage policies and reimbursement rates may be implemented in the future.</w:t>
      </w:r>
    </w:p>
    <w:p>
      <w:pPr>
        <w:spacing w:after="0" w:line="15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advancement of healthcare reform legislation may increase the difficulty and cost for us to obtain marketing approval of and commercialize any product candidates we or our collaborators develop and may adversely affect the prices for such product candidates.</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United States, there have been and continue to be a number of legislative initiatives to contain healthcare costs. For example, in March 2010, the ACA was passed, which substantially changes the way health care is financed by both governmental and private insurers, and significantly impacts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Some of the provisions of the ACA have yet to be fully implemented, while certain provisions have been subject to judicial and Congressional challenges. The Tax Cuts and Jobs Act of 2017, or the TCJA, includes a provision repealing the tax-based shared responsibility payment imposed by the ACA on certain individuals who fail to maintain qualifying health coverage for all or part of a year that is commonly referred to as the “individual mandate.”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October 13, 2017, an executive order was signed terminating the cost-sharing reduction, or CSR, subsidies that reimburse insurers under the ACA.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Another executive order was signed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With the current presidential administration and Congress, there may be additional administrative or legislative changes, including modification, repeal or replacement of all, or certain provisions of, the ACA. However, it remains to be seen whether new legislation modifying the ACA will be enacted and, if so, precisely what the new legislation will provide, when it will be enacted and what impact it will have on the availability of healthcare and containing or lowering the cost of healthcare. The implications of a potential repeal or replacement of the ACA, for our and our collaborators’ business and financial condition, if any, are not yet clear.</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These reductions will remain in effect through 2025 unless additional congressional action is taken.</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w:t>
      </w:r>
    </w:p>
    <w:p>
      <w:pPr>
        <w:spacing w:after="0" w:line="194"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06" w:name="page107"/>
    <w:bookmarkEnd w:id="106"/>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relevant health service providers. Coupled with ever-increasing European Union and national regulatory burdens on those wishing to develop and market products, this could prevent or delay marketing approval of our product candidates, restrict or regulate post- approval activities, and affect our ability to commercialize any products for which we obtain marketing approval.</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expect that additional healthcare reform measures or proposals will be adopted in the future, any of which could limit the amounts that governments will pay for healthcare products and services, which could result in reduced demand for our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European Union drug marketing and reimbursement regulations may materially affect our ability to market and receive coverage for our products in the European Union member states.</w:t>
      </w:r>
    </w:p>
    <w:p>
      <w:pPr>
        <w:spacing w:after="0" w:line="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intend to seek approval to market our product candidates in both the United States and in other selected jurisdictions. If we obtain approval for our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European Union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 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07" w:name="page108"/>
    <w:bookmarkEnd w:id="107"/>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several arrangements with a related party for the performance of nonclinical research programs, and these arrangements present potential conflicts of interest.</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have had a longstanding relationship with Translational Oncology at the University Medical Center of the Johannes Gutenberg University Mainz (Translationale Onkologie an der Universitätsmedizin der Johannes Gutenberg Universität Mainz gemeinnützige GmbH), or TRON, a non-profit limited liability company engaged in biopharmaceutical research. During the year ended December 31, 2019 until the resignation of Prof. Ugur Sahin, M.D., as Managing Director for Science and Research at TRON on September 10, 2019, and during the year ended December 31, 2018, the aggregate value of the transactions related to these arrangements with TRON amounted to €6.6 million and €6.6 million, respectively, and TRON’s research has historically constituted a significant portion of our discovery pipeline and target discovery engine. Prof. Ugur Sahin, M.D., our co-founder and Chief Executive Officer, co-founded TRON and served as Managing Director at TRON until 2019 and currently serves as a Professor of Medicine at the University of Mainz. Prof. Sahin resigned from this position with TRON, effective September 10, 2019. Additionally, Prof. Christoph Huber, M.D., a member of our Supervisory Board, served on TRON’s supervisory board until his resignation in April 2019. We and TRON also share certain intellectual property. Prof. Ugur Sahin, M.D., our co-founder and Chief Executive Officer, owns a significant amount of shares in TRON. During the year ended December 31, 2019, the aggregate value of transactions related to these agreements with TRON amounted to €10.0 million pursuant to these agreements (€6.6 million during the year ended December 31, 2018).</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existence or appearance of a conflict of interest could depress the price of the ADSs or attract scrutiny from shareholders, regulators or other stakeholders. Additionally, any conflicts of interest would create the risk that our officers may favor their personal interests over those of our shareholders.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currently rely and expect to continue to rely on third parties, such as CROs, clinical data management organizations, collaborators, medical institutions and clinical investigators, to conduct various and significant elements of our clinical trials.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reliance on these third parties for research and development activities will reduce our control over these activities but will not relieve us of our regulatory or contractual responsibilities. We are responsible for ensuring that each of our preclinical studies and clinical trials is conducted in accordance with the applicable protocol, legal and regulatory requirements and scientific standards. For example, we are responsible for ensuring that each of our clinical trials is conducted in accordance with the general investigational plan and protocols for the trial.</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w:t>
      </w:r>
    </w:p>
    <w:p>
      <w:pPr>
        <w:spacing w:after="0" w:line="189"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08" w:name="page109"/>
    <w:bookmarkEnd w:id="108"/>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and our CROs are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also are responsible for ensuring that the rights of our clinical trial participants are protected. These regulations are enforced by the FDA, the competent authorities of the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be sure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Although we have designed and in the future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are outside of our direct control. Our reliance on third parties to conduct future preclinical studies and clinical trials results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186" w:lineRule="exact"/>
        <w:rPr>
          <w:sz w:val="20"/>
          <w:szCs w:val="20"/>
          <w:color w:val="auto"/>
        </w:rPr>
      </w:pPr>
    </w:p>
    <w:p>
      <w:pPr>
        <w:ind w:left="900" w:hanging="447"/>
        <w:spacing w:after="0"/>
        <w:tabs>
          <w:tab w:leader="none" w:pos="9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staffing difficulties;</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comply with contractual obligations;</w:t>
      </w:r>
    </w:p>
    <w:p>
      <w:pPr>
        <w:ind w:left="900" w:hanging="447"/>
        <w:spacing w:after="0"/>
        <w:tabs>
          <w:tab w:leader="none" w:pos="9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regulatory compliance issues;</w:t>
      </w:r>
    </w:p>
    <w:p>
      <w:pPr>
        <w:ind w:left="900" w:hanging="447"/>
        <w:spacing w:after="0"/>
        <w:tabs>
          <w:tab w:leader="none" w:pos="9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undergo changes in priorities or become financially distressed;</w:t>
      </w:r>
    </w:p>
    <w:p>
      <w:pPr>
        <w:ind w:left="900" w:hanging="447"/>
        <w:spacing w:after="0"/>
        <w:tabs>
          <w:tab w:leader="none" w:pos="9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relationships with other entities, some of which may be our competitors;</w:t>
      </w:r>
    </w:p>
    <w:p>
      <w:pPr>
        <w:ind w:left="900" w:hanging="447"/>
        <w:spacing w:after="0"/>
        <w:tabs>
          <w:tab w:leader="none" w:pos="9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human errors; or</w:t>
      </w:r>
    </w:p>
    <w:p>
      <w:pPr>
        <w:ind w:left="900" w:hanging="447"/>
        <w:spacing w:after="0"/>
        <w:tabs>
          <w:tab w:leader="none" w:pos="9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cyberattacks.</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also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09" w:name="page110"/>
    <w:bookmarkEnd w:id="109"/>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 Each of the risks set forth above may be exacerbated by the COVID-19 pandemic currently affecting the global community and the global economy.</w:t>
      </w:r>
    </w:p>
    <w:p>
      <w:pPr>
        <w:spacing w:after="0" w:line="17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 candidates.</w:t>
      </w:r>
    </w:p>
    <w:p>
      <w:pPr>
        <w:spacing w:after="0" w:line="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entered into collaborations under which our collaborators have provided, and may in the future provide, funding and other resources for developing and potentially commercializing our product candidates. We expect to enter into additional collaborations to access additional funding, capabilities and expertise in the future. Our existing collaborations, and any future collaborations we enter into, may pose a number of risks, including the following:</w:t>
      </w:r>
    </w:p>
    <w:p>
      <w:pPr>
        <w:spacing w:after="0" w:line="180" w:lineRule="exact"/>
        <w:rPr>
          <w:sz w:val="20"/>
          <w:szCs w:val="20"/>
          <w:color w:val="auto"/>
        </w:rPr>
      </w:pPr>
    </w:p>
    <w:p>
      <w:pPr>
        <w:ind w:left="900" w:hanging="447"/>
        <w:spacing w:after="0"/>
        <w:tabs>
          <w:tab w:leader="none" w:pos="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perform or prioritize their obligations as expected;</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trials conducted as part of such collaborations may not be successful;</w:t>
      </w:r>
    </w:p>
    <w:p>
      <w:pPr>
        <w:ind w:left="900" w:right="200" w:hanging="447"/>
        <w:spacing w:after="0" w:line="239" w:lineRule="auto"/>
        <w:tabs>
          <w:tab w:leader="none" w:pos="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pursue development and commercialization of any product candidates that achieve regulatory approval or may elect not to continue or renew development or commercialization of programs based on clinical trial results, changes in the collaborators’ focus or available funding, or external factors, such as an acquisition, that divert resources or create competing priorities;</w:t>
      </w:r>
    </w:p>
    <w:p>
      <w:pPr>
        <w:spacing w:after="0" w:line="1" w:lineRule="exact"/>
        <w:rPr>
          <w:rFonts w:ascii="Times New Roman" w:cs="Times New Roman" w:eastAsia="Times New Roman" w:hAnsi="Times New Roman"/>
          <w:sz w:val="20"/>
          <w:szCs w:val="20"/>
          <w:color w:val="auto"/>
        </w:rPr>
      </w:pPr>
    </w:p>
    <w:p>
      <w:pPr>
        <w:ind w:left="900" w:right="560" w:hanging="447"/>
        <w:spacing w:after="0" w:line="252" w:lineRule="auto"/>
        <w:tabs>
          <w:tab w:leader="none" w:pos="90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delay clinical trials, provide insufficient funding for clinical trials, stop a clinical trial, abandon a product candidate, repeat or conduct new clinical trials, or require a new formulation of a product candidate for clinical testing;</w:t>
      </w:r>
    </w:p>
    <w:p>
      <w:pPr>
        <w:ind w:left="900" w:right="280" w:hanging="447"/>
        <w:spacing w:after="0" w:line="239" w:lineRule="auto"/>
        <w:tabs>
          <w:tab w:leader="none" w:pos="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Times New Roman" w:cs="Times New Roman" w:eastAsia="Times New Roman" w:hAnsi="Times New Roman"/>
          <w:sz w:val="20"/>
          <w:szCs w:val="20"/>
          <w:color w:val="auto"/>
        </w:rPr>
      </w:pPr>
    </w:p>
    <w:p>
      <w:pPr>
        <w:ind w:left="900" w:right="40" w:hanging="447"/>
        <w:spacing w:after="0" w:line="239" w:lineRule="auto"/>
        <w:tabs>
          <w:tab w:leader="none" w:pos="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candidates developed in collaborations with us may be viewed by our collaborators as competitive with their own product candidates or products, which may cause collaborators to cease to devote resources to the development or commercialization of our product candidates;</w:t>
      </w:r>
    </w:p>
    <w:p>
      <w:pPr>
        <w:spacing w:after="0" w:line="1" w:lineRule="exact"/>
        <w:rPr>
          <w:rFonts w:ascii="Times New Roman" w:cs="Times New Roman" w:eastAsia="Times New Roman" w:hAnsi="Times New Roman"/>
          <w:sz w:val="20"/>
          <w:szCs w:val="20"/>
          <w:color w:val="auto"/>
        </w:rPr>
      </w:pPr>
    </w:p>
    <w:p>
      <w:pPr>
        <w:ind w:left="900" w:right="320" w:hanging="447"/>
        <w:spacing w:after="0" w:line="239" w:lineRule="auto"/>
        <w:tabs>
          <w:tab w:leader="none" w:pos="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collaborator with marketing and distribution rights to one or more of our product candidates that achieve regulatory approval may not commit sufficient resources to the marketing and distribution of any such product;</w:t>
      </w:r>
    </w:p>
    <w:p>
      <w:pPr>
        <w:ind w:left="900" w:right="80" w:hanging="447"/>
        <w:spacing w:after="0" w:line="239" w:lineRule="auto"/>
        <w:tabs>
          <w:tab w:leader="none" w:pos="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1" w:lineRule="exact"/>
        <w:rPr>
          <w:rFonts w:ascii="Times New Roman" w:cs="Times New Roman" w:eastAsia="Times New Roman" w:hAnsi="Times New Roman"/>
          <w:sz w:val="20"/>
          <w:szCs w:val="20"/>
          <w:color w:val="auto"/>
        </w:rPr>
      </w:pPr>
    </w:p>
    <w:p>
      <w:pPr>
        <w:ind w:left="900" w:right="400" w:hanging="447"/>
        <w:spacing w:after="0" w:line="239" w:lineRule="auto"/>
        <w:tabs>
          <w:tab w:leader="none" w:pos="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properly maintain, protect,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may arise with respect to the ownership of intellectual property developed pursuant to our collaborations;</w:t>
      </w:r>
    </w:p>
    <w:p>
      <w:pPr>
        <w:ind w:left="900" w:right="120" w:hanging="447"/>
        <w:spacing w:after="0" w:line="239" w:lineRule="auto"/>
        <w:tabs>
          <w:tab w:leader="none" w:pos="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infringe, misappropriate or otherwise violate the intellectual property rights of third parties, which may expose us to litigation and potential liability;</w:t>
      </w:r>
    </w:p>
    <w:p>
      <w:pPr>
        <w:ind w:left="900" w:right="540" w:hanging="447"/>
        <w:spacing w:after="0" w:line="242" w:lineRule="auto"/>
        <w:tabs>
          <w:tab w:leader="none" w:pos="9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collaborations may be terminated for the convenience of the collaborator and, if terminated, the development of our product candidates may be delayed, and we could be required to raise additional capital to pursue further development or commercialization of the applicable product candidates;</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10" w:name="page111"/>
    <w:bookmarkEnd w:id="110"/>
    <w:p>
      <w:pPr>
        <w:ind w:left="900" w:right="120" w:hanging="447"/>
        <w:spacing w:after="0" w:line="250" w:lineRule="auto"/>
        <w:tabs>
          <w:tab w:leader="none" w:pos="9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future relationships may require us to incur non-recurring and other charges, increase our near- and long-term expenditures, issue securities that dilute our existing shareholders, or disrupt our management and business;</w:t>
      </w:r>
    </w:p>
    <w:p>
      <w:pPr>
        <w:spacing w:after="0" w:line="1" w:lineRule="exact"/>
        <w:rPr>
          <w:rFonts w:ascii="Times New Roman" w:cs="Times New Roman" w:eastAsia="Times New Roman" w:hAnsi="Times New Roman"/>
          <w:sz w:val="20"/>
          <w:szCs w:val="20"/>
          <w:color w:val="auto"/>
        </w:rPr>
      </w:pPr>
    </w:p>
    <w:p>
      <w:pPr>
        <w:ind w:left="900" w:right="360" w:hanging="447"/>
        <w:spacing w:after="0" w:line="239" w:lineRule="auto"/>
        <w:tabs>
          <w:tab w:leader="none" w:pos="9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face significant competition in seeking appropriate collaborators, and the negotiation process is time-consuming and complex; and</w:t>
      </w:r>
    </w:p>
    <w:p>
      <w:pPr>
        <w:ind w:left="900" w:right="220" w:hanging="447"/>
        <w:spacing w:after="0" w:line="246" w:lineRule="auto"/>
        <w:tabs>
          <w:tab w:leader="none" w:pos="9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international operations through any future collaborations, acquisitions or joint ventures may expose us to certain operating, legal and other risks not encountered in the United States.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If our collaborations do not result in the successful development and commercialization of programs, or if one of our collaborators terminates its agreement with us, we may not receive any future research funding or milestone, earn-out, royalty, or other contingent payments under the collaborations. If we do not receive the funding we expect under these agreements, our development of product candidates could be delayed and we may need additional resources to develop our product candidates. In addition, in general our collaborators have the right to terminate their agreements with us for convenience.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report apply to the activities of our collaborators.</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establish collaborations on commercially reasonable terms, we may have to alter our research, development and commercialization plans.</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similar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11" w:name="page112"/>
    <w:bookmarkEnd w:id="111"/>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in-licensing arrangements and may form or seek to enter into additional licensing arrangements in the future, and we may not realize the benefits of such licensing arrangements.</w:t>
      </w:r>
    </w:p>
    <w:p>
      <w:pPr>
        <w:spacing w:after="0" w:line="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a party to licenses that give us rights to third-party intellectual property, including patents and patent applications, that are necessary or useful for our business. In particular, we have obtained licenses from CellScript LLC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Disputes may also arise between us and our licensors regarding intellectual property subject to a license agreement, including:</w:t>
      </w:r>
    </w:p>
    <w:p>
      <w:pPr>
        <w:spacing w:after="0" w:line="216" w:lineRule="exact"/>
        <w:rPr>
          <w:sz w:val="20"/>
          <w:szCs w:val="20"/>
          <w:color w:val="auto"/>
        </w:rPr>
      </w:pPr>
    </w:p>
    <w:p>
      <w:pPr>
        <w:ind w:left="900" w:hanging="447"/>
        <w:spacing w:after="0"/>
        <w:tabs>
          <w:tab w:leader="none" w:pos="9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21" w:lineRule="exact"/>
        <w:rPr>
          <w:rFonts w:ascii="Times New Roman" w:cs="Times New Roman" w:eastAsia="Times New Roman" w:hAnsi="Times New Roman"/>
          <w:sz w:val="20"/>
          <w:szCs w:val="20"/>
          <w:color w:val="auto"/>
        </w:rPr>
      </w:pPr>
    </w:p>
    <w:p>
      <w:pPr>
        <w:ind w:left="900" w:right="620" w:hanging="447"/>
        <w:spacing w:after="0" w:line="239" w:lineRule="auto"/>
        <w:tabs>
          <w:tab w:leader="none" w:pos="9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the extent to which our technology and processes infringe, misappropriate or otherwise violate the intellectual property of the licensor that is not subject to the licensing agreement;</w:t>
      </w:r>
    </w:p>
    <w:p>
      <w:pPr>
        <w:ind w:left="900" w:hanging="447"/>
        <w:spacing w:after="0"/>
        <w:tabs>
          <w:tab w:leader="none" w:pos="9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right to sublicense patent and other intellectual property rights to third parties under collaborative relationships;</w:t>
      </w:r>
    </w:p>
    <w:p>
      <w:pPr>
        <w:jc w:val="both"/>
        <w:ind w:left="900" w:right="1020" w:hanging="447"/>
        <w:spacing w:after="0" w:line="252" w:lineRule="auto"/>
        <w:tabs>
          <w:tab w:leader="none" w:pos="90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diligence obligations with respect to the use of the licensed intellectual property and technology in relation to our development and commercialization of our product candidates, and what activities satisfy those diligence obligations;</w:t>
      </w:r>
    </w:p>
    <w:p>
      <w:pPr>
        <w:ind w:left="900" w:right="360" w:hanging="447"/>
        <w:spacing w:after="0" w:line="239" w:lineRule="auto"/>
        <w:tabs>
          <w:tab w:leader="none" w:pos="9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of inventions, trade secrets, know-how and other intellectual property resulting from the joint creation or use of intellectual property by our licensors and us and our collaborators; and</w:t>
      </w:r>
    </w:p>
    <w:p>
      <w:pPr>
        <w:ind w:left="900" w:hanging="447"/>
        <w:spacing w:after="0"/>
        <w:tabs>
          <w:tab w:leader="none" w:pos="9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priority of invention of patented technology.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are generally also subject to all of the same risks with respect to protection of intellectual property that we license, as we are for intellectual property that we own, which are described below. If we, our</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12" w:name="page113"/>
    <w:bookmarkEnd w:id="112"/>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co-owners or our licensors fail to adequately protect, defend, maintain or enforce this intellectual property, our ability to commercialize products could suffer.</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commit certain material breaches and fail to cure them (if such breach is curable), we are required to repurchase shares held by the Bill &amp; Melinda Gates Foundation.</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If we commit a specified material breach under the letter agreement with the Bill &amp; Melinda Gates Foundation, or BMGF, and such breach remains uncured after a specified period of time (if curable), we are required to either (i) repurchase the shares held by BMGF or locate a third party to purchase the shares from BMGF, in either case at a price that is the greater of the original purchase price or the fair market value of the shares at the time of repurchase, or (ii) if we cannot meet the requirements under (i) (e.g., because we do not have sufficient cash reserves), then we must use our best efforts to effect BMGF’s withdrawal right as soon as practicable, which may mean acquiring the shares in tranches over time. If we are required to repurchase BMGF’s shares, our financial position could be materially and adversely affected.</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manufacture certain of our clinical product supplies, and we may have to rely on third parties to produce and process our product candidates, if approved.</w:t>
      </w:r>
    </w:p>
    <w:p>
      <w:pPr>
        <w:spacing w:after="0" w:line="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Although we expect to continue using our own clinical manufacturing facilities, we may need to rely on outside vendors to manufacture supplies and process our product candidates. We have not yet caused our product candidates to be manufactured or processed on a commercial scale and may not be able to achieve commercial- scale manufacturing and processing and may be unable to create an inventory of mass-produced, off-the-shelf product to satisfy demands for our product candidates.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our reliance on a limited number of third-party manufacturers exposes us to the following risks:</w:t>
      </w:r>
    </w:p>
    <w:p>
      <w:pPr>
        <w:spacing w:after="0" w:line="216" w:lineRule="exact"/>
        <w:rPr>
          <w:sz w:val="20"/>
          <w:szCs w:val="20"/>
          <w:color w:val="auto"/>
        </w:rPr>
      </w:pPr>
    </w:p>
    <w:p>
      <w:pPr>
        <w:ind w:left="900" w:right="40" w:hanging="447"/>
        <w:spacing w:after="0" w:line="245" w:lineRule="auto"/>
        <w:tabs>
          <w:tab w:leader="none" w:pos="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identify manufacturers on acceptable terms or at all because the number of potential manufacturers is limited and the 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ind w:left="900" w:right="540" w:hanging="447"/>
        <w:spacing w:after="0" w:line="239" w:lineRule="auto"/>
        <w:tabs>
          <w:tab w:leader="none" w:pos="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manufacturers might be unable to timely formulate and manufacture our product or produce the quantity and quality required to meet our clinical and commercial needs, if any;</w:t>
      </w:r>
    </w:p>
    <w:p>
      <w:pPr>
        <w:ind w:left="900" w:hanging="447"/>
        <w:spacing w:after="0"/>
        <w:tabs>
          <w:tab w:leader="none" w:pos="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CMOs may not be able to execute our manufacturing procedures appropriately;</w:t>
      </w:r>
    </w:p>
    <w:p>
      <w:pPr>
        <w:ind w:left="900" w:right="320" w:hanging="447"/>
        <w:spacing w:after="0" w:line="239" w:lineRule="auto"/>
        <w:tabs>
          <w:tab w:leader="none" w:pos="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CMOs may not perform as agreed or may not remain in the contract manufacturing business for the time required to supply our clinical trials or to successfully produce, store and distribute our products;</w:t>
      </w:r>
    </w:p>
    <w:p>
      <w:pPr>
        <w:ind w:left="900" w:right="240" w:hanging="447"/>
        <w:spacing w:after="0" w:line="239" w:lineRule="auto"/>
        <w:tabs>
          <w:tab w:leader="none" w:pos="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manufacturers are subject to ongoing periodic unannounced inspection by the FDA, the U.S. Drug Enforcement Administration and corresponding state agencies and by regulatory authorities in other jurisdictions to ensure strict compliance with GMP and other government regulations and corresponding standards in other jurisdictions. We do not have control over third-party manufacturers’ compliance with these regulations and standards;</w:t>
      </w:r>
    </w:p>
    <w:p>
      <w:pPr>
        <w:spacing w:after="0" w:line="1" w:lineRule="exact"/>
        <w:rPr>
          <w:rFonts w:ascii="Times New Roman" w:cs="Times New Roman" w:eastAsia="Times New Roman" w:hAnsi="Times New Roman"/>
          <w:sz w:val="20"/>
          <w:szCs w:val="20"/>
          <w:color w:val="auto"/>
        </w:rPr>
      </w:pPr>
    </w:p>
    <w:p>
      <w:pPr>
        <w:ind w:left="900" w:right="1140" w:hanging="447"/>
        <w:spacing w:after="0" w:line="239" w:lineRule="auto"/>
        <w:tabs>
          <w:tab w:leader="none" w:pos="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own, or may have to share, the intellectual property rights to any improvements made by our third-party manufacturers in the manufacturing process for our products;</w:t>
      </w:r>
    </w:p>
    <w:p>
      <w:pPr>
        <w:ind w:left="900" w:hanging="447"/>
        <w:spacing w:after="0"/>
        <w:tabs>
          <w:tab w:leader="none" w:pos="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manufacturers could breach or terminate their agreement with us; and</w:t>
      </w:r>
    </w:p>
    <w:p>
      <w:pPr>
        <w:ind w:left="900" w:hanging="447"/>
        <w:spacing w:after="0"/>
        <w:tabs>
          <w:tab w:leader="none" w:pos="90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CMOs would also be subject to the same risks we face in developing our own manufacturing capabilities, as described above.</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13" w:name="page114"/>
    <w:bookmarkEnd w:id="113"/>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Each of these risks could delay our clinical trials, the approval, if any, of our product candidates by the FDA or regulatory authorities in other jurisdictions or the commercialization of our product candidates, or result in higher costs or deprive us of potential product sales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single source suppliers for some of the components and materials used in, and the processes required to develop, our product candidates.</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currently depend on single source suppliers for some of the components and materials used in, and manufacturing processes required to develop,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 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 source supplier or service provider could lead to supply delays or interruptions which would damage our business, financial condition, results of operations and prospects.</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product candidates.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as part of the FDA’s approval of our product candidates, we will also require FDA review of the individual components of our process, which include the manufacturing processes and facilities of our single source suppliers.</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reliance on these suppliers, service providers and manufacturers subjects us to a number of risks that could harm our reputation, business and financial condition, including, among other things:</w:t>
      </w:r>
    </w:p>
    <w:p>
      <w:pPr>
        <w:spacing w:after="0" w:line="159" w:lineRule="exact"/>
        <w:rPr>
          <w:sz w:val="20"/>
          <w:szCs w:val="20"/>
          <w:color w:val="auto"/>
        </w:rPr>
      </w:pPr>
    </w:p>
    <w:p>
      <w:pPr>
        <w:ind w:left="900" w:hanging="447"/>
        <w:spacing w:after="0"/>
        <w:tabs>
          <w:tab w:leader="none" w:pos="9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to the development timelines for our product candidates;</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 of supply resulting from modifications to or discontinuation of a supplier’s operations;</w:t>
      </w:r>
    </w:p>
    <w:p>
      <w:pPr>
        <w:ind w:left="900" w:hanging="447"/>
        <w:spacing w:after="0"/>
        <w:tabs>
          <w:tab w:leader="none" w:pos="9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product shipments resulting from uncorrected defects, reliability issues, or a supplier’s variation in a component;</w:t>
      </w:r>
    </w:p>
    <w:p>
      <w:pPr>
        <w:ind w:left="900" w:hanging="447"/>
        <w:spacing w:after="0"/>
        <w:tabs>
          <w:tab w:leader="none" w:pos="9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lack of long-term supply arrangements for key components with our suppliers;</w:t>
      </w:r>
    </w:p>
    <w:p>
      <w:pPr>
        <w:ind w:left="900" w:hanging="447"/>
        <w:spacing w:after="0"/>
        <w:tabs>
          <w:tab w:leader="none" w:pos="9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obtain adequate supply in a timely manner, or to obtain adequate supply on commercially reasonable terms;</w:t>
      </w:r>
    </w:p>
    <w:p>
      <w:pPr>
        <w:ind w:left="900" w:hanging="447"/>
        <w:spacing w:after="0"/>
        <w:tabs>
          <w:tab w:leader="none" w:pos="9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and cost associated with locating and qualifying alternative suppliers for our components in a timely manner;</w:t>
      </w:r>
    </w:p>
    <w:p>
      <w:pPr>
        <w:ind w:left="900" w:right="320" w:hanging="447"/>
        <w:spacing w:after="0" w:line="239" w:lineRule="auto"/>
        <w:tabs>
          <w:tab w:leader="none" w:pos="9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delays related to the evaluation and testing of components from alternative suppliers, and corresponding regulatory qualifications;</w:t>
      </w:r>
    </w:p>
    <w:p>
      <w:pPr>
        <w:ind w:left="900" w:hanging="447"/>
        <w:spacing w:after="0"/>
        <w:tabs>
          <w:tab w:leader="none" w:pos="9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 in delivery due to our suppliers’ prioritizing other customer orders over ours;</w:t>
      </w:r>
    </w:p>
    <w:p>
      <w:pPr>
        <w:ind w:left="900" w:hanging="447"/>
        <w:spacing w:after="0"/>
        <w:tabs>
          <w:tab w:leader="none" w:pos="9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to our reputation caused by defective components produced by our suppliers; and</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14" w:name="page115"/>
    <w:bookmarkEnd w:id="114"/>
    <w:p>
      <w:pPr>
        <w:ind w:left="900" w:hanging="447"/>
        <w:spacing w:after="0"/>
        <w:tabs>
          <w:tab w:leader="none" w:pos="9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fluctuation in delivery by our suppliers due to changes in demand from us or their other customers.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any of these risks materialize, costs could significantly increase and our ability to meet demand for our products could be impacted.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our efforts to obtain, maintain, protect, defend and/or enforce the intellectual property related to our product candidates and technologies are not adequate, we may not be able to compete effectively in our market.</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commercial success depends in part on our ability to obtain, maintain, protect, defend and enforce patent and other intellectual property, including trade secret and know-how, protection for our product candidates, proprietary technologies and their uses, as well as our ability to operate, develop, manufacture and commercialize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United States and abroad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the claims in our issued patents will not be found invalid or unenforceable if challenged. Accordingly, there can be no assurance that our patent applications or those of our licensors will result in additional patents being issued or that issued patents will adequately cover our product candidates or otherwise afford sufficient protection against competitors with similar technology, nor can there be any assurance that the patents issued will not be infringed, designed around, invalidated or held unenforceable. Furthermore, we may not be able to apply for patents on certain aspects of our current or future product candidates, proprietary technologies and their uses in a timely fashion, at a reasonable cost, in all jurisdictions, or at all, and any potential patent protection we obtain may not be sufficient to prevent substantial competition.</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Even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 candidates, proprietary technologies (including methods of manufacture) and their uses. These risks and uncertainties include, from time to time, the following:</w:t>
      </w:r>
    </w:p>
    <w:p>
      <w:pPr>
        <w:spacing w:after="0" w:line="180" w:lineRule="exact"/>
        <w:rPr>
          <w:sz w:val="20"/>
          <w:szCs w:val="20"/>
          <w:color w:val="auto"/>
        </w:rPr>
      </w:pPr>
    </w:p>
    <w:p>
      <w:pPr>
        <w:ind w:left="900" w:right="120" w:hanging="447"/>
        <w:spacing w:after="0" w:line="249" w:lineRule="auto"/>
        <w:tabs>
          <w:tab w:leader="none" w:pos="9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USPTO and various other governmental patent agencies require compliance with a number of procedural, documentary, fee payment and other provisions during the patent process, the noncompliance with which can result in abandonment or lapse of a patent or patent application or a finding that a patent is unenforceable, and partial or complete loss of patent rights in the relevant jurisdiction;</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15" w:name="page116"/>
    <w:bookmarkEnd w:id="115"/>
    <w:p>
      <w:pPr>
        <w:ind w:left="900" w:hanging="447"/>
        <w:spacing w:after="0"/>
        <w:tabs>
          <w:tab w:leader="none" w:pos="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patent applications may not result in any patents being issued;</w:t>
      </w:r>
    </w:p>
    <w:p>
      <w:pPr>
        <w:spacing w:after="0" w:line="21" w:lineRule="exact"/>
        <w:rPr>
          <w:rFonts w:ascii="Times New Roman" w:cs="Times New Roman" w:eastAsia="Times New Roman" w:hAnsi="Times New Roman"/>
          <w:sz w:val="20"/>
          <w:szCs w:val="20"/>
          <w:color w:val="auto"/>
        </w:rPr>
      </w:pPr>
    </w:p>
    <w:p>
      <w:pPr>
        <w:ind w:left="900" w:right="1120" w:hanging="447"/>
        <w:spacing w:after="0" w:line="239" w:lineRule="auto"/>
        <w:tabs>
          <w:tab w:leader="none" w:pos="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patents that we own (solely or jointly) or have in-licensed may be challenged, invalidated, modified, revoked, circumvented, found to be unenforceable or otherwise may not provide any competitive advantage;</w:t>
      </w:r>
    </w:p>
    <w:p>
      <w:pPr>
        <w:ind w:left="900" w:right="120" w:hanging="447"/>
        <w:spacing w:after="0" w:line="239" w:lineRule="auto"/>
        <w:tabs>
          <w:tab w:leader="none" w:pos="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sell, import or otherwise exploit our product candidates or other technologies;</w:t>
      </w:r>
    </w:p>
    <w:p>
      <w:pPr>
        <w:spacing w:after="0" w:line="1" w:lineRule="exact"/>
        <w:rPr>
          <w:rFonts w:ascii="Times New Roman" w:cs="Times New Roman" w:eastAsia="Times New Roman" w:hAnsi="Times New Roman"/>
          <w:sz w:val="20"/>
          <w:szCs w:val="20"/>
          <w:color w:val="auto"/>
        </w:rPr>
      </w:pPr>
    </w:p>
    <w:p>
      <w:pPr>
        <w:ind w:left="900" w:right="160" w:hanging="447"/>
        <w:spacing w:after="0" w:line="239" w:lineRule="auto"/>
        <w:tabs>
          <w:tab w:leader="none" w:pos="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parties may have designed around our patent claims or developed technologies that may be related or competitive to our product candidates or other technologies, may have filed or may file patent applications and may have received or may receive patents that overlap or conflict with our patent filings, either by claiming the same or overlapping methods, products, reagents or devices or by claiming subject matter that could dominate one or more of our patent claims;</w:t>
      </w:r>
    </w:p>
    <w:p>
      <w:pPr>
        <w:spacing w:after="0" w:line="1" w:lineRule="exact"/>
        <w:rPr>
          <w:rFonts w:ascii="Times New Roman" w:cs="Times New Roman" w:eastAsia="Times New Roman" w:hAnsi="Times New Roman"/>
          <w:sz w:val="20"/>
          <w:szCs w:val="20"/>
          <w:color w:val="auto"/>
        </w:rPr>
      </w:pPr>
    </w:p>
    <w:p>
      <w:pPr>
        <w:jc w:val="both"/>
        <w:ind w:left="900" w:right="180" w:hanging="447"/>
        <w:spacing w:after="0" w:line="239" w:lineRule="auto"/>
        <w:tabs>
          <w:tab w:leader="none" w:pos="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successful opposition to any patents owned by or in-licensed to us could deprive us of rights necessary for the development and exploitation of our product candidates and other technologies or the successful commercialization of any product candidates and other technologies that we may develop;</w:t>
      </w:r>
    </w:p>
    <w:p>
      <w:pPr>
        <w:spacing w:after="0" w:line="1" w:lineRule="exact"/>
        <w:rPr>
          <w:rFonts w:ascii="Times New Roman" w:cs="Times New Roman" w:eastAsia="Times New Roman" w:hAnsi="Times New Roman"/>
          <w:sz w:val="20"/>
          <w:szCs w:val="20"/>
          <w:color w:val="auto"/>
        </w:rPr>
      </w:pPr>
    </w:p>
    <w:p>
      <w:pPr>
        <w:ind w:left="900" w:right="220" w:hanging="447"/>
        <w:spacing w:after="0" w:line="239" w:lineRule="auto"/>
        <w:tabs>
          <w:tab w:leader="none" w:pos="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patent applications in the United States and most other jurisdictions are confidential for a period of time after filing, we cannot be certain that we, our co-owners or our licensors were the first to file any patent application related to our product candidates, proprietary technologies and their uses;</w:t>
      </w:r>
    </w:p>
    <w:p>
      <w:pPr>
        <w:spacing w:after="0" w:line="1" w:lineRule="exact"/>
        <w:rPr>
          <w:rFonts w:ascii="Times New Roman" w:cs="Times New Roman" w:eastAsia="Times New Roman" w:hAnsi="Times New Roman"/>
          <w:sz w:val="20"/>
          <w:szCs w:val="20"/>
          <w:color w:val="auto"/>
        </w:rPr>
      </w:pPr>
    </w:p>
    <w:p>
      <w:pPr>
        <w:jc w:val="both"/>
        <w:ind w:left="900" w:right="160" w:hanging="447"/>
        <w:spacing w:after="0" w:line="239" w:lineRule="auto"/>
        <w:tabs>
          <w:tab w:leader="none" w:pos="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w:t>
      </w:r>
    </w:p>
    <w:p>
      <w:pPr>
        <w:spacing w:after="0" w:line="1" w:lineRule="exact"/>
        <w:rPr>
          <w:rFonts w:ascii="Times New Roman" w:cs="Times New Roman" w:eastAsia="Times New Roman" w:hAnsi="Times New Roman"/>
          <w:sz w:val="20"/>
          <w:szCs w:val="20"/>
          <w:color w:val="auto"/>
        </w:rPr>
      </w:pPr>
    </w:p>
    <w:p>
      <w:pPr>
        <w:jc w:val="both"/>
        <w:ind w:left="900" w:right="20" w:hanging="447"/>
        <w:spacing w:after="0" w:line="239" w:lineRule="auto"/>
        <w:tabs>
          <w:tab w:leader="none" w:pos="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or other patent proceeding, such as an inter partes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w:t>
      </w:r>
    </w:p>
    <w:p>
      <w:pPr>
        <w:spacing w:after="0" w:line="1" w:lineRule="exact"/>
        <w:rPr>
          <w:rFonts w:ascii="Times New Roman" w:cs="Times New Roman" w:eastAsia="Times New Roman" w:hAnsi="Times New Roman"/>
          <w:sz w:val="20"/>
          <w:szCs w:val="20"/>
          <w:color w:val="auto"/>
        </w:rPr>
      </w:pPr>
    </w:p>
    <w:p>
      <w:pPr>
        <w:jc w:val="both"/>
        <w:ind w:left="900" w:right="520" w:hanging="447"/>
        <w:spacing w:after="0" w:line="239" w:lineRule="auto"/>
        <w:tabs>
          <w:tab w:leader="none" w:pos="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Times New Roman" w:cs="Times New Roman" w:eastAsia="Times New Roman" w:hAnsi="Times New Roman"/>
          <w:sz w:val="20"/>
          <w:szCs w:val="20"/>
          <w:color w:val="auto"/>
        </w:rPr>
      </w:pPr>
    </w:p>
    <w:p>
      <w:pPr>
        <w:ind w:left="900" w:right="60" w:hanging="447"/>
        <w:spacing w:after="0" w:line="246" w:lineRule="auto"/>
        <w:tabs>
          <w:tab w:leader="none" w:pos="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countries other than the United States may have patent laws less favorable to patentees than those upheld by U.S. courts, allowing competitors a better opportunity to create, develop and market competing product candidates.</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Congress of the United States and in international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laws, and those countries may lack adequate rules and procedures for granting, maintaining, protecting, defending and enforcing our intellectual property rights.</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Furthermore, the patent prosecution process is also expensive and time-consuming, and we may not be able to file, prosecute, maintain, protect, defend, enforce or license all necessary or desirable patents or</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16" w:name="page117"/>
    <w:bookmarkEnd w:id="116"/>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 similar proceedings, and furthermore, may be challenged as a defense in any enforcement action that we might bring; for example, various third parties have filed opposition papers challenging our issued EP patent number 2714071, which relates to our iNeST product candidates, and whose claims recite steps relating to neoantigen selection.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 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product candidates or which effectively prevent others from commercializing competitive technologies and product candidates. As a result, our intellectual property may not provide us with sufficient rights to exclude others from commercializing products similar or identical to ours.</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Furthermore, patents or other intellectual property rights that we may be able to secure for our COVID-19 vaccine candidate could be restricted or preempted if governments determine that they will not enforce, or will require compulsory licensing of, technologies useful to address the COVID-19 pandemic.</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17" w:name="page118"/>
    <w:bookmarkEnd w:id="117"/>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and technical personnel, even if the eventual outcome is favorable to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degree of future protection for our intellectual property and other proprietary rights is uncertain, and we cannot ensure that:</w:t>
      </w:r>
    </w:p>
    <w:p>
      <w:pPr>
        <w:spacing w:after="0" w:line="216" w:lineRule="exact"/>
        <w:rPr>
          <w:sz w:val="20"/>
          <w:szCs w:val="20"/>
          <w:color w:val="auto"/>
        </w:rPr>
      </w:pPr>
    </w:p>
    <w:p>
      <w:pPr>
        <w:ind w:left="900" w:right="460" w:hanging="447"/>
        <w:spacing w:after="0" w:line="250" w:lineRule="auto"/>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patents, or any of our pending patent applications, if issued, or those of our licensors, will include claims having a scope sufficient to protect our product candidates and other technologies;</w:t>
      </w:r>
    </w:p>
    <w:p>
      <w:pPr>
        <w:spacing w:after="0" w:line="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our pending patent applications or those of our licensors may issue as patents;</w:t>
      </w:r>
    </w:p>
    <w:p>
      <w:pPr>
        <w:ind w:left="900" w:right="100" w:hanging="447"/>
        <w:spacing w:after="0" w:line="239" w:lineRule="auto"/>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will not or may not be able to make, use, offer to sell or sell products that are the same as or similar to our own but that are not covered by the claims of the patents that we own or license;</w:t>
      </w:r>
    </w:p>
    <w:p>
      <w:pPr>
        <w:ind w:left="900" w:right="120" w:hanging="447"/>
        <w:spacing w:after="0" w:line="239" w:lineRule="auto"/>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be able to successfully commercialize our products on a substantial scale, if approved, before the relevant patents that we own or license expire;</w:t>
      </w:r>
    </w:p>
    <w:p>
      <w:pPr>
        <w:ind w:left="900" w:hanging="447"/>
        <w:spacing w:after="0"/>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were the first to make the inventions covered by each of the patents and pending patent applications that we own or license;</w:t>
      </w:r>
    </w:p>
    <w:p>
      <w:pPr>
        <w:ind w:left="900" w:hanging="447"/>
        <w:spacing w:after="0"/>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our co-owners or our licensors were the first to file patent applications for these inventions;</w:t>
      </w:r>
    </w:p>
    <w:p>
      <w:pPr>
        <w:ind w:left="900" w:hanging="447"/>
        <w:spacing w:after="0"/>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will not develop similar or alternative products or technologies that do not infringe the patents we own or license;</w:t>
      </w:r>
    </w:p>
    <w:p>
      <w:pPr>
        <w:ind w:left="900" w:hanging="447"/>
        <w:spacing w:after="0"/>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patents we own or license will be found to ultimately be valid and enforceable;</w:t>
      </w:r>
    </w:p>
    <w:p>
      <w:pPr>
        <w:ind w:left="900" w:right="760" w:hanging="447"/>
        <w:spacing w:after="0" w:line="239" w:lineRule="auto"/>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patents issued to us or our licensors will provide a basis for an exclusive market for our commercially viable product candidates and other technologies or will provide us with any competitive advantages;</w:t>
      </w:r>
    </w:p>
    <w:p>
      <w:pPr>
        <w:ind w:left="900" w:right="280" w:hanging="447"/>
        <w:spacing w:after="0" w:line="239" w:lineRule="auto"/>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third party may not challenge the patents we own or license and, if challenged, a court would hold that such patents are valid, enforceable and infringed;</w:t>
      </w:r>
    </w:p>
    <w:p>
      <w:pPr>
        <w:ind w:left="900" w:hanging="447"/>
        <w:spacing w:after="0"/>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develop or in-license additional proprietary technologies that are patentable;</w:t>
      </w:r>
    </w:p>
    <w:p>
      <w:pPr>
        <w:ind w:left="900" w:hanging="447"/>
        <w:spacing w:after="0"/>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will not have an adverse effect on our business;</w:t>
      </w:r>
    </w:p>
    <w:p>
      <w:pPr>
        <w:ind w:left="900" w:right="220" w:hanging="447"/>
        <w:spacing w:after="0" w:line="239" w:lineRule="auto"/>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develop additional proprietary technologies or product candidates that are separately patentable; or</w:t>
      </w:r>
    </w:p>
    <w:p>
      <w:pPr>
        <w:ind w:left="900" w:right="140" w:hanging="447"/>
        <w:spacing w:after="0" w:line="246" w:lineRule="auto"/>
        <w:tabs>
          <w:tab w:leader="none" w:pos="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development and commercialization activities, including our manufacturing processes, or products will not infringe upon the patents of our competitors or any other third parties, including any non-practicing entities or patent assertion entities.</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Other companies or organizations may challenge our intellectual property rights or may assert intellectual property rights that prevent us from developing and commercializing our product candidates and other technologies.</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and methods including uses and manufacturing methods, or features or aspects of any of these. These issued patents and pending patent applications claim certain compositions of matter and methods</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18" w:name="page119"/>
    <w:bookmarkEnd w:id="118"/>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relating to the discovery, development, manufacture and commercialization of therapeutic modalities and our delivery technologies, including LNPs. If we, our co-owners or our licensors are unable to obtain, maintain, protect, defend or enforce patent protection with respect to our product candidates and other technology and any product candidates and technology we develop, our business, financial condition, results of operations and prospects could be materially harmed.</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the scientific fields mature, our known competitors and other third parties have filed, and will continue to file, patent applications claiming inventions in the field in the United States and abroad.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our co-owners or our licensors may in the future become a party to patent proceedings or priority disputes in the United States, Europe or other jurisdictions. The Leahy-Smith America Invents Act, or the America Invents Act, enacted in September 2011, included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 For example, various third parties have filed opposition papers challenging our issued EP patent 2714071 which relates to our iNeST product candidates, and whose claims recite steps relating to neoantigen selection.</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expect that we will be subject to similar proceedings or priority disputes, including oppositions, in Europe or other foreign jurisdictions relating to patents and patent applications in our portfolio.</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If we, our co-owners or our licensors are unsuccessful in any interference proceedings or other priority or validity disputes, including any derivations, post-grant review, inter partes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adverse impact on our business and our ability to successfully compete against our current and future competitors.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There are many issued and pending patent filings that claim aspects of technologies that we may need for our mRNA product candidates or other product candidates, including patent filings that relate to relevant delivery technologies. There are also many issued patents that claim targeting genes or portions of genes that may be relevant for immunotherapies we wish to develop. In addition, there may be issued and pending patent applications that may be asserted against us in a court proceeding or otherwise based upon the asserting party’s belief that we may need such patents for the development, manufacturing and commercialization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19" w:name="page120"/>
    <w:bookmarkEnd w:id="119"/>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those organizations refuse to grant us a license to such patent rights on reasonable terms or a court rules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and commercialization of one or more of the product candidates we may develop. Any of the foregoing could result in a material adverse effect on our business, financial condition, results of operations or prospects.</w:t>
      </w:r>
    </w:p>
    <w:p>
      <w:pPr>
        <w:spacing w:after="0" w:line="18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obtaining, maintaining, protecting or defending the necessary intellectual property rights to allow us to identify and develop product candidates, product components and manufacturing processes for our development pipeline.</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currently have rights to certain intellectual property, through our owned and in-licensed patents and other intellectual property rights, relating to identification and development of our product candidates or other technologies. As our pipeline may involve additional product candidates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example, we sometimes collaborate with academic institutions in certain aspects of our preclinical research or development under written agreements with these institutions. Typically, these institutions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lifespans of our patents may not be sufficient to effectively protect our product candidates, technologies and business.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Patents have a limited lifespan. In the United States, the natural expiration of a patent is generally 20 years after its first effective non-provisional filing date, assuming maintenance fees are timely paid after the patent has issued. Most foreign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patent term extension and data exclusivity for any product candidates we may develop, our business may be materially harmed.</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are heavily reliant upon licenses to certain intellectual property and other proprietary rights from third parties that are important or necessary to the development and commercialization of our technology and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any or all of our licenses.</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21" w:name="page122"/>
    <w:bookmarkEnd w:id="121"/>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Where we obtain licenses from, or collaborate with, third parties, in some circumstances we may not have the right to control the preparation, filing, prosecution, maintenance, enforcement and defense of patents and patent applications covering the technology that we license from third parties, or such activities, if controlled by us, may require the input of such third parties. In some cases, patent prosecution of our in-licensed intellectual property is controlled solely by the licensor. We may also require the cooperation of our licensors and collaborators to enforce or defend any in-licensed patent rights, and such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Any of the foregoing could have a material adverse effect on our competitive position, business, financial conditions, results of operations and prospects.</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Moreover, any failure to satisfy obligations or any material breach under any of our licenses to third-party intellectual property could give the licensor the right to terminate the license. Our existing license agreements impose, and we expect that future license agreements will impose, various diligence, milestone and royalty payment, exclusivity and other obligations on us. If we fail to comply with our obligations under these agreements, or we are subject to a bankruptcy, the licensor may have the right to terminate the license agreement, in which event we would not be able to develop, market and commercialize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and commercialize the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terminated, or if the underlying patents or other intellectual property fail to provide the intended exclusivity, competitors would have the freedom to seek regulatory approval of, and to market and commercialize, products similar or identical to ours.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market and commercialize our product candidates could suffer. Moreover, if disputes over intellectual property that we have in-licensed prevent or impair our ability to maintain our current licensing arrangements on commercially acceptable terms, we may be unable to successfully develop, market and commercialize the affected product candidates, which could have a material adverse effect on our business, financial condition, results of operations and prospects.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Certain intellectual property rights that have been in-licensed, including patent applications and patents that we in-license from the University of Pennsylvania and the Louisiana State University, have been</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22" w:name="page123"/>
    <w:bookmarkEnd w:id="122"/>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the Bayh-Dole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also has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are unable to comply with these manufacturing requirements, we may experience a material adverse effect on our competitive position, business, financial conditions, results of operations and prospects.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current proprietary position for certain product candidates depends upon our owned or in-licensed patent filings covering components of such product candidates, manufacturing-related methods, formulations and/or methods of use, which may not adequately prevent a competitor or other third party from using the same product candidate for the same or a different use.</w:t>
      </w:r>
    </w:p>
    <w:p>
      <w:pPr>
        <w:spacing w:after="0" w:line="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Composition of matter patent protection is generally considered to be desirable because it provides protection without regard to any particular method of use or manufacture or formulation. While we have obtained patent protection covering components of certain product candidates, manufacturing-related methods, formulations and/or methods of use, we do not currently have any claims in our owned or in-licensed issued U.S. patents that cover, for example, the overall construct used in our iNeST product candidates, and we cannot be certain that claims in any future patents issuing from our pending owned or in-licensed patent applications or our future owned or in-licensed patent applications will cover the composition of matter of our current or future product candidates.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Method of use patents protect the use of a product for the specified method and formulation patents cover formulations to deliver therapeutics. These types of patents do not prevent a competitor or other third party from developing,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to prevent or enforce. Consequently, we may not be able to prevent third parties from practicing our inventions in the United States or abroad.</w:t>
      </w:r>
    </w:p>
    <w:p>
      <w:pPr>
        <w:spacing w:after="0" w:line="2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Because our product candidates are still in early developmental stages, and one or more features of the product candidates or related technologies such as their manufacture, formulation or use, may still change, we cannot be confident that we are aware of all third-party intellectual property that might be relevant to products that we eventually hope to commercialize.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is submitted. For example, we are targeting potential commercialization of BNT162 as early as the end of 2020, at which point any protection provided by the 271(e)(1) safe harbor will no longer be available for that product. Given the uncertainty of clinical trials, we cannot be certain of the timing of their completion and it is possible that we might want to submit an NDA at a time when one or more relevant third-party patents is in force. Thus, it is possible that at the time that we commercialize our product candidates, one or more third parties may have issued patent claims that cover our products or critical features of their production or use. We may not be able to commercialize our products if patents issued to third parties or other third-party intellectual property rights cover, or may be alleged to cover, our products or elements thereof, or their methods of manufacture or use at the time that we seek to commercialize them. In such cases, we may not be in a position to develop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or not available on commercially reasonable terms or at all, and design-around could be prohibitively expensive or impossible. For example, if we are successful in completing clinical trials for our COVID-19 vaccine candidate, BNT162, we may become exposed to one or more lawsuits from third parties who consider our product to infringe their patents at the time that we submit an application for marketing approval.</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It is also possible that we have failed to identify relevant third-party patents that cover, or applications that will mature into patents that cover, one or more aspects of our platform or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lawsuits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6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9"/>
          <w:szCs w:val="19"/>
          <w:color w:val="auto"/>
        </w:rPr>
        <w:t>There is a substantial amount of litigation, both within and outside the United States, involving patent and other intellectual property rights in the biotechnology and pharmaceutical industries, including patent infringement lawsuits, interferences, oppositions, ex parte reexaminations, post-grant review, and inter partes review proceedings before the USPTO and corresponding European and other non-U.S. patent offices.</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24" w:name="page125"/>
    <w:bookmarkEnd w:id="124"/>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inter partes review proceedings against issued U.S. patents and opposition proceedings against European patents owned by third parties in the field of immunotherapy. We have a number of these opposition proceedings ongoing at the European Patent Office against third-party patents related to mRNA technologies; also, multiple oppositions have been filed against our EP patent number 2714071, which relates to our iNeST product candidates, and whose claims recite steps relating to neoantigen selection. As the biotechnology and pharmaceutical industries expand and more patents are issued, the risk increases that our product candidates may be subject to claims of infringement of the patent rights of third parties.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addition, in a patent infringement proceeding, our owned or in-licensed patents may be challenged and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competitive position, business, financial conditions, results of operations and prospects.</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Third parties, ranging from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methods of manufacture or methods for treatment related to the use, development, manufacture or commercialization of our product candidates. As patent applications can take many years to issue, there may be currently pending patent applications which may later result in issued patents that our product candidates may infringe. In addition, third parties may obtain patents in the future and claim that our technologies infringe upon these patents. If any third- party patents were held by a court of competent jurisdiction to cover the manufacturing process of any of our product candidates, any molecules formed during the manufacturing process or any final product itself, the holders of any such patents may obtain injunctive or other equitable relief, which could effectively block our ability to develop and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 or may be non- exclusive.</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25" w:name="page126"/>
    <w:bookmarkEnd w:id="125"/>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collaborations that would help us bring our product candidates to market.</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 candidates, which could limit our ability to generate revenues or achieve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it could have a material adverse effect on the price of the ADSs.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w:t>
      </w:r>
    </w:p>
    <w:p>
      <w:pPr>
        <w:spacing w:after="0" w:line="183"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26" w:name="page127"/>
    <w:bookmarkEnd w:id="126"/>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 in the United States or in other countries could diminish the value of patents in general, thereby impairing our ability to protect our products.</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will be prosecuted and also may affect patent litigation.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would be harmed.</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to seeking patent protection for some of our technology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and development processes that involve proprietary know-how, information or technology that is not covered by patents. However, trade secrets and know-how may be difficult to protect.</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and require all of our employees and key</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27" w:name="page128"/>
    <w:bookmarkEnd w:id="127"/>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Despite our best efforts, any of these parties may breach the agreements and we cannot be certain that our trade secrets and other confidential proprietary information will not be disclosed or that competitors will not otherwise gain access to our trade secrets or independently develop substantially equivalent information and techniques.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If any of our trade secrets or know-how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will not be able to establish or maintain a competitive advantage in our market, which could materially adversely affect our business, operating results, financial condition and prospects.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6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or ownership of our patents and other intellectual property.</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may in the future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assignment of intellectual property rights may not be self-executing, or the assignment agreements may be breached. For example, we may have inventorship disputes arise from conflicting obligations of employees, consultants, independent contractors, collaborators or other third parties who are in</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28" w:name="page129"/>
    <w:bookmarkEnd w:id="128"/>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volved in developing and commercializing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Furthermore, the laws of some other countries do not protect intellectual property and other proprietary rights or establish ownership of inventions to the same extent or in the same manner as the laws of the United States. A majority of our employees work in Germany and are subject to German employment law. Ideas, developments, discoveries and inventions made by such employees and consultants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18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Filing, prosecuting and defending patents on product candidates and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marketing and commercialization of competing products in violation of our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29" w:name="page130"/>
    <w:bookmarkEnd w:id="129"/>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8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 to our competitive advantage.</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59" w:lineRule="exact"/>
        <w:rPr>
          <w:sz w:val="20"/>
          <w:szCs w:val="20"/>
          <w:color w:val="auto"/>
        </w:rPr>
      </w:pPr>
    </w:p>
    <w:p>
      <w:pPr>
        <w:ind w:left="900" w:right="140" w:hanging="447"/>
        <w:spacing w:after="0" w:line="247" w:lineRule="auto"/>
        <w:tabs>
          <w:tab w:leader="none" w:pos="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be able to make personalized cancer immunotherapies that are similar to any product candidates we may develop and commercialize or utilize similar technologies that are not covered by the claims of the patents that we now or may in the future own or have exclusively in-licensed;</w:t>
      </w:r>
    </w:p>
    <w:p>
      <w:pPr>
        <w:ind w:left="900" w:right="400" w:hanging="447"/>
        <w:spacing w:after="0" w:line="239" w:lineRule="auto"/>
        <w:tabs>
          <w:tab w:leader="none" w:pos="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our co-owners or our licensors or future collaborators might not have been the first to make the inventions covered by the issued patents or pending patent applications that we own or have exclusively in-licensed;</w:t>
      </w:r>
    </w:p>
    <w:p>
      <w:pPr>
        <w:ind w:left="900" w:right="80" w:hanging="447"/>
        <w:spacing w:after="0" w:line="239" w:lineRule="auto"/>
        <w:tabs>
          <w:tab w:leader="none" w:pos="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our co-owners or our licensors or future collaborators might not have been the first to file patent applications covering certain of our or their inventions;</w:t>
      </w:r>
    </w:p>
    <w:p>
      <w:pPr>
        <w:ind w:left="900" w:right="160" w:hanging="447"/>
        <w:spacing w:after="0" w:line="239" w:lineRule="auto"/>
        <w:tabs>
          <w:tab w:leader="none" w:pos="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our owned or in-licensed intellectual property rights;</w:t>
      </w:r>
    </w:p>
    <w:p>
      <w:pPr>
        <w:ind w:left="900" w:right="540" w:hanging="447"/>
        <w:spacing w:after="0" w:line="239" w:lineRule="auto"/>
        <w:tabs>
          <w:tab w:leader="none" w:pos="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our pending patent applications or those that we may own or in-license in the future will not lead to issued patents;</w:t>
      </w:r>
    </w:p>
    <w:p>
      <w:pPr>
        <w:ind w:left="900" w:right="380" w:hanging="447"/>
        <w:spacing w:after="0" w:line="239" w:lineRule="auto"/>
        <w:tabs>
          <w:tab w:leader="none" w:pos="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patents that we own or have exclusively in-licensed may be held invalid or unenforceable, including as a result of legal challenges by our competitors;</w:t>
      </w:r>
    </w:p>
    <w:p>
      <w:pPr>
        <w:ind w:left="900" w:right="200" w:hanging="447"/>
        <w:spacing w:after="0" w:line="239" w:lineRule="auto"/>
        <w:tabs>
          <w:tab w:leader="none" w:pos="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900" w:hanging="447"/>
        <w:spacing w:after="0"/>
        <w:tabs>
          <w:tab w:leader="none" w:pos="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30" w:name="page131"/>
    <w:bookmarkEnd w:id="130"/>
    <w:p>
      <w:pPr>
        <w:ind w:left="900" w:hanging="447"/>
        <w:spacing w:after="0"/>
        <w:tabs>
          <w:tab w:leader="none" w:pos="9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patents of others may have an adverse effect on our business; and</w:t>
      </w:r>
    </w:p>
    <w:p>
      <w:pPr>
        <w:spacing w:after="0" w:line="21" w:lineRule="exact"/>
        <w:rPr>
          <w:rFonts w:ascii="Times New Roman" w:cs="Times New Roman" w:eastAsia="Times New Roman" w:hAnsi="Times New Roman"/>
          <w:sz w:val="20"/>
          <w:szCs w:val="20"/>
          <w:color w:val="auto"/>
        </w:rPr>
      </w:pPr>
    </w:p>
    <w:p>
      <w:pPr>
        <w:ind w:left="900" w:right="120" w:hanging="447"/>
        <w:spacing w:after="0" w:line="246" w:lineRule="auto"/>
        <w:tabs>
          <w:tab w:leader="none" w:pos="9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choose not to file a patent in order to maintain certain trade secrets or know-how, and a third party may subsequently file a patent covering such intellectual property.</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Should any of these events occur, they could have a material adverse effect on our business, financial condition, results of operations and prospects.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be subject, directly or indirectly, to federal and state healthcare fraud and abuse laws, false claims laws, and other healthcare laws. If we are unable to comply, or have not fully complied, with such laws, we could face substantial penalties.</w:t>
      </w:r>
    </w:p>
    <w:p>
      <w:pPr>
        <w:spacing w:after="0" w:line="4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may be subject to additional healthcare regulation and enforcement by the U.S. federal government and by authorities in the United States, the European Union and other jurisdictions in which we conduct our business.</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186" w:lineRule="exact"/>
        <w:rPr>
          <w:sz w:val="20"/>
          <w:szCs w:val="20"/>
          <w:color w:val="auto"/>
        </w:rPr>
      </w:pPr>
    </w:p>
    <w:p>
      <w:pPr>
        <w:ind w:left="900" w:right="140" w:hanging="447"/>
        <w:spacing w:after="0" w:line="242" w:lineRule="auto"/>
        <w:tabs>
          <w:tab w:leader="none" w:pos="9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5" w:lineRule="exact"/>
        <w:rPr>
          <w:rFonts w:ascii="Times New Roman" w:cs="Times New Roman" w:eastAsia="Times New Roman" w:hAnsi="Times New Roman"/>
          <w:sz w:val="20"/>
          <w:szCs w:val="20"/>
          <w:color w:val="auto"/>
        </w:rPr>
      </w:pPr>
    </w:p>
    <w:p>
      <w:pPr>
        <w:ind w:left="900" w:right="140" w:hanging="447"/>
        <w:spacing w:after="0" w:line="239" w:lineRule="auto"/>
        <w:tabs>
          <w:tab w:leader="none" w:pos="9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and criminal false claims laws and civil monetary penalty laws, which prohibit, among other things, individuals or 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2" w:lineRule="exact"/>
        <w:rPr>
          <w:rFonts w:ascii="Times New Roman" w:cs="Times New Roman" w:eastAsia="Times New Roman" w:hAnsi="Times New Roman"/>
          <w:sz w:val="20"/>
          <w:szCs w:val="20"/>
          <w:color w:val="auto"/>
        </w:rPr>
      </w:pPr>
    </w:p>
    <w:p>
      <w:pPr>
        <w:jc w:val="both"/>
        <w:ind w:left="900" w:right="160" w:hanging="447"/>
        <w:spacing w:after="0" w:line="239" w:lineRule="auto"/>
        <w:tabs>
          <w:tab w:leader="none" w:pos="9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created new federal criminal statutes that prohibit a person from knowingly and willfully executing a scheme or making false or fraudulent statements to defraud any healthcare benefit program, regardless of the payor (e.g., public or private).</w:t>
      </w:r>
    </w:p>
    <w:p>
      <w:pPr>
        <w:spacing w:after="0" w:line="1" w:lineRule="exact"/>
        <w:rPr>
          <w:rFonts w:ascii="Times New Roman" w:cs="Times New Roman" w:eastAsia="Times New Roman" w:hAnsi="Times New Roman"/>
          <w:sz w:val="20"/>
          <w:szCs w:val="20"/>
          <w:color w:val="auto"/>
        </w:rPr>
      </w:pPr>
    </w:p>
    <w:p>
      <w:pPr>
        <w:ind w:left="900" w:right="460" w:hanging="447"/>
        <w:spacing w:after="0" w:line="241" w:lineRule="auto"/>
        <w:tabs>
          <w:tab w:leader="none" w:pos="9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and their implementing regulations,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31" w:name="page132"/>
    <w:bookmarkEnd w:id="131"/>
    <w:p>
      <w:pPr>
        <w:ind w:left="900" w:right="200" w:hanging="447"/>
        <w:spacing w:after="0" w:line="250" w:lineRule="auto"/>
        <w:tabs>
          <w:tab w:leader="none" w:pos="9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The U.S. Federal Food, Drug, and Cosmetic Act, which prohibits, among other things, the adulteration or misbranding of drugs, biologics and medical devices.</w:t>
      </w:r>
    </w:p>
    <w:p>
      <w:pPr>
        <w:spacing w:after="0" w:line="1" w:lineRule="exact"/>
        <w:rPr>
          <w:rFonts w:ascii="Times New Roman" w:cs="Times New Roman" w:eastAsia="Times New Roman" w:hAnsi="Times New Roman"/>
          <w:sz w:val="20"/>
          <w:szCs w:val="20"/>
          <w:color w:val="auto"/>
        </w:rPr>
      </w:pPr>
    </w:p>
    <w:p>
      <w:pPr>
        <w:ind w:left="900" w:hanging="447"/>
        <w:spacing w:after="0" w:line="239" w:lineRule="auto"/>
        <w:tabs>
          <w:tab w:leader="none" w:pos="9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Public Health Service Act, which prohibits, among other things, the introduction into interstate commerce of a biological product unless a biologics license is in effect for that product.</w:t>
      </w:r>
    </w:p>
    <w:p>
      <w:pPr>
        <w:ind w:left="900" w:right="20" w:hanging="447"/>
        <w:spacing w:after="0" w:line="239" w:lineRule="auto"/>
        <w:tabs>
          <w:tab w:leader="none" w:pos="9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transparency laws, including the federal Physician Payment Sunshine Act, which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spacing w:after="0" w:line="1" w:lineRule="exact"/>
        <w:rPr>
          <w:rFonts w:ascii="Times New Roman" w:cs="Times New Roman" w:eastAsia="Times New Roman" w:hAnsi="Times New Roman"/>
          <w:sz w:val="20"/>
          <w:szCs w:val="20"/>
          <w:color w:val="auto"/>
        </w:rPr>
      </w:pPr>
    </w:p>
    <w:p>
      <w:pPr>
        <w:ind w:left="900" w:right="80" w:hanging="447"/>
        <w:spacing w:after="0" w:line="239" w:lineRule="auto"/>
        <w:tabs>
          <w:tab w:leader="none" w:pos="9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2" w:lineRule="exact"/>
        <w:rPr>
          <w:rFonts w:ascii="Times New Roman" w:cs="Times New Roman" w:eastAsia="Times New Roman" w:hAnsi="Times New Roman"/>
          <w:sz w:val="20"/>
          <w:szCs w:val="20"/>
          <w:color w:val="auto"/>
        </w:rPr>
      </w:pPr>
    </w:p>
    <w:p>
      <w:pPr>
        <w:ind w:left="900" w:right="40" w:hanging="447"/>
        <w:spacing w:after="0" w:line="239" w:lineRule="auto"/>
        <w:tabs>
          <w:tab w:leader="none" w:pos="9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Foreign Corrupt Practices Act of 1977, as amended, which prohibits, among other things, U.S. companies and their employees and agents, as well as non-U.S. companies that are registered with the Securities and Exchange Commission, or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2" w:lineRule="exact"/>
        <w:rPr>
          <w:rFonts w:ascii="Times New Roman" w:cs="Times New Roman" w:eastAsia="Times New Roman" w:hAnsi="Times New Roman"/>
          <w:sz w:val="20"/>
          <w:szCs w:val="20"/>
          <w:color w:val="auto"/>
        </w:rPr>
      </w:pPr>
    </w:p>
    <w:p>
      <w:pPr>
        <w:ind w:left="900" w:right="100" w:hanging="447"/>
        <w:spacing w:after="0" w:line="246" w:lineRule="auto"/>
        <w:tabs>
          <w:tab w:leader="none" w:pos="9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healthcare laws and regulations in the European Union and other jurisdictions, including reporting requirements detailing interactions with and payments to healthcare providers.</w:t>
      </w:r>
    </w:p>
    <w:p>
      <w:pPr>
        <w:spacing w:after="0" w:line="1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 bribery laws of European Union member states, such as the U.K. Bribery Act 2010. Infringement of these laws could result in substantial fines and imprisonment.</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certain anti-corruption, anti-money laundering, export control, sanctions, and other trade laws and regulations. We can face serious consequences for violations.</w:t>
      </w:r>
    </w:p>
    <w:p>
      <w:pPr>
        <w:spacing w:after="0" w:line="4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32" w:name="page133"/>
    <w:bookmarkEnd w:id="132"/>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privacy laws, information security policies and contractual obligations governing the use, processing, and cross-border transfer of personal information and our data privacy and security practices.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receive, generate and store significant and increasing volumes of sensitive information, such as employee, personal and patient data.</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collection and use of personal health data in the European Union had previously been governed by the provisions of the Data Protection Directive, which has been replaced by the European Union General Data Protection Regulation, or GDPR. While the Data Protection Directive did not apply to organizations based outside the European Union, the GDPR has expanded its reach to include any business, regardless of its location, that provides goods or services to residents in the European Union. The GDPR imposes strict requirements on controllers and processors of personal data, including special protections for “sensitive information” which includes health and genetic information of data subjects residing in the European Union. The GDPR also imposes strict rules on the transfer of personal data out of the European Union to the United States and other countries. In addition, the GDPR provides that European Union member states may make their own further laws and regulations limiting the processing of personal data, including genetic, biometric or health data.</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GDPR regulations have imposed additional responsibility and liability in relation to the personal data that we process and we may be required to put in place additional mechanisms to ensure compliance with the new data protection rules. This may be onerous and may interrupt or</w:t>
      </w:r>
    </w:p>
    <w:p>
      <w:pPr>
        <w:spacing w:after="0" w:line="194"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delay our development activities, and adversely affect our business, financial condition, results of operations and prospects.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Other jurisdictions outside the European Union are similarly introducing or enhancing privacy and data security laws, rules and regulations, which could increase our compliance costs and the risks associated with non-compliance. 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especially with regard to clinical trial conduct.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may be onerous and adversely affect our business, financial condition, results of operations and prospects. If we fail to comply with the GDPR and the applicable national data protection laws of the European Union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the United States, notice of breaches must be made to affected individuals and the U.S. Secretary of HHS, and for extensive breaches, notice may need to be made to the media or U.S. state Attorneys General. Such a notice could harm our reputation and our ability to compete. HHS has the discretion to impose penalties without attempting to resolve violations through informal means. In addition, U.S. state Attorneys General are authorized to bring civil actions seeking either injunctions or damages in response to violations that threaten the privacy of state residents.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or our third-party suppliers fail to comply with environmental, health and safety laws and regulations, we could become subject to fines or penalties or incur costs that could harm our business.</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will become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significant costs associated with civil or criminal fines and penalties for failure to comply with such laws and regulations.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 Related to our Business and the ADSs</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experience significant volatility in the market price of the ADSs representing our ordinary shares following announcements and data releases regarding our ongoing development of BNT162 as a potential COVID-19 vaccine.</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Biopharmaceutical companies that are developing potential therapeutics and vaccines to combat COVID-19, including BioNTech SE, have experienced significant volatility in the price of their securities upon publication of preclinical and clinical data as well as news about their development programs. For example, following the announcement of our collaborations with Pfizer and Fosun Pharma relating to the development of BNT162, our vaccine candidate program for the prevention of COVID-19, the last reported sales price of the ADSs representing our ordinary shares on the Nasdaq Global Select Market increased from $30.93 on March 13, 2020, the day before the announcement, to $92.00 on March 18, 2020, before decreasing to $46.50 on March 20, 2020. In addition to the preclinical and clinical data we and Pfizer have already disclosed in connection with our BNT162 development program, we and Pfizer intend over the coming months to make public several additional COVID-19 vaccine data readouts and clinical updates. We have also announced that we and Pfizer have entered into supply agreements with a number of governments, including the United Kingdom, the United States, Japan and Canada for BNT162, if approved, and are in late-stage discussions with other govern</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35" w:name="page136"/>
    <w:bookmarkEnd w:id="135"/>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ments and governmental bodies related to the establishment of supply agreements for BNT162, if approved. We cannot predict public reaction or the impact on the market price of the ADSs representing our ordinary shares once the terms of any of these supply arrangements are announced. We also cannot guarantee that the ultimate supply agreements we enter into, if any, will be for the number of doses we currently estimate, that any options contained in the agreements will be exercised or that aggregate consideration to be received under any such supply agreements will ultimately be what we currently expect. Given the attention being paid to the COVID-19 pandemic and the public scrutiny of COVID-19 development announcements and data releases to date, and given that we are among the current leaders in the development of a vaccine, we expect that the public announcements we and Pfizer intend to make in the coming months regarding the ongoing development of BNT162 will attract significant attention and scrutiny and that, as a result, the price of the ADSs representing our ordinary shares may be particularly volatile during this time.</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employees, consultants and advisors and to attract, retain and motivate qualified senior management and scientific personnel.</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The loss of any of these persons’ services may adversely impact the achievement of our research, development, financing and commercialization objectives. We currently do not have “key person” insurance on any of our employees.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Recruiting and retaining other qualified employees, consultants and advisors for our business, including scientific and technical personnel, also will be critical to our success. Competition for skilled personnel, including in mRNA research, clinical operations, regulatory affairs, therapeutic area management and manufacturing,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failure to succeed in preclinical studies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employees, principal investigators and consultants may engage in misconduct or other improper activities, including non-compliance with regulatory standards and requirements and insider trading, which could have an adverse effect on our results of operations.</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exposed to the risk of fraud or other misconduct by our employees, principal investigators and consultants.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w:t>
      </w:r>
    </w:p>
    <w:p>
      <w:pPr>
        <w:spacing w:after="0" w:line="183"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36" w:name="page137"/>
    <w:bookmarkEnd w:id="136"/>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abuse laws and regulations in the United States and abroad, report financial information or data accurately or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litigation and unfavorable publicity could negatively affect our future business.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employees may, from time to time, bring lawsuits against us regarding injury, creating a hostile work 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 related lawsuits have had to terminate management or other key personnel, and have suffered reputational harm that has negatively impacted their business. If we were to face any employment- related claims, our business could be negatively affected.</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to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GDPR and relevant member state law in the European Union, and HIPAA and other relevant state and federal privacy laws in the United States.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While we have not experienced any material system failures, accidents or security breaches to date, we and a vendor have separately in the past been subject to a security breach resulting in us unknowingly making payments to third parties that were able to gain unauthorized access to our and the vendor’s email systems. We have since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Our business continuity and disaster recovery plans may not adequately protect us from a serious disaster.</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recognize the need for, and are in the early stages of, developing disaster recovery, business continuity and document retention plans that would allow us to be operational despite casualties or unforeseen events impacting our corporate headquarters or distribution center. Without disaster recovery, business continuity and document retention plans, if we encounter difficulties or disasters with our manufacturing facilities or at our corporate headquarters, our critical systems, operations and information may not be restored in a timely manner, or at all, and this could have an adverse effect on our business.</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against us could cause us to incur substantial liabilities and could limit commercialization of our current or future product candidates.</w:t>
      </w:r>
    </w:p>
    <w:p>
      <w:pPr>
        <w:spacing w:after="0" w:line="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face an inherent risk of product liability exposure related to the testing of any of our current or future product candidates in clinical trials, and we may face an even greater risk if we commercialize any product candidate that we may develop. If we cannot successfully defend ourselves against claims that our product candidates caused injuries, we could incur substantial liabilities. Regardless of merit or eventual outcome, liability claims may result in:</w:t>
      </w:r>
    </w:p>
    <w:p>
      <w:pPr>
        <w:spacing w:after="0" w:line="180" w:lineRule="exact"/>
        <w:rPr>
          <w:sz w:val="20"/>
          <w:szCs w:val="20"/>
          <w:color w:val="auto"/>
        </w:rPr>
      </w:pPr>
    </w:p>
    <w:p>
      <w:pPr>
        <w:ind w:left="900" w:hanging="447"/>
        <w:spacing w:after="0"/>
        <w:tabs>
          <w:tab w:leader="none" w:pos="9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any product candidate that we may develop;</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w:t>
      </w:r>
    </w:p>
    <w:p>
      <w:pPr>
        <w:ind w:left="900" w:hanging="447"/>
        <w:spacing w:after="0"/>
        <w:tabs>
          <w:tab w:leader="none" w:pos="9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patients, healthy volunteers or their children;</w:t>
      </w:r>
    </w:p>
    <w:p>
      <w:pPr>
        <w:ind w:left="900" w:hanging="447"/>
        <w:spacing w:after="0"/>
        <w:tabs>
          <w:tab w:leader="none" w:pos="9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time and costs to defend the related litigation;</w:t>
      </w:r>
    </w:p>
    <w:p>
      <w:pPr>
        <w:ind w:left="900" w:hanging="447"/>
        <w:spacing w:after="0"/>
        <w:tabs>
          <w:tab w:leader="none" w:pos="9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participants;</w:t>
      </w:r>
    </w:p>
    <w:p>
      <w:pPr>
        <w:ind w:left="900" w:hanging="447"/>
        <w:spacing w:after="0"/>
        <w:tabs>
          <w:tab w:leader="none" w:pos="9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commercialize any product candidates that we may develop; and</w:t>
      </w:r>
    </w:p>
    <w:p>
      <w:pPr>
        <w:ind w:left="900" w:hanging="447"/>
        <w:spacing w:after="0"/>
        <w:tabs>
          <w:tab w:leader="none" w:pos="9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carry clinical trial insurance, including product liability insurance, which we believe to be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price of the ADS to decline and, if judgments exceed our insurance coverage, could adversely affect our results of operations and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products become subject to a product recall it could harm our reputation, business and financial results.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of other quantity of the biologic product presents an imminent or substantial hazard to the public health. In addition, some governmental bodies outside the United States have the authority to require the recall of any product candidate in the event of material deficiencies or defects in design or manufacture. Manufacturers may, under their own initiative, recall a product if any material deficiency in a product is found. A government- mandated or voluntary recall by us could occur as a result of manufacturing errors, design or labeling defects or other deficiencies and issues.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Recalls of any of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168"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38" w:name="page139"/>
    <w:bookmarkEnd w:id="138"/>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If we engage in future acquisitions, joint ventures or collaborations, this may increase our capital requirements, dilute our shareholders, cause us to incur debt or assume contingent liabilities, and subject us to other risks. We may not realize the benefits of these acquisitions, joint ventures or collaborations.</w:t>
      </w:r>
    </w:p>
    <w:p>
      <w:pPr>
        <w:spacing w:after="0" w:line="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159" w:lineRule="exact"/>
        <w:rPr>
          <w:sz w:val="20"/>
          <w:szCs w:val="20"/>
          <w:color w:val="auto"/>
        </w:rPr>
      </w:pPr>
    </w:p>
    <w:p>
      <w:pPr>
        <w:ind w:left="900" w:hanging="447"/>
        <w:spacing w:after="0"/>
        <w:tabs>
          <w:tab w:leader="none" w:pos="9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operating expenses and cash requirements;</w:t>
      </w:r>
    </w:p>
    <w:p>
      <w:pPr>
        <w:spacing w:after="0" w:line="21"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assumption of additional indebtedness or contingent liabilities;</w:t>
      </w:r>
    </w:p>
    <w:p>
      <w:pPr>
        <w:ind w:left="900" w:right="580" w:hanging="447"/>
        <w:spacing w:after="0" w:line="239" w:lineRule="auto"/>
        <w:tabs>
          <w:tab w:leader="none" w:pos="9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assimilation of operations, intellectual property and products of an acquired company, including difficulties associated with integrating new personnel;</w:t>
      </w:r>
    </w:p>
    <w:p>
      <w:pPr>
        <w:ind w:left="900" w:right="600" w:hanging="447"/>
        <w:spacing w:after="0" w:line="239" w:lineRule="auto"/>
        <w:tabs>
          <w:tab w:leader="none" w:pos="9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diversion of our management’s attention from our existing product programs and initiatives in pursuing such a strategic merger or acquisition;</w:t>
      </w:r>
    </w:p>
    <w:p>
      <w:pPr>
        <w:ind w:left="900" w:hanging="447"/>
        <w:spacing w:after="0"/>
        <w:tabs>
          <w:tab w:leader="none" w:pos="9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retention of key employees, the loss of key personnel, and uncertainties in our ability to maintain key business relationships;</w:t>
      </w:r>
    </w:p>
    <w:p>
      <w:pPr>
        <w:ind w:left="900" w:right="60" w:hanging="447"/>
        <w:spacing w:after="0" w:line="239" w:lineRule="auto"/>
        <w:tabs>
          <w:tab w:leader="none" w:pos="9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and uncertainties associated with the other party to such a transaction, including the prospects of that party and their existing products or product candidates and regulatory approvals; and</w:t>
      </w:r>
    </w:p>
    <w:p>
      <w:pPr>
        <w:ind w:left="900" w:right="640" w:hanging="447"/>
        <w:spacing w:after="0" w:line="246" w:lineRule="auto"/>
        <w:tabs>
          <w:tab w:leader="none" w:pos="9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generate revenue from acquired technology or products sufficient to meet our objectives in undertaking the acquisition or even to offset the associated acquisition and maintenance costs.</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if we undertake acquisitions, we may utilize our cash, issue dilutive securities, assume or incur debt obligations, incur large one-time expenses and acquire intangible assets that could result in significant future amortization expense.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articles of association designate specific courts in the United States as the exclusive forum for certain U.S. litigation that may be initiated by our shareholders, which could limit our shareholders’ ability to obtain a favorable judicial forum for disputes with us.</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articles of association provide that the United States District Court for the Southern District of New York shall be the competent court of jurisdiction for the resolution of any litigation on the grounds of or in connection with U.S. federal or state capital market laws. In the absence of these provisions, under the Securities Act of 1933, as amended, or the Securities Act, U.S. federal and state courts have been found to have concurrent jurisdiction over suits brought to enforce duties or liabilities created by the Securities Act. This choice of forum provision will not apply to suits brought to enforce duties or liabilities created by the Securities Exchange Act of 1934, as amended, which already provides that such federal district courts have exclusive jurisdictions over such suits.</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choice of forum provision contained in our articles of association may limit a shareholder’s ability to bring a claim in a judicial forum that it finds favorable for disputes with us or our executive officers, directors, or other employees, or impose additional litigation costs on shareholders in pursuing any such claims, particularly if the shareholders do not reside in or near the state of New York, which may discourage such lawsuits. In addition, while the Delaware Supreme Court ruled in March 2020 that federal forum selection provisions purporting to require claims under the Securities Act be brought in federal court are “facially valid” under Delaware law, there is uncertainty as to whether other U.S. or German courts will enforce our choice of forum provision. The enforceability of similar choice of forum provisions in other companies’ governing documents has been challenged in recent legal proceedings, and it is possible that a court in the relevant jurisdictions with respect to us could find the choice of forum provision contained our articles of association to be inapplicable or unenforceable. If the relevant court</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39" w:name="page140"/>
    <w:bookmarkEnd w:id="139"/>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were to find the choice of forum provision contained in our articles of association to be inapplicable or unenforceable, we may incur additional costs associated with resolving such matters in other jurisdictions, which could adversely affect our business, financial condition and operating results. The choice of forum provision may also impose additional litigation costs on shareholders who assert that the provision is not enforceable or invalid. The United States District Court for the Southern District of New York may also reach different judgments or results than would other courts, including courts where a shareholder considering a U.S.-based action may be located or would otherwise choose to bring the action, and such judgments may be more or less favorable to us than our shareholders.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 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executive officers, directors, five percent shareholders, and their affiliates beneficially own a majority of our ordinary shares (including ordinary shares represented by ADSs) as of September 30, 2020, and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you may believe are in your best interest as one of our shareholders.</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large number of shares eligible for sale or subject to rights requiring us to register them for sale could cause the market price of the ADSs to drop significantly, even if our business is performing well.</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significant portion of our total outstanding ordinary shares were restricted from immediate resale following our initial public offering and other registered public offerings but may be sold in the near future. These sales, or the perception in the market that holders of a large number of shares intend to sell shares, could reduce the market price of the ADSs.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intend to file one or more registration statements on Form S-8 under the Securities Act, to register all ordinary shares issued or issuable under our equity plans. Any such Form S-8 registration statements will automatically become effective upon filing, upon which shares registered under such registration statements will be available for sale in the open market.</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Sales of ADSs or our ordinary shares as restrictions end or pursuant to registration rights may make it more difficult for us to finance our operations through the sale of equity securities in the future at a time</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40" w:name="page141"/>
    <w:bookmarkEnd w:id="140"/>
    <w:p>
      <w:pPr>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and at a price that we deem appropriate. These sales also could cause the trading price of the ADSs to fall and make it more difficult to sell the ADSs.</w:t>
      </w: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Disclaimer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quarterly report contains forward-looking statements within the meaning of the Private Securities Litigation Reform Act of 1995, as amended, including, but not limited to, statements concerning: our expected cash usage for 2020 and beyond; our anticipated cash runway; the planned next steps in BioNTech’s pipeline programs and specifically including, but not limited to, statements regarding plans to initiate clinical trials of BioNTech’s product candidates; expectations for data announcements with respect to BioNTech’s clinical trials; the timing for any potential emergency use authorizations or approvals for BNT162; and our ability to scale-up manufacturing capacity for BNT162 and supply the quantities of BNT162 to support clinical development and, if approved, market demand, including our production estimates for 2020 and 2021.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You should review the risks and uncertainties described under the heading “Risk Factors” in this quarterly report and in subsequent filings made by BioNTech with the SEC, which are available on the SEC’s website at https://www.sec.gov/. Except as required by law, BioNTech disclaims any intention or responsibility for updating or revising any forward-looking statements contained in this press release in the event of new information, future developments or otherwise. These forward-looking statements are based on BioNTech’s current expectations and speak only as of the date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BioNTech</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Biopharmaceutical New Technologies is a next generation immunotherapy company pioneering novel therapies for cancer and other serious diseases. The Company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T cells, bi-specific checkpoint immuno-modulators, targeted cancer antibodies and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pharmaceutical collaborators, including Genmab, Sanofi, Bayer Animal Health, Genentech, a member of the Roche Group, Regeneron, Genevant, Fosun Pharma, and Pfizer.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please visit www.BioNTech.de</w:t>
      </w:r>
    </w:p>
    <w:p>
      <w:pPr>
        <w:spacing w:after="0" w:line="225"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1240"/>
          </w:cols>
          <w:pgMar w:left="320" w:top="118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3016250</wp:posOffset>
            </wp:positionV>
            <wp:extent cx="6137910" cy="2194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3791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auto"/>
        </w:rPr>
        <w:t>BioNTech 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817880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61"/>
        </w:trPr>
        <w:tc>
          <w:tcPr>
            <w:tcW w:w="260" w:type="dxa"/>
            <w:vAlign w:val="bottom"/>
          </w:tcPr>
          <w:p>
            <w:pPr>
              <w:spacing w:after="0"/>
              <w:rPr>
                <w:sz w:val="22"/>
                <w:szCs w:val="22"/>
                <w:color w:val="auto"/>
              </w:rPr>
            </w:pPr>
          </w:p>
        </w:tc>
        <w:tc>
          <w:tcPr>
            <w:tcW w:w="822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tc>
      </w:tr>
      <w:tr>
        <w:trPr>
          <w:trHeight w:val="1063"/>
        </w:trPr>
        <w:tc>
          <w:tcPr>
            <w:tcW w:w="8480" w:type="dxa"/>
            <w:vAlign w:val="bottom"/>
            <w:gridSpan w:val="2"/>
          </w:tcPr>
          <w:p>
            <w:pPr>
              <w:spacing w:after="0"/>
              <w:rPr>
                <w:sz w:val="20"/>
                <w:szCs w:val="20"/>
                <w:color w:val="auto"/>
              </w:rPr>
            </w:pPr>
            <w:r>
              <w:rPr>
                <w:rFonts w:ascii="Times New Roman" w:cs="Times New Roman" w:eastAsia="Times New Roman" w:hAnsi="Times New Roman"/>
                <w:sz w:val="36"/>
                <w:szCs w:val="36"/>
                <w:color w:val="auto"/>
              </w:rPr>
              <w:t>BioNTech SE</w:t>
            </w:r>
          </w:p>
        </w:tc>
        <w:tc>
          <w:tcPr>
            <w:tcW w:w="2780" w:type="dxa"/>
            <w:vAlign w:val="bottom"/>
          </w:tcPr>
          <w:p>
            <w:pPr>
              <w:spacing w:after="0"/>
              <w:rPr>
                <w:sz w:val="24"/>
                <w:szCs w:val="24"/>
                <w:color w:val="auto"/>
              </w:rPr>
            </w:pPr>
          </w:p>
        </w:tc>
      </w:tr>
      <w:tr>
        <w:trPr>
          <w:trHeight w:val="398"/>
        </w:trPr>
        <w:tc>
          <w:tcPr>
            <w:tcW w:w="8480" w:type="dxa"/>
            <w:vAlign w:val="bottom"/>
            <w:gridSpan w:val="2"/>
          </w:tcPr>
          <w:p>
            <w:pPr>
              <w:spacing w:after="0"/>
              <w:rPr>
                <w:sz w:val="20"/>
                <w:szCs w:val="20"/>
                <w:color w:val="auto"/>
              </w:rPr>
            </w:pPr>
            <w:r>
              <w:rPr>
                <w:rFonts w:ascii="Times New Roman" w:cs="Times New Roman" w:eastAsia="Times New Roman" w:hAnsi="Times New Roman"/>
                <w:sz w:val="25"/>
                <w:szCs w:val="25"/>
                <w:color w:val="auto"/>
              </w:rPr>
              <w:t>Pro Forma Financial Information</w:t>
            </w:r>
          </w:p>
        </w:tc>
        <w:tc>
          <w:tcPr>
            <w:tcW w:w="2780" w:type="dxa"/>
            <w:vAlign w:val="bottom"/>
          </w:tcPr>
          <w:p>
            <w:pPr>
              <w:spacing w:after="0"/>
              <w:rPr>
                <w:sz w:val="24"/>
                <w:szCs w:val="24"/>
                <w:color w:val="auto"/>
              </w:rPr>
            </w:pPr>
          </w:p>
        </w:tc>
      </w:tr>
      <w:tr>
        <w:trPr>
          <w:trHeight w:val="405"/>
        </w:trPr>
        <w:tc>
          <w:tcPr>
            <w:tcW w:w="8480" w:type="dxa"/>
            <w:vAlign w:val="bottom"/>
            <w:gridSpan w:val="2"/>
          </w:tcPr>
          <w:p>
            <w:pPr>
              <w:spacing w:after="0"/>
              <w:rPr>
                <w:sz w:val="20"/>
                <w:szCs w:val="20"/>
                <w:color w:val="auto"/>
              </w:rPr>
            </w:pPr>
            <w:r>
              <w:rPr>
                <w:rFonts w:ascii="Times New Roman" w:cs="Times New Roman" w:eastAsia="Times New Roman" w:hAnsi="Times New Roman"/>
                <w:sz w:val="25"/>
                <w:szCs w:val="25"/>
                <w:color w:val="auto"/>
              </w:rPr>
              <w:t>Index</w:t>
            </w:r>
          </w:p>
        </w:tc>
        <w:tc>
          <w:tcPr>
            <w:tcW w:w="2780" w:type="dxa"/>
            <w:vAlign w:val="bottom"/>
          </w:tcPr>
          <w:p>
            <w:pPr>
              <w:spacing w:after="0"/>
              <w:rPr>
                <w:sz w:val="24"/>
                <w:szCs w:val="24"/>
                <w:color w:val="auto"/>
              </w:rPr>
            </w:pPr>
          </w:p>
        </w:tc>
      </w:tr>
      <w:tr>
        <w:trPr>
          <w:trHeight w:val="915"/>
        </w:trPr>
        <w:tc>
          <w:tcPr>
            <w:tcW w:w="848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145">
              <w:r>
                <w:rPr>
                  <w:rFonts w:ascii="Times New Roman" w:cs="Times New Roman" w:eastAsia="Times New Roman" w:hAnsi="Times New Roman"/>
                  <w:sz w:val="20"/>
                  <w:szCs w:val="20"/>
                  <w:b w:val="1"/>
                  <w:bCs w:val="1"/>
                  <w:u w:val="single" w:color="auto"/>
                  <w:color w:val="0000EE"/>
                </w:rPr>
                <w:t>Unaudited Pro Forma Condensed Combined Financial Information</w:t>
              </w:r>
            </w:hyperlink>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r>
      <w:tr>
        <w:trPr>
          <w:trHeight w:val="365"/>
        </w:trPr>
        <w:tc>
          <w:tcPr>
            <w:tcW w:w="848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147">
              <w:r>
                <w:rPr>
                  <w:rFonts w:ascii="Times New Roman" w:cs="Times New Roman" w:eastAsia="Times New Roman" w:hAnsi="Times New Roman"/>
                  <w:sz w:val="20"/>
                  <w:szCs w:val="20"/>
                  <w:b w:val="1"/>
                  <w:bCs w:val="1"/>
                  <w:u w:val="single" w:color="auto"/>
                  <w:color w:val="0000EE"/>
                </w:rPr>
                <w:t>Unaudited Pro Forma Condensed Combined Statements of Operations</w:t>
              </w:r>
            </w:hyperlink>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r>
      <w:tr>
        <w:trPr>
          <w:trHeight w:val="364"/>
        </w:trPr>
        <w:tc>
          <w:tcPr>
            <w:tcW w:w="848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148">
              <w:r>
                <w:rPr>
                  <w:rFonts w:ascii="Times New Roman" w:cs="Times New Roman" w:eastAsia="Times New Roman" w:hAnsi="Times New Roman"/>
                  <w:sz w:val="20"/>
                  <w:szCs w:val="20"/>
                  <w:b w:val="1"/>
                  <w:bCs w:val="1"/>
                  <w:u w:val="single" w:color="auto"/>
                  <w:color w:val="0000EE"/>
                </w:rPr>
                <w:t>Unaudited Pro Forma Condensed Combined Statements of Operations</w:t>
              </w:r>
            </w:hyperlink>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r>
      <w:tr>
        <w:trPr>
          <w:trHeight w:val="364"/>
        </w:trPr>
        <w:tc>
          <w:tcPr>
            <w:tcW w:w="8480" w:type="dxa"/>
            <w:vAlign w:val="bottom"/>
            <w:gridSpan w:val="2"/>
          </w:tcPr>
          <w:p>
            <w:pPr>
              <w:spacing w:after="0"/>
              <w:rPr>
                <w:rFonts w:ascii="Times New Roman" w:cs="Times New Roman" w:eastAsia="Times New Roman" w:hAnsi="Times New Roman"/>
                <w:sz w:val="20"/>
                <w:szCs w:val="20"/>
                <w:b w:val="1"/>
                <w:bCs w:val="1"/>
                <w:u w:val="single" w:color="auto"/>
                <w:color w:val="0000EE"/>
              </w:rPr>
            </w:pPr>
            <w:hyperlink w:anchor="page149">
              <w:r>
                <w:rPr>
                  <w:rFonts w:ascii="Times New Roman" w:cs="Times New Roman" w:eastAsia="Times New Roman" w:hAnsi="Times New Roman"/>
                  <w:sz w:val="20"/>
                  <w:szCs w:val="20"/>
                  <w:b w:val="1"/>
                  <w:bCs w:val="1"/>
                  <w:u w:val="single" w:color="auto"/>
                  <w:color w:val="0000EE"/>
                </w:rPr>
                <w:t>Notes to the Unaudited Pro Forma Condensed Combined Financial Information</w:t>
              </w:r>
            </w:hyperlink>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r>
      <w:tr>
        <w:trPr>
          <w:trHeight w:val="365"/>
        </w:trPr>
        <w:tc>
          <w:tcPr>
            <w:tcW w:w="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w:t>
            </w:r>
          </w:p>
        </w:tc>
        <w:tc>
          <w:tcPr>
            <w:tcW w:w="8220" w:type="dxa"/>
            <w:vAlign w:val="bottom"/>
          </w:tcPr>
          <w:p>
            <w:pPr>
              <w:ind w:left="140"/>
              <w:spacing w:after="0"/>
              <w:rPr>
                <w:rFonts w:ascii="Times New Roman" w:cs="Times New Roman" w:eastAsia="Times New Roman" w:hAnsi="Times New Roman"/>
                <w:sz w:val="20"/>
                <w:szCs w:val="20"/>
                <w:b w:val="1"/>
                <w:bCs w:val="1"/>
                <w:u w:val="single" w:color="auto"/>
                <w:color w:val="0000EE"/>
              </w:rPr>
            </w:pPr>
            <w:hyperlink w:anchor="page149">
              <w:r>
                <w:rPr>
                  <w:rFonts w:ascii="Times New Roman" w:cs="Times New Roman" w:eastAsia="Times New Roman" w:hAnsi="Times New Roman"/>
                  <w:sz w:val="20"/>
                  <w:szCs w:val="20"/>
                  <w:b w:val="1"/>
                  <w:bCs w:val="1"/>
                  <w:u w:val="single" w:color="auto"/>
                  <w:color w:val="0000EE"/>
                </w:rPr>
                <w:t>Basis of Preparation</w:t>
              </w:r>
            </w:hyperlink>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r>
      <w:tr>
        <w:trPr>
          <w:trHeight w:val="364"/>
        </w:trPr>
        <w:tc>
          <w:tcPr>
            <w:tcW w:w="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w:t>
            </w:r>
          </w:p>
        </w:tc>
        <w:tc>
          <w:tcPr>
            <w:tcW w:w="8220" w:type="dxa"/>
            <w:vAlign w:val="bottom"/>
          </w:tcPr>
          <w:p>
            <w:pPr>
              <w:ind w:left="140"/>
              <w:spacing w:after="0"/>
              <w:rPr>
                <w:rFonts w:ascii="Times New Roman" w:cs="Times New Roman" w:eastAsia="Times New Roman" w:hAnsi="Times New Roman"/>
                <w:sz w:val="20"/>
                <w:szCs w:val="20"/>
                <w:b w:val="1"/>
                <w:bCs w:val="1"/>
                <w:u w:val="single" w:color="auto"/>
                <w:color w:val="0000EE"/>
              </w:rPr>
            </w:pPr>
            <w:hyperlink w:anchor="page149">
              <w:r>
                <w:rPr>
                  <w:rFonts w:ascii="Times New Roman" w:cs="Times New Roman" w:eastAsia="Times New Roman" w:hAnsi="Times New Roman"/>
                  <w:sz w:val="20"/>
                  <w:szCs w:val="20"/>
                  <w:b w:val="1"/>
                  <w:bCs w:val="1"/>
                  <w:u w:val="single" w:color="auto"/>
                  <w:color w:val="0000EE"/>
                </w:rPr>
                <w:t>Accounting Policy Conformity Changes</w:t>
              </w:r>
            </w:hyperlink>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r>
      <w:tr>
        <w:trPr>
          <w:trHeight w:val="364"/>
        </w:trPr>
        <w:tc>
          <w:tcPr>
            <w:tcW w:w="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w:t>
            </w:r>
          </w:p>
        </w:tc>
        <w:tc>
          <w:tcPr>
            <w:tcW w:w="8220" w:type="dxa"/>
            <w:vAlign w:val="bottom"/>
          </w:tcPr>
          <w:p>
            <w:pPr>
              <w:ind w:left="140"/>
              <w:spacing w:after="0"/>
              <w:rPr>
                <w:rFonts w:ascii="Times New Roman" w:cs="Times New Roman" w:eastAsia="Times New Roman" w:hAnsi="Times New Roman"/>
                <w:sz w:val="20"/>
                <w:szCs w:val="20"/>
                <w:b w:val="1"/>
                <w:bCs w:val="1"/>
                <w:u w:val="single" w:color="auto"/>
                <w:color w:val="0000EE"/>
              </w:rPr>
            </w:pPr>
            <w:hyperlink w:anchor="page150">
              <w:r>
                <w:rPr>
                  <w:rFonts w:ascii="Times New Roman" w:cs="Times New Roman" w:eastAsia="Times New Roman" w:hAnsi="Times New Roman"/>
                  <w:sz w:val="20"/>
                  <w:szCs w:val="20"/>
                  <w:b w:val="1"/>
                  <w:bCs w:val="1"/>
                  <w:u w:val="single" w:color="auto"/>
                  <w:color w:val="0000EE"/>
                </w:rPr>
                <w:t>Foreign Currency Adjustments</w:t>
              </w:r>
            </w:hyperlink>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r>
      <w:tr>
        <w:trPr>
          <w:trHeight w:val="365"/>
        </w:trPr>
        <w:tc>
          <w:tcPr>
            <w:tcW w:w="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w:t>
            </w:r>
          </w:p>
        </w:tc>
        <w:tc>
          <w:tcPr>
            <w:tcW w:w="8220" w:type="dxa"/>
            <w:vAlign w:val="bottom"/>
          </w:tcPr>
          <w:p>
            <w:pPr>
              <w:ind w:left="140"/>
              <w:spacing w:after="0"/>
              <w:rPr>
                <w:rFonts w:ascii="Times New Roman" w:cs="Times New Roman" w:eastAsia="Times New Roman" w:hAnsi="Times New Roman"/>
                <w:sz w:val="20"/>
                <w:szCs w:val="20"/>
                <w:b w:val="1"/>
                <w:bCs w:val="1"/>
                <w:u w:val="single" w:color="auto"/>
                <w:color w:val="0000EE"/>
              </w:rPr>
            </w:pPr>
            <w:hyperlink w:anchor="page150">
              <w:r>
                <w:rPr>
                  <w:rFonts w:ascii="Times New Roman" w:cs="Times New Roman" w:eastAsia="Times New Roman" w:hAnsi="Times New Roman"/>
                  <w:sz w:val="20"/>
                  <w:szCs w:val="20"/>
                  <w:b w:val="1"/>
                  <w:bCs w:val="1"/>
                  <w:u w:val="single" w:color="auto"/>
                  <w:color w:val="0000EE"/>
                </w:rPr>
                <w:t>Financing Transaction</w:t>
              </w:r>
            </w:hyperlink>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r>
      <w:tr>
        <w:trPr>
          <w:trHeight w:val="364"/>
        </w:trPr>
        <w:tc>
          <w:tcPr>
            <w:tcW w:w="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w:t>
            </w:r>
          </w:p>
        </w:tc>
        <w:tc>
          <w:tcPr>
            <w:tcW w:w="8220" w:type="dxa"/>
            <w:vAlign w:val="bottom"/>
          </w:tcPr>
          <w:p>
            <w:pPr>
              <w:ind w:left="140"/>
              <w:spacing w:after="0"/>
              <w:rPr>
                <w:rFonts w:ascii="Times New Roman" w:cs="Times New Roman" w:eastAsia="Times New Roman" w:hAnsi="Times New Roman"/>
                <w:sz w:val="20"/>
                <w:szCs w:val="20"/>
                <w:b w:val="1"/>
                <w:bCs w:val="1"/>
                <w:u w:val="single" w:color="auto"/>
                <w:color w:val="0000EE"/>
              </w:rPr>
            </w:pPr>
            <w:hyperlink w:anchor="page151">
              <w:r>
                <w:rPr>
                  <w:rFonts w:ascii="Times New Roman" w:cs="Times New Roman" w:eastAsia="Times New Roman" w:hAnsi="Times New Roman"/>
                  <w:sz w:val="20"/>
                  <w:szCs w:val="20"/>
                  <w:b w:val="1"/>
                  <w:bCs w:val="1"/>
                  <w:u w:val="single" w:color="auto"/>
                  <w:color w:val="0000EE"/>
                </w:rPr>
                <w:t>Pro Forma Adjustments</w:t>
              </w:r>
            </w:hyperlink>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w:t>
            </w:r>
          </w:p>
        </w:tc>
      </w:tr>
      <w:tr>
        <w:trPr>
          <w:trHeight w:val="1148"/>
        </w:trPr>
        <w:tc>
          <w:tcPr>
            <w:tcW w:w="26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44" w:name="page145"/>
    <w:bookmarkEnd w:id="144"/>
    <w:p>
      <w:pPr>
        <w:ind w:left="2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Unaudited Pro Forma Condensed Combined Financial Information</w:t>
      </w:r>
    </w:p>
    <w:p>
      <w:pPr>
        <w:spacing w:after="0" w:line="22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May 6, 2020 BioNTech SE (“BioNTech”) acquired Neon Therapeutics, Inc., Cambridge, Massachusetts, United States (“Neon”; formerly Nasdaq: NTGN), a biotechnology company developing novel neoantigen-based T-cell therapies (“the Merger”). Through the acquisition, BioNTech will be able to leverage Neon’s expertise in the development of neoantigen therapies, with both vaccine and T cell capabilities. Under the merger agreement by and among BioNTech, Neon and BioNTech’s wholly owned subsidiary, Endor Lights, Inc., New York, United States, Endor Lights, Inc. merged with and into Neon. The new subsidiary operates under the name BioNTech US Inc., a wholly owned subsidiary of BioNTech SE, and serves as BioNTech’s headquarters in the United States. Based on the acquisition date share price, the aggregate value of the merger consideration was k€89,890 (k$97,144) financed by issuing 1,935,488 American Depositary Shares representing BioNTech’s ordinary shares as a stock transaction and including a de minimis cash consideration which was paid to settle Neon’s outstanding stock options.</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following unaudited pro forma condensed combined financial information are based on BioNTech’s historical consolidated financial statements prepared in accordance with International Financial Reporting Standards as issued by the IASB, or IFRS, and Neon’s historical consolidated financial statements as adjusted to give effect to BioNTech’s acquisition of Neon. Prior to the acquisition, Neon prepared its financial statements in accordance with U.S. generally accepted accounting principles, or U.S. GAAP, and used U.S. dollars as its reporting currency; consequently, adjustments have been made to convert Neon’s financial statements to IFRS and its reporting currency to Euros. Please see Notes 2 and 3 to the unaudited pro forma condensed combined financial information for a discussion of the adjustments made to convert Neon’s financial information from U.S. GAAP to IFRS.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unaudited pro forma condensed combined statements of operations for the year ended December 31, 2019 and the nine months ended September 30, 2020 give effect to this transaction as if it had occurred on January 1, 2019. Neon’s pre-acquisition interim operating results cover the stub period through May 5, 2020. From the date of acquisition on, Neon's financial information is prepared under IFRS and included in the unaudited interim condensed consolidated financial statements of BioNTech SE and its subsidiaries. Accordingly, the transaction is already reflected in the interim condensed consolidated statement of financial position as of September 30, 2020.</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unaudited pro forma condensed combined financial information is based on the fair values and values in accordance with IFRS 3 of the identifiable net assets of Neon as at the date of acquisition as they were presented within BioNTech’s unaudited interim condensed consolidated financial statements and related notes as of and for the three and nine months ended September 30, 2020.</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indicated in Note 5 to the unaudited pro forma condensed combined financial information, BioNTech has adjusted the historical financial information of BioNTech and Neon to eliminate nonrecurring charges that are directly attributable to the transaction.</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Additionally, as indicated in Note 2 to the unaudited pro forma condensed combined financial information, estimated effects related to the application of IFRS for the year ended 2019 and the stub period ended May 5, 2020 have been based on approximate assessments and as indicated in Note 3 to the unaudited pro forma condensed consolidated financial information, the reporting currency has been applied based on a simplified method. Actual results of a combined entity might differ materially from this unaudited pro forma condensed combined financial information.</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assumptions and estimates underlying the unaudited adjustments to the pro forma condensed combined financial information are described in the accompanying notes, which should be read together</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45" w:name="page146"/>
    <w:bookmarkEnd w:id="145"/>
    <w:p>
      <w:pPr>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with the pro forma condensed combined financial information. The unaudited pro forma condensed combined financial information should be read together with:</w:t>
      </w:r>
    </w:p>
    <w:p>
      <w:pPr>
        <w:spacing w:after="0" w:line="159" w:lineRule="exact"/>
        <w:rPr>
          <w:sz w:val="20"/>
          <w:szCs w:val="20"/>
          <w:color w:val="auto"/>
        </w:rPr>
      </w:pPr>
    </w:p>
    <w:p>
      <w:pPr>
        <w:jc w:val="both"/>
        <w:ind w:left="900" w:hanging="447"/>
        <w:spacing w:after="0" w:line="254" w:lineRule="auto"/>
        <w:tabs>
          <w:tab w:leader="none" w:pos="9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BioNTech’s audited consolidated financial statements and related notes as of and for the year ended December 31, 2019 included in its Annual Report on Form 20-F for the fiscal year ended December 31, 2019, filed with the Securities and Exchange Commission (the “SEC”) on March 31, 2020;</w:t>
      </w:r>
    </w:p>
    <w:p>
      <w:pPr>
        <w:spacing w:after="0" w:line="174" w:lineRule="exact"/>
        <w:rPr>
          <w:rFonts w:ascii="Times New Roman" w:cs="Times New Roman" w:eastAsia="Times New Roman" w:hAnsi="Times New Roman"/>
          <w:sz w:val="20"/>
          <w:szCs w:val="20"/>
          <w:color w:val="auto"/>
        </w:rPr>
      </w:pPr>
    </w:p>
    <w:p>
      <w:pPr>
        <w:ind w:left="900" w:hanging="447"/>
        <w:spacing w:after="0" w:line="269" w:lineRule="auto"/>
        <w:tabs>
          <w:tab w:leader="none" w:pos="9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BioNTech’s unaudited interim condensed consolidated financial statements and related notes as of and for the three months ended March 31, 2020 included in its Form 6-K filed with the SEC on May 12, 2020;</w:t>
      </w:r>
    </w:p>
    <w:p>
      <w:pPr>
        <w:spacing w:after="0" w:line="159" w:lineRule="exact"/>
        <w:rPr>
          <w:rFonts w:ascii="Times New Roman" w:cs="Times New Roman" w:eastAsia="Times New Roman" w:hAnsi="Times New Roman"/>
          <w:sz w:val="20"/>
          <w:szCs w:val="20"/>
          <w:color w:val="auto"/>
        </w:rPr>
      </w:pPr>
    </w:p>
    <w:p>
      <w:pPr>
        <w:ind w:left="900" w:hanging="447"/>
        <w:spacing w:after="0" w:line="269" w:lineRule="auto"/>
        <w:tabs>
          <w:tab w:leader="none" w:pos="9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BioNTech’s unaudited interim condensed consolidated financial statements and related notes as of and for the three and six months ended June 30, 2020 included in its Form 6-K filed with the SEC on August 11, 2020;</w:t>
      </w:r>
    </w:p>
    <w:p>
      <w:pPr>
        <w:spacing w:after="0" w:line="159" w:lineRule="exact"/>
        <w:rPr>
          <w:rFonts w:ascii="Times New Roman" w:cs="Times New Roman" w:eastAsia="Times New Roman" w:hAnsi="Times New Roman"/>
          <w:sz w:val="20"/>
          <w:szCs w:val="20"/>
          <w:color w:val="auto"/>
        </w:rPr>
      </w:pPr>
    </w:p>
    <w:p>
      <w:pPr>
        <w:ind w:left="900" w:hanging="447"/>
        <w:spacing w:after="0" w:line="269" w:lineRule="auto"/>
        <w:tabs>
          <w:tab w:leader="none" w:pos="9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BioNTech’s unaudited interim condensed consolidated financial statements and related notes as of and for the three and nine months ended September 30, 2020 included in its Form 6-K filed with the SEC on November 10, 2020;</w:t>
      </w:r>
    </w:p>
    <w:p>
      <w:pPr>
        <w:spacing w:after="0" w:line="159" w:lineRule="exact"/>
        <w:rPr>
          <w:rFonts w:ascii="Times New Roman" w:cs="Times New Roman" w:eastAsia="Times New Roman" w:hAnsi="Times New Roman"/>
          <w:sz w:val="20"/>
          <w:szCs w:val="20"/>
          <w:color w:val="auto"/>
        </w:rPr>
      </w:pPr>
    </w:p>
    <w:p>
      <w:pPr>
        <w:ind w:left="900" w:hanging="447"/>
        <w:spacing w:after="0" w:line="269" w:lineRule="auto"/>
        <w:tabs>
          <w:tab w:leader="none" w:pos="9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Neon’s audited consolidated financial statements and related notes as of and for the year ended December 31, 2019 included in its Form 10-K filed with the SEC on March 2, 2020; and</w:t>
      </w:r>
    </w:p>
    <w:p>
      <w:pPr>
        <w:spacing w:after="0" w:line="159" w:lineRule="exact"/>
        <w:rPr>
          <w:rFonts w:ascii="Times New Roman" w:cs="Times New Roman" w:eastAsia="Times New Roman" w:hAnsi="Times New Roman"/>
          <w:sz w:val="20"/>
          <w:szCs w:val="20"/>
          <w:color w:val="auto"/>
        </w:rPr>
      </w:pPr>
    </w:p>
    <w:p>
      <w:pPr>
        <w:ind w:left="900" w:hanging="447"/>
        <w:spacing w:after="0" w:line="269" w:lineRule="auto"/>
        <w:tabs>
          <w:tab w:leader="none" w:pos="9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Neon’s unaudited interim condensed consolidated financial statements and related notes as of and for the three months ended March 31, 2020 included in its Form 10-Q filed with the SEC on May 1, 2020.</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unaudited pro forma condensed combined financial information do not include the realization of any future cost savings or synergies that are expected to result from the Merger.</w:t>
      </w:r>
    </w:p>
    <w:p>
      <w:pPr>
        <w:spacing w:after="0" w:line="15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unaudited pro forma condensed combined financial information is not intended to represent or be indicative of the consolidated results of operations and financial condition of the consolidated company that would have been reported had the acquisition been completed as of the dates presented, and should not be taken as being representative of the future consolidated results of operations or financial condition of the consolidated company.</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46" w:name="page147"/>
    <w:bookmarkEnd w:id="146"/>
    <w:p>
      <w:pPr>
        <w:ind w:left="2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Unaudited Pro Forma Condensed Combined Statement of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 ended December 31, 2019 (in thousands, except for per share information)</w:t>
      </w:r>
    </w:p>
    <w:p>
      <w:pPr>
        <w:spacing w:after="0" w:line="258"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3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NEON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NEON</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NEON</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BioNTech SE</w:t>
            </w:r>
          </w:p>
        </w:tc>
        <w:tc>
          <w:tcPr>
            <w:tcW w:w="40" w:type="dxa"/>
            <w:vAlign w:val="bottom"/>
          </w:tcPr>
          <w:p>
            <w:pPr>
              <w:spacing w:after="0"/>
              <w:rPr>
                <w:sz w:val="10"/>
                <w:szCs w:val="10"/>
                <w:color w:val="auto"/>
              </w:rPr>
            </w:pPr>
          </w:p>
        </w:tc>
        <w:tc>
          <w:tcPr>
            <w:tcW w:w="106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THERAPEUTICS</w:t>
            </w:r>
          </w:p>
        </w:tc>
        <w:tc>
          <w:tcPr>
            <w:tcW w:w="10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THERAPEUTICS</w:t>
            </w:r>
          </w:p>
        </w:tc>
        <w:tc>
          <w:tcPr>
            <w:tcW w:w="104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THERAPEUTICS</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Pro Forma</w:t>
            </w: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Historical IFRS</w:t>
            </w:r>
          </w:p>
        </w:tc>
        <w:tc>
          <w:tcPr>
            <w:tcW w:w="40" w:type="dxa"/>
            <w:vAlign w:val="bottom"/>
          </w:tcPr>
          <w:p>
            <w:pPr>
              <w:spacing w:after="0"/>
              <w:rPr>
                <w:sz w:val="10"/>
                <w:szCs w:val="10"/>
                <w:color w:val="auto"/>
              </w:rPr>
            </w:pPr>
          </w:p>
        </w:tc>
        <w:tc>
          <w:tcPr>
            <w:tcW w:w="106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88"/>
              </w:rPr>
              <w:t>Inc.</w:t>
            </w:r>
          </w:p>
        </w:tc>
        <w:tc>
          <w:tcPr>
            <w:tcW w:w="10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w:t>
            </w:r>
          </w:p>
        </w:tc>
        <w:tc>
          <w:tcPr>
            <w:tcW w:w="104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Adjustments</w:t>
            </w:r>
          </w:p>
        </w:tc>
        <w:tc>
          <w:tcPr>
            <w:tcW w:w="60" w:type="dxa"/>
            <w:vAlign w:val="bottom"/>
          </w:tcPr>
          <w:p>
            <w:pPr>
              <w:spacing w:after="0"/>
              <w:rPr>
                <w:sz w:val="10"/>
                <w:szCs w:val="10"/>
                <w:color w:val="auto"/>
              </w:rPr>
            </w:pPr>
          </w:p>
        </w:tc>
        <w:tc>
          <w:tcPr>
            <w:tcW w:w="10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Notes</w:t>
            </w: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Combined</w:t>
            </w: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EUR</w:t>
            </w:r>
          </w:p>
        </w:tc>
        <w:tc>
          <w:tcPr>
            <w:tcW w:w="40" w:type="dxa"/>
            <w:vAlign w:val="bottom"/>
          </w:tcPr>
          <w:p>
            <w:pPr>
              <w:spacing w:after="0"/>
              <w:rPr>
                <w:sz w:val="10"/>
                <w:szCs w:val="10"/>
                <w:color w:val="auto"/>
              </w:rPr>
            </w:pPr>
          </w:p>
        </w:tc>
        <w:tc>
          <w:tcPr>
            <w:tcW w:w="106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Historical USGAAP</w:t>
            </w:r>
          </w:p>
        </w:tc>
        <w:tc>
          <w:tcPr>
            <w:tcW w:w="10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Historical USGAAP</w:t>
            </w:r>
          </w:p>
        </w:tc>
        <w:tc>
          <w:tcPr>
            <w:tcW w:w="104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IFRS Adjustments</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EUR</w:t>
            </w:r>
            <w:r>
              <w:rPr>
                <w:rFonts w:ascii="Times New Roman" w:cs="Times New Roman" w:eastAsia="Times New Roman" w:hAnsi="Times New Roman"/>
                <w:sz w:val="9"/>
                <w:szCs w:val="9"/>
                <w:b w:val="1"/>
                <w:bCs w:val="1"/>
                <w:color w:val="auto"/>
              </w:rPr>
              <w:t>1</w:t>
            </w: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EUR</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37"/>
        </w:trPr>
        <w:tc>
          <w:tcPr>
            <w:tcW w:w="34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USD</w:t>
            </w:r>
          </w:p>
        </w:tc>
        <w:tc>
          <w:tcPr>
            <w:tcW w:w="6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EUR</w:t>
            </w:r>
            <w:r>
              <w:rPr>
                <w:rFonts w:ascii="Times New Roman" w:cs="Times New Roman" w:eastAsia="Times New Roman" w:hAnsi="Times New Roman"/>
                <w:sz w:val="9"/>
                <w:szCs w:val="9"/>
                <w:b w:val="1"/>
                <w:bCs w:val="1"/>
                <w:color w:val="auto"/>
                <w:w w:val="93"/>
              </w:rPr>
              <w:t>1</w:t>
            </w:r>
          </w:p>
        </w:tc>
        <w:tc>
          <w:tcPr>
            <w:tcW w:w="6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EUR</w:t>
            </w:r>
            <w:r>
              <w:rPr>
                <w:rFonts w:ascii="Times New Roman" w:cs="Times New Roman" w:eastAsia="Times New Roman" w:hAnsi="Times New Roman"/>
                <w:sz w:val="9"/>
                <w:szCs w:val="9"/>
                <w:b w:val="1"/>
                <w:bCs w:val="1"/>
                <w:color w:val="auto"/>
              </w:rPr>
              <w:t>1</w:t>
            </w:r>
          </w:p>
        </w:tc>
        <w:tc>
          <w:tcPr>
            <w:tcW w:w="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108,589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108,589</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2 a), 2 b),</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(17,361)</w:t>
            </w:r>
          </w:p>
        </w:tc>
        <w:tc>
          <w:tcPr>
            <w:tcW w:w="0" w:type="dxa"/>
            <w:vAlign w:val="bottom"/>
          </w:tcPr>
          <w:p>
            <w:pPr>
              <w:spacing w:after="0"/>
              <w:rPr>
                <w:sz w:val="1"/>
                <w:szCs w:val="1"/>
                <w:color w:val="auto"/>
              </w:rPr>
            </w:pPr>
          </w:p>
        </w:tc>
      </w:tr>
      <w:tr>
        <w:trPr>
          <w:trHeight w:val="122"/>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(226,466)</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(59,718)</w:t>
            </w:r>
          </w:p>
        </w:tc>
        <w:tc>
          <w:tcPr>
            <w:tcW w:w="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(53,768)</w:t>
            </w:r>
          </w:p>
        </w:tc>
        <w:tc>
          <w:tcPr>
            <w:tcW w:w="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(281,592)</w:t>
            </w:r>
          </w:p>
        </w:tc>
        <w:tc>
          <w:tcPr>
            <w:tcW w:w="0" w:type="dxa"/>
            <w:vAlign w:val="bottom"/>
          </w:tcPr>
          <w:p>
            <w:pPr>
              <w:spacing w:after="0"/>
              <w:rPr>
                <w:sz w:val="1"/>
                <w:szCs w:val="1"/>
                <w:color w:val="auto"/>
              </w:rPr>
            </w:pPr>
          </w:p>
        </w:tc>
      </w:tr>
      <w:tr>
        <w:trPr>
          <w:trHeight w:val="107"/>
        </w:trPr>
        <w:tc>
          <w:tcPr>
            <w:tcW w:w="34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5 a)</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0" w:type="dxa"/>
            <w:vAlign w:val="bottom"/>
          </w:tcPr>
          <w:p>
            <w:pPr>
              <w:spacing w:after="0"/>
              <w:rPr>
                <w:sz w:val="1"/>
                <w:szCs w:val="1"/>
                <w:color w:val="auto"/>
              </w:rPr>
            </w:pPr>
          </w:p>
        </w:tc>
      </w:tr>
      <w:tr>
        <w:trPr>
          <w:trHeight w:val="136"/>
        </w:trPr>
        <w:tc>
          <w:tcPr>
            <w:tcW w:w="34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(21,420)</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(19,286)</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2 a), 2 b)</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(65,548)</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335"/>
        </w:trPr>
        <w:tc>
          <w:tcPr>
            <w:tcW w:w="3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(81,138)</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(73,054)</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(256,645)</w:t>
            </w:r>
          </w:p>
        </w:tc>
        <w:tc>
          <w:tcPr>
            <w:tcW w:w="0" w:type="dxa"/>
            <w:vAlign w:val="bottom"/>
          </w:tcPr>
          <w:p>
            <w:pPr>
              <w:spacing w:after="0"/>
              <w:rPr>
                <w:sz w:val="1"/>
                <w:szCs w:val="1"/>
                <w:color w:val="auto"/>
              </w:rPr>
            </w:pPr>
          </w:p>
        </w:tc>
      </w:tr>
      <w:tr>
        <w:trPr>
          <w:trHeight w:val="29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Finance income, net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2 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335"/>
        </w:trPr>
        <w:tc>
          <w:tcPr>
            <w:tcW w:w="3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before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(179,440)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(79,776)</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(71,828)</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(254,001)</w:t>
            </w:r>
          </w:p>
        </w:tc>
        <w:tc>
          <w:tcPr>
            <w:tcW w:w="0" w:type="dxa"/>
            <w:vAlign w:val="bottom"/>
          </w:tcPr>
          <w:p>
            <w:pPr>
              <w:spacing w:after="0"/>
              <w:rPr>
                <w:sz w:val="1"/>
                <w:szCs w:val="1"/>
                <w:color w:val="auto"/>
              </w:rPr>
            </w:pPr>
          </w:p>
        </w:tc>
      </w:tr>
      <w:tr>
        <w:trPr>
          <w:trHeight w:val="307"/>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334"/>
        </w:trPr>
        <w:tc>
          <w:tcPr>
            <w:tcW w:w="3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for the period</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(179,172)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(79,776)</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(71,828)</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(253,733)</w:t>
            </w:r>
          </w:p>
        </w:tc>
        <w:tc>
          <w:tcPr>
            <w:tcW w:w="0" w:type="dxa"/>
            <w:vAlign w:val="bottom"/>
          </w:tcPr>
          <w:p>
            <w:pPr>
              <w:spacing w:after="0"/>
              <w:rPr>
                <w:sz w:val="1"/>
                <w:szCs w:val="1"/>
                <w:color w:val="auto"/>
              </w:rPr>
            </w:pPr>
          </w:p>
        </w:tc>
      </w:tr>
      <w:tr>
        <w:trPr>
          <w:trHeight w:val="324"/>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Loss for the period attributable to non-controlling interests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307"/>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(179,056)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(79,776)</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(71,828)</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(253,617)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335"/>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211,499</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213,434</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80" w:hanging="101"/>
        <w:spacing w:after="0"/>
        <w:tabs>
          <w:tab w:leader="none" w:pos="2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Please see Note 3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47" w:name="page148"/>
    <w:bookmarkEnd w:id="147"/>
    <w:p>
      <w:pPr>
        <w:ind w:left="2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Unaudited Pro Forma Condensed Combined Statement of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nine months ended September 30, 2020 (in thousands, except for per share information)</w:t>
      </w:r>
    </w:p>
    <w:p>
      <w:pPr>
        <w:spacing w:after="0" w:line="258"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3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NEON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NEON</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NEON</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gridSpan w:val="2"/>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THERAPEUTICS</w:t>
            </w:r>
          </w:p>
        </w:tc>
        <w:tc>
          <w:tcPr>
            <w:tcW w:w="106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THERAPEUTICS</w:t>
            </w:r>
          </w:p>
        </w:tc>
        <w:tc>
          <w:tcPr>
            <w:tcW w:w="104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40" w:type="dxa"/>
            <w:vAlign w:val="bottom"/>
            <w:gridSpan w:val="2"/>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THERAPEUTICS</w:t>
            </w: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10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BioNTech SE</w:t>
            </w:r>
          </w:p>
        </w:tc>
        <w:tc>
          <w:tcPr>
            <w:tcW w:w="40" w:type="dxa"/>
            <w:vAlign w:val="bottom"/>
          </w:tcPr>
          <w:p>
            <w:pPr>
              <w:spacing w:after="0"/>
              <w:rPr>
                <w:sz w:val="4"/>
                <w:szCs w:val="4"/>
                <w:color w:val="auto"/>
              </w:rPr>
            </w:pPr>
          </w:p>
        </w:tc>
        <w:tc>
          <w:tcPr>
            <w:tcW w:w="1060" w:type="dxa"/>
            <w:vAlign w:val="bottom"/>
            <w:gridSpan w:val="2"/>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88"/>
              </w:rPr>
              <w:t>Inc.</w:t>
            </w:r>
          </w:p>
        </w:tc>
        <w:tc>
          <w:tcPr>
            <w:tcW w:w="106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w:t>
            </w:r>
          </w:p>
        </w:tc>
        <w:tc>
          <w:tcPr>
            <w:tcW w:w="1040" w:type="dxa"/>
            <w:vAlign w:val="bottom"/>
            <w:gridSpan w:val="2"/>
            <w:vMerge w:val="continue"/>
          </w:tcPr>
          <w:p>
            <w:pPr>
              <w:spacing w:after="0"/>
              <w:rPr>
                <w:sz w:val="4"/>
                <w:szCs w:val="4"/>
                <w:color w:val="auto"/>
              </w:rPr>
            </w:pPr>
          </w:p>
        </w:tc>
        <w:tc>
          <w:tcPr>
            <w:tcW w:w="10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Pro Forma</w:t>
            </w: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4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40" w:type="dxa"/>
            <w:vAlign w:val="bottom"/>
            <w:gridSpan w:val="2"/>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w:t>
            </w:r>
          </w:p>
        </w:tc>
        <w:tc>
          <w:tcPr>
            <w:tcW w:w="1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10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Historical IFRS</w:t>
            </w:r>
          </w:p>
        </w:tc>
        <w:tc>
          <w:tcPr>
            <w:tcW w:w="40" w:type="dxa"/>
            <w:vAlign w:val="bottom"/>
          </w:tcPr>
          <w:p>
            <w:pPr>
              <w:spacing w:after="0"/>
              <w:rPr>
                <w:sz w:val="4"/>
                <w:szCs w:val="4"/>
                <w:color w:val="auto"/>
              </w:rPr>
            </w:pPr>
          </w:p>
        </w:tc>
        <w:tc>
          <w:tcPr>
            <w:tcW w:w="1060" w:type="dxa"/>
            <w:vAlign w:val="bottom"/>
            <w:gridSpan w:val="2"/>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Stub Period</w:t>
            </w:r>
          </w:p>
        </w:tc>
        <w:tc>
          <w:tcPr>
            <w:tcW w:w="106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Stub Period</w:t>
            </w:r>
          </w:p>
        </w:tc>
        <w:tc>
          <w:tcPr>
            <w:tcW w:w="1040" w:type="dxa"/>
            <w:vAlign w:val="bottom"/>
            <w:gridSpan w:val="2"/>
            <w:vMerge w:val="continue"/>
          </w:tcPr>
          <w:p>
            <w:pPr>
              <w:spacing w:after="0"/>
              <w:rPr>
                <w:sz w:val="4"/>
                <w:szCs w:val="4"/>
                <w:color w:val="auto"/>
              </w:rPr>
            </w:pPr>
          </w:p>
        </w:tc>
        <w:tc>
          <w:tcPr>
            <w:tcW w:w="10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Adjustments</w:t>
            </w:r>
          </w:p>
        </w:tc>
        <w:tc>
          <w:tcPr>
            <w:tcW w:w="60" w:type="dxa"/>
            <w:vAlign w:val="bottom"/>
          </w:tcPr>
          <w:p>
            <w:pPr>
              <w:spacing w:after="0"/>
              <w:rPr>
                <w:sz w:val="4"/>
                <w:szCs w:val="4"/>
                <w:color w:val="auto"/>
              </w:rPr>
            </w:pPr>
          </w:p>
        </w:tc>
        <w:tc>
          <w:tcPr>
            <w:tcW w:w="10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Notes</w:t>
            </w:r>
          </w:p>
        </w:tc>
        <w:tc>
          <w:tcPr>
            <w:tcW w:w="0" w:type="dxa"/>
            <w:vAlign w:val="bottom"/>
          </w:tcPr>
          <w:p>
            <w:pPr>
              <w:spacing w:after="0"/>
              <w:rPr>
                <w:sz w:val="1"/>
                <w:szCs w:val="1"/>
                <w:color w:val="auto"/>
              </w:rPr>
            </w:pPr>
          </w:p>
        </w:tc>
      </w:tr>
      <w:tr>
        <w:trPr>
          <w:trHeight w:val="68"/>
        </w:trPr>
        <w:tc>
          <w:tcPr>
            <w:tcW w:w="34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40" w:type="dxa"/>
            <w:vAlign w:val="bottom"/>
            <w:gridSpan w:val="2"/>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IFRS Adjustments</w:t>
            </w:r>
          </w:p>
        </w:tc>
        <w:tc>
          <w:tcPr>
            <w:tcW w:w="1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10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EUR</w:t>
            </w:r>
          </w:p>
        </w:tc>
        <w:tc>
          <w:tcPr>
            <w:tcW w:w="40" w:type="dxa"/>
            <w:vAlign w:val="bottom"/>
          </w:tcPr>
          <w:p>
            <w:pPr>
              <w:spacing w:after="0"/>
              <w:rPr>
                <w:sz w:val="4"/>
                <w:szCs w:val="4"/>
                <w:color w:val="auto"/>
              </w:rPr>
            </w:pPr>
          </w:p>
        </w:tc>
        <w:tc>
          <w:tcPr>
            <w:tcW w:w="1060" w:type="dxa"/>
            <w:vAlign w:val="bottom"/>
            <w:gridSpan w:val="2"/>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Historical U.S.</w:t>
            </w:r>
          </w:p>
        </w:tc>
        <w:tc>
          <w:tcPr>
            <w:tcW w:w="106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Historical U.S.</w:t>
            </w:r>
          </w:p>
        </w:tc>
        <w:tc>
          <w:tcPr>
            <w:tcW w:w="1040" w:type="dxa"/>
            <w:vAlign w:val="bottom"/>
            <w:gridSpan w:val="2"/>
            <w:vMerge w:val="continue"/>
          </w:tcPr>
          <w:p>
            <w:pPr>
              <w:spacing w:after="0"/>
              <w:rPr>
                <w:sz w:val="4"/>
                <w:szCs w:val="4"/>
                <w:color w:val="auto"/>
              </w:rPr>
            </w:pPr>
          </w:p>
        </w:tc>
        <w:tc>
          <w:tcPr>
            <w:tcW w:w="10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EUR</w:t>
            </w:r>
            <w:r>
              <w:rPr>
                <w:rFonts w:ascii="Times New Roman" w:cs="Times New Roman" w:eastAsia="Times New Roman" w:hAnsi="Times New Roman"/>
                <w:sz w:val="9"/>
                <w:szCs w:val="9"/>
                <w:b w:val="1"/>
                <w:bCs w:val="1"/>
                <w:color w:val="auto"/>
              </w:rPr>
              <w:t>1</w:t>
            </w: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4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4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for Stub Period</w:t>
            </w:r>
          </w:p>
        </w:tc>
        <w:tc>
          <w:tcPr>
            <w:tcW w:w="1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gridSpan w:val="2"/>
            <w:vMerge w:val="restart"/>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rPr>
              <w:t>GAAP</w:t>
            </w:r>
          </w:p>
        </w:tc>
        <w:tc>
          <w:tcPr>
            <w:tcW w:w="106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GAAP</w:t>
            </w:r>
          </w:p>
        </w:tc>
        <w:tc>
          <w:tcPr>
            <w:tcW w:w="104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EUR</w:t>
            </w:r>
            <w:r>
              <w:rPr>
                <w:rFonts w:ascii="Times New Roman" w:cs="Times New Roman" w:eastAsia="Times New Roman" w:hAnsi="Times New Roman"/>
                <w:sz w:val="9"/>
                <w:szCs w:val="9"/>
                <w:b w:val="1"/>
                <w:bCs w:val="1"/>
                <w:color w:val="auto"/>
              </w:rPr>
              <w:t>1</w:t>
            </w: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USD</w:t>
            </w:r>
          </w:p>
        </w:tc>
        <w:tc>
          <w:tcPr>
            <w:tcW w:w="60" w:type="dxa"/>
            <w:vAlign w:val="bottom"/>
            <w:vMerge w:val="restart"/>
          </w:tcPr>
          <w:p>
            <w:pPr>
              <w:spacing w:after="0"/>
              <w:rPr>
                <w:sz w:val="6"/>
                <w:szCs w:val="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EUR</w:t>
            </w:r>
            <w:r>
              <w:rPr>
                <w:rFonts w:ascii="Times New Roman" w:cs="Times New Roman" w:eastAsia="Times New Roman" w:hAnsi="Times New Roman"/>
                <w:sz w:val="9"/>
                <w:szCs w:val="9"/>
                <w:b w:val="1"/>
                <w:bCs w:val="1"/>
                <w:color w:val="auto"/>
                <w:w w:val="93"/>
              </w:rPr>
              <w:t>1</w:t>
            </w:r>
          </w:p>
        </w:tc>
        <w:tc>
          <w:tcPr>
            <w:tcW w:w="60" w:type="dxa"/>
            <w:vAlign w:val="bottom"/>
            <w:vMerge w:val="restart"/>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4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136,883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 a), 2 b), 5a), 5</w:t>
            </w:r>
          </w:p>
        </w:tc>
        <w:tc>
          <w:tcPr>
            <w:tcW w:w="0" w:type="dxa"/>
            <w:vAlign w:val="bottom"/>
          </w:tcPr>
          <w:p>
            <w:pPr>
              <w:spacing w:after="0"/>
              <w:rPr>
                <w:sz w:val="1"/>
                <w:szCs w:val="1"/>
                <w:color w:val="auto"/>
              </w:rPr>
            </w:pPr>
          </w:p>
        </w:tc>
      </w:tr>
      <w:tr>
        <w:trPr>
          <w:trHeight w:val="122"/>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(388,017)</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(15,439)</w:t>
            </w:r>
          </w:p>
        </w:tc>
        <w:tc>
          <w:tcPr>
            <w:tcW w:w="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(14,063)</w:t>
            </w:r>
          </w:p>
        </w:tc>
        <w:tc>
          <w:tcPr>
            <w:tcW w:w="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3,443</w:t>
            </w:r>
          </w:p>
        </w:tc>
        <w:tc>
          <w:tcPr>
            <w:tcW w:w="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b),</w:t>
            </w:r>
          </w:p>
        </w:tc>
        <w:tc>
          <w:tcPr>
            <w:tcW w:w="0" w:type="dxa"/>
            <w:vAlign w:val="bottom"/>
          </w:tcPr>
          <w:p>
            <w:pPr>
              <w:spacing w:after="0"/>
              <w:rPr>
                <w:sz w:val="1"/>
                <w:szCs w:val="1"/>
                <w:color w:val="auto"/>
              </w:rPr>
            </w:pPr>
          </w:p>
        </w:tc>
      </w:tr>
      <w:tr>
        <w:trPr>
          <w:trHeight w:val="18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 c)</w:t>
            </w:r>
          </w:p>
        </w:tc>
        <w:tc>
          <w:tcPr>
            <w:tcW w:w="0" w:type="dxa"/>
            <w:vAlign w:val="bottom"/>
          </w:tcPr>
          <w:p>
            <w:pPr>
              <w:spacing w:after="0"/>
              <w:rPr>
                <w:sz w:val="1"/>
                <w:szCs w:val="1"/>
                <w:color w:val="auto"/>
              </w:rPr>
            </w:pPr>
          </w:p>
        </w:tc>
      </w:tr>
      <w:tr>
        <w:trPr>
          <w:trHeight w:val="162"/>
        </w:trPr>
        <w:tc>
          <w:tcPr>
            <w:tcW w:w="3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 a), 2 b),</w:t>
            </w:r>
          </w:p>
        </w:tc>
        <w:tc>
          <w:tcPr>
            <w:tcW w:w="0" w:type="dxa"/>
            <w:vAlign w:val="bottom"/>
          </w:tcPr>
          <w:p>
            <w:pPr>
              <w:spacing w:after="0"/>
              <w:rPr>
                <w:sz w:val="1"/>
                <w:szCs w:val="1"/>
                <w:color w:val="auto"/>
              </w:rPr>
            </w:pPr>
          </w:p>
        </w:tc>
      </w:tr>
      <w:tr>
        <w:trPr>
          <w:trHeight w:val="122"/>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(57,952)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(18,983)</w:t>
            </w:r>
          </w:p>
        </w:tc>
        <w:tc>
          <w:tcPr>
            <w:tcW w:w="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(17,290)</w:t>
            </w:r>
          </w:p>
        </w:tc>
        <w:tc>
          <w:tcPr>
            <w:tcW w:w="6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13,472</w:t>
            </w:r>
          </w:p>
        </w:tc>
        <w:tc>
          <w:tcPr>
            <w:tcW w:w="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 b), 5 c)</w:t>
            </w:r>
          </w:p>
        </w:tc>
        <w:tc>
          <w:tcPr>
            <w:tcW w:w="0" w:type="dxa"/>
            <w:vAlign w:val="bottom"/>
          </w:tcPr>
          <w:p>
            <w:pPr>
              <w:spacing w:after="0"/>
              <w:rPr>
                <w:sz w:val="1"/>
                <w:szCs w:val="1"/>
                <w:color w:val="auto"/>
              </w:rPr>
            </w:pPr>
          </w:p>
        </w:tc>
      </w:tr>
      <w:tr>
        <w:trPr>
          <w:trHeight w:val="81"/>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operating income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9,962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4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3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(34,422)</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(31,353)</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16,915</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Finance income, net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 a)</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3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before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(34,353)</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(31,290)</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16,915</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(34,353)</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(31,290)</w:t>
            </w: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16,915</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230,419</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80" w:hanging="101"/>
        <w:spacing w:after="0"/>
        <w:tabs>
          <w:tab w:leader="none" w:pos="28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Please see Note 3 to the unaudited pro forma condensed combined financial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Pro Forma</w:t>
      </w:r>
    </w:p>
    <w:p>
      <w:pPr>
        <w:spacing w:after="0" w:line="1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Combined</w:t>
      </w:r>
    </w:p>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EUR</w:t>
      </w:r>
      <w:r>
        <w:rPr>
          <w:rFonts w:ascii="Times New Roman" w:cs="Times New Roman" w:eastAsia="Times New Roman" w:hAnsi="Times New Roman"/>
          <w:sz w:val="9"/>
          <w:szCs w:val="9"/>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152400</wp:posOffset>
            </wp:positionV>
            <wp:extent cx="62547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86"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136,883</w:t>
      </w:r>
    </w:p>
    <w:p>
      <w:pPr>
        <w:spacing w:after="0" w:line="1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(18,344)</w:t>
      </w:r>
    </w:p>
    <w:p>
      <w:pPr>
        <w:spacing w:after="0" w:line="134"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(398,104)</w:t>
      </w:r>
    </w:p>
    <w:p>
      <w:pPr>
        <w:spacing w:after="0" w:line="150"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(7,808)</w:t>
      </w:r>
    </w:p>
    <w:p>
      <w:pPr>
        <w:spacing w:after="0" w:line="69"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(61,060)</w:t>
      </w:r>
    </w:p>
    <w:p>
      <w:pPr>
        <w:spacing w:after="0" w:line="82"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9,962</w:t>
      </w:r>
    </w:p>
    <w:p>
      <w:pPr>
        <w:spacing w:after="0" w:line="1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(1,325)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-3175</wp:posOffset>
            </wp:positionV>
            <wp:extent cx="62547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41"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(339,796)</w:t>
      </w:r>
    </w:p>
    <w:p>
      <w:pPr>
        <w:spacing w:after="0" w:line="163"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(24,982)</w:t>
      </w:r>
    </w:p>
    <w:p>
      <w:pPr>
        <w:spacing w:after="0" w:line="1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-3175</wp:posOffset>
            </wp:positionV>
            <wp:extent cx="6254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41"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(364,778)</w:t>
      </w:r>
    </w:p>
    <w:p>
      <w:pPr>
        <w:spacing w:after="0" w:line="163"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6350</wp:posOffset>
            </wp:positionV>
            <wp:extent cx="6254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5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(365,071)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6350</wp:posOffset>
            </wp:positionV>
            <wp:extent cx="6254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23495</wp:posOffset>
            </wp:positionV>
            <wp:extent cx="6254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84"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6350</wp:posOffset>
            </wp:positionV>
            <wp:extent cx="62547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5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232,354</w:t>
      </w:r>
    </w:p>
    <w:p>
      <w:pPr>
        <w:spacing w:after="0" w:line="510" w:lineRule="exact"/>
        <w:rPr>
          <w:sz w:val="20"/>
          <w:szCs w:val="20"/>
          <w:color w:val="auto"/>
        </w:rPr>
      </w:pPr>
    </w:p>
    <w:p>
      <w:pPr>
        <w:sectPr>
          <w:pgSz w:w="11900" w:h="16838" w:orient="portrait"/>
          <w:cols w:equalWidth="0" w:num="2">
            <w:col w:w="9960" w:space="280"/>
            <w:col w:w="1000"/>
          </w:cols>
          <w:pgMar w:left="320" w:top="12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Notes to the Unaudited Pro Forma Condensed Combined Financial Information</w:t>
      </w:r>
    </w:p>
    <w:p>
      <w:pPr>
        <w:spacing w:after="0" w:line="226" w:lineRule="exact"/>
        <w:rPr>
          <w:sz w:val="20"/>
          <w:szCs w:val="20"/>
          <w:color w:val="auto"/>
        </w:rPr>
      </w:pPr>
    </w:p>
    <w:p>
      <w:pPr>
        <w:ind w:left="720" w:hanging="712"/>
        <w:spacing w:after="0"/>
        <w:tabs>
          <w:tab w:leader="none" w:pos="720" w:val="left"/>
        </w:tabs>
        <w:numPr>
          <w:ilvl w:val="0"/>
          <w:numId w:val="8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Basis of Preparation</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historical consolidated financial statements of BioNTech and Neon have been adjusted in the unaudited pro forma condensed combined financial information to give effect to pro forma events that are (1) directly attributable to the business combination, (2) factually supportable and (3) expected to have a continuing impact on the combined results following the business combination. The business combination was accounted for under the acquisition method of accounting in accordance with IFRS 3, Business Combinations. As the acquirer for accounting purposes, within its unaudited interim condensed consolidated financial statements and related notes as of and for the three and nine months ended September 30, 2020, BioNTech has identified fair values and values in accordance with IFRS 3 of the identifiable net assets of Neon as at the date of acquisition. In addition, BioNTech has performed an approximate conversion to conform the U.S. GAAP accounting policies of Neon to its own accounting policies under IFRS.</w:t>
      </w:r>
    </w:p>
    <w:p>
      <w:pPr>
        <w:spacing w:after="0" w:line="200" w:lineRule="exact"/>
        <w:rPr>
          <w:sz w:val="20"/>
          <w:szCs w:val="20"/>
          <w:color w:val="auto"/>
        </w:rPr>
      </w:pPr>
    </w:p>
    <w:p>
      <w:pPr>
        <w:spacing w:after="0" w:line="205" w:lineRule="exact"/>
        <w:rPr>
          <w:sz w:val="20"/>
          <w:szCs w:val="20"/>
          <w:color w:val="auto"/>
        </w:rPr>
      </w:pPr>
    </w:p>
    <w:p>
      <w:pPr>
        <w:ind w:left="720" w:hanging="712"/>
        <w:spacing w:after="0"/>
        <w:tabs>
          <w:tab w:leader="none" w:pos="720" w:val="left"/>
        </w:tabs>
        <w:numPr>
          <w:ilvl w:val="0"/>
          <w:numId w:val="8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Accounting Policy Conformity Changes</w:t>
      </w:r>
    </w:p>
    <w:p>
      <w:pPr>
        <w:spacing w:after="0" w:line="11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historical financial information of Neon was prepared in accordance with U.S. GAAP. The following approximate adjustments convert Neon’s financial information from U.S. GAAP to IFRS and align Neon’s accounting policies to those applied by BioNTech.</w:t>
      </w:r>
    </w:p>
    <w:p>
      <w:pPr>
        <w:spacing w:after="0" w:line="159" w:lineRule="exact"/>
        <w:rPr>
          <w:sz w:val="20"/>
          <w:szCs w:val="20"/>
          <w:color w:val="auto"/>
        </w:rPr>
      </w:pPr>
    </w:p>
    <w:p>
      <w:pPr>
        <w:jc w:val="both"/>
        <w:ind w:left="900" w:hanging="447"/>
        <w:spacing w:after="0" w:line="254" w:lineRule="auto"/>
        <w:tabs>
          <w:tab w:leader="none" w:pos="9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Neon adopted ASC 842 as of January 1, 2019 for lease accounting. For the year ended December 31, 2019 and the nine months ended September 30, 2020, BioNTech applied IFRS 16 for lease accounting. The following adjustments reflect as if Neon had adopted IFRS 16 as of January 1, 2019 through May 5, 2020:</w:t>
      </w:r>
    </w:p>
    <w:p>
      <w:pPr>
        <w:spacing w:after="0" w:line="174" w:lineRule="exact"/>
        <w:rPr>
          <w:rFonts w:ascii="Times New Roman" w:cs="Times New Roman" w:eastAsia="Times New Roman" w:hAnsi="Times New Roman"/>
          <w:sz w:val="20"/>
          <w:szCs w:val="20"/>
          <w:color w:val="auto"/>
        </w:rPr>
      </w:pPr>
    </w:p>
    <w:p>
      <w:pPr>
        <w:jc w:val="both"/>
        <w:ind w:left="1340" w:hanging="441"/>
        <w:spacing w:after="0" w:line="254" w:lineRule="auto"/>
        <w:tabs>
          <w:tab w:leader="none" w:pos="134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in research and development expenses of k€349 and decrease of general and administrative expenses of k€78 and increase of finance expense of k€660 for the year ended December 31, 2019, respectively, due to increased depreciation and reclassification of operating lease interest expense into finance expense.</w:t>
      </w:r>
    </w:p>
    <w:p>
      <w:pPr>
        <w:spacing w:after="0" w:line="174" w:lineRule="exact"/>
        <w:rPr>
          <w:rFonts w:ascii="Times New Roman" w:cs="Times New Roman" w:eastAsia="Times New Roman" w:hAnsi="Times New Roman"/>
          <w:sz w:val="20"/>
          <w:szCs w:val="20"/>
          <w:color w:val="auto"/>
        </w:rPr>
      </w:pPr>
    </w:p>
    <w:p>
      <w:pPr>
        <w:jc w:val="both"/>
        <w:ind w:left="1340" w:hanging="441"/>
        <w:spacing w:after="0" w:line="254" w:lineRule="auto"/>
        <w:tabs>
          <w:tab w:leader="none" w:pos="134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in research and development expenses of k€119 and decrease of general and administrative expenses of k€26 and increase of finance expense of k€225 for the stub period from January 1, 2020 through May 5, 2020, respectively, due to increased depreciation and reclassification of operating lease interest expense into finance expense.</w:t>
      </w:r>
    </w:p>
    <w:p>
      <w:pPr>
        <w:spacing w:after="0" w:line="174" w:lineRule="exact"/>
        <w:rPr>
          <w:rFonts w:ascii="Times New Roman" w:cs="Times New Roman" w:eastAsia="Times New Roman" w:hAnsi="Times New Roman"/>
          <w:sz w:val="20"/>
          <w:szCs w:val="20"/>
          <w:color w:val="auto"/>
        </w:rPr>
      </w:pPr>
    </w:p>
    <w:p>
      <w:pPr>
        <w:ind w:left="900" w:hanging="447"/>
        <w:spacing w:after="0" w:line="269" w:lineRule="auto"/>
        <w:tabs>
          <w:tab w:leader="none" w:pos="9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adjustments reflect the change from straight-line method to the accelerated method of recognizing stock compensation expense per IFRS 2 and the reversal of mark-to-market expense for stock options granted to non-employees:</w:t>
      </w:r>
    </w:p>
    <w:p>
      <w:pPr>
        <w:spacing w:after="0" w:line="159" w:lineRule="exact"/>
        <w:rPr>
          <w:rFonts w:ascii="Times New Roman" w:cs="Times New Roman" w:eastAsia="Times New Roman" w:hAnsi="Times New Roman"/>
          <w:sz w:val="20"/>
          <w:szCs w:val="20"/>
          <w:color w:val="auto"/>
        </w:rPr>
      </w:pPr>
    </w:p>
    <w:p>
      <w:pPr>
        <w:ind w:left="1340" w:hanging="441"/>
        <w:spacing w:after="0" w:line="269" w:lineRule="auto"/>
        <w:tabs>
          <w:tab w:leader="none" w:pos="134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research and development expenses of k€575 and increase in general and administrative expenses of k€793 for the year ended December 31, 2019.</w:t>
      </w:r>
    </w:p>
    <w:p>
      <w:pPr>
        <w:spacing w:after="0" w:line="159" w:lineRule="exact"/>
        <w:rPr>
          <w:rFonts w:ascii="Times New Roman" w:cs="Times New Roman" w:eastAsia="Times New Roman" w:hAnsi="Times New Roman"/>
          <w:sz w:val="20"/>
          <w:szCs w:val="20"/>
          <w:color w:val="auto"/>
        </w:rPr>
      </w:pPr>
    </w:p>
    <w:p>
      <w:pPr>
        <w:ind w:left="1340" w:hanging="441"/>
        <w:spacing w:after="0" w:line="269" w:lineRule="auto"/>
        <w:tabs>
          <w:tab w:leader="none" w:pos="134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in research and development expenses of k€414 and decrease in general and administrative expenses of k€684 for the stub period from January 1, 2020 through May 5, 2020.</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49" w:name="page150"/>
    <w:bookmarkEnd w:id="149"/>
    <w:p>
      <w:pPr>
        <w:ind w:left="720" w:hanging="712"/>
        <w:spacing w:after="0"/>
        <w:tabs>
          <w:tab w:leader="none" w:pos="720" w:val="left"/>
        </w:tabs>
        <w:numPr>
          <w:ilvl w:val="0"/>
          <w:numId w:val="8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Foreign Currency Adjustments</w:t>
      </w:r>
    </w:p>
    <w:p>
      <w:pPr>
        <w:spacing w:after="0" w:line="11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The historical consolidated financial statements of Neon were presented in U.S. dollars. The historical financial information was translated from U.S. dollars to Euro using the following historical exchange rates: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940" w:type="dxa"/>
            <w:vAlign w:val="bottom"/>
          </w:tcPr>
          <w:p>
            <w:pPr>
              <w:spacing w:after="0"/>
              <w:rPr>
                <w:sz w:val="21"/>
                <w:szCs w:val="21"/>
                <w:color w:val="auto"/>
              </w:rPr>
            </w:pP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 / €</w:t>
            </w:r>
          </w:p>
        </w:tc>
      </w:tr>
      <w:tr>
        <w:trPr>
          <w:trHeight w:val="337"/>
        </w:trPr>
        <w:tc>
          <w:tcPr>
            <w:tcW w:w="9940" w:type="dxa"/>
            <w:vAlign w:val="bottom"/>
          </w:tcPr>
          <w:p>
            <w:pPr>
              <w:spacing w:after="0"/>
              <w:rPr>
                <w:sz w:val="20"/>
                <w:szCs w:val="20"/>
                <w:color w:val="auto"/>
              </w:rPr>
            </w:pPr>
            <w:r>
              <w:rPr>
                <w:rFonts w:ascii="Times New Roman" w:cs="Times New Roman" w:eastAsia="Times New Roman" w:hAnsi="Times New Roman"/>
                <w:sz w:val="20"/>
                <w:szCs w:val="20"/>
                <w:color w:val="auto"/>
              </w:rPr>
              <w:t>Average exchange rate for the year ended December 31, 2019</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w:t>
            </w:r>
          </w:p>
        </w:tc>
      </w:tr>
      <w:tr>
        <w:trPr>
          <w:trHeight w:val="338"/>
        </w:trPr>
        <w:tc>
          <w:tcPr>
            <w:tcW w:w="9940" w:type="dxa"/>
            <w:vAlign w:val="bottom"/>
          </w:tcPr>
          <w:p>
            <w:pPr>
              <w:spacing w:after="0"/>
              <w:rPr>
                <w:sz w:val="20"/>
                <w:szCs w:val="20"/>
                <w:color w:val="auto"/>
              </w:rPr>
            </w:pPr>
            <w:r>
              <w:rPr>
                <w:rFonts w:ascii="Times New Roman" w:cs="Times New Roman" w:eastAsia="Times New Roman" w:hAnsi="Times New Roman"/>
                <w:sz w:val="20"/>
                <w:szCs w:val="20"/>
                <w:color w:val="auto"/>
              </w:rPr>
              <w:t>Average exchange rate for the stub period from January 1, 2020 through May 5, 2020</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1.10</w:t>
            </w:r>
          </w:p>
        </w:tc>
      </w:tr>
      <w:tr>
        <w:trPr>
          <w:trHeight w:val="338"/>
        </w:trPr>
        <w:tc>
          <w:tcPr>
            <w:tcW w:w="9940" w:type="dxa"/>
            <w:vAlign w:val="bottom"/>
          </w:tcPr>
          <w:p>
            <w:pPr>
              <w:spacing w:after="0"/>
              <w:rPr>
                <w:sz w:val="20"/>
                <w:szCs w:val="20"/>
                <w:color w:val="auto"/>
              </w:rPr>
            </w:pPr>
            <w:r>
              <w:rPr>
                <w:rFonts w:ascii="Times New Roman" w:cs="Times New Roman" w:eastAsia="Times New Roman" w:hAnsi="Times New Roman"/>
                <w:sz w:val="20"/>
                <w:szCs w:val="20"/>
                <w:color w:val="auto"/>
              </w:rPr>
              <w:t>Exchange rate as of closing</w:t>
            </w:r>
          </w:p>
        </w:tc>
        <w:tc>
          <w:tcPr>
            <w:tcW w:w="1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20" w:hanging="712"/>
        <w:spacing w:after="0"/>
        <w:tabs>
          <w:tab w:leader="none" w:pos="720" w:val="left"/>
        </w:tabs>
        <w:numPr>
          <w:ilvl w:val="0"/>
          <w:numId w:val="8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Financing Transaction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 Transaction</w:t>
      </w:r>
    </w:p>
    <w:p>
      <w:pPr>
        <w:spacing w:after="0" w:line="112"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BioNTech completed the acquisition of Neon for 0.063 new ADSs representing new ordinary shares of BioNTech in exchange for each outstanding share of Neon common stock and settled Neon’s outstanding stock options in cash.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 Price Allocation</w:t>
      </w:r>
    </w:p>
    <w:p>
      <w:pPr>
        <w:spacing w:after="0" w:line="112"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Fair values and values in accordance with IFRS 3 of the identifiable net assets of BioNTech US Inc. as at the date of acquisition are presented within BioNTech’s unaudited interim condensed consolidated financial statements and related notes as of and for the three and nine months ended September 30,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results have been used to prepare pro forma adjustments in the unaudited pro forma condensed combined statements of operations.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measurement period, further considerations were made especially with respect to the recoverability of tax losses carried forward.</w:t>
      </w:r>
    </w:p>
    <w:p>
      <w:pPr>
        <w:spacing w:after="0" w:line="194" w:lineRule="exact"/>
        <w:rPr>
          <w:sz w:val="20"/>
          <w:szCs w:val="20"/>
          <w:color w:val="auto"/>
        </w:rPr>
      </w:pPr>
    </w:p>
    <w:p>
      <w:pPr>
        <w:jc w:val="both"/>
        <w:ind w:right="60"/>
        <w:spacing w:after="0" w:line="242" w:lineRule="auto"/>
        <w:rPr>
          <w:sz w:val="20"/>
          <w:szCs w:val="20"/>
          <w:color w:val="auto"/>
        </w:rPr>
      </w:pPr>
      <w:r>
        <w:rPr>
          <w:rFonts w:ascii="Times New Roman" w:cs="Times New Roman" w:eastAsia="Times New Roman" w:hAnsi="Times New Roman"/>
          <w:sz w:val="20"/>
          <w:szCs w:val="20"/>
          <w:color w:val="auto"/>
        </w:rPr>
        <w:t>As at the date of acquisition, k€8,043 of deferred tax liabilities had been provisionally recorded arising from the assets acquired in the business combination. Provisionally, tax benefits acquired as part of the business combination were assessed as not satisfying the criteria for separate recognition. During the three months ended September 30, 2020, BioNTech finalized its assessment of deferred taxes related to the acquisition of Neon and determined that loss carryforwards which existed as of the acquisition date, should be recognized to the extent of acquired deferred tax liabilities (k€8,043) and therefore recorded a deferred tax asset of k€8,043 against goodwill. Since the conditions to offset were fulfilled, the deferred tax assets and liabilities were offset. Additionally, the deferred tax asset on tax losses incurred since acquisition through June 30, 2020 (k€2,317) which had been offset against the acquired deferred tax liability as of June 30, 2020, was reversed through income tax expense in the three months ended September 30, 2020 as this deferred tax asset was no longer deemed recoverable as the entire acquired deferred tax liability was offset with the acquired deferred tax asset with the finalization of the purchase price allocation. The net impact on income tax expense in the nine months ended September 30, 2020 is nil. This measurement period adjustment, increasing net assets and decreasing goodwill, did not have any impact on the pro forma adjustments to the unaudited pro forma condensed combined statements of operations for the year ended December 31, 2019 and the nine months ended September 30, 2020.</w:t>
      </w:r>
    </w:p>
    <w:p>
      <w:pPr>
        <w:spacing w:after="0" w:line="19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00"/>
          </w:cols>
          <w:pgMar w:left="320" w:top="1183" w:right="279" w:bottom="1440" w:gutter="0" w:footer="0" w:header="0"/>
        </w:sectPr>
      </w:pPr>
    </w:p>
    <w:bookmarkStart w:id="150" w:name="page151"/>
    <w:bookmarkEnd w:id="150"/>
    <w:p>
      <w:pPr>
        <w:ind w:left="720" w:hanging="712"/>
        <w:spacing w:after="0"/>
        <w:tabs>
          <w:tab w:leader="none" w:pos="720" w:val="left"/>
        </w:tabs>
        <w:numPr>
          <w:ilvl w:val="0"/>
          <w:numId w:val="8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282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t>Pro Forma Adjustments</w:t>
      </w:r>
    </w:p>
    <w:p>
      <w:pPr>
        <w:spacing w:after="0" w:line="11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pro forma adjustments are based on BioNTech’s approximate estimates and assumptions. The following adjustments have been reflected in the unaudited pro forma condensed combined financial information:</w:t>
      </w:r>
    </w:p>
    <w:p>
      <w:pPr>
        <w:spacing w:after="0" w:line="159" w:lineRule="exact"/>
        <w:rPr>
          <w:sz w:val="20"/>
          <w:szCs w:val="20"/>
          <w:color w:val="auto"/>
        </w:rPr>
      </w:pPr>
    </w:p>
    <w:p>
      <w:pPr>
        <w:jc w:val="both"/>
        <w:ind w:left="900" w:hanging="447"/>
        <w:spacing w:after="0" w:line="246" w:lineRule="auto"/>
        <w:tabs>
          <w:tab w:leader="none" w:pos="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part of the valuation analysis, BioNTech identified intangible assets in form of in-process research and development projects. The fair value of identifiable intangible assets is determined primarily using the income method approach. BioNTech used certain assumptions based on publicly available data for the industry. Amortization for the in-process research and development in the amounts of k€1,132 for the year ended December 31, 2019 and k€377 for the stub period from January 1, 2020 through May 5, 2020 has been reflected in the unaudited pro forma condensed combined statements of operations.</w:t>
      </w:r>
    </w:p>
    <w:p>
      <w:pPr>
        <w:spacing w:after="0" w:line="184" w:lineRule="exact"/>
        <w:rPr>
          <w:rFonts w:ascii="Times New Roman" w:cs="Times New Roman" w:eastAsia="Times New Roman" w:hAnsi="Times New Roman"/>
          <w:sz w:val="20"/>
          <w:szCs w:val="20"/>
          <w:color w:val="auto"/>
        </w:rPr>
      </w:pPr>
    </w:p>
    <w:p>
      <w:pPr>
        <w:jc w:val="both"/>
        <w:ind w:left="900" w:hanging="447"/>
        <w:spacing w:after="0" w:line="246" w:lineRule="auto"/>
        <w:tabs>
          <w:tab w:leader="none" w:pos="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costs and payments derived from retention, severance and bonus arrangements that have been executed in connection with the acquisition have been expensed but are non-recurring in nature and would not reflect expenses of the combined entity on an ongoing basis. Consequently, these directly attributable expenses consist of research and development expenses in an amount of k€1,493 as well as general and administrative expenses in an amount of k€9,628 which are eliminated in the unaudited pro forma condensed combined statement of operations.</w:t>
      </w:r>
    </w:p>
    <w:p>
      <w:pPr>
        <w:spacing w:after="0" w:line="184" w:lineRule="exact"/>
        <w:rPr>
          <w:rFonts w:ascii="Times New Roman" w:cs="Times New Roman" w:eastAsia="Times New Roman" w:hAnsi="Times New Roman"/>
          <w:sz w:val="20"/>
          <w:szCs w:val="20"/>
          <w:color w:val="auto"/>
        </w:rPr>
      </w:pPr>
    </w:p>
    <w:p>
      <w:pPr>
        <w:jc w:val="both"/>
        <w:ind w:left="900" w:hanging="447"/>
        <w:spacing w:after="0" w:line="249" w:lineRule="auto"/>
        <w:tabs>
          <w:tab w:leader="none" w:pos="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compensation acceleration expenses in connection with the acquisition have been expensed but are non-recurring in nature and would not reflect expenses on an ongoing basis. Directly attributable research and development expenses of k€2,327 as well as general and administrative expenses of k€3,844 are eliminated in the unaudited pro forma condensed combined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9</w:t>
      </w:r>
    </w:p>
    <w:sectPr>
      <w:pgSz w:w="11900" w:h="16838" w:orient="portrait"/>
      <w:cols w:equalWidth="0" w:num="1">
        <w:col w:w="11240"/>
      </w:cols>
      <w:pgMar w:left="320" w:top="11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1"/>
      <w:numFmt w:val="bullet"/>
      <w:start w:val="1"/>
    </w:lvl>
  </w:abstractNum>
  <w:abstractNum w:abstractNumId="2">
    <w:nsid w:val="542289EC"/>
    <w:multiLevelType w:val="hybridMultilevel"/>
    <w:lvl w:ilvl="0">
      <w:lvlJc w:val="left"/>
      <w:lvlText w:val="•"/>
      <w:numFmt w:val="bullet"/>
      <w:start w:val="1"/>
    </w:lvl>
    <w:lvl w:ilvl="1">
      <w:lvlJc w:val="left"/>
      <w:lvlText w:val="•"/>
      <w:numFmt w:val="bullet"/>
      <w:start w:val="1"/>
    </w:lvl>
  </w:abstractNum>
  <w:abstractNum w:abstractNumId="3">
    <w:nsid w:val="6DE91B18"/>
    <w:multiLevelType w:val="hybridMultilevel"/>
    <w:lvl w:ilvl="0">
      <w:lvlJc w:val="left"/>
      <w:lvlText w:val="2"/>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3"/>
      <w:numFmt w:val="bullet"/>
      <w:start w:val="1"/>
    </w:lvl>
  </w:abstractNum>
  <w:abstractNum w:abstractNumId="6">
    <w:nsid w:val="32FFF902"/>
    <w:multiLevelType w:val="hybridMultilevel"/>
    <w:lvl w:ilvl="0">
      <w:lvlJc w:val="left"/>
      <w:lvlText w:val="4"/>
      <w:numFmt w:val="bullet"/>
      <w:start w:val="1"/>
    </w:lvl>
  </w:abstractNum>
  <w:abstractNum w:abstractNumId="7">
    <w:nsid w:val="684A481A"/>
    <w:multiLevelType w:val="hybridMultilevel"/>
    <w:lvl w:ilvl="0">
      <w:lvlJc w:val="left"/>
      <w:lvlText w:val="5"/>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6"/>
      <w:numFmt w:val="bullet"/>
      <w:start w:val="1"/>
    </w:lvl>
  </w:abstractNum>
  <w:abstractNum w:abstractNumId="10">
    <w:nsid w:val="3DC240FB"/>
    <w:multiLevelType w:val="hybridMultilevel"/>
    <w:lvl w:ilvl="0">
      <w:lvlJc w:val="left"/>
      <w:lvlText w:val="7"/>
      <w:numFmt w:val="bullet"/>
      <w:start w:val="1"/>
    </w:lvl>
  </w:abstractNum>
  <w:abstractNum w:abstractNumId="11">
    <w:nsid w:val="1BA026FA"/>
    <w:multiLevelType w:val="hybridMultilevel"/>
    <w:lvl w:ilvl="0">
      <w:lvlJc w:val="left"/>
      <w:lvlText w:val="8"/>
      <w:numFmt w:val="bullet"/>
      <w:start w:val="1"/>
    </w:lvl>
  </w:abstractNum>
  <w:abstractNum w:abstractNumId="12">
    <w:nsid w:val="79A1DEAA"/>
    <w:multiLevelType w:val="hybridMultilevel"/>
    <w:lvl w:ilvl="0">
      <w:lvlJc w:val="left"/>
      <w:lvlText w:val="9"/>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o"/>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o"/>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1)"/>
      <w:numFmt w:val="decimal"/>
      <w:start w:val="8"/>
    </w:lvl>
  </w:abstractNum>
  <w:abstractNum w:abstractNumId="32">
    <w:nsid w:val="3F6AB60F"/>
    <w:multiLevelType w:val="hybridMultilevel"/>
    <w:lvl w:ilvl="0">
      <w:lvlJc w:val="left"/>
      <w:lvlText w:val="(%1)"/>
      <w:numFmt w:val="lowerRoman"/>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1"/>
      <w:numFmt w:val="bullet"/>
      <w:start w:val="1"/>
    </w:lvl>
  </w:abstractNum>
  <w:abstractNum w:abstractNumId="82">
    <w:nsid w:val="885E1B"/>
    <w:multiLevelType w:val="hybridMultilevel"/>
    <w:lvl w:ilvl="0">
      <w:lvlJc w:val="left"/>
      <w:lvlText w:val="1"/>
      <w:numFmt w:val="bullet"/>
      <w:start w:val="1"/>
    </w:lvl>
  </w:abstractNum>
  <w:abstractNum w:abstractNumId="83">
    <w:nsid w:val="76272110"/>
    <w:multiLevelType w:val="hybridMultilevel"/>
    <w:lvl w:ilvl="0">
      <w:lvlJc w:val="left"/>
      <w:lvlText w:val="1"/>
      <w:numFmt w:val="bullet"/>
      <w:start w:val="1"/>
    </w:lvl>
  </w:abstractNum>
  <w:abstractNum w:abstractNumId="84">
    <w:nsid w:val="4C04A8AF"/>
    <w:multiLevelType w:val="hybridMultilevel"/>
    <w:lvl w:ilvl="0">
      <w:lvlJc w:val="left"/>
      <w:lvlText w:val="2"/>
      <w:numFmt w:val="bullet"/>
      <w:start w:val="1"/>
    </w:lvl>
  </w:abstractNum>
  <w:abstractNum w:abstractNumId="85">
    <w:nsid w:val="1716703B"/>
    <w:multiLevelType w:val="hybridMultilevel"/>
    <w:lvl w:ilvl="0">
      <w:lvlJc w:val="left"/>
      <w:lvlText w:val="%1)"/>
      <w:numFmt w:val="lowerLetter"/>
      <w:start w:val="1"/>
    </w:lvl>
    <w:lvl w:ilvl="1">
      <w:lvlJc w:val="left"/>
      <w:lvlText w:val="•"/>
      <w:numFmt w:val="bullet"/>
      <w:start w:val="1"/>
    </w:lvl>
  </w:abstractNum>
  <w:abstractNum w:abstractNumId="86">
    <w:nsid w:val="14E17E33"/>
    <w:multiLevelType w:val="hybridMultilevel"/>
    <w:lvl w:ilvl="0">
      <w:lvlJc w:val="left"/>
      <w:lvlText w:val="3"/>
      <w:numFmt w:val="bullet"/>
      <w:start w:val="1"/>
    </w:lvl>
  </w:abstractNum>
  <w:abstractNum w:abstractNumId="87">
    <w:nsid w:val="3222E7CD"/>
    <w:multiLevelType w:val="hybridMultilevel"/>
    <w:lvl w:ilvl="0">
      <w:lvlJc w:val="left"/>
      <w:lvlText w:val="4"/>
      <w:numFmt w:val="bullet"/>
      <w:start w:val="1"/>
    </w:lvl>
  </w:abstractNum>
  <w:abstractNum w:abstractNumId="88">
    <w:nsid w:val="74DE0EE3"/>
    <w:multiLevelType w:val="hybridMultilevel"/>
    <w:lvl w:ilvl="0">
      <w:lvlJc w:val="left"/>
      <w:lvlText w:val="5"/>
      <w:numFmt w:val="bullet"/>
      <w:start w:val="1"/>
    </w:lvl>
  </w:abstractNum>
  <w:abstractNum w:abstractNumId="89">
    <w:nsid w:val="68EBC55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2020-11-12T05:22:15Z</dcterms:created>
  <dcterms:modified xsi:type="dcterms:W3CDTF">2020-11-12T05:22:15Z</dcterms:modified>
</cp:coreProperties>
</file>