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0" w:lineRule="exact"/>
        <w:rPr>
          <w:sz w:val="24"/>
          <w:szCs w:val="24"/>
          <w:color w:val="auto"/>
        </w:rPr>
      </w:pPr>
    </w:p>
    <w:p>
      <w:pPr>
        <w:spacing w:after="0" w:line="2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4"/>
          <w:szCs w:val="24"/>
          <w:b w:val="1"/>
          <w:bCs w:val="1"/>
          <w:color w:val="auto"/>
        </w:rPr>
        <w:t>FORM 6-K</w:t>
      </w:r>
    </w:p>
    <w:p>
      <w:pPr>
        <w:spacing w:after="0" w:line="293" w:lineRule="exact"/>
        <w:rPr>
          <w:sz w:val="24"/>
          <w:szCs w:val="24"/>
          <w:color w:val="auto"/>
        </w:rPr>
      </w:pPr>
    </w:p>
    <w:p>
      <w:pPr>
        <w:jc w:val="center"/>
        <w:ind w:right="-1120"/>
        <w:spacing w:after="0" w:line="150" w:lineRule="exact"/>
        <w:rPr>
          <w:sz w:val="20"/>
          <w:szCs w:val="20"/>
          <w:color w:val="auto"/>
        </w:rPr>
      </w:pPr>
      <w:r>
        <w:rPr>
          <w:rFonts w:ascii="Times New Roman" w:cs="Times New Roman" w:eastAsia="Times New Roman" w:hAnsi="Times New Roman"/>
          <w:sz w:val="13"/>
          <w:szCs w:val="13"/>
          <w:b w:val="1"/>
          <w:bCs w:val="1"/>
          <w:color w:val="auto"/>
        </w:rPr>
        <w:t>REPORT OF FOREIGN PRIVATE ISSUER PURSUANT TO RULE 13a</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 OR 15d</w:t>
      </w:r>
      <w:r>
        <w:rPr>
          <w:rFonts w:ascii="MS PGothic" w:cs="MS PGothic" w:eastAsia="MS PGothic" w:hAnsi="MS PGothic"/>
          <w:sz w:val="13"/>
          <w:szCs w:val="13"/>
          <w:color w:val="auto"/>
          <w:strike w:val="1"/>
        </w:rPr>
        <w:t>‑</w:t>
      </w:r>
      <w:r>
        <w:rPr>
          <w:rFonts w:ascii="Times New Roman" w:cs="Times New Roman" w:eastAsia="Times New Roman" w:hAnsi="Times New Roman"/>
          <w:sz w:val="13"/>
          <w:szCs w:val="13"/>
          <w:b w:val="1"/>
          <w:bCs w:val="1"/>
          <w:color w:val="auto"/>
        </w:rPr>
        <w:t>16</w:t>
      </w:r>
    </w:p>
    <w:p>
      <w:pPr>
        <w:spacing w:after="0" w:line="4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UNDER THE SECURITIES EXCHANGE ACT OF 1934</w:t>
      </w:r>
    </w:p>
    <w:p>
      <w:pPr>
        <w:spacing w:after="0" w:line="14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3"/>
          <w:szCs w:val="13"/>
          <w:b w:val="1"/>
          <w:bCs w:val="1"/>
          <w:color w:val="auto"/>
        </w:rPr>
        <w:t>FOR THE MONTH OF MAY 2026</w:t>
      </w:r>
    </w:p>
    <w:p>
      <w:pPr>
        <w:spacing w:after="0" w:line="3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COMMISSION FILE NUMBER 001-39081</w:t>
      </w:r>
    </w:p>
    <w:p>
      <w:pPr>
        <w:spacing w:after="0" w:line="1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BioNTech SE</w:t>
      </w:r>
    </w:p>
    <w:p>
      <w:pPr>
        <w:spacing w:after="0" w:line="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333333"/>
        </w:rPr>
        <w:t>(Translation of registrant’s name into English)</w:t>
      </w:r>
    </w:p>
    <w:p>
      <w:pPr>
        <w:spacing w:after="0" w:line="13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3"/>
          <w:szCs w:val="13"/>
          <w:b w:val="1"/>
          <w:bCs w:val="1"/>
          <w:color w:val="auto"/>
        </w:rPr>
        <w:t>An der Goldgrube 12</w:t>
      </w:r>
    </w:p>
    <w:p>
      <w:pPr>
        <w:spacing w:after="0" w:line="24"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D-55131 Mainz</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Germany</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+49 6131-9084-0</w:t>
      </w:r>
    </w:p>
    <w:p>
      <w:pPr>
        <w:spacing w:after="0" w:line="1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333333"/>
        </w:rPr>
        <w:t>(Address of principal executive offices)</w:t>
      </w:r>
    </w:p>
    <w:p>
      <w:pPr>
        <w:spacing w:after="0" w:line="27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or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 Form 20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Form 40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 </w:t>
      </w:r>
      <w:r>
        <w:rPr>
          <w:rFonts w:ascii="MS PGothic" w:cs="MS PGothic" w:eastAsia="MS PGothic" w:hAnsi="MS PGothic"/>
          <w:sz w:val="14"/>
          <w:szCs w:val="14"/>
          <w:color w:val="auto"/>
        </w:rPr>
        <w:t>☐</w:t>
      </w:r>
    </w:p>
    <w:p>
      <w:pPr>
        <w:spacing w:after="0" w:line="16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101(b)(1):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Indicate by check mark if the registrant is submitting the Form 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in paper as permitted by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Rule 101(b)(7): </w:t>
      </w:r>
      <w:r>
        <w:rPr>
          <w:rFonts w:ascii="MS PGothic" w:cs="MS PGothic" w:eastAsia="MS PGothic" w:hAnsi="MS PGothic"/>
          <w:sz w:val="14"/>
          <w:szCs w:val="14"/>
          <w:color w:val="auto"/>
        </w:rPr>
        <w:t>☐</w:t>
      </w:r>
    </w:p>
    <w:p>
      <w:pPr>
        <w:sectPr>
          <w:pgSz w:w="11900" w:h="16838" w:orient="portrait"/>
          <w:cols w:equalWidth="0" w:num="1">
            <w:col w:w="10159"/>
          </w:cols>
          <w:pgMar w:left="300" w:top="100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INCLUDED AS PART OF THIS FORM 6-K</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On May 5, 2026, BioNTech SE (the “Company”) issued a press release announcing its first quarter 2026 financial results and corporate update and details of a conference call to be held at</w:t>
      </w:r>
    </w:p>
    <w:p>
      <w:pPr>
        <w:spacing w:after="0" w:line="2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8:00 am EDT on May 5, 2026 to discuss the results. The press release and the conference call presentation are attached as Exhibits 99.1 and 99.2, respectively, and incorporated by reference herein.</w:t>
      </w:r>
    </w:p>
    <w:p>
      <w:pPr>
        <w:spacing w:after="0" w:line="30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information contained in Exhibits 99.1 and 99.2 shall not be deemed “filed” for purposes of Section 18 of the Securities Exchange Act of 1934, as amended (the “Exchange Act”), or incorporated by reference in any filing under the Securities Act of 1933, as amended, or the Exchange Act, unless expressly set forth by specific reference in such a filing.</w:t>
      </w:r>
    </w:p>
    <w:p>
      <w:pPr>
        <w:sectPr>
          <w:pgSz w:w="11900" w:h="16838" w:orient="portrait"/>
          <w:cols w:equalWidth="0" w:num="1">
            <w:col w:w="11300"/>
          </w:cols>
          <w:pgMar w:left="300" w:top="776"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Pursuant to the requirements of the Exchange Act, the registrant has duly caused this report to be signed on its behalf by the undersigned, thereunto duly authorized.</w:t>
      </w:r>
    </w:p>
    <w:p>
      <w:pPr>
        <w:sectPr>
          <w:pgSz w:w="11900" w:h="16838" w:orient="portrait"/>
          <w:cols w:equalWidth="0" w:num="1">
            <w:col w:w="11100"/>
          </w:cols>
          <w:pgMar w:left="300" w:top="776" w:right="49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BioNTech SE</w:t>
      </w:r>
    </w:p>
    <w:p>
      <w:pPr>
        <w:spacing w:after="0" w:line="363" w:lineRule="exact"/>
        <w:rPr>
          <w:sz w:val="20"/>
          <w:szCs w:val="20"/>
          <w:color w:val="auto"/>
        </w:rPr>
      </w:pPr>
    </w:p>
    <w:tbl>
      <w:tblPr>
        <w:tblLayout w:type="fixed"/>
        <w:tblInd w:w="220" w:type="dxa"/>
        <w:tblCellMar>
          <w:top w:w="0" w:type="dxa"/>
          <w:left w:w="0" w:type="dxa"/>
          <w:bottom w:w="0" w:type="dxa"/>
          <w:right w:w="0" w:type="dxa"/>
        </w:tblCellMar>
      </w:tblPr>
      <w:tr>
        <w:trPr>
          <w:trHeight w:val="198"/>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Ramón Zapata-Gomez</w:t>
            </w:r>
          </w:p>
        </w:tc>
      </w:tr>
      <w:tr>
        <w:trPr>
          <w:trHeight w:val="196"/>
        </w:trPr>
        <w:tc>
          <w:tcPr>
            <w:tcW w:w="500" w:type="dxa"/>
            <w:vAlign w:val="bottom"/>
          </w:tcPr>
          <w:p>
            <w:pPr>
              <w:spacing w:after="0"/>
              <w:rPr>
                <w:sz w:val="17"/>
                <w:szCs w:val="17"/>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Ramón Zapata-Gomez</w:t>
            </w:r>
          </w:p>
        </w:tc>
      </w:tr>
      <w:tr>
        <w:trPr>
          <w:trHeight w:val="216"/>
        </w:trPr>
        <w:tc>
          <w:tcPr>
            <w:tcW w:w="50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Financial Officer</w:t>
            </w:r>
          </w:p>
        </w:tc>
      </w:tr>
    </w:tbl>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Dr. Sierk Poetting</w:t>
            </w:r>
          </w:p>
        </w:tc>
      </w:tr>
      <w:tr>
        <w:trPr>
          <w:trHeight w:val="196"/>
        </w:trPr>
        <w:tc>
          <w:tcPr>
            <w:tcW w:w="520" w:type="dxa"/>
            <w:vAlign w:val="bottom"/>
          </w:tcPr>
          <w:p>
            <w:pPr>
              <w:spacing w:after="0"/>
              <w:rPr>
                <w:sz w:val="17"/>
                <w:szCs w:val="17"/>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Dr. Sierk Poetting</w:t>
            </w:r>
          </w:p>
        </w:tc>
      </w:tr>
      <w:tr>
        <w:trPr>
          <w:trHeight w:val="216"/>
        </w:trPr>
        <w:tc>
          <w:tcPr>
            <w:tcW w:w="520" w:type="dxa"/>
            <w:vAlign w:val="bottom"/>
          </w:tcPr>
          <w:p>
            <w:pPr>
              <w:spacing w:after="0"/>
              <w:rPr>
                <w:sz w:val="18"/>
                <w:szCs w:val="18"/>
                <w:color w:val="auto"/>
              </w:rPr>
            </w:pPr>
          </w:p>
        </w:tc>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Operating Officer</w:t>
            </w:r>
          </w:p>
        </w:tc>
      </w:tr>
    </w:tbl>
    <w:p>
      <w:pPr>
        <w:sectPr>
          <w:pgSz w:w="11900" w:h="16838" w:orient="portrait"/>
          <w:cols w:equalWidth="0" w:num="2">
            <w:col w:w="5380" w:space="560"/>
            <w:col w:w="5160"/>
          </w:cols>
          <w:pgMar w:left="300" w:top="776" w:right="499" w:bottom="144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469"/>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w w:val="96"/>
              </w:rPr>
              <w:t>Exhibit</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 of Exhibit</w:t>
            </w:r>
          </w:p>
        </w:tc>
      </w:tr>
      <w:tr>
        <w:trPr>
          <w:trHeight w:val="20"/>
        </w:trPr>
        <w:tc>
          <w:tcPr>
            <w:tcW w:w="4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49"/>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820" w:type="dxa"/>
            <w:vAlign w:val="bottom"/>
          </w:tcPr>
          <w:p>
            <w:pPr>
              <w:spacing w:after="0"/>
              <w:rPr>
                <w:sz w:val="24"/>
                <w:szCs w:val="24"/>
                <w:color w:val="auto"/>
              </w:rPr>
            </w:pPr>
          </w:p>
        </w:tc>
        <w:tc>
          <w:tcPr>
            <w:tcW w:w="4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BioNTech Announces First Quarter 2026 Financial Results and Corporate Update</w:t>
            </w:r>
          </w:p>
        </w:tc>
        <w:tc>
          <w:tcPr>
            <w:tcW w:w="240" w:type="dxa"/>
            <w:vAlign w:val="bottom"/>
          </w:tcPr>
          <w:p>
            <w:pPr>
              <w:spacing w:after="0"/>
              <w:rPr>
                <w:sz w:val="24"/>
                <w:szCs w:val="24"/>
                <w:color w:val="auto"/>
              </w:rPr>
            </w:pPr>
          </w:p>
        </w:tc>
      </w:tr>
      <w:tr>
        <w:trPr>
          <w:trHeight w:val="376"/>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99.2</w:t>
            </w:r>
          </w:p>
        </w:tc>
        <w:tc>
          <w:tcPr>
            <w:tcW w:w="820" w:type="dxa"/>
            <w:vAlign w:val="bottom"/>
          </w:tcPr>
          <w:p>
            <w:pPr>
              <w:spacing w:after="0"/>
              <w:rPr>
                <w:sz w:val="24"/>
                <w:szCs w:val="24"/>
                <w:color w:val="auto"/>
              </w:rPr>
            </w:pPr>
          </w:p>
        </w:tc>
        <w:tc>
          <w:tcPr>
            <w:tcW w:w="49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First Quarter 2026: Corporate Update and Financial Results</w:t>
            </w:r>
          </w:p>
        </w:tc>
      </w:tr>
      <w:tr>
        <w:trPr>
          <w:trHeight w:val="20"/>
        </w:trPr>
        <w:tc>
          <w:tcPr>
            <w:tcW w:w="420" w:type="dxa"/>
            <w:vAlign w:val="bottom"/>
          </w:tcPr>
          <w:p>
            <w:pPr>
              <w:spacing w:after="0" w:line="20" w:lineRule="exact"/>
              <w:rPr>
                <w:sz w:val="1"/>
                <w:szCs w:val="1"/>
                <w:color w:val="auto"/>
              </w:rPr>
            </w:pPr>
          </w:p>
        </w:tc>
        <w:tc>
          <w:tcPr>
            <w:tcW w:w="820" w:type="dxa"/>
            <w:vAlign w:val="bottom"/>
            <w:tcBorders>
              <w:right w:val="single" w:sz="8" w:color="0000FF"/>
            </w:tcBorders>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0139"/>
          </w:cols>
          <w:pgMar w:left="320" w:top="7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142875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BioNTech Announces First Quarter 2026 Financial Results and Corporate Update</w:t>
      </w:r>
    </w:p>
    <w:p>
      <w:pPr>
        <w:spacing w:after="0" w:line="178" w:lineRule="exact"/>
        <w:rPr>
          <w:sz w:val="20"/>
          <w:szCs w:val="20"/>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Five additional pivotal trials for pumitamig initiated during 2026 </w:t>
      </w:r>
      <w:r>
        <w:rPr>
          <w:rFonts w:ascii="Arial" w:cs="Arial" w:eastAsia="Arial" w:hAnsi="Arial"/>
          <w:sz w:val="12"/>
          <w:szCs w:val="12"/>
          <w:i w:val="1"/>
          <w:iCs w:val="1"/>
          <w:color w:val="auto"/>
        </w:rPr>
        <w:t>in collaboration with Bristol Myers Squibb</w:t>
      </w:r>
    </w:p>
    <w:p>
      <w:pPr>
        <w:spacing w:after="0" w:line="16"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Oncology pipeline strength and combination strategy highlighted </w:t>
      </w:r>
      <w:r>
        <w:rPr>
          <w:rFonts w:ascii="Arial" w:cs="Arial" w:eastAsia="Arial" w:hAnsi="Arial"/>
          <w:sz w:val="12"/>
          <w:szCs w:val="12"/>
          <w:i w:val="1"/>
          <w:iCs w:val="1"/>
          <w:color w:val="auto"/>
        </w:rPr>
        <w:t>through multiple clinical data updates, including pumitamig, gotistobart and antibody-drug conjugate programs</w:t>
      </w:r>
    </w:p>
    <w:p>
      <w:pPr>
        <w:spacing w:after="0" w:line="14"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Catalyst-rich year ahead with six late-stage pipeline data readouts expected </w:t>
      </w:r>
      <w:r>
        <w:rPr>
          <w:rFonts w:ascii="Arial" w:cs="Arial" w:eastAsia="Arial" w:hAnsi="Arial"/>
          <w:sz w:val="12"/>
          <w:szCs w:val="12"/>
          <w:i w:val="1"/>
          <w:iCs w:val="1"/>
          <w:color w:val="auto"/>
        </w:rPr>
        <w:t>across immunomodulators, antibody-drug conjugate and mRNA cancer immunotherapies</w:t>
      </w:r>
    </w:p>
    <w:p>
      <w:pPr>
        <w:spacing w:after="0" w:line="6"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COVID-19 2026/2027 season variant-adapted vaccine </w:t>
      </w:r>
      <w:r>
        <w:rPr>
          <w:rFonts w:ascii="Arial" w:cs="Arial" w:eastAsia="Arial" w:hAnsi="Arial"/>
          <w:sz w:val="12"/>
          <w:szCs w:val="12"/>
          <w:i w:val="1"/>
          <w:iCs w:val="1"/>
          <w:color w:val="auto"/>
        </w:rPr>
        <w:t>development and commercial preparation underway</w:t>
      </w:r>
    </w:p>
    <w:p>
      <w:pPr>
        <w:spacing w:after="0" w:line="14"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Operational efficiency to be enhanced through manufacturing footprint consolidation</w:t>
      </w:r>
      <w:r>
        <w:rPr>
          <w:rFonts w:ascii="Arial" w:cs="Arial" w:eastAsia="Arial" w:hAnsi="Arial"/>
          <w:sz w:val="12"/>
          <w:szCs w:val="12"/>
          <w:i w:val="1"/>
          <w:iCs w:val="1"/>
          <w:color w:val="auto"/>
        </w:rPr>
        <w:t>, supporting strategic capital allocation to further advance its growing oncology pipeline toward commercialization</w:t>
      </w:r>
    </w:p>
    <w:p>
      <w:pPr>
        <w:spacing w:after="0" w:line="15" w:lineRule="exact"/>
        <w:rPr>
          <w:rFonts w:ascii="Arial" w:cs="Arial" w:eastAsia="Arial" w:hAnsi="Arial"/>
          <w:sz w:val="12"/>
          <w:szCs w:val="12"/>
          <w:i w:val="1"/>
          <w:iCs w:val="1"/>
          <w:color w:val="auto"/>
        </w:rPr>
      </w:pPr>
    </w:p>
    <w:p>
      <w:pPr>
        <w:ind w:left="420" w:hanging="212"/>
        <w:spacing w:after="0" w:line="206" w:lineRule="auto"/>
        <w:tabs>
          <w:tab w:leader="none" w:pos="417"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First quarter 2026 revenues of €118.1 million</w:t>
      </w:r>
      <w:r>
        <w:rPr>
          <w:rFonts w:ascii="Arial" w:cs="Arial" w:eastAsia="Arial" w:hAnsi="Arial"/>
          <w:sz w:val="15"/>
          <w:szCs w:val="15"/>
          <w:b w:val="1"/>
          <w:bCs w:val="1"/>
          <w:i w:val="1"/>
          <w:iCs w:val="1"/>
          <w:color w:val="auto"/>
          <w:vertAlign w:val="superscript"/>
        </w:rPr>
        <w:t>1</w:t>
      </w:r>
      <w:r>
        <w:rPr>
          <w:rFonts w:ascii="Arial" w:cs="Arial" w:eastAsia="Arial" w:hAnsi="Arial"/>
          <w:sz w:val="12"/>
          <w:szCs w:val="12"/>
          <w:i w:val="1"/>
          <w:iCs w:val="1"/>
          <w:color w:val="auto"/>
        </w:rPr>
        <w:t>, net loss of €531.9 million (adjusted</w:t>
      </w:r>
      <w:r>
        <w:rPr>
          <w:rFonts w:ascii="Arial" w:cs="Arial" w:eastAsia="Arial" w:hAnsi="Arial"/>
          <w:sz w:val="15"/>
          <w:szCs w:val="15"/>
          <w:i w:val="1"/>
          <w:iCs w:val="1"/>
          <w:color w:val="auto"/>
          <w:vertAlign w:val="superscript"/>
        </w:rPr>
        <w:t>2</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net loss of €494.6 million), with diluted loss per share of €2.10 ($2.46</w:t>
      </w: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 (adjusted</w:t>
      </w:r>
      <w:r>
        <w:rPr>
          <w:rFonts w:ascii="Arial" w:cs="Arial" w:eastAsia="Arial" w:hAnsi="Arial"/>
          <w:sz w:val="15"/>
          <w:szCs w:val="15"/>
          <w:i w:val="1"/>
          <w:iCs w:val="1"/>
          <w:color w:val="auto"/>
          <w:vertAlign w:val="superscript"/>
        </w:rPr>
        <w:t>2</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diluted loss per share of €1.95</w:t>
      </w:r>
      <w:r>
        <w:rPr>
          <w:rFonts w:ascii="Arial" w:cs="Arial" w:eastAsia="Arial" w:hAnsi="Arial"/>
          <w:sz w:val="12"/>
          <w:szCs w:val="12"/>
          <w:b w:val="1"/>
          <w:bCs w:val="1"/>
          <w:i w:val="1"/>
          <w:iCs w:val="1"/>
          <w:color w:val="auto"/>
        </w:rPr>
        <w:t xml:space="preserve"> </w:t>
      </w:r>
      <w:r>
        <w:rPr>
          <w:rFonts w:ascii="Arial" w:cs="Arial" w:eastAsia="Arial" w:hAnsi="Arial"/>
          <w:sz w:val="12"/>
          <w:szCs w:val="12"/>
          <w:i w:val="1"/>
          <w:iCs w:val="1"/>
          <w:color w:val="auto"/>
        </w:rPr>
        <w:t>($2.28</w:t>
      </w:r>
      <w:r>
        <w:rPr>
          <w:rFonts w:ascii="Arial" w:cs="Arial" w:eastAsia="Arial" w:hAnsi="Arial"/>
          <w:sz w:val="15"/>
          <w:szCs w:val="15"/>
          <w:i w:val="1"/>
          <w:iCs w:val="1"/>
          <w:color w:val="auto"/>
          <w:vertAlign w:val="superscript"/>
        </w:rPr>
        <w:t>3</w:t>
      </w:r>
      <w:r>
        <w:rPr>
          <w:rFonts w:ascii="Arial" w:cs="Arial" w:eastAsia="Arial" w:hAnsi="Arial"/>
          <w:sz w:val="12"/>
          <w:szCs w:val="12"/>
          <w:i w:val="1"/>
          <w:iCs w:val="1"/>
          <w:color w:val="auto"/>
        </w:rPr>
        <w:t>))</w:t>
      </w:r>
    </w:p>
    <w:p>
      <w:pPr>
        <w:spacing w:after="0" w:line="1"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Reaffirmed full year 2026 financial guidance and strong financial position </w:t>
      </w:r>
      <w:r>
        <w:rPr>
          <w:rFonts w:ascii="Arial" w:cs="Arial" w:eastAsia="Arial" w:hAnsi="Arial"/>
          <w:sz w:val="12"/>
          <w:szCs w:val="12"/>
          <w:i w:val="1"/>
          <w:iCs w:val="1"/>
          <w:color w:val="auto"/>
        </w:rPr>
        <w:t>continue to de-risk execution with cash, cash equivalents and security investments of €16.8 billion</w:t>
      </w:r>
      <w:r>
        <w:rPr>
          <w:rFonts w:ascii="Arial" w:cs="Arial" w:eastAsia="Arial" w:hAnsi="Arial"/>
          <w:sz w:val="7"/>
          <w:szCs w:val="7"/>
          <w:i w:val="1"/>
          <w:iCs w:val="1"/>
          <w:color w:val="auto"/>
        </w:rPr>
        <w:t>4</w:t>
      </w:r>
    </w:p>
    <w:p>
      <w:pPr>
        <w:spacing w:after="0" w:line="14" w:lineRule="exact"/>
        <w:rPr>
          <w:rFonts w:ascii="Arial" w:cs="Arial" w:eastAsia="Arial" w:hAnsi="Arial"/>
          <w:sz w:val="12"/>
          <w:szCs w:val="12"/>
          <w:i w:val="1"/>
          <w:iCs w:val="1"/>
          <w:color w:val="auto"/>
        </w:rPr>
      </w:pPr>
    </w:p>
    <w:p>
      <w:pPr>
        <w:ind w:left="420" w:hanging="212"/>
        <w:spacing w:after="0"/>
        <w:tabs>
          <w:tab w:leader="none" w:pos="420" w:val="left"/>
        </w:tabs>
        <w:numPr>
          <w:ilvl w:val="0"/>
          <w:numId w:val="1"/>
        </w:numPr>
        <w:rPr>
          <w:rFonts w:ascii="Arial" w:cs="Arial" w:eastAsia="Arial" w:hAnsi="Arial"/>
          <w:sz w:val="12"/>
          <w:szCs w:val="12"/>
          <w:i w:val="1"/>
          <w:iCs w:val="1"/>
          <w:color w:val="auto"/>
        </w:rPr>
      </w:pPr>
      <w:r>
        <w:rPr>
          <w:rFonts w:ascii="Arial" w:cs="Arial" w:eastAsia="Arial" w:hAnsi="Arial"/>
          <w:sz w:val="12"/>
          <w:szCs w:val="12"/>
          <w:b w:val="1"/>
          <w:bCs w:val="1"/>
          <w:i w:val="1"/>
          <w:iCs w:val="1"/>
          <w:color w:val="auto"/>
        </w:rPr>
        <w:t xml:space="preserve">Share repurchase program </w:t>
      </w:r>
      <w:r>
        <w:rPr>
          <w:rFonts w:ascii="Arial" w:cs="Arial" w:eastAsia="Arial" w:hAnsi="Arial"/>
          <w:sz w:val="12"/>
          <w:szCs w:val="12"/>
          <w:i w:val="1"/>
          <w:iCs w:val="1"/>
          <w:color w:val="auto"/>
        </w:rPr>
        <w:t>of up to $1.0 billion over twelve months planned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Conference call and webcast scheduled for May 5, 2026, at 8:00 a.m. ET (2:00 p.m. CET)</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MAINZ, Germany, May 5, 2026 (GLOBE NEWSWIRE)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BioNTech SE</w:t>
      </w:r>
      <w:r>
        <w:rPr>
          <w:rFonts w:ascii="Arial" w:cs="Arial" w:eastAsia="Arial" w:hAnsi="Arial"/>
          <w:sz w:val="12"/>
          <w:szCs w:val="12"/>
          <w:b w:val="1"/>
          <w:bCs w:val="1"/>
          <w:color w:val="auto"/>
        </w:rPr>
        <w:t xml:space="preserve"> </w:t>
      </w:r>
      <w:r>
        <w:rPr>
          <w:rFonts w:ascii="Arial" w:cs="Arial" w:eastAsia="Arial" w:hAnsi="Arial"/>
          <w:sz w:val="12"/>
          <w:szCs w:val="12"/>
          <w:color w:val="auto"/>
        </w:rPr>
        <w:t>(Nasdaq: BNTX, “BioNTech” or “the Company”) today reported financial results for the three months ended March 31, 2026 and provided an</w:t>
      </w:r>
      <w:r>
        <w:rPr>
          <w:rFonts w:ascii="Arial" w:cs="Arial" w:eastAsia="Arial" w:hAnsi="Arial"/>
          <w:sz w:val="12"/>
          <w:szCs w:val="12"/>
          <w:b w:val="1"/>
          <w:bCs w:val="1"/>
          <w:color w:val="auto"/>
        </w:rPr>
        <w:t xml:space="preserve"> </w:t>
      </w:r>
      <w:r>
        <w:rPr>
          <w:rFonts w:ascii="Arial" w:cs="Arial" w:eastAsia="Arial" w:hAnsi="Arial"/>
          <w:sz w:val="12"/>
          <w:szCs w:val="12"/>
          <w:color w:val="auto"/>
        </w:rPr>
        <w:t>update on its corporate progress.</w:t>
      </w:r>
    </w:p>
    <w:p>
      <w:pPr>
        <w:spacing w:after="0" w:line="113"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 xml:space="preserve">“In the first quarter, we made substantial progress in executing towards our oncology strategy, highlighted by data presentations from our priority pan-tumor program pumitamig as well as our versatile antibody-drug conjugate portfolio. Simultaneously, we continue to broaden our clinical programs to include novel-novel combinations in order to inform the optimal set-up for registrational combination trials and maximize the potential of our pipeline,” said </w:t>
      </w:r>
      <w:r>
        <w:rPr>
          <w:rFonts w:ascii="Arial" w:cs="Arial" w:eastAsia="Arial" w:hAnsi="Arial"/>
          <w:sz w:val="12"/>
          <w:szCs w:val="12"/>
          <w:b w:val="1"/>
          <w:bCs w:val="1"/>
          <w:color w:val="auto"/>
        </w:rPr>
        <w:t>Prof. Ugur Sahin, M.D., Chief Executive Officer and Co-Founder of BioNTech</w:t>
      </w:r>
      <w:r>
        <w:rPr>
          <w:rFonts w:ascii="Arial" w:cs="Arial" w:eastAsia="Arial" w:hAnsi="Arial"/>
          <w:sz w:val="12"/>
          <w:szCs w:val="12"/>
          <w:color w:val="auto"/>
        </w:rPr>
        <w:t>. “We will continue to focus on accelerating our key strategic programs as we remain steadfast in our vision to translate our science into survival for patients living with cancer.”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Review for First Quarter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Borders>
              <w:right w:val="single" w:sz="8" w:color="BECE33"/>
            </w:tcBorders>
            <w:gridSpan w:val="2"/>
            <w:vMerge w:val="restart"/>
          </w:tcPr>
          <w:p>
            <w:pPr>
              <w:spacing w:after="0"/>
              <w:rPr>
                <w:sz w:val="20"/>
                <w:szCs w:val="20"/>
                <w:color w:val="auto"/>
              </w:rPr>
            </w:pPr>
            <w:r>
              <w:rPr>
                <w:rFonts w:ascii="Arial" w:cs="Arial" w:eastAsia="Arial" w:hAnsi="Arial"/>
                <w:sz w:val="11"/>
                <w:szCs w:val="11"/>
                <w:i w:val="1"/>
                <w:iCs w:val="1"/>
                <w:color w:val="005A64"/>
              </w:rPr>
              <w:t>in millions €,</w:t>
            </w:r>
          </w:p>
        </w:tc>
        <w:tc>
          <w:tcPr>
            <w:tcW w:w="100" w:type="dxa"/>
            <w:vAlign w:val="bottom"/>
            <w:tcBorders>
              <w:top w:val="single" w:sz="8" w:color="BECE33"/>
            </w:tcBorders>
          </w:tcPr>
          <w:p>
            <w:pPr>
              <w:spacing w:after="0"/>
              <w:rPr>
                <w:sz w:val="14"/>
                <w:szCs w:val="14"/>
                <w:color w:val="auto"/>
              </w:rPr>
            </w:pPr>
          </w:p>
        </w:tc>
        <w:tc>
          <w:tcPr>
            <w:tcW w:w="2980" w:type="dxa"/>
            <w:vAlign w:val="bottom"/>
            <w:tcBorders>
              <w:top w:val="single" w:sz="8" w:color="BECE33"/>
            </w:tcBorders>
            <w:gridSpan w:val="3"/>
          </w:tcPr>
          <w:p>
            <w:pPr>
              <w:ind w:left="1680"/>
              <w:spacing w:after="0"/>
              <w:rPr>
                <w:sz w:val="20"/>
                <w:szCs w:val="20"/>
                <w:color w:val="auto"/>
              </w:rPr>
            </w:pPr>
            <w:r>
              <w:rPr>
                <w:rFonts w:ascii="Arial" w:cs="Arial" w:eastAsia="Arial" w:hAnsi="Arial"/>
                <w:sz w:val="11"/>
                <w:szCs w:val="11"/>
                <w:b w:val="1"/>
                <w:bCs w:val="1"/>
                <w:color w:val="005A64"/>
              </w:rPr>
              <w:t>First Quarter 2026</w:t>
            </w:r>
          </w:p>
        </w:tc>
        <w:tc>
          <w:tcPr>
            <w:tcW w:w="1320" w:type="dxa"/>
            <w:vAlign w:val="bottom"/>
            <w:tcBorders>
              <w:top w:val="single" w:sz="8" w:color="BECE33"/>
            </w:tcBorders>
          </w:tcPr>
          <w:p>
            <w:pPr>
              <w:spacing w:after="0"/>
              <w:rPr>
                <w:sz w:val="14"/>
                <w:szCs w:val="14"/>
                <w:color w:val="auto"/>
              </w:rPr>
            </w:pPr>
          </w:p>
        </w:tc>
        <w:tc>
          <w:tcPr>
            <w:tcW w:w="140" w:type="dxa"/>
            <w:vAlign w:val="bottom"/>
            <w:tcBorders>
              <w:top w:val="single" w:sz="8" w:color="BECE33"/>
              <w:right w:val="single" w:sz="8" w:color="BECE33"/>
            </w:tcBorders>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3"/>
          </w:tcPr>
          <w:p>
            <w:pPr>
              <w:ind w:left="1660"/>
              <w:spacing w:after="0"/>
              <w:rPr>
                <w:sz w:val="20"/>
                <w:szCs w:val="20"/>
                <w:color w:val="auto"/>
              </w:rPr>
            </w:pPr>
            <w:r>
              <w:rPr>
                <w:rFonts w:ascii="Arial" w:cs="Arial" w:eastAsia="Arial" w:hAnsi="Arial"/>
                <w:sz w:val="11"/>
                <w:szCs w:val="11"/>
                <w:b w:val="1"/>
                <w:bCs w:val="1"/>
                <w:color w:val="005A64"/>
              </w:rPr>
              <w:t>First Quarter 2025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2420" w:type="dxa"/>
            <w:vAlign w:val="bottom"/>
            <w:tcBorders>
              <w:right w:val="single" w:sz="8" w:color="BECE33"/>
            </w:tcBorders>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32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2</w:t>
            </w:r>
          </w:p>
        </w:tc>
        <w:tc>
          <w:tcPr>
            <w:tcW w:w="140" w:type="dxa"/>
            <w:vAlign w:val="bottom"/>
            <w:tcBorders>
              <w:right w:val="single" w:sz="8" w:color="BECE33"/>
            </w:tcBorders>
            <w:vMerge w:val="restart"/>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3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Adjusted Results</w:t>
            </w:r>
            <w:r>
              <w:rPr>
                <w:rFonts w:ascii="Arial" w:cs="Arial" w:eastAsia="Arial" w:hAnsi="Arial"/>
                <w:sz w:val="14"/>
                <w:szCs w:val="14"/>
                <w:b w:val="1"/>
                <w:bCs w:val="1"/>
                <w:color w:val="005A64"/>
                <w:vertAlign w:val="superscript"/>
              </w:rPr>
              <w:t>2</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except per share data</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240" w:type="dxa"/>
            <w:vAlign w:val="bottom"/>
          </w:tcPr>
          <w:p>
            <w:pPr>
              <w:spacing w:after="0"/>
              <w:rPr>
                <w:sz w:val="13"/>
                <w:szCs w:val="13"/>
                <w:color w:val="auto"/>
              </w:rPr>
            </w:pPr>
          </w:p>
        </w:tc>
        <w:tc>
          <w:tcPr>
            <w:tcW w:w="720" w:type="dxa"/>
            <w:vAlign w:val="bottom"/>
            <w:tcBorders>
              <w:bottom w:val="single" w:sz="8" w:color="005A64"/>
            </w:tcBorders>
          </w:tcPr>
          <w:p>
            <w:pPr>
              <w:spacing w:after="0"/>
              <w:rPr>
                <w:sz w:val="13"/>
                <w:szCs w:val="13"/>
                <w:color w:val="auto"/>
              </w:rPr>
            </w:pPr>
          </w:p>
        </w:tc>
        <w:tc>
          <w:tcPr>
            <w:tcW w:w="1320" w:type="dxa"/>
            <w:vAlign w:val="bottom"/>
            <w:tcBorders>
              <w:bottom w:val="single" w:sz="8" w:color="005A64"/>
            </w:tcBorders>
            <w:vMerge w:val="continue"/>
          </w:tcPr>
          <w:p>
            <w:pPr>
              <w:spacing w:after="0"/>
              <w:rPr>
                <w:sz w:val="13"/>
                <w:szCs w:val="13"/>
                <w:color w:val="auto"/>
              </w:rPr>
            </w:pPr>
          </w:p>
        </w:tc>
        <w:tc>
          <w:tcPr>
            <w:tcW w:w="140" w:type="dxa"/>
            <w:vAlign w:val="bottom"/>
            <w:tcBorders>
              <w:right w:val="single" w:sz="8" w:color="BECE33"/>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IFRS Results</w:t>
            </w:r>
          </w:p>
        </w:tc>
        <w:tc>
          <w:tcPr>
            <w:tcW w:w="160" w:type="dxa"/>
            <w:vAlign w:val="bottom"/>
          </w:tcPr>
          <w:p>
            <w:pPr>
              <w:spacing w:after="0"/>
              <w:rPr>
                <w:sz w:val="13"/>
                <w:szCs w:val="13"/>
                <w:color w:val="auto"/>
              </w:rPr>
            </w:pPr>
          </w:p>
        </w:tc>
        <w:tc>
          <w:tcPr>
            <w:tcW w:w="740" w:type="dxa"/>
            <w:vAlign w:val="bottom"/>
            <w:tcBorders>
              <w:bottom w:val="single" w:sz="8" w:color="005A64"/>
            </w:tcBorders>
          </w:tcPr>
          <w:p>
            <w:pPr>
              <w:spacing w:after="0"/>
              <w:rPr>
                <w:sz w:val="13"/>
                <w:szCs w:val="13"/>
                <w:color w:val="auto"/>
              </w:rPr>
            </w:pPr>
          </w:p>
        </w:tc>
        <w:tc>
          <w:tcPr>
            <w:tcW w:w="1300" w:type="dxa"/>
            <w:vAlign w:val="bottom"/>
            <w:tcBorders>
              <w:bottom w:val="single" w:sz="8" w:color="005A64"/>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Revenues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118.1</w:t>
            </w:r>
          </w:p>
        </w:tc>
        <w:tc>
          <w:tcPr>
            <w:tcW w:w="24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118.1</w:t>
            </w:r>
          </w:p>
        </w:tc>
        <w:tc>
          <w:tcPr>
            <w:tcW w:w="140" w:type="dxa"/>
            <w:vAlign w:val="bottom"/>
            <w:tcBorders>
              <w:right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182.8</w:t>
            </w:r>
          </w:p>
        </w:tc>
        <w:tc>
          <w:tcPr>
            <w:tcW w:w="160" w:type="dxa"/>
            <w:vAlign w:val="bottom"/>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182.8</w:t>
            </w:r>
          </w:p>
        </w:tc>
        <w:tc>
          <w:tcPr>
            <w:tcW w:w="0" w:type="dxa"/>
            <w:vAlign w:val="bottom"/>
          </w:tcPr>
          <w:p>
            <w:pPr>
              <w:spacing w:after="0"/>
              <w:rPr>
                <w:sz w:val="1"/>
                <w:szCs w:val="1"/>
                <w:color w:val="auto"/>
              </w:rPr>
            </w:pPr>
          </w:p>
        </w:tc>
      </w:tr>
      <w:tr>
        <w:trPr>
          <w:trHeight w:val="160"/>
        </w:trPr>
        <w:tc>
          <w:tcPr>
            <w:tcW w:w="2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005A64"/>
              </w:rPr>
              <w:t>Net loss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(531.9)</w:t>
            </w:r>
          </w:p>
        </w:tc>
        <w:tc>
          <w:tcPr>
            <w:tcW w:w="240" w:type="dxa"/>
            <w:vAlign w:val="bottom"/>
          </w:tcPr>
          <w:p>
            <w:pPr>
              <w:spacing w:after="0"/>
              <w:rPr>
                <w:sz w:val="13"/>
                <w:szCs w:val="13"/>
                <w:color w:val="auto"/>
              </w:rPr>
            </w:pPr>
          </w:p>
        </w:tc>
        <w:tc>
          <w:tcPr>
            <w:tcW w:w="720" w:type="dxa"/>
            <w:vAlign w:val="bottom"/>
            <w:tcBorders>
              <w:bottom w:val="single" w:sz="8" w:color="7FACB1"/>
            </w:tcBorders>
          </w:tcPr>
          <w:p>
            <w:pPr>
              <w:spacing w:after="0"/>
              <w:rPr>
                <w:sz w:val="13"/>
                <w:szCs w:val="13"/>
                <w:color w:val="auto"/>
              </w:rPr>
            </w:pPr>
          </w:p>
        </w:tc>
        <w:tc>
          <w:tcPr>
            <w:tcW w:w="132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(494.6)</w:t>
            </w:r>
          </w:p>
        </w:tc>
        <w:tc>
          <w:tcPr>
            <w:tcW w:w="140" w:type="dxa"/>
            <w:vAlign w:val="bottom"/>
            <w:tcBorders>
              <w:right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(415.8)</w:t>
            </w:r>
          </w:p>
        </w:tc>
        <w:tc>
          <w:tcPr>
            <w:tcW w:w="160" w:type="dxa"/>
            <w:vAlign w:val="bottom"/>
          </w:tcPr>
          <w:p>
            <w:pPr>
              <w:spacing w:after="0"/>
              <w:rPr>
                <w:sz w:val="13"/>
                <w:szCs w:val="13"/>
                <w:color w:val="auto"/>
              </w:rPr>
            </w:pPr>
          </w:p>
        </w:tc>
        <w:tc>
          <w:tcPr>
            <w:tcW w:w="740" w:type="dxa"/>
            <w:vAlign w:val="bottom"/>
            <w:tcBorders>
              <w:bottom w:val="single" w:sz="8" w:color="7FACB1"/>
            </w:tcBorders>
          </w:tcPr>
          <w:p>
            <w:pPr>
              <w:spacing w:after="0"/>
              <w:rPr>
                <w:sz w:val="13"/>
                <w:szCs w:val="13"/>
                <w:color w:val="auto"/>
              </w:rPr>
            </w:pPr>
          </w:p>
        </w:tc>
        <w:tc>
          <w:tcPr>
            <w:tcW w:w="13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(430.8)</w:t>
            </w:r>
          </w:p>
        </w:tc>
        <w:tc>
          <w:tcPr>
            <w:tcW w:w="0" w:type="dxa"/>
            <w:vAlign w:val="bottom"/>
          </w:tcPr>
          <w:p>
            <w:pPr>
              <w:spacing w:after="0"/>
              <w:rPr>
                <w:sz w:val="1"/>
                <w:szCs w:val="1"/>
                <w:color w:val="auto"/>
              </w:rPr>
            </w:pPr>
          </w:p>
        </w:tc>
      </w:tr>
      <w:tr>
        <w:trPr>
          <w:trHeight w:val="160"/>
        </w:trPr>
        <w:tc>
          <w:tcPr>
            <w:tcW w:w="2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Diluted loss per share</w:t>
            </w:r>
          </w:p>
        </w:tc>
        <w:tc>
          <w:tcPr>
            <w:tcW w:w="140" w:type="dxa"/>
            <w:vAlign w:val="bottom"/>
            <w:tcBorders>
              <w:right w:val="single" w:sz="8" w:color="BECE33"/>
            </w:tcBorders>
          </w:tcPr>
          <w:p>
            <w:pPr>
              <w:spacing w:after="0"/>
              <w:rPr>
                <w:sz w:val="13"/>
                <w:szCs w:val="13"/>
                <w:color w:val="auto"/>
              </w:rPr>
            </w:pPr>
          </w:p>
        </w:tc>
        <w:tc>
          <w:tcPr>
            <w:tcW w:w="212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color w:val="005A64"/>
              </w:rPr>
              <w:t>(2.10)</w:t>
            </w:r>
          </w:p>
        </w:tc>
        <w:tc>
          <w:tcPr>
            <w:tcW w:w="240" w:type="dxa"/>
            <w:vAlign w:val="bottom"/>
            <w:tcBorders>
              <w:bottom w:val="single" w:sz="8" w:color="BECE33"/>
            </w:tcBorders>
          </w:tcPr>
          <w:p>
            <w:pPr>
              <w:spacing w:after="0"/>
              <w:rPr>
                <w:sz w:val="13"/>
                <w:szCs w:val="13"/>
                <w:color w:val="auto"/>
              </w:rPr>
            </w:pPr>
          </w:p>
        </w:tc>
        <w:tc>
          <w:tcPr>
            <w:tcW w:w="720" w:type="dxa"/>
            <w:vAlign w:val="bottom"/>
            <w:tcBorders>
              <w:bottom w:val="single" w:sz="8" w:color="BECE33"/>
            </w:tcBorders>
          </w:tcPr>
          <w:p>
            <w:pPr>
              <w:spacing w:after="0"/>
              <w:rPr>
                <w:sz w:val="13"/>
                <w:szCs w:val="13"/>
                <w:color w:val="auto"/>
              </w:rPr>
            </w:pPr>
          </w:p>
        </w:tc>
        <w:tc>
          <w:tcPr>
            <w:tcW w:w="1320" w:type="dxa"/>
            <w:vAlign w:val="bottom"/>
            <w:tcBorders>
              <w:bottom w:val="single" w:sz="8" w:color="BECE33"/>
            </w:tcBorders>
          </w:tcPr>
          <w:p>
            <w:pPr>
              <w:jc w:val="right"/>
              <w:spacing w:after="0"/>
              <w:rPr>
                <w:sz w:val="20"/>
                <w:szCs w:val="20"/>
                <w:color w:val="auto"/>
              </w:rPr>
            </w:pPr>
            <w:r>
              <w:rPr>
                <w:rFonts w:ascii="Arial" w:cs="Arial" w:eastAsia="Arial" w:hAnsi="Arial"/>
                <w:sz w:val="11"/>
                <w:szCs w:val="11"/>
                <w:color w:val="005A64"/>
              </w:rPr>
              <w:t>(1.95)</w:t>
            </w:r>
          </w:p>
        </w:tc>
        <w:tc>
          <w:tcPr>
            <w:tcW w:w="140" w:type="dxa"/>
            <w:vAlign w:val="bottom"/>
            <w:tcBorders>
              <w:bottom w:val="single" w:sz="8" w:color="BECE33"/>
              <w:right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(1.73)</w:t>
            </w:r>
          </w:p>
        </w:tc>
        <w:tc>
          <w:tcPr>
            <w:tcW w:w="160" w:type="dxa"/>
            <w:vAlign w:val="bottom"/>
          </w:tcPr>
          <w:p>
            <w:pPr>
              <w:spacing w:after="0"/>
              <w:rPr>
                <w:sz w:val="13"/>
                <w:szCs w:val="13"/>
                <w:color w:val="auto"/>
              </w:rPr>
            </w:pPr>
          </w:p>
        </w:tc>
        <w:tc>
          <w:tcPr>
            <w:tcW w:w="740" w:type="dxa"/>
            <w:vAlign w:val="bottom"/>
            <w:tcBorders>
              <w:bottom w:val="single" w:sz="8" w:color="005A64"/>
            </w:tcBorders>
          </w:tcPr>
          <w:p>
            <w:pPr>
              <w:spacing w:after="0"/>
              <w:rPr>
                <w:sz w:val="13"/>
                <w:szCs w:val="13"/>
                <w:color w:val="auto"/>
              </w:rPr>
            </w:pPr>
          </w:p>
        </w:tc>
        <w:tc>
          <w:tcPr>
            <w:tcW w:w="13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(1.79)</w:t>
            </w: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2"/>
          <w:szCs w:val="12"/>
          <w:b w:val="1"/>
          <w:bCs w:val="1"/>
          <w:color w:val="auto"/>
        </w:rPr>
        <w:t xml:space="preserve">Revenues </w:t>
      </w:r>
      <w:r>
        <w:rPr>
          <w:rFonts w:ascii="Arial" w:cs="Arial" w:eastAsia="Arial" w:hAnsi="Arial"/>
          <w:sz w:val="12"/>
          <w:szCs w:val="12"/>
          <w:color w:val="auto"/>
        </w:rPr>
        <w:t>for the first quarter of 2026 were €118.1 million, compared to €182.8 million for the comparative prior year period. The decrease was primarily driven by lower revenues of BioNTech’s COVID-19</w:t>
      </w:r>
      <w:r>
        <w:rPr>
          <w:rFonts w:ascii="Arial" w:cs="Arial" w:eastAsia="Arial" w:hAnsi="Arial"/>
          <w:sz w:val="12"/>
          <w:szCs w:val="12"/>
          <w:b w:val="1"/>
          <w:bCs w:val="1"/>
          <w:color w:val="auto"/>
        </w:rPr>
        <w:t xml:space="preserve"> </w:t>
      </w:r>
      <w:r>
        <w:rPr>
          <w:rFonts w:ascii="Arial" w:cs="Arial" w:eastAsia="Arial" w:hAnsi="Arial"/>
          <w:sz w:val="12"/>
          <w:szCs w:val="12"/>
          <w:color w:val="auto"/>
        </w:rPr>
        <w:t>vaccines.</w:t>
      </w:r>
    </w:p>
    <w:p>
      <w:pPr>
        <w:spacing w:after="0" w:line="12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Research and development (“R&amp;D”) expenses </w:t>
      </w:r>
      <w:r>
        <w:rPr>
          <w:rFonts w:ascii="Arial" w:cs="Arial" w:eastAsia="Arial" w:hAnsi="Arial"/>
          <w:sz w:val="12"/>
          <w:szCs w:val="12"/>
          <w:color w:val="auto"/>
        </w:rPr>
        <w:t>were € 557.0 million for the first quarter of 2026, compared to €525.6 million for the comparative prior year period. R&amp;D expenses were mainly driven by higher</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for the development of immuno-oncology (“IO”) and antibody-drug conjugate</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300"/>
          </w:cols>
          <w:pgMar w:left="300" w:top="163" w:right="299" w:bottom="1440" w:gutter="0" w:footer="0" w:header="0"/>
        </w:sectPr>
      </w:pPr>
    </w:p>
    <w:bookmarkStart w:id="5" w:name="page6"/>
    <w:bookmarkEnd w:id="5"/>
    <w:p>
      <w:pPr>
        <w:jc w:val="both"/>
        <w:spacing w:after="0" w:line="164" w:lineRule="exact"/>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(“ADC”) programs, in particular pumitamig and gotistobart, as well as costs from operations of entities acquired during 2025, BioNTech China (previously Biotheus) and CureVac, and an impairment of an intangible asset. These effects were partly offset by lower R&amp;D expenses related to the Company’s COVID</w:t>
      </w:r>
      <w:r>
        <w:rPr>
          <w:rFonts w:ascii="MS PGothic" w:cs="MS PGothic" w:eastAsia="MS PGothic" w:hAnsi="MS PGothic"/>
          <w:sz w:val="12"/>
          <w:szCs w:val="12"/>
          <w:color w:val="auto"/>
        </w:rPr>
        <w:t>‑</w:t>
      </w:r>
      <w:r>
        <w:rPr>
          <w:rFonts w:ascii="Arial" w:cs="Arial" w:eastAsia="Arial" w:hAnsi="Arial"/>
          <w:sz w:val="12"/>
          <w:szCs w:val="12"/>
          <w:color w:val="auto"/>
        </w:rPr>
        <w:t>19 vaccine collaboration with Pfizer Inc. (“Pfizer”).</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Adjusted R&amp;D expenses </w:t>
      </w:r>
      <w:r>
        <w:rPr>
          <w:rFonts w:ascii="Arial" w:cs="Arial" w:eastAsia="Arial" w:hAnsi="Arial"/>
          <w:sz w:val="12"/>
          <w:szCs w:val="12"/>
          <w:color w:val="auto"/>
        </w:rPr>
        <w:t>were €527.1 million for the first quarter of 2026, compared to €525.6 million for the comparative prior year period. For the first quarter of 2026, adjusted R&amp;D expenses exclude the</w:t>
      </w:r>
      <w:r>
        <w:rPr>
          <w:rFonts w:ascii="Arial" w:cs="Arial" w:eastAsia="Arial" w:hAnsi="Arial"/>
          <w:sz w:val="12"/>
          <w:szCs w:val="12"/>
          <w:b w:val="1"/>
          <w:bCs w:val="1"/>
          <w:color w:val="auto"/>
        </w:rPr>
        <w:t xml:space="preserve"> </w:t>
      </w:r>
      <w:r>
        <w:rPr>
          <w:rFonts w:ascii="Arial" w:cs="Arial" w:eastAsia="Arial" w:hAnsi="Arial"/>
          <w:sz w:val="12"/>
          <w:szCs w:val="12"/>
          <w:color w:val="auto"/>
        </w:rPr>
        <w:t>impairment of an intangible asset.</w:t>
      </w:r>
    </w:p>
    <w:p>
      <w:pPr>
        <w:spacing w:after="0" w:line="127" w:lineRule="exact"/>
        <w:rPr>
          <w:sz w:val="20"/>
          <w:szCs w:val="20"/>
          <w:color w:val="auto"/>
        </w:rPr>
      </w:pPr>
    </w:p>
    <w:p>
      <w:pPr>
        <w:jc w:val="both"/>
        <w:ind w:right="20"/>
        <w:spacing w:after="0" w:line="236" w:lineRule="auto"/>
        <w:rPr>
          <w:sz w:val="20"/>
          <w:szCs w:val="20"/>
          <w:color w:val="auto"/>
        </w:rPr>
      </w:pPr>
      <w:r>
        <w:rPr>
          <w:rFonts w:ascii="Arial" w:cs="Arial" w:eastAsia="Arial" w:hAnsi="Arial"/>
          <w:sz w:val="12"/>
          <w:szCs w:val="12"/>
          <w:b w:val="1"/>
          <w:bCs w:val="1"/>
          <w:color w:val="auto"/>
        </w:rPr>
        <w:t>Sales, general and administrative (“SG&amp;A”) expenses</w:t>
      </w:r>
      <w:r>
        <w:rPr>
          <w:rFonts w:ascii="Arial" w:cs="Arial" w:eastAsia="Arial" w:hAnsi="Arial"/>
          <w:sz w:val="15"/>
          <w:szCs w:val="15"/>
          <w:b w:val="1"/>
          <w:bCs w:val="1"/>
          <w:color w:val="auto"/>
          <w:vertAlign w:val="superscript"/>
        </w:rPr>
        <w:t>5</w:t>
      </w:r>
      <w:r>
        <w:rPr>
          <w:rFonts w:ascii="Arial" w:cs="Arial" w:eastAsia="Arial" w:hAnsi="Arial"/>
          <w:sz w:val="12"/>
          <w:szCs w:val="12"/>
          <w:b w:val="1"/>
          <w:bCs w:val="1"/>
          <w:color w:val="auto"/>
        </w:rPr>
        <w:t xml:space="preserve"> </w:t>
      </w:r>
      <w:r>
        <w:rPr>
          <w:rFonts w:ascii="Arial" w:cs="Arial" w:eastAsia="Arial" w:hAnsi="Arial"/>
          <w:sz w:val="12"/>
          <w:szCs w:val="12"/>
          <w:color w:val="auto"/>
        </w:rPr>
        <w:t>were €150.8 million for the first quarter of 2026, compared to €120.6 million for the comparative prior year period. The increase was mainly driven by the</w:t>
      </w:r>
      <w:r>
        <w:rPr>
          <w:rFonts w:ascii="Arial" w:cs="Arial" w:eastAsia="Arial" w:hAnsi="Arial"/>
          <w:sz w:val="12"/>
          <w:szCs w:val="12"/>
          <w:b w:val="1"/>
          <w:bCs w:val="1"/>
          <w:color w:val="auto"/>
        </w:rPr>
        <w:t xml:space="preserve"> </w:t>
      </w:r>
      <w:r>
        <w:rPr>
          <w:rFonts w:ascii="Arial" w:cs="Arial" w:eastAsia="Arial" w:hAnsi="Arial"/>
          <w:sz w:val="12"/>
          <w:szCs w:val="12"/>
          <w:color w:val="auto"/>
        </w:rPr>
        <w:t>ongoing commercial build-up and the inclusion of operations of entities acquired in 2025, BioNTech China (previously Biotheus) and CureVac. These costs were partly offset by a reduction in external services.</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auto"/>
        </w:rPr>
        <w:t>was €531.9 million for the first quarter of 2026, compared to a net loss of €415.8 million for the comparative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net loss </w:t>
      </w:r>
      <w:r>
        <w:rPr>
          <w:rFonts w:ascii="Arial" w:cs="Arial" w:eastAsia="Arial" w:hAnsi="Arial"/>
          <w:sz w:val="12"/>
          <w:szCs w:val="12"/>
          <w:color w:val="auto"/>
        </w:rPr>
        <w:t>was €494.6 million for the first quarter of 2026, compared to an adjusted net loss of €430.8 million for the comparative prior year period.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Diluted loss per share </w:t>
      </w:r>
      <w:r>
        <w:rPr>
          <w:rFonts w:ascii="Arial" w:cs="Arial" w:eastAsia="Arial" w:hAnsi="Arial"/>
          <w:sz w:val="12"/>
          <w:szCs w:val="12"/>
          <w:color w:val="auto"/>
        </w:rPr>
        <w:t>was €2.10 for the first quarter of 2026, compared to a diluted loss per share of €1.73 for the comparative prior year period.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Adjusted diluted loss per share </w:t>
      </w:r>
      <w:r>
        <w:rPr>
          <w:rFonts w:ascii="Arial" w:cs="Arial" w:eastAsia="Arial" w:hAnsi="Arial"/>
          <w:sz w:val="12"/>
          <w:szCs w:val="12"/>
          <w:color w:val="auto"/>
        </w:rPr>
        <w:t>was €1.95 for the first quarter of 2026, compared to adjusted diluted loss per share of €1.79 for the comparative prior year period.</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color w:val="auto"/>
        </w:rPr>
        <w:t xml:space="preserve">Cash, cash equivalents and security investments </w:t>
      </w:r>
      <w:r>
        <w:rPr>
          <w:rFonts w:ascii="Arial" w:cs="Arial" w:eastAsia="Arial" w:hAnsi="Arial"/>
          <w:sz w:val="12"/>
          <w:szCs w:val="12"/>
          <w:color w:val="auto"/>
        </w:rPr>
        <w:t>as of March 31, 2026, were €16,763.3 million, comprising €9,939.4 million in cash and cash equivalents, €4,696.9 million in current security investments</w:t>
      </w:r>
      <w:r>
        <w:rPr>
          <w:rFonts w:ascii="Arial" w:cs="Arial" w:eastAsia="Arial" w:hAnsi="Arial"/>
          <w:sz w:val="12"/>
          <w:szCs w:val="12"/>
          <w:b w:val="1"/>
          <w:bCs w:val="1"/>
          <w:color w:val="auto"/>
        </w:rPr>
        <w:t xml:space="preserve"> </w:t>
      </w:r>
      <w:r>
        <w:rPr>
          <w:rFonts w:ascii="Arial" w:cs="Arial" w:eastAsia="Arial" w:hAnsi="Arial"/>
          <w:sz w:val="12"/>
          <w:szCs w:val="12"/>
          <w:color w:val="auto"/>
        </w:rPr>
        <w:t>disclosed as financial assets and €2,127.0 million in non-current security investments disclosed as financial assets.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Shares outstanding </w:t>
      </w:r>
      <w:r>
        <w:rPr>
          <w:rFonts w:ascii="Arial" w:cs="Arial" w:eastAsia="Arial" w:hAnsi="Arial"/>
          <w:sz w:val="12"/>
          <w:szCs w:val="12"/>
          <w:color w:val="auto"/>
        </w:rPr>
        <w:t>as of March 31, 2026, were 252,884,261, excluding 6,143,226 shares held in treasury.</w:t>
      </w:r>
    </w:p>
    <w:p>
      <w:pPr>
        <w:spacing w:after="0" w:line="177"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 xml:space="preserve">“Our revenues for the first quarter reflect the seasonal demand for COVID-19 vaccines and are in line with our expectations,” </w:t>
      </w:r>
      <w:r>
        <w:rPr>
          <w:rFonts w:ascii="Arial" w:cs="Arial" w:eastAsia="Arial" w:hAnsi="Arial"/>
          <w:sz w:val="12"/>
          <w:szCs w:val="12"/>
          <w:b w:val="1"/>
          <w:bCs w:val="1"/>
          <w:color w:val="auto"/>
        </w:rPr>
        <w:t>said Ramón Zapata, Chief Financial Officer at BioNTech</w:t>
      </w:r>
      <w:r>
        <w:rPr>
          <w:rFonts w:ascii="Arial" w:cs="Arial" w:eastAsia="Arial" w:hAnsi="Arial"/>
          <w:sz w:val="12"/>
          <w:szCs w:val="12"/>
          <w:color w:val="auto"/>
        </w:rPr>
        <w:t>. “We are committed to a diligent capital allocation strategy that empowers us to pursue our goal of evolving into a leading biopharmaceutical company with multiple oncology products by 2030.”</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Reaffirmed 2026 Financial Year Guidance</w:t>
      </w:r>
      <w:r>
        <w:rPr>
          <w:rFonts w:ascii="Arial" w:cs="Arial" w:eastAsia="Arial" w:hAnsi="Arial"/>
          <w:sz w:val="15"/>
          <w:szCs w:val="15"/>
          <w:b w:val="1"/>
          <w:bCs w:val="1"/>
          <w:color w:val="auto"/>
          <w:vertAlign w:val="superscript"/>
        </w:rPr>
        <w:t>6</w:t>
      </w:r>
      <w:r>
        <w:rPr>
          <w:rFonts w:ascii="Arial" w:cs="Arial" w:eastAsia="Arial" w:hAnsi="Arial"/>
          <w:sz w:val="12"/>
          <w:szCs w:val="12"/>
          <w:b w:val="1"/>
          <w:bCs w:val="1"/>
          <w:color w:val="auto"/>
        </w:rPr>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20" w:type="dxa"/>
            <w:vAlign w:val="bottom"/>
            <w:tcBorders>
              <w:top w:val="single" w:sz="8" w:color="005A64"/>
              <w:bottom w:val="single" w:sz="8" w:color="005A64"/>
            </w:tcBorders>
          </w:tcPr>
          <w:p>
            <w:pPr>
              <w:spacing w:after="0"/>
              <w:rPr>
                <w:sz w:val="20"/>
                <w:szCs w:val="20"/>
                <w:color w:val="auto"/>
              </w:rPr>
            </w:pPr>
            <w:r>
              <w:rPr>
                <w:rFonts w:ascii="Arial" w:cs="Arial" w:eastAsia="Arial" w:hAnsi="Arial"/>
                <w:sz w:val="11"/>
                <w:szCs w:val="11"/>
                <w:b w:val="1"/>
                <w:bCs w:val="1"/>
                <w:color w:val="005A64"/>
              </w:rPr>
              <w:t>Revenues for the 2026 financial year</w:t>
            </w:r>
          </w:p>
        </w:tc>
        <w:tc>
          <w:tcPr>
            <w:tcW w:w="180" w:type="dxa"/>
            <w:vAlign w:val="bottom"/>
            <w:tcBorders>
              <w:right w:val="single" w:sz="8" w:color="BECE33"/>
            </w:tcBorders>
          </w:tcPr>
          <w:p>
            <w:pPr>
              <w:spacing w:after="0"/>
              <w:rPr>
                <w:sz w:val="13"/>
                <w:szCs w:val="13"/>
                <w:color w:val="auto"/>
              </w:rPr>
            </w:pPr>
          </w:p>
        </w:tc>
        <w:tc>
          <w:tcPr>
            <w:tcW w:w="6800" w:type="dxa"/>
            <w:vAlign w:val="bottom"/>
            <w:tcBorders>
              <w:top w:val="single" w:sz="8" w:color="BECE33"/>
              <w:bottom w:val="single" w:sz="8" w:color="BECE33"/>
              <w:right w:val="single" w:sz="8" w:color="BECE33"/>
            </w:tcBorders>
          </w:tcPr>
          <w:p>
            <w:pPr>
              <w:ind w:left="2940"/>
              <w:spacing w:after="0"/>
              <w:rPr>
                <w:sz w:val="20"/>
                <w:szCs w:val="20"/>
                <w:color w:val="auto"/>
              </w:rPr>
            </w:pPr>
            <w:r>
              <w:rPr>
                <w:rFonts w:ascii="Arial" w:cs="Arial" w:eastAsia="Arial" w:hAnsi="Arial"/>
                <w:sz w:val="11"/>
                <w:szCs w:val="11"/>
                <w:b w:val="1"/>
                <w:bCs w:val="1"/>
                <w:color w:val="005A64"/>
              </w:rPr>
              <w:t>€2,000 – €2,300 m</w:t>
            </w:r>
          </w:p>
        </w:tc>
      </w:tr>
    </w:tbl>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2"/>
          <w:szCs w:val="12"/>
          <w:color w:val="auto"/>
        </w:rPr>
        <w:t>In 2026, BioNTech anticipates lower COVID-19 vaccine revenues compared to 2025, driven by declines in both the European and United States markets. The United States continues to be a competitive and dynamic market, where, as a result, lower revenues are expected. In Europe, the Company expects lower revenues as it defends its market share and begins managing the transition away from multi-year contracts. In Germany specifically, BioNTech recognizes direct sales of its COVID-19 vaccines as revenue. Hence, the anticipated declines in sales of COVID-19 vaccines in Germany will have a direct impact on the Company’s topline, whereas revenues outside of Germany only affect the Company’s topline as part of the 50% gross profit split with its partner Pfizer. Per the outlined partnership terms, revenues from the collaboration with Bristol Myers Squibb Company (“BMS”) in 2026 are expected to be broadly in line with 2025. Revenues from the pandemic</w:t>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300"/>
          </w:cols>
          <w:pgMar w:left="300" w:top="1162" w:right="299" w:bottom="1440" w:gutter="0" w:footer="0" w:header="0"/>
        </w:sectPr>
      </w:pPr>
    </w:p>
    <w:bookmarkStart w:id="6" w:name="page7"/>
    <w:bookmarkEnd w:id="6"/>
    <w:p>
      <w:pPr>
        <w:ind w:left="8"/>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preparedness contract with the German government and service businesses are expected to remain stable.</w:t>
      </w:r>
    </w:p>
    <w:p>
      <w:pPr>
        <w:sectPr>
          <w:pgSz w:w="11900" w:h="16838" w:orient="portrait"/>
          <w:cols w:equalWidth="0" w:num="1">
            <w:col w:w="11308"/>
          </w:cols>
          <w:pgMar w:left="292" w:top="1162" w:right="299" w:bottom="1440" w:gutter="0" w:footer="0" w:header="0"/>
        </w:sectPr>
      </w:pPr>
    </w:p>
    <w:p>
      <w:pPr>
        <w:spacing w:after="0" w:line="18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Planned 2026 Financial Year Adjusted Expenses</w:t>
      </w:r>
      <w:r>
        <w:rPr>
          <w:rFonts w:ascii="Arial" w:cs="Arial" w:eastAsia="Arial" w:hAnsi="Arial"/>
          <w:sz w:val="14"/>
          <w:szCs w:val="14"/>
          <w:b w:val="1"/>
          <w:bCs w:val="1"/>
          <w:color w:val="auto"/>
          <w:vertAlign w:val="superscript"/>
        </w:rPr>
        <w:t>6</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7489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31"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R&amp;D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27489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1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SG&amp;A expenses</w:t>
      </w:r>
      <w:r>
        <w:rPr>
          <w:rFonts w:ascii="Arial" w:cs="Arial" w:eastAsia="Arial" w:hAnsi="Arial"/>
          <w:sz w:val="14"/>
          <w:szCs w:val="14"/>
          <w:b w:val="1"/>
          <w:bCs w:val="1"/>
          <w:color w:val="005A64"/>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2748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89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jc w:val="center"/>
        <w:ind w:right="2960"/>
        <w:spacing w:after="0"/>
        <w:rPr>
          <w:sz w:val="20"/>
          <w:szCs w:val="20"/>
          <w:color w:val="auto"/>
        </w:rPr>
      </w:pPr>
      <w:r>
        <w:rPr>
          <w:rFonts w:ascii="Arial" w:cs="Arial" w:eastAsia="Arial" w:hAnsi="Arial"/>
          <w:sz w:val="10"/>
          <w:szCs w:val="10"/>
          <w:b w:val="1"/>
          <w:bCs w:val="1"/>
          <w:color w:val="005A64"/>
        </w:rPr>
        <w:t>€2,200 – €2,500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-83820</wp:posOffset>
            </wp:positionV>
            <wp:extent cx="4320540" cy="234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20540" cy="234315"/>
                    </a:xfrm>
                    <a:prstGeom prst="rect">
                      <a:avLst/>
                    </a:prstGeom>
                    <a:noFill/>
                  </pic:spPr>
                </pic:pic>
              </a:graphicData>
            </a:graphic>
          </wp:anchor>
        </w:drawing>
      </w:r>
    </w:p>
    <w:p>
      <w:pPr>
        <w:spacing w:after="0" w:line="45" w:lineRule="exact"/>
        <w:rPr>
          <w:sz w:val="20"/>
          <w:szCs w:val="20"/>
          <w:color w:val="auto"/>
        </w:rPr>
      </w:pPr>
    </w:p>
    <w:p>
      <w:pPr>
        <w:jc w:val="center"/>
        <w:ind w:right="2960"/>
        <w:spacing w:after="0"/>
        <w:rPr>
          <w:sz w:val="20"/>
          <w:szCs w:val="20"/>
          <w:color w:val="auto"/>
        </w:rPr>
      </w:pPr>
      <w:r>
        <w:rPr>
          <w:rFonts w:ascii="Arial" w:cs="Arial" w:eastAsia="Arial" w:hAnsi="Arial"/>
          <w:sz w:val="11"/>
          <w:szCs w:val="11"/>
          <w:b w:val="1"/>
          <w:bCs w:val="1"/>
          <w:color w:val="005A64"/>
        </w:rPr>
        <w:t>€700 – €800 m</w:t>
      </w:r>
    </w:p>
    <w:p>
      <w:pPr>
        <w:spacing w:after="0" w:line="227" w:lineRule="exact"/>
        <w:rPr>
          <w:sz w:val="20"/>
          <w:szCs w:val="20"/>
          <w:color w:val="auto"/>
        </w:rPr>
      </w:pPr>
    </w:p>
    <w:p>
      <w:pPr>
        <w:sectPr>
          <w:pgSz w:w="11900" w:h="16838" w:orient="portrait"/>
          <w:cols w:equalWidth="0" w:num="2">
            <w:col w:w="6728" w:space="720"/>
            <w:col w:w="3860"/>
          </w:cols>
          <w:pgMar w:left="292" w:top="1162" w:right="299" w:bottom="1440" w:gutter="0" w:footer="0" w:header="0"/>
          <w:type w:val="continuous"/>
        </w:sectPr>
      </w:pPr>
    </w:p>
    <w:p>
      <w:pPr>
        <w:spacing w:after="0" w:line="2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BioNTech will continue to focus investments on R&amp;D and scaling the business for late-stage development and commercial readiness in oncology, while remaining cost-disciplined. Strategic capital allocation will continue to foster innovation and be a key driver of the Company’s trajectory. As part of BioNTech’s strategy, the Company may continue to evaluate appropriate corporate development opportunities with the aim of driving sustainable long-term growth and creating future value.</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Planned Capital Return to Shareholders</w:t>
      </w:r>
    </w:p>
    <w:p>
      <w:pPr>
        <w:spacing w:after="0" w:line="27" w:lineRule="exact"/>
        <w:rPr>
          <w:sz w:val="20"/>
          <w:szCs w:val="20"/>
          <w:color w:val="auto"/>
        </w:rPr>
      </w:pPr>
    </w:p>
    <w:p>
      <w:pPr>
        <w:jc w:val="both"/>
        <w:ind w:left="8" w:right="20"/>
        <w:spacing w:after="0" w:line="266" w:lineRule="auto"/>
        <w:rPr>
          <w:sz w:val="20"/>
          <w:szCs w:val="20"/>
          <w:color w:val="auto"/>
        </w:rPr>
      </w:pPr>
      <w:r>
        <w:rPr>
          <w:rFonts w:ascii="Arial" w:cs="Arial" w:eastAsia="Arial" w:hAnsi="Arial"/>
          <w:sz w:val="12"/>
          <w:szCs w:val="12"/>
          <w:color w:val="auto"/>
        </w:rPr>
        <w:t>The Management Board and Supervisory Board expect to authorize a share repurchase program of BioNTech’s American Depositary Shares (“ADSs”), pursuant to which the Company may repurchase ADSs in the amount of up to $1.0 billion over the next twelve months. BioNTech expects to use the repurchased ADSs to satisfy obligations in the ordinary course of business. The program is designed to enhance capital efficiency and support long-term value creation to execute BioNTech’s objective to become a multi-product company by 2030.</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Manufacturing Footprint Consolidation</w:t>
      </w:r>
    </w:p>
    <w:p>
      <w:pPr>
        <w:spacing w:after="0" w:line="18" w:lineRule="exact"/>
        <w:rPr>
          <w:sz w:val="20"/>
          <w:szCs w:val="20"/>
          <w:color w:val="auto"/>
        </w:rPr>
      </w:pPr>
    </w:p>
    <w:p>
      <w:pPr>
        <w:jc w:val="both"/>
        <w:ind w:left="8" w:right="20"/>
        <w:spacing w:after="0" w:line="281" w:lineRule="auto"/>
        <w:rPr>
          <w:sz w:val="20"/>
          <w:szCs w:val="20"/>
          <w:color w:val="auto"/>
        </w:rPr>
      </w:pPr>
      <w:r>
        <w:rPr>
          <w:rFonts w:ascii="Arial" w:cs="Arial" w:eastAsia="Arial" w:hAnsi="Arial"/>
          <w:sz w:val="12"/>
          <w:szCs w:val="12"/>
          <w:color w:val="auto"/>
        </w:rPr>
        <w:t>BioNTech continues to allocate capital strategically while optimizing capacities broadly to drive operational efficiency and sustainable value creation. To this end, BioNTech plans to align and consolidate its manufacturing network further where excess capacity is expected, due to evolving supply needs, mergers and acquisitions, BioNTech’s partners’ manufacturing capacities and completion of contracts.</w:t>
      </w:r>
    </w:p>
    <w:p>
      <w:pPr>
        <w:spacing w:after="0" w:line="13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BioNTech plans to exit operations at the manufacturing sites in Idar-Oberstein, Marburg, and Singapore as well as CureVac’s sites, affecting up to approximately 1,860 positions in total. The exit from the sites in Idar-Oberstein, Marburg, and Tübingen is planned by the end of 2027, while operations in Singapore are expected to conclude in Q1 2027. For each of these manufacturing sites, BioNTech is exploring divestment options, including a partial or total sale.</w:t>
      </w:r>
    </w:p>
    <w:p>
      <w:pPr>
        <w:spacing w:after="0" w:line="135" w:lineRule="exact"/>
        <w:rPr>
          <w:sz w:val="20"/>
          <w:szCs w:val="20"/>
          <w:color w:val="auto"/>
        </w:rPr>
      </w:pPr>
    </w:p>
    <w:p>
      <w:pPr>
        <w:jc w:val="both"/>
        <w:ind w:left="8" w:right="20"/>
        <w:spacing w:after="0" w:line="234" w:lineRule="auto"/>
        <w:rPr>
          <w:sz w:val="20"/>
          <w:szCs w:val="20"/>
          <w:color w:val="auto"/>
        </w:rPr>
      </w:pPr>
      <w:r>
        <w:rPr>
          <w:rFonts w:ascii="Arial" w:cs="Arial" w:eastAsia="Arial" w:hAnsi="Arial"/>
          <w:sz w:val="12"/>
          <w:szCs w:val="12"/>
          <w:color w:val="auto"/>
        </w:rPr>
        <w:t>BioNTech expects cost savings to ramp up over time, potentially reaching approximately €500 million in recurring annual savings upon full implementation of the measures in 2029.</w:t>
      </w:r>
      <w:r>
        <w:rPr>
          <w:rFonts w:ascii="Arial" w:cs="Arial" w:eastAsia="Arial" w:hAnsi="Arial"/>
          <w:sz w:val="15"/>
          <w:szCs w:val="15"/>
          <w:color w:val="auto"/>
          <w:vertAlign w:val="superscript"/>
        </w:rPr>
        <w:t>7</w:t>
      </w:r>
      <w:r>
        <w:rPr>
          <w:rFonts w:ascii="Arial" w:cs="Arial" w:eastAsia="Arial" w:hAnsi="Arial"/>
          <w:sz w:val="12"/>
          <w:szCs w:val="12"/>
          <w:color w:val="auto"/>
        </w:rPr>
        <w:t xml:space="preserve"> These savings are intended to support the Company’s capital allocation to further advance its growing oncology pipeline toward commercialization.</w:t>
      </w:r>
    </w:p>
    <w:p>
      <w:pPr>
        <w:spacing w:after="0" w:line="157" w:lineRule="exact"/>
        <w:rPr>
          <w:sz w:val="20"/>
          <w:szCs w:val="20"/>
          <w:color w:val="auto"/>
        </w:rPr>
      </w:pPr>
    </w:p>
    <w:p>
      <w:pPr>
        <w:jc w:val="both"/>
        <w:ind w:left="8"/>
        <w:spacing w:after="0" w:line="301" w:lineRule="auto"/>
        <w:rPr>
          <w:sz w:val="20"/>
          <w:szCs w:val="20"/>
          <w:color w:val="auto"/>
        </w:rPr>
      </w:pPr>
      <w:r>
        <w:rPr>
          <w:rFonts w:ascii="Arial" w:cs="Arial" w:eastAsia="Arial" w:hAnsi="Arial"/>
          <w:sz w:val="12"/>
          <w:szCs w:val="12"/>
          <w:color w:val="auto"/>
        </w:rPr>
        <w:t>BioNTech continues to ensure a robust drug supply via its established manufacturing network. No impact on commercial or clinical supply nor contractual obligations is expected as the affected sites will become underutilized or idle in the next 24 months.</w:t>
      </w:r>
    </w:p>
    <w:p>
      <w:pPr>
        <w:spacing w:after="0" w:line="113" w:lineRule="exact"/>
        <w:rPr>
          <w:sz w:val="20"/>
          <w:szCs w:val="20"/>
          <w:color w:val="auto"/>
        </w:rPr>
      </w:pPr>
    </w:p>
    <w:p>
      <w:pPr>
        <w:jc w:val="both"/>
        <w:ind w:left="8" w:right="20"/>
        <w:spacing w:after="0" w:line="301" w:lineRule="auto"/>
        <w:rPr>
          <w:sz w:val="20"/>
          <w:szCs w:val="20"/>
          <w:color w:val="auto"/>
        </w:rPr>
      </w:pPr>
      <w:r>
        <w:rPr>
          <w:rFonts w:ascii="Arial" w:cs="Arial" w:eastAsia="Arial" w:hAnsi="Arial"/>
          <w:sz w:val="12"/>
          <w:szCs w:val="12"/>
          <w:color w:val="auto"/>
        </w:rPr>
        <w:t xml:space="preserve">The full interim unaudited condensed consolidated financial statements can be found in BioNTech’s Report on Form 6-K for the period ended March 31, 2026, filed today with the United States Securities and Exchange Commission (“SEC”) and available at </w:t>
      </w:r>
      <w:r>
        <w:rPr>
          <w:rFonts w:ascii="Arial" w:cs="Arial" w:eastAsia="Arial" w:hAnsi="Arial"/>
          <w:sz w:val="12"/>
          <w:szCs w:val="12"/>
          <w:u w:val="single" w:color="auto"/>
          <w:color w:val="auto"/>
        </w:rPr>
        <w:t>www.sec.gov</w:t>
      </w:r>
      <w:r>
        <w:rPr>
          <w:rFonts w:ascii="Arial" w:cs="Arial" w:eastAsia="Arial" w:hAnsi="Arial"/>
          <w:sz w:val="12"/>
          <w:szCs w:val="12"/>
          <w:color w:val="auto"/>
        </w:rPr>
        <w:t>.</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Endnotes</w:t>
      </w:r>
    </w:p>
    <w:p>
      <w:pPr>
        <w:ind w:left="68" w:hanging="68"/>
        <w:spacing w:after="0" w:line="212" w:lineRule="auto"/>
        <w:tabs>
          <w:tab w:leader="none" w:pos="68" w:val="left"/>
        </w:tabs>
        <w:numPr>
          <w:ilvl w:val="0"/>
          <w:numId w:val="2"/>
        </w:numPr>
        <w:rPr>
          <w:rFonts w:ascii="Arial" w:cs="Arial" w:eastAsia="Arial" w:hAnsi="Arial"/>
          <w:sz w:val="14"/>
          <w:szCs w:val="14"/>
          <w:color w:val="auto"/>
          <w:vertAlign w:val="superscript"/>
        </w:rPr>
      </w:pPr>
      <w:r>
        <w:rPr>
          <w:rFonts w:ascii="Arial" w:cs="Arial" w:eastAsia="Arial" w:hAnsi="Arial"/>
          <w:sz w:val="11"/>
          <w:szCs w:val="11"/>
          <w:color w:val="auto"/>
        </w:rPr>
        <w:t>All numbers in this press release have been rounded.</w:t>
      </w:r>
    </w:p>
    <w:p>
      <w:pPr>
        <w:ind w:left="68" w:hanging="68"/>
        <w:spacing w:after="0" w:line="213" w:lineRule="auto"/>
        <w:tabs>
          <w:tab w:leader="none" w:pos="68"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In addition to BioNTech’s results determined in accordance with International Financial Reporting Standards (“IFRS”), or IFRS Accounting Standards, or IFRS results, BioNTech reports certain adjusted, non-IFRS measures</w:t>
      </w: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308"/>
          </w:cols>
          <w:pgMar w:left="292" w:top="1162" w:right="299" w:bottom="1440" w:gutter="0" w:footer="0" w:header="0"/>
          <w:type w:val="continuous"/>
        </w:sectPr>
      </w:pPr>
    </w:p>
    <w:bookmarkStart w:id="7" w:name="page8"/>
    <w:bookmarkEnd w:id="7"/>
    <w:p>
      <w:pPr>
        <w:jc w:val="both"/>
        <w:ind w:left="8"/>
        <w:spacing w:after="0" w:line="25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 xml:space="preserve">used internally as a supplemental measure of the Company’s business performance (each referred to with the prefix “Adjusted” or, as a whole, “Adjusted Results”). The calculation of these measures and the adjusted results as a whole is based on the concepts of the applicable IFRS Accounting Standards, but includes certain adjustments. Reconciliation of the adjusted results to BioNTech’s measures based on IFRS Accounting Standards and more information can be found at the end of this press release and in BioNTech’s Report on Form 6-K for the period ended March 31, 2026, filed on May 5, 2026, which is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 While non-IFRS measures may offer additional insights, BioNTech’s non-IFRS measures are not, and should not be viewed as, a substitute for their most directly comparable IFRS Accounting Standards measures, and should always be considered alongside the Company’s financial statements prepared in accordance with IFRS Accounting Standards.</w:t>
      </w:r>
    </w:p>
    <w:p>
      <w:pPr>
        <w:ind w:left="68" w:hanging="68"/>
        <w:spacing w:after="0" w:line="204" w:lineRule="auto"/>
        <w:tabs>
          <w:tab w:leader="none" w:pos="68" w:val="left"/>
        </w:tabs>
        <w:numPr>
          <w:ilvl w:val="0"/>
          <w:numId w:val="4"/>
        </w:numPr>
        <w:rPr>
          <w:rFonts w:ascii="Arial" w:cs="Arial" w:eastAsia="Arial" w:hAnsi="Arial"/>
          <w:sz w:val="14"/>
          <w:szCs w:val="14"/>
          <w:color w:val="auto"/>
          <w:vertAlign w:val="superscript"/>
        </w:rPr>
      </w:pPr>
      <w:r>
        <w:rPr>
          <w:rFonts w:ascii="Arial" w:cs="Arial" w:eastAsia="Arial" w:hAnsi="Arial"/>
          <w:sz w:val="11"/>
          <w:szCs w:val="11"/>
          <w:color w:val="auto"/>
        </w:rPr>
        <w:t>Calculated applying the average foreign exchange rate for the three months ended March 31, 2026, as published by the German Central Bank (Deutsche Bundesbank).</w:t>
      </w:r>
    </w:p>
    <w:p>
      <w:pPr>
        <w:spacing w:after="0" w:line="3" w:lineRule="exact"/>
        <w:rPr>
          <w:rFonts w:ascii="Arial" w:cs="Arial" w:eastAsia="Arial" w:hAnsi="Arial"/>
          <w:sz w:val="14"/>
          <w:szCs w:val="14"/>
          <w:color w:val="auto"/>
          <w:vertAlign w:val="superscript"/>
        </w:rPr>
      </w:pPr>
    </w:p>
    <w:p>
      <w:pPr>
        <w:ind w:left="8"/>
        <w:spacing w:after="0" w:line="201"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4</w:t>
      </w:r>
      <w:r>
        <w:rPr>
          <w:rFonts w:ascii="Arial" w:cs="Arial" w:eastAsia="Arial" w:hAnsi="Arial"/>
          <w:sz w:val="11"/>
          <w:szCs w:val="11"/>
          <w:color w:val="auto"/>
        </w:rPr>
        <w:t xml:space="preserve"> As of March 31, 2026.</w:t>
      </w:r>
    </w:p>
    <w:p>
      <w:pPr>
        <w:ind w:left="8" w:right="20"/>
        <w:spacing w:after="0" w:line="222"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5</w:t>
      </w:r>
      <w:r>
        <w:rPr>
          <w:rFonts w:ascii="Arial" w:cs="Arial" w:eastAsia="Arial" w:hAnsi="Arial"/>
          <w:sz w:val="11"/>
          <w:szCs w:val="11"/>
          <w:color w:val="auto"/>
        </w:rPr>
        <w:t xml:space="preserve"> Sales, general and administrative expenses (“SG&amp;A”) include sales and marketing expenses as well as general and administrative expenses. Adjusted SG&amp;A expenses include adjusted sales and marketing expenses as well as adjusted general and administrative expenses.</w:t>
      </w:r>
    </w:p>
    <w:p>
      <w:pPr>
        <w:jc w:val="both"/>
        <w:ind w:left="8" w:right="20"/>
        <w:spacing w:after="0" w:line="234"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6</w:t>
      </w:r>
      <w:r>
        <w:rPr>
          <w:rFonts w:ascii="Arial" w:cs="Arial" w:eastAsia="Arial" w:hAnsi="Arial"/>
          <w:sz w:val="11"/>
          <w:szCs w:val="11"/>
          <w:color w:val="auto"/>
        </w:rPr>
        <w:t xml:space="preserve"> Excludes risks that are not yet known and/or quantifiable and related activities. Includes effects identified from licensing arrangements, collaborations and Merger &amp; Acquisitions (“M&amp;A”) transactions to the extent disclosed. The guidance is based on non-IFRS measures and excludes certain effects compared to measures based on IFRS Accounting Standards. More information can be found in BioNTech’s Report on Form 6-K for the period ended March 31, 2026, filed on May 5, 2026, which is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w:t>
      </w:r>
    </w:p>
    <w:p>
      <w:pPr>
        <w:spacing w:after="0" w:line="1" w:lineRule="exact"/>
        <w:rPr>
          <w:rFonts w:ascii="Arial" w:cs="Arial" w:eastAsia="Arial" w:hAnsi="Arial"/>
          <w:sz w:val="14"/>
          <w:szCs w:val="14"/>
          <w:color w:val="auto"/>
          <w:vertAlign w:val="superscript"/>
        </w:rPr>
      </w:pPr>
    </w:p>
    <w:p>
      <w:pPr>
        <w:ind w:left="8" w:right="20"/>
        <w:spacing w:after="0" w:line="225" w:lineRule="auto"/>
        <w:rPr>
          <w:rFonts w:ascii="Arial" w:cs="Arial" w:eastAsia="Arial" w:hAnsi="Arial"/>
          <w:sz w:val="14"/>
          <w:szCs w:val="14"/>
          <w:color w:val="auto"/>
          <w:vertAlign w:val="superscript"/>
        </w:rPr>
      </w:pPr>
      <w:r>
        <w:rPr>
          <w:rFonts w:ascii="Arial" w:cs="Arial" w:eastAsia="Arial" w:hAnsi="Arial"/>
          <w:sz w:val="14"/>
          <w:szCs w:val="14"/>
          <w:color w:val="auto"/>
          <w:vertAlign w:val="superscript"/>
        </w:rPr>
        <w:t>7</w:t>
      </w:r>
      <w:r>
        <w:rPr>
          <w:rFonts w:ascii="Arial" w:cs="Arial" w:eastAsia="Arial" w:hAnsi="Arial"/>
          <w:sz w:val="11"/>
          <w:szCs w:val="11"/>
          <w:color w:val="auto"/>
        </w:rPr>
        <w:t xml:space="preserve"> Expected savings relative to BioNTech's 2025 cost base and CureVac's 2026 budget; do not reflect partially offsetting costs for Contract Development and Manufacturing Organizations (“CDMO”) use or transfer to other sites; and exclude exit costs, which will be recorded as incurred.</w:t>
      </w:r>
    </w:p>
    <w:p>
      <w:pPr>
        <w:ind w:left="8"/>
        <w:spacing w:after="0"/>
        <w:rPr>
          <w:rFonts w:ascii="Arial" w:cs="Arial" w:eastAsia="Arial" w:hAnsi="Arial"/>
          <w:sz w:val="14"/>
          <w:szCs w:val="14"/>
          <w:color w:val="auto"/>
          <w:vertAlign w:val="superscript"/>
        </w:rPr>
      </w:pPr>
      <w:r>
        <w:rPr>
          <w:rFonts w:ascii="Arial" w:cs="Arial" w:eastAsia="Arial" w:hAnsi="Arial"/>
          <w:sz w:val="14"/>
          <w:szCs w:val="14"/>
          <w:color w:val="auto"/>
          <w:vertAlign w:val="superscript"/>
        </w:rPr>
        <w:t>8</w:t>
      </w:r>
      <w:r>
        <w:rPr>
          <w:rFonts w:ascii="Arial" w:cs="Arial" w:eastAsia="Arial" w:hAnsi="Arial"/>
          <w:sz w:val="11"/>
          <w:szCs w:val="11"/>
          <w:color w:val="auto"/>
        </w:rPr>
        <w:t xml:space="preserve"> An overview of abbreviations of target structures and indications is compiled in a directory at the end of this press release.</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Select Oncology Pipeline Updates</w:t>
      </w:r>
    </w:p>
    <w:p>
      <w:pPr>
        <w:spacing w:after="0" w:line="17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Next-Generation Immunomodulators and Combinations</w:t>
      </w:r>
    </w:p>
    <w:p>
      <w:pPr>
        <w:spacing w:after="0" w:line="1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Pumitamig (BNT327/BMS986545) </w:t>
      </w:r>
      <w:r>
        <w:rPr>
          <w:rFonts w:ascii="Arial" w:cs="Arial" w:eastAsia="Arial" w:hAnsi="Arial"/>
          <w:sz w:val="12"/>
          <w:szCs w:val="12"/>
          <w:color w:val="auto"/>
        </w:rPr>
        <w:t>is an investigational bispecific immunomodulator combining PD-L1</w:t>
      </w:r>
      <w:r>
        <w:rPr>
          <w:rFonts w:ascii="Arial" w:cs="Arial" w:eastAsia="Arial" w:hAnsi="Arial"/>
          <w:sz w:val="15"/>
          <w:szCs w:val="15"/>
          <w:color w:val="auto"/>
          <w:vertAlign w:val="superscript"/>
        </w:rPr>
        <w:t>8</w:t>
      </w:r>
      <w:r>
        <w:rPr>
          <w:rFonts w:ascii="Arial" w:cs="Arial" w:eastAsia="Arial" w:hAnsi="Arial"/>
          <w:sz w:val="12"/>
          <w:szCs w:val="12"/>
          <w:b w:val="1"/>
          <w:bCs w:val="1"/>
          <w:color w:val="auto"/>
        </w:rPr>
        <w:t xml:space="preserve"> </w:t>
      </w:r>
      <w:r>
        <w:rPr>
          <w:rFonts w:ascii="Arial" w:cs="Arial" w:eastAsia="Arial" w:hAnsi="Arial"/>
          <w:sz w:val="12"/>
          <w:szCs w:val="12"/>
          <w:color w:val="auto"/>
        </w:rPr>
        <w:t>checkpoint inhibition with VEGF-A neutralization that is being developed in collaboration with BMS.</w:t>
      </w:r>
    </w:p>
    <w:p>
      <w:pPr>
        <w:spacing w:after="0" w:line="134" w:lineRule="exact"/>
        <w:rPr>
          <w:sz w:val="20"/>
          <w:szCs w:val="20"/>
          <w:color w:val="auto"/>
        </w:rPr>
      </w:pPr>
    </w:p>
    <w:p>
      <w:pPr>
        <w:ind w:left="428" w:hanging="212"/>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the first quarter of 2026, the following pivotal trials evaluating pumitamig were initiated:</w:t>
      </w:r>
    </w:p>
    <w:p>
      <w:pPr>
        <w:spacing w:after="0" w:line="20" w:lineRule="exact"/>
        <w:rPr>
          <w:rFonts w:ascii="Arial" w:cs="Arial" w:eastAsia="Arial" w:hAnsi="Arial"/>
          <w:sz w:val="12"/>
          <w:szCs w:val="12"/>
          <w:color w:val="auto"/>
        </w:rPr>
      </w:pPr>
    </w:p>
    <w:p>
      <w:pPr>
        <w:ind w:left="868" w:hanging="220"/>
        <w:spacing w:after="0"/>
        <w:tabs>
          <w:tab w:leader="none" w:pos="868" w:val="left"/>
        </w:tabs>
        <w:numPr>
          <w:ilvl w:val="1"/>
          <w:numId w:val="5"/>
        </w:numPr>
        <w:rPr>
          <w:rFonts w:ascii="Arial" w:cs="Arial" w:eastAsia="Arial" w:hAnsi="Arial"/>
          <w:sz w:val="12"/>
          <w:szCs w:val="12"/>
          <w:color w:val="auto"/>
        </w:rPr>
      </w:pPr>
      <w:r>
        <w:rPr>
          <w:rFonts w:ascii="Arial" w:cs="Arial" w:eastAsia="Arial" w:hAnsi="Arial"/>
          <w:sz w:val="12"/>
          <w:szCs w:val="12"/>
          <w:color w:val="auto"/>
        </w:rPr>
        <w:t xml:space="preserve">A global Phase 3 clinical trial in patients with first-line triple-negative breast cancer (“TNBC”) (ROSETTA Breast-01; </w:t>
      </w:r>
      <w:r>
        <w:rPr>
          <w:rFonts w:ascii="Arial" w:cs="Arial" w:eastAsia="Arial" w:hAnsi="Arial"/>
          <w:sz w:val="12"/>
          <w:szCs w:val="12"/>
          <w:u w:val="single" w:color="auto"/>
          <w:color w:val="auto"/>
        </w:rPr>
        <w:t>NCT07173751</w:t>
      </w:r>
      <w:r>
        <w:rPr>
          <w:rFonts w:ascii="Arial" w:cs="Arial" w:eastAsia="Arial" w:hAnsi="Arial"/>
          <w:sz w:val="12"/>
          <w:szCs w:val="12"/>
          <w:color w:val="auto"/>
        </w:rPr>
        <w:t>).</w:t>
      </w:r>
    </w:p>
    <w:p>
      <w:pPr>
        <w:spacing w:after="0" w:line="12" w:lineRule="exact"/>
        <w:rPr>
          <w:rFonts w:ascii="Arial" w:cs="Arial" w:eastAsia="Arial" w:hAnsi="Arial"/>
          <w:sz w:val="12"/>
          <w:szCs w:val="12"/>
          <w:color w:val="auto"/>
        </w:rPr>
      </w:pPr>
    </w:p>
    <w:p>
      <w:pPr>
        <w:ind w:left="868" w:hanging="220"/>
        <w:spacing w:after="0"/>
        <w:tabs>
          <w:tab w:leader="none" w:pos="868" w:val="left"/>
        </w:tabs>
        <w:numPr>
          <w:ilvl w:val="1"/>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in first-line microsatellite stable colorectal cancer (“MSS-CRC”) (ROSETTA CRC-203; </w:t>
      </w:r>
      <w:r>
        <w:rPr>
          <w:rFonts w:ascii="Arial" w:cs="Arial" w:eastAsia="Arial" w:hAnsi="Arial"/>
          <w:sz w:val="12"/>
          <w:szCs w:val="12"/>
          <w:u w:val="single" w:color="auto"/>
          <w:color w:val="auto"/>
        </w:rPr>
        <w:t>NCT07221357</w:t>
      </w:r>
      <w:r>
        <w:rPr>
          <w:rFonts w:ascii="Arial" w:cs="Arial" w:eastAsia="Arial" w:hAnsi="Arial"/>
          <w:sz w:val="12"/>
          <w:szCs w:val="12"/>
          <w:color w:val="auto"/>
        </w:rPr>
        <w:t>).</w:t>
      </w:r>
    </w:p>
    <w:p>
      <w:pPr>
        <w:spacing w:after="0" w:line="8" w:lineRule="exact"/>
        <w:rPr>
          <w:rFonts w:ascii="Arial" w:cs="Arial" w:eastAsia="Arial" w:hAnsi="Arial"/>
          <w:sz w:val="12"/>
          <w:szCs w:val="12"/>
          <w:color w:val="auto"/>
        </w:rPr>
      </w:pPr>
    </w:p>
    <w:p>
      <w:pPr>
        <w:ind w:left="868" w:hanging="220"/>
        <w:spacing w:after="0"/>
        <w:tabs>
          <w:tab w:leader="none" w:pos="868" w:val="left"/>
        </w:tabs>
        <w:numPr>
          <w:ilvl w:val="1"/>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in first-line gastric cancer (ROSETTA Gastric-204; </w:t>
      </w:r>
      <w:r>
        <w:rPr>
          <w:rFonts w:ascii="Arial" w:cs="Arial" w:eastAsia="Arial" w:hAnsi="Arial"/>
          <w:sz w:val="12"/>
          <w:szCs w:val="12"/>
          <w:u w:val="single" w:color="auto"/>
          <w:color w:val="auto"/>
        </w:rPr>
        <w:t>NCT07221149</w:t>
      </w:r>
      <w:r>
        <w:rPr>
          <w:rFonts w:ascii="Arial" w:cs="Arial" w:eastAsia="Arial" w:hAnsi="Arial"/>
          <w:sz w:val="12"/>
          <w:szCs w:val="12"/>
          <w:color w:val="auto"/>
        </w:rPr>
        <w:t>).</w:t>
      </w:r>
    </w:p>
    <w:p>
      <w:pPr>
        <w:spacing w:after="0" w:line="27" w:lineRule="exact"/>
        <w:rPr>
          <w:rFonts w:ascii="Arial" w:cs="Arial" w:eastAsia="Arial" w:hAnsi="Arial"/>
          <w:sz w:val="12"/>
          <w:szCs w:val="12"/>
          <w:color w:val="auto"/>
        </w:rPr>
      </w:pPr>
    </w:p>
    <w:p>
      <w:pPr>
        <w:ind w:left="868" w:hanging="220"/>
        <w:spacing w:after="0" w:line="253" w:lineRule="auto"/>
        <w:tabs>
          <w:tab w:leader="none" w:pos="870" w:val="left"/>
        </w:tabs>
        <w:numPr>
          <w:ilvl w:val="1"/>
          <w:numId w:val="5"/>
        </w:numPr>
        <w:rPr>
          <w:rFonts w:ascii="Arial" w:cs="Arial" w:eastAsia="Arial" w:hAnsi="Arial"/>
          <w:sz w:val="13"/>
          <w:szCs w:val="13"/>
          <w:color w:val="auto"/>
        </w:rPr>
      </w:pPr>
      <w:r>
        <w:rPr>
          <w:rFonts w:ascii="Arial" w:cs="Arial" w:eastAsia="Arial" w:hAnsi="Arial"/>
          <w:sz w:val="12"/>
          <w:szCs w:val="12"/>
          <w:color w:val="auto"/>
        </w:rPr>
        <w:t xml:space="preserve">A global Phase 3 clinical trial (ROSETTA Lung-201; </w:t>
      </w:r>
      <w:r>
        <w:rPr>
          <w:rFonts w:ascii="Arial" w:cs="Arial" w:eastAsia="Arial" w:hAnsi="Arial"/>
          <w:sz w:val="12"/>
          <w:szCs w:val="12"/>
          <w:u w:val="single" w:color="auto"/>
          <w:color w:val="auto"/>
        </w:rPr>
        <w:t>NCT07361497</w:t>
      </w:r>
      <w:r>
        <w:rPr>
          <w:rFonts w:ascii="Arial" w:cs="Arial" w:eastAsia="Arial" w:hAnsi="Arial"/>
          <w:sz w:val="12"/>
          <w:szCs w:val="12"/>
          <w:color w:val="auto"/>
        </w:rPr>
        <w:t>) is being conducted to evaluate pumitamig compared to durvalumab following concurrent chemoradiation therapy in patients with unresectable stage III non-small cell lung cancer (“NSCLC”).</w:t>
      </w:r>
    </w:p>
    <w:p>
      <w:pPr>
        <w:spacing w:after="0" w:line="11" w:lineRule="exact"/>
        <w:rPr>
          <w:rFonts w:ascii="Arial" w:cs="Arial" w:eastAsia="Arial" w:hAnsi="Arial"/>
          <w:sz w:val="13"/>
          <w:szCs w:val="13"/>
          <w:color w:val="auto"/>
        </w:rPr>
      </w:pPr>
    </w:p>
    <w:p>
      <w:pPr>
        <w:ind w:left="868" w:hanging="220"/>
        <w:spacing w:after="0" w:line="281" w:lineRule="auto"/>
        <w:tabs>
          <w:tab w:leader="none" w:pos="870" w:val="left"/>
        </w:tabs>
        <w:numPr>
          <w:ilvl w:val="1"/>
          <w:numId w:val="5"/>
        </w:numPr>
        <w:rPr>
          <w:rFonts w:ascii="Arial" w:cs="Arial" w:eastAsia="Arial" w:hAnsi="Arial"/>
          <w:sz w:val="13"/>
          <w:szCs w:val="13"/>
          <w:color w:val="auto"/>
        </w:rPr>
      </w:pPr>
      <w:r>
        <w:rPr>
          <w:rFonts w:ascii="Arial" w:cs="Arial" w:eastAsia="Arial" w:hAnsi="Arial"/>
          <w:sz w:val="12"/>
          <w:szCs w:val="12"/>
          <w:color w:val="auto"/>
        </w:rPr>
        <w:t xml:space="preserve">A global Phase 3 clinical trial (ROSETTA Lung-202; </w:t>
      </w:r>
      <w:r>
        <w:rPr>
          <w:rFonts w:ascii="Arial" w:cs="Arial" w:eastAsia="Arial" w:hAnsi="Arial"/>
          <w:sz w:val="12"/>
          <w:szCs w:val="12"/>
          <w:u w:val="single" w:color="auto"/>
          <w:color w:val="auto"/>
        </w:rPr>
        <w:t>NCT07361510</w:t>
      </w:r>
      <w:r>
        <w:rPr>
          <w:rFonts w:ascii="Arial" w:cs="Arial" w:eastAsia="Arial" w:hAnsi="Arial"/>
          <w:sz w:val="12"/>
          <w:szCs w:val="12"/>
          <w:color w:val="auto"/>
        </w:rPr>
        <w:t>) is being conducted to evaluate pumitamig compared to pembrolizumab as a first-line treatment for patients with advanced PD-L1 ≥ 50% NSCLC.</w:t>
      </w:r>
    </w:p>
    <w:p>
      <w:pPr>
        <w:spacing w:after="0" w:line="122" w:lineRule="exact"/>
        <w:rPr>
          <w:rFonts w:ascii="Arial" w:cs="Arial" w:eastAsia="Arial" w:hAnsi="Arial"/>
          <w:sz w:val="13"/>
          <w:szCs w:val="13"/>
          <w:color w:val="auto"/>
        </w:rPr>
      </w:pPr>
    </w:p>
    <w:p>
      <w:pPr>
        <w:jc w:val="both"/>
        <w:ind w:left="428" w:hanging="212"/>
        <w:spacing w:after="0" w:line="284" w:lineRule="auto"/>
        <w:tabs>
          <w:tab w:leader="none" w:pos="425"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global Phase 2/3 clinical trial (ROSETTA Lung-02; </w:t>
      </w:r>
      <w:r>
        <w:rPr>
          <w:rFonts w:ascii="Arial" w:cs="Arial" w:eastAsia="Arial" w:hAnsi="Arial"/>
          <w:sz w:val="12"/>
          <w:szCs w:val="12"/>
          <w:u w:val="single" w:color="auto"/>
          <w:color w:val="auto"/>
        </w:rPr>
        <w:t>NCT06712316</w:t>
      </w:r>
      <w:r>
        <w:rPr>
          <w:rFonts w:ascii="Arial" w:cs="Arial" w:eastAsia="Arial" w:hAnsi="Arial"/>
          <w:sz w:val="12"/>
          <w:szCs w:val="12"/>
          <w:color w:val="auto"/>
        </w:rPr>
        <w:t>) is ongoing to evaluate pumitamig in combination with chemotherapy compared to pembrolizumab and chemotherapy in patients with first-line NSCLC. The Phase 3 part of the trial is currently recruiting. Data from the Phase 2 part of the trial are expected at the American Society of Clinical Oncology (“ASCO”) Annual Meeting 2026 (May 29 - June 2, 2026).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308"/>
          </w:cols>
          <w:pgMar w:left="292" w:top="1166" w:right="299" w:bottom="1440" w:gutter="0" w:footer="0" w:header="0"/>
        </w:sectPr>
      </w:pPr>
    </w:p>
    <w:bookmarkStart w:id="8" w:name="page9"/>
    <w:bookmarkEnd w:id="8"/>
    <w:p>
      <w:pPr>
        <w:ind w:left="420" w:hanging="212"/>
        <w:spacing w:after="0" w:line="301"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Pumitamig is also being evaluated in additional solid tumor indications, including first-line hepatocellular carcinoma (“HCC”), second-line glioblastoma (“GBM”), first-line pancreatic ductal adenocarcinoma (“PDAC”) and first-line renal cell carcinoma (“RCC”) in various Phase 1/2 and Phase 2 trials, both as monotherapy and in combination with standard of care.</w:t>
      </w:r>
    </w:p>
    <w:p>
      <w:pPr>
        <w:spacing w:after="0" w:line="121"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BioNTech has several signal-seeking clinical trials ongoing evaluating pumitamig with the Company’s proprietary assets. These trials will inform the dose selection for pumitamig and explore anti-tumor activity in multiple tumors for later-stage development. Multiple data readouts from these combinations are expected in 2026.</w:t>
      </w:r>
    </w:p>
    <w:p>
      <w:pPr>
        <w:spacing w:after="0" w:line="130" w:lineRule="exact"/>
        <w:rPr>
          <w:rFonts w:ascii="Arial" w:cs="Arial" w:eastAsia="Arial" w:hAnsi="Arial"/>
          <w:sz w:val="12"/>
          <w:szCs w:val="12"/>
          <w:color w:val="auto"/>
        </w:rPr>
      </w:pPr>
    </w:p>
    <w:p>
      <w:pPr>
        <w:jc w:val="both"/>
        <w:ind w:left="420" w:hanging="212"/>
        <w:spacing w:after="0" w:line="152" w:lineRule="exact"/>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In April 2026, BioNTech and Boehringer Ingelheim announced a clinical trial collaboration to assess the safety, tolerability and early clinical activity of pumitamig in combination with obrixtamig (BI 764532), Boehringer Ingelheim’s investigational DLL3/CD3 T</w:t>
      </w:r>
      <w:r>
        <w:rPr>
          <w:rFonts w:ascii="MS PGothic" w:cs="MS PGothic" w:eastAsia="MS PGothic" w:hAnsi="MS PGothic"/>
          <w:sz w:val="12"/>
          <w:szCs w:val="12"/>
          <w:color w:val="auto"/>
        </w:rPr>
        <w:t>‑</w:t>
      </w:r>
      <w:r>
        <w:rPr>
          <w:rFonts w:ascii="Arial" w:cs="Arial" w:eastAsia="Arial" w:hAnsi="Arial"/>
          <w:sz w:val="12"/>
          <w:szCs w:val="12"/>
          <w:color w:val="auto"/>
        </w:rPr>
        <w:t>cell engager, in extensive</w:t>
      </w:r>
      <w:r>
        <w:rPr>
          <w:rFonts w:ascii="MS PGothic" w:cs="MS PGothic" w:eastAsia="MS PGothic" w:hAnsi="MS PGothic"/>
          <w:sz w:val="12"/>
          <w:szCs w:val="12"/>
          <w:color w:val="auto"/>
        </w:rPr>
        <w:t>‑</w:t>
      </w:r>
      <w:r>
        <w:rPr>
          <w:rFonts w:ascii="Arial" w:cs="Arial" w:eastAsia="Arial" w:hAnsi="Arial"/>
          <w:sz w:val="12"/>
          <w:szCs w:val="12"/>
          <w:color w:val="auto"/>
        </w:rPr>
        <w:t>stage small cell lung cancer (“ES-SCLC”). Under the agreement, BioNTech will supply pumitamig and Boehringer Ingelheim will be the regulatory sponsor of the Phase 1b/2 trial.</w:t>
      </w:r>
    </w:p>
    <w:p>
      <w:pPr>
        <w:spacing w:after="0" w:line="1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Gotistobart (BNT316/ONC-392) </w:t>
      </w:r>
      <w:r>
        <w:rPr>
          <w:rFonts w:ascii="Arial" w:cs="Arial" w:eastAsia="Arial" w:hAnsi="Arial"/>
          <w:sz w:val="12"/>
          <w:szCs w:val="12"/>
          <w:color w:val="auto"/>
        </w:rPr>
        <w:t>is a tumor microenvironment-selective regulatory T cell depletion candidate that targets CTLA-4 and is being developed in collaboration with OncoC4, Inc. (“OncoC4”).</w:t>
      </w:r>
    </w:p>
    <w:p>
      <w:pPr>
        <w:spacing w:after="0" w:line="168" w:lineRule="exact"/>
        <w:rPr>
          <w:sz w:val="20"/>
          <w:szCs w:val="20"/>
          <w:color w:val="auto"/>
        </w:rPr>
      </w:pPr>
    </w:p>
    <w:p>
      <w:pPr>
        <w:ind w:left="420" w:right="20" w:hanging="212"/>
        <w:spacing w:after="0" w:line="27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A global Phase 3 clinical trial (PRESERVE-003; </w:t>
      </w:r>
      <w:r>
        <w:rPr>
          <w:rFonts w:ascii="Arial" w:cs="Arial" w:eastAsia="Arial" w:hAnsi="Arial"/>
          <w:sz w:val="12"/>
          <w:szCs w:val="12"/>
          <w:u w:val="single" w:color="auto"/>
          <w:color w:val="auto"/>
        </w:rPr>
        <w:t>NCT05671510</w:t>
      </w:r>
      <w:r>
        <w:rPr>
          <w:rFonts w:ascii="Arial" w:cs="Arial" w:eastAsia="Arial" w:hAnsi="Arial"/>
          <w:sz w:val="12"/>
          <w:szCs w:val="12"/>
          <w:color w:val="auto"/>
        </w:rPr>
        <w:t>) is ongoing to evaluate the efficacy and safety of gotistobart as monotherapy in patients with metastatic squamous NSCLC that progressed under previous platinum-based chemotherapy and PD-(L)1-inhibitor treatment.</w:t>
      </w:r>
    </w:p>
    <w:p>
      <w:pPr>
        <w:spacing w:after="0" w:line="1" w:lineRule="exact"/>
        <w:rPr>
          <w:rFonts w:ascii="Arial" w:cs="Arial" w:eastAsia="Arial" w:hAnsi="Arial"/>
          <w:sz w:val="12"/>
          <w:szCs w:val="12"/>
          <w:color w:val="auto"/>
        </w:rPr>
      </w:pPr>
    </w:p>
    <w:p>
      <w:pPr>
        <w:jc w:val="both"/>
        <w:ind w:left="420" w:hanging="212"/>
        <w:spacing w:after="0" w:line="260"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March 2026, updated data from the non-pivotal dose-confirmation stage, the first of two stages of the global Phase 3 clinical trial, were presented at the European Lung Cancer Congress (“ELCC”). Gotistobart demonstrated a clinically meaningful overall survival benefit compared to standard of care chemotherapy and a manageable safety profile in patients with squamous NSCLC whose disease had progressed following anti-PD-(L)1 therapy and platinum-based chemotherapy.</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current event accrual projections, interim data from the pivotal stage of the two-stage Phase 3 clinical trial are expected in 2026.</w:t>
      </w:r>
    </w:p>
    <w:p>
      <w:pPr>
        <w:spacing w:after="0" w:line="12" w:lineRule="exact"/>
        <w:rPr>
          <w:rFonts w:ascii="Arial" w:cs="Arial" w:eastAsia="Arial" w:hAnsi="Arial"/>
          <w:sz w:val="12"/>
          <w:szCs w:val="12"/>
          <w:color w:val="auto"/>
        </w:rPr>
      </w:pPr>
    </w:p>
    <w:p>
      <w:pPr>
        <w:ind w:left="420" w:right="20" w:hanging="212"/>
        <w:spacing w:after="0" w:line="281" w:lineRule="auto"/>
        <w:tabs>
          <w:tab w:leader="none" w:pos="417"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January 2026, gotistobart received Orphan Drug Designation from the U.S. Food and Drug Administration (“FDA”) for the treatment of squamous NSCLC. In 2022, gotistobart received Fast Track Designation from the FDA for the treatment of patients with metastatic NSCLC whose disease progressed on prior anti-PD-(L)1 therapy.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Antibody-Drug Conjugates</w:t>
      </w: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Trastuzumab pamirtecan </w:t>
      </w:r>
      <w:r>
        <w:rPr>
          <w:rFonts w:ascii="Arial" w:cs="Arial" w:eastAsia="Arial" w:hAnsi="Arial"/>
          <w:sz w:val="12"/>
          <w:szCs w:val="12"/>
          <w:color w:val="auto"/>
        </w:rPr>
        <w:t>(BNT323/DB-1303) is an ADC candidate targeting HER2 that is being developed in collaboration with Duality Biologics (Suzhou) Co. Ltd. (“DualityBio”).</w:t>
      </w:r>
    </w:p>
    <w:p>
      <w:pPr>
        <w:spacing w:after="0" w:line="177" w:lineRule="exact"/>
        <w:rPr>
          <w:sz w:val="20"/>
          <w:szCs w:val="20"/>
          <w:color w:val="auto"/>
        </w:rPr>
      </w:pPr>
    </w:p>
    <w:p>
      <w:pPr>
        <w:ind w:left="420" w:hanging="212"/>
        <w:spacing w:after="0" w:line="268"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A Phase 1/2 clinical trial (</w:t>
      </w:r>
      <w:r>
        <w:rPr>
          <w:rFonts w:ascii="Arial" w:cs="Arial" w:eastAsia="Arial" w:hAnsi="Arial"/>
          <w:sz w:val="12"/>
          <w:szCs w:val="12"/>
          <w:u w:val="single" w:color="auto"/>
          <w:color w:val="auto"/>
        </w:rPr>
        <w:t>NCT05150691</w:t>
      </w:r>
      <w:r>
        <w:rPr>
          <w:rFonts w:ascii="Arial" w:cs="Arial" w:eastAsia="Arial" w:hAnsi="Arial"/>
          <w:sz w:val="12"/>
          <w:szCs w:val="12"/>
          <w:color w:val="auto"/>
        </w:rPr>
        <w:t>) is being conducted to evaluate trastuzumab pamirtecan in patients with advanced HER2-expressing tumors. A potentially registrational cohort with HER2-expressing (IHC3+, 2+, 1+ or ISH-positive) patients with recurrent endometrial cancer (“EC”) is fully recruited.</w:t>
      </w:r>
    </w:p>
    <w:p>
      <w:pPr>
        <w:jc w:val="both"/>
        <w:ind w:left="420" w:hanging="212"/>
        <w:spacing w:after="0" w:line="260" w:lineRule="auto"/>
        <w:tabs>
          <w:tab w:leader="none" w:pos="417"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April 2026, updated data from this trial were presented at the Society of Gynecologic Oncology (“SGO”) Annual Meeting. Trastuzumab pamirtecan demonstrated encouraging clinical efficacy across all HER2 expression levels and regardless of prior immunotherapy treatment. The safety profile in patients with pretreated advanced or metastatic EC was manageable and generally consistent with that of HER2-targeted biologics.</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BioNTech and DualityBio plan to file a biologics license application (“BLA”) in 2026, subject to regulatory feedback.</w:t>
      </w: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300"/>
          </w:cols>
          <w:pgMar w:left="300" w:top="1162" w:right="299" w:bottom="1440" w:gutter="0" w:footer="0" w:header="0"/>
        </w:sectPr>
      </w:pPr>
    </w:p>
    <w:bookmarkStart w:id="9" w:name="page10"/>
    <w:bookmarkEnd w:id="9"/>
    <w:p>
      <w:pPr>
        <w:ind w:left="420" w:hanging="212"/>
        <w:spacing w:after="0" w:line="270"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 xml:space="preserve">A Phase 3 trial (FERN-EC-01, </w:t>
      </w:r>
      <w:r>
        <w:rPr>
          <w:rFonts w:ascii="Arial" w:cs="Arial" w:eastAsia="Arial" w:hAnsi="Arial"/>
          <w:sz w:val="12"/>
          <w:szCs w:val="12"/>
          <w:u w:val="single" w:color="auto"/>
          <w:color w:val="auto"/>
        </w:rPr>
        <w:t>NCT06340568</w:t>
      </w:r>
      <w:r>
        <w:rPr>
          <w:rFonts w:ascii="Arial" w:cs="Arial" w:eastAsia="Arial" w:hAnsi="Arial"/>
          <w:sz w:val="12"/>
          <w:szCs w:val="12"/>
          <w:color w:val="auto"/>
        </w:rPr>
        <w:t>) is being conducted to evaluate trastuzumab pamirtecan compared to investigator’s choice of chemotherapy in patients with advanced and HER2-expessing recurrent EC.</w:t>
      </w:r>
    </w:p>
    <w:p>
      <w:pPr>
        <w:spacing w:after="0" w:line="1" w:lineRule="exact"/>
        <w:rPr>
          <w:rFonts w:ascii="Arial" w:cs="Arial" w:eastAsia="Arial" w:hAnsi="Arial"/>
          <w:sz w:val="12"/>
          <w:szCs w:val="12"/>
          <w:color w:val="auto"/>
        </w:rPr>
      </w:pPr>
    </w:p>
    <w:p>
      <w:pPr>
        <w:ind w:left="420" w:hanging="212"/>
        <w:spacing w:after="0" w:line="276" w:lineRule="auto"/>
        <w:tabs>
          <w:tab w:leader="none" w:pos="417" w:val="left"/>
        </w:tabs>
        <w:numPr>
          <w:ilvl w:val="0"/>
          <w:numId w:val="9"/>
        </w:numPr>
        <w:rPr>
          <w:rFonts w:ascii="Arial" w:cs="Arial" w:eastAsia="Arial" w:hAnsi="Arial"/>
          <w:sz w:val="12"/>
          <w:szCs w:val="12"/>
          <w:color w:val="auto"/>
        </w:rPr>
      </w:pPr>
      <w:r>
        <w:rPr>
          <w:rFonts w:ascii="Arial" w:cs="Arial" w:eastAsia="Arial" w:hAnsi="Arial"/>
          <w:sz w:val="12"/>
          <w:szCs w:val="12"/>
          <w:color w:val="auto"/>
        </w:rPr>
        <w:t xml:space="preserve">A global Phase 3 clinical trial (DYNASTY-Breast02, </w:t>
      </w:r>
      <w:r>
        <w:rPr>
          <w:rFonts w:ascii="Arial" w:cs="Arial" w:eastAsia="Arial" w:hAnsi="Arial"/>
          <w:sz w:val="12"/>
          <w:szCs w:val="12"/>
          <w:u w:val="single" w:color="auto"/>
          <w:color w:val="auto"/>
        </w:rPr>
        <w:t>NCT06018337</w:t>
      </w:r>
      <w:r>
        <w:rPr>
          <w:rFonts w:ascii="Arial" w:cs="Arial" w:eastAsia="Arial" w:hAnsi="Arial"/>
          <w:sz w:val="12"/>
          <w:szCs w:val="12"/>
          <w:color w:val="auto"/>
        </w:rPr>
        <w:t>) to evaluate trastuzumab pamirtecan in patients with HR-positive, HER2-low metastatic breast cancer is ongoing. Based on current event accrual projections, data are expected in 2026.</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BNT324/DB-1311 </w:t>
      </w:r>
      <w:r>
        <w:rPr>
          <w:rFonts w:ascii="Arial" w:cs="Arial" w:eastAsia="Arial" w:hAnsi="Arial"/>
          <w:sz w:val="12"/>
          <w:szCs w:val="12"/>
          <w:color w:val="auto"/>
        </w:rPr>
        <w:t>is an ADC candidate targeting B7H3 that is being developed in collaboration with DualityBio.</w:t>
      </w:r>
    </w:p>
    <w:p>
      <w:pPr>
        <w:spacing w:after="0" w:line="168" w:lineRule="exact"/>
        <w:rPr>
          <w:sz w:val="20"/>
          <w:szCs w:val="20"/>
          <w:color w:val="auto"/>
        </w:rPr>
      </w:pPr>
    </w:p>
    <w:p>
      <w:pPr>
        <w:ind w:left="420" w:right="20" w:hanging="212"/>
        <w:spacing w:after="0" w:line="270"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February 2026, updated data from a Phase 1/2 clinical trial (</w:t>
      </w:r>
      <w:r>
        <w:rPr>
          <w:rFonts w:ascii="Arial" w:cs="Arial" w:eastAsia="Arial" w:hAnsi="Arial"/>
          <w:sz w:val="12"/>
          <w:szCs w:val="12"/>
          <w:u w:val="single" w:color="auto"/>
          <w:color w:val="auto"/>
        </w:rPr>
        <w:t>NCT05914116</w:t>
      </w:r>
      <w:r>
        <w:rPr>
          <w:rFonts w:ascii="Arial" w:cs="Arial" w:eastAsia="Arial" w:hAnsi="Arial"/>
          <w:sz w:val="12"/>
          <w:szCs w:val="12"/>
          <w:color w:val="auto"/>
        </w:rPr>
        <w:t>) were presented at the ASCO Genitourinary Cancers Symposium. BNT324/DB-1311 demonstrated durable efficacy in heavily pretreated metastatic castration-resistant prostate cancer (“mCRPC”) patients with no new safety signals reported.</w:t>
      </w:r>
    </w:p>
    <w:p>
      <w:pPr>
        <w:spacing w:after="0" w:line="1" w:lineRule="exact"/>
        <w:rPr>
          <w:rFonts w:ascii="Arial" w:cs="Arial" w:eastAsia="Arial" w:hAnsi="Arial"/>
          <w:sz w:val="12"/>
          <w:szCs w:val="12"/>
          <w:color w:val="auto"/>
        </w:rPr>
      </w:pPr>
    </w:p>
    <w:p>
      <w:pPr>
        <w:ind w:left="420" w:right="20" w:hanging="212"/>
        <w:spacing w:after="0" w:line="258" w:lineRule="auto"/>
        <w:tabs>
          <w:tab w:leader="none" w:pos="417" w:val="left"/>
        </w:tabs>
        <w:numPr>
          <w:ilvl w:val="0"/>
          <w:numId w:val="10"/>
        </w:numPr>
        <w:rPr>
          <w:rFonts w:ascii="Arial" w:cs="Arial" w:eastAsia="Arial" w:hAnsi="Arial"/>
          <w:sz w:val="12"/>
          <w:szCs w:val="12"/>
          <w:color w:val="auto"/>
        </w:rPr>
      </w:pPr>
      <w:r>
        <w:rPr>
          <w:rFonts w:ascii="Arial" w:cs="Arial" w:eastAsia="Arial" w:hAnsi="Arial"/>
          <w:sz w:val="12"/>
          <w:szCs w:val="12"/>
          <w:color w:val="auto"/>
        </w:rPr>
        <w:t>In April 2026, updated data from this trial were presented at the SGO Annual Meeting. BNT324/DB-1311 showed encouraging efficacy in previously treated cervical cancer and platinum resistant ovarian cancer (“PROC”) particularly in patients with treatment-naïve cervical cancer. The safety profile in gynecologic malignancies was consistent with previous reports, and no new safety signals were observed.</w:t>
      </w:r>
    </w:p>
    <w:p>
      <w:pPr>
        <w:ind w:left="420" w:hanging="212"/>
        <w:spacing w:after="0"/>
        <w:tabs>
          <w:tab w:leader="none" w:pos="4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 Phase 3 clinical trial (</w:t>
      </w:r>
      <w:r>
        <w:rPr>
          <w:rFonts w:ascii="Arial" w:cs="Arial" w:eastAsia="Arial" w:hAnsi="Arial"/>
          <w:sz w:val="12"/>
          <w:szCs w:val="12"/>
          <w:u w:val="single" w:color="auto"/>
          <w:color w:val="auto"/>
        </w:rPr>
        <w:t>NCT07365995</w:t>
      </w:r>
      <w:r>
        <w:rPr>
          <w:rFonts w:ascii="Arial" w:cs="Arial" w:eastAsia="Arial" w:hAnsi="Arial"/>
          <w:sz w:val="12"/>
          <w:szCs w:val="12"/>
          <w:color w:val="auto"/>
        </w:rPr>
        <w:t>) to evaluate BNT324/DB-1311 compared to docetaxel in patients with mCRPC, is expected to initiate in 2026.</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Corporate and Commercial Update for the First Quarter 2026 and Post Period Events</w:t>
      </w:r>
    </w:p>
    <w:p>
      <w:pPr>
        <w:spacing w:after="0" w:line="166" w:lineRule="exact"/>
        <w:rPr>
          <w:sz w:val="20"/>
          <w:szCs w:val="20"/>
          <w:color w:val="auto"/>
        </w:rPr>
      </w:pPr>
    </w:p>
    <w:p>
      <w:pPr>
        <w:jc w:val="both"/>
        <w:ind w:left="420" w:hanging="212"/>
        <w:spacing w:after="0" w:line="284"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BioNTech and Pfizer developed, manufactured and delivered their variant-adapted COVID-19 vaccines, which have received multiple regulatory approvals, including full approvals, authorizations for emergency or temporary use or marketing authorizations, in more than 40 countries and regions. BioNTech is now focused on preparing for variant strain vaccine adaptation to be ready for commercial launch ahead of the upcoming 2026/2027 vaccination season, pending approvals.</w:t>
      </w:r>
    </w:p>
    <w:p>
      <w:pPr>
        <w:spacing w:after="0" w:line="122" w:lineRule="exact"/>
        <w:rPr>
          <w:rFonts w:ascii="Arial" w:cs="Arial" w:eastAsia="Arial" w:hAnsi="Arial"/>
          <w:sz w:val="12"/>
          <w:szCs w:val="12"/>
          <w:color w:val="auto"/>
        </w:rPr>
      </w:pPr>
    </w:p>
    <w:p>
      <w:pPr>
        <w:jc w:val="both"/>
        <w:ind w:left="420" w:hanging="212"/>
        <w:spacing w:after="0" w:line="271"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March 2026, BioNTech announced plans for an independent company to be established and led by BioNTech co-founders Prof. Ugur Sahin, M.D., and Prof. Özlem Türeci, M.D. The new company with distinct resources, operations and funding options will advance next-generation mRNA innovations. BioNTech plans to contribute related rights and mRNA technologies to the new company to enable and support the prioritized development of next-generation mRNA innovations with disruptive potential. With both companies focusing on their respective strategic priorities, BioNTech expects to maximize value for patients and shareholders alike. Ugur Sahin and Özlem Türeci will transition into the management of their new company by the end of 2026 after their current service agreements end. BioNTech’s Supervisory Board has initiated an executive search to identify successors for the positions to ensure a smooth transition and seamless execution of BioNTech’s strategy.</w:t>
      </w:r>
    </w:p>
    <w:p>
      <w:pPr>
        <w:spacing w:after="0" w:line="138" w:lineRule="exact"/>
        <w:rPr>
          <w:rFonts w:ascii="Arial" w:cs="Arial" w:eastAsia="Arial" w:hAnsi="Arial"/>
          <w:sz w:val="12"/>
          <w:szCs w:val="12"/>
          <w:color w:val="auto"/>
        </w:rPr>
      </w:pPr>
    </w:p>
    <w:p>
      <w:pPr>
        <w:jc w:val="both"/>
        <w:ind w:left="420" w:hanging="212"/>
        <w:spacing w:after="0" w:line="276" w:lineRule="auto"/>
        <w:tabs>
          <w:tab w:leader="none" w:pos="4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 March 2026, BioNTech published its Sustainability Report 2025. BioNTech recognizes the responsibility it has in how it is conducting its business and the impact its activities have on the economy, people, and the environment. The Sustainability Report 2025 outlines BioNTech's efforts, progress, key initiatives, and data as well as highlights in its corporate sustainability and responsibility over the past year.</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Upcoming Investor and Analyst Events</w:t>
      </w:r>
    </w:p>
    <w:p>
      <w:pPr>
        <w:spacing w:after="0" w:line="18" w:lineRule="exact"/>
        <w:rPr>
          <w:sz w:val="20"/>
          <w:szCs w:val="20"/>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BioNTech Annual General Meeting: May 15, 2026</w:t>
      </w:r>
    </w:p>
    <w:p>
      <w:pPr>
        <w:spacing w:after="0" w:line="8" w:lineRule="exact"/>
        <w:rPr>
          <w:rFonts w:ascii="Arial" w:cs="Arial" w:eastAsia="Arial" w:hAnsi="Arial"/>
          <w:sz w:val="12"/>
          <w:szCs w:val="12"/>
          <w:color w:val="auto"/>
        </w:rPr>
      </w:pPr>
    </w:p>
    <w:p>
      <w:pPr>
        <w:ind w:left="200" w:hanging="154"/>
        <w:spacing w:after="0"/>
        <w:tabs>
          <w:tab w:leader="none" w:pos="2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BioNTech Second Quarter 2026 Financial Results and Corporate Update: August 4, 2026</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300"/>
          </w:cols>
          <w:pgMar w:left="300" w:top="1162"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Conference Call and Webcast Information</w:t>
      </w:r>
    </w:p>
    <w:p>
      <w:pPr>
        <w:spacing w:after="0" w:line="27"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BioNTech invites investors and the general public to join a conference call and webcast with investment analysts today, May 5, 2026, at 8:00 a.m. ET (2:00 p.m. CET) to report its financial results and provide a corporate update for the first quarter of 2026.</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access the live conference call via telephone, please register </w:t>
      </w:r>
      <w:r>
        <w:rPr>
          <w:rFonts w:ascii="Arial" w:cs="Arial" w:eastAsia="Arial" w:hAnsi="Arial"/>
          <w:sz w:val="12"/>
          <w:szCs w:val="12"/>
          <w:u w:val="single" w:color="auto"/>
          <w:color w:val="auto"/>
        </w:rPr>
        <w:t>via this link</w:t>
      </w:r>
      <w:r>
        <w:rPr>
          <w:rFonts w:ascii="Arial" w:cs="Arial" w:eastAsia="Arial" w:hAnsi="Arial"/>
          <w:sz w:val="12"/>
          <w:szCs w:val="12"/>
          <w:color w:val="auto"/>
        </w:rPr>
        <w:t>. Once registered, dial-in numbers and a PIN number will be provided.</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slide presentation and audio of the webcast will be available </w:t>
      </w:r>
      <w:r>
        <w:rPr>
          <w:rFonts w:ascii="Arial" w:cs="Arial" w:eastAsia="Arial" w:hAnsi="Arial"/>
          <w:sz w:val="12"/>
          <w:szCs w:val="12"/>
          <w:u w:val="single" w:color="auto"/>
          <w:color w:val="auto"/>
        </w:rPr>
        <w:t>via this link</w:t>
      </w:r>
      <w:r>
        <w:rPr>
          <w:rFonts w:ascii="Arial" w:cs="Arial" w:eastAsia="Arial" w:hAnsi="Arial"/>
          <w:sz w:val="12"/>
          <w:szCs w:val="12"/>
          <w:color w:val="auto"/>
        </w:rPr>
        <w:t>.</w:t>
      </w:r>
    </w:p>
    <w:p>
      <w:pPr>
        <w:spacing w:after="0" w:line="168" w:lineRule="exact"/>
        <w:rPr>
          <w:sz w:val="20"/>
          <w:szCs w:val="20"/>
          <w:color w:val="auto"/>
        </w:rPr>
      </w:pPr>
    </w:p>
    <w:p>
      <w:pPr>
        <w:jc w:val="both"/>
        <w:ind w:right="20"/>
        <w:spacing w:after="0" w:line="301" w:lineRule="auto"/>
        <w:rPr>
          <w:sz w:val="20"/>
          <w:szCs w:val="20"/>
          <w:color w:val="auto"/>
        </w:rPr>
      </w:pPr>
      <w:r>
        <w:rPr>
          <w:rFonts w:ascii="Arial" w:cs="Arial" w:eastAsia="Arial" w:hAnsi="Arial"/>
          <w:sz w:val="12"/>
          <w:szCs w:val="12"/>
          <w:color w:val="auto"/>
        </w:rPr>
        <w:t xml:space="preserve">Participants may also access the slides and the webcast of the conference call via the “Events &amp; Presentations” page of the Investor section of the Company’s website at </w:t>
      </w:r>
      <w:r>
        <w:rPr>
          <w:rFonts w:ascii="Arial" w:cs="Arial" w:eastAsia="Arial" w:hAnsi="Arial"/>
          <w:sz w:val="12"/>
          <w:szCs w:val="12"/>
          <w:u w:val="single" w:color="auto"/>
          <w:color w:val="auto"/>
        </w:rPr>
        <w:t>www.BioNTech.com</w:t>
      </w:r>
      <w:r>
        <w:rPr>
          <w:rFonts w:ascii="Arial" w:cs="Arial" w:eastAsia="Arial" w:hAnsi="Arial"/>
          <w:sz w:val="12"/>
          <w:szCs w:val="12"/>
          <w:color w:val="auto"/>
        </w:rPr>
        <w:t>. A replay of the webcast will be made available shortly after the closing of the call and archived on the Company’s website for 30 days following the call.</w:t>
      </w:r>
    </w:p>
    <w:p>
      <w:pPr>
        <w:spacing w:after="0" w:line="2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BioNTech</w:t>
      </w:r>
    </w:p>
    <w:p>
      <w:pPr>
        <w:spacing w:after="0" w:line="18"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BioNTech is a global next generation biopharmaceutical company pioneering novel investigative therapies for cancer and other serious diseases. In oncology, BioNTech is committed to transforming how cancer is treated. Its ambition is to develop innovative medicines with pan-tumor or synergistic potential to address cancer from multiple angles and across the full continuum of the disease from early- to late-stage. Its growing late-stage oncology pipeline comprises complementary treatment approaches spanning immunomodulators, antibody drug conjugates, and mRNA cancer immunotherapies. BioNTech has partnered with multiple global and specialized pharmaceutical collaborators leveraging complementary expertise and resources to accelerate innovation and drive progress, including Bristol Myers Squibb, Duality Biologics, Genentech, a member of the Roche Group, Genmab, MediLink, OncoC4, and Pfizer.</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w:t>
      </w:r>
      <w:r>
        <w:rPr>
          <w:rFonts w:ascii="Arial" w:cs="Arial" w:eastAsia="Arial" w:hAnsi="Arial"/>
          <w:sz w:val="12"/>
          <w:szCs w:val="12"/>
          <w:u w:val="single" w:color="auto"/>
          <w:color w:val="auto"/>
        </w:rPr>
        <w:t>www.BioNTech.com</w:t>
      </w:r>
      <w:r>
        <w:rPr>
          <w:rFonts w:ascii="Arial" w:cs="Arial" w:eastAsia="Arial" w:hAnsi="Arial"/>
          <w:sz w:val="12"/>
          <w:szCs w:val="12"/>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2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This press release contains forward-looking statements within the meaning of the Private Securities Litigation Reform Act of 1995, as amended, including, but not limited to, statements concerning: expected changes to BioNTech’s leadership and the transition of responsibilities at the Management Board, including identification and recruitment of successors; the terms of the preliminary discussions between BioNTech and the co-founders regarding the potential contribution of certain BioNTech assets to an independent company; BioNTech’s expected revenues and net profit/(loss) related to sales of BioNTech’s COVID-19 vaccine in territories controlled by BioNTech’s collaboration partners, particularly for those figures that are derived from preliminary estimates provided by BioNTech’s partners; the rate and degree of market acceptance of BioNTech’s COVID-19 vaccine and, if approved, BioNTech’s investigational medicines; expectations regarding anticipated changes in COVID-19 vaccine demand, including changes to the ordering environment and expected regulatory recommendations to adapt vaccines to address new variants or sublineages; the initiation, timing, progress, results, and cost of BioNTech’s research and development programs, including BioNTech’s current and future preclinical studies and clinical trials, including statements regarding the expected timing of initiation, enrollment, and completion of studies or clinical trials and related preparatory work and the availability of results, and the timing and outcome of applications for regulatory approvals and marketing authorizations; BioNTech’s expectations regarding potential future commercialization in oncology, including goals regarding timing and indications; the targeted timing and number of additional potentially registrational clinical trials, and the registrational potential of any clinical trial BioNTech may initiate; BioNTech’s expectations regarding the impact of changes to its manufacturing operations; discussions with regulatory agencies; BioNTech’s expectations with respect to intellectual property; the impact of BioNTech’s collaboration and licensing agreements, including BioNTech’s</w:t>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300"/>
          </w:cols>
          <w:pgMar w:left="300" w:top="1324" w:right="299" w:bottom="1440" w:gutter="0" w:footer="0" w:header="0"/>
        </w:sectPr>
      </w:pPr>
    </w:p>
    <w:bookmarkStart w:id="11" w:name="page12"/>
    <w:bookmarkEnd w:id="11"/>
    <w:p>
      <w:pPr>
        <w:jc w:val="both"/>
        <w:spacing w:after="0" w:line="27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partnership with Bristol Myers Squibb; BioNTech’s expectations with respect to developments in law, public policy, and international trade; BioNTech’s estimates of revenues, research and development expenses, selling, general and administrative expenses and capital expenditures for operating activities; BioNTech’s expectations for upcoming scientific and investor presentations; and BioNTech’s expectations of net profit/(loss). In some cases, forward -looking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projected data release timelines, regulatory submission dates, regulatory approval dates and/or launch dates, as well as risks associated with preclinical and clinical data, including the data discussed in this release, and including the possibility of unfavorable new preclinical, clinical or safety data and further analyses of existing preclinical, clinical or safety data; the nature of the clinical data, which is subject to ongoing peer review, regulatory review and market interpretation; BioNTech’s pricing and coverage negotiations with governmental authorities, private health insurers and other third-party payors; the future commercial demand and medical need for initial or annual booster doses of a COVID-19 vaccine; the impact of tariffs and escalations in trade policy; competition from other COVID-19 vaccines or related to BioNTech’s other product candidates; the timing of and BioNTech’s ability to obtain and maintain regulatory approval for its product candidates; the ability of BioNTech’s COVID-19 vaccines to prevent COVID-19 caused by emerging virus variants;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BioNTech’s ability to effectively scale its production capabilities and manufacture its products and product candidates; risks relating to the global financial system and markets; and other factors not known to BioNTech at this time.</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2"/>
          <w:szCs w:val="12"/>
          <w:color w:val="auto"/>
        </w:rPr>
        <w:t xml:space="preserve">You should review the risks and uncertainties described under the heading “Risk Factors” in BioNTech’s Report on Form 6-K for the period ended March 31, 2026 and in subsequent filings made by BioNTech with the SEC, which are available on the SEC’s website at </w:t>
      </w:r>
      <w:r>
        <w:rPr>
          <w:rFonts w:ascii="Arial" w:cs="Arial" w:eastAsia="Arial" w:hAnsi="Arial"/>
          <w:sz w:val="12"/>
          <w:szCs w:val="12"/>
          <w:u w:val="single" w:color="auto"/>
          <w:color w:val="auto"/>
        </w:rPr>
        <w:t>www.sec.gov</w:t>
      </w:r>
      <w:r>
        <w:rPr>
          <w:rFonts w:ascii="Arial" w:cs="Arial" w:eastAsia="Arial" w:hAnsi="Arial"/>
          <w:sz w:val="12"/>
          <w:szCs w:val="12"/>
          <w:color w:val="auto"/>
        </w:rPr>
        <w:t>.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300"/>
          </w:cols>
          <w:pgMar w:left="300" w:top="1162" w:right="299" w:bottom="1440" w:gutter="0" w:footer="0" w:header="0"/>
        </w:sectPr>
      </w:pPr>
    </w:p>
    <w:bookmarkStart w:id="12" w:name="page13"/>
    <w:bookmarkEnd w:id="1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CONTACTS</w:t>
      </w:r>
    </w:p>
    <w:p>
      <w:pPr>
        <w:spacing w:after="0" w:line="1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Douglas Maffei, PhD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Investors@biontech.de</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Relations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Jasmina Alatovic</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Media@biontech.de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300"/>
          </w:cols>
          <w:pgMar w:left="300" w:top="1162"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Abbreviation Overview</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1L</w:t>
            </w:r>
          </w:p>
        </w:tc>
        <w:tc>
          <w:tcPr>
            <w:tcW w:w="702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rPr>
              <w:t>First line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2L</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Second line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ADC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Antibody-drug conjugate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B7H3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Also known as CD276, cluster of differentiation 276</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BLA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Biologics license application</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CTLA-4</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Cytotoxic T-lymphocyte-associated protein</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Endometrial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78"/>
        </w:trPr>
        <w:tc>
          <w:tcPr>
            <w:tcW w:w="4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ES-SCLC</w:t>
            </w:r>
          </w:p>
        </w:tc>
        <w:tc>
          <w:tcPr>
            <w:tcW w:w="7020" w:type="dxa"/>
            <w:vAlign w:val="bottom"/>
            <w:tcBorders>
              <w:bottom w:val="single" w:sz="8" w:color="auto"/>
              <w:right w:val="single" w:sz="8" w:color="auto"/>
            </w:tcBorders>
          </w:tcPr>
          <w:p>
            <w:pPr>
              <w:spacing w:after="0" w:line="138" w:lineRule="exact"/>
              <w:rPr>
                <w:sz w:val="20"/>
                <w:szCs w:val="20"/>
                <w:color w:val="auto"/>
              </w:rPr>
            </w:pPr>
            <w:r>
              <w:rPr>
                <w:rFonts w:ascii="Arial" w:cs="Arial" w:eastAsia="Arial" w:hAnsi="Arial"/>
                <w:sz w:val="12"/>
                <w:szCs w:val="12"/>
                <w:color w:val="auto"/>
              </w:rPr>
              <w:t>Extensive</w:t>
            </w:r>
            <w:r>
              <w:rPr>
                <w:rFonts w:ascii="MS PGothic" w:cs="MS PGothic" w:eastAsia="MS PGothic" w:hAnsi="MS PGothic"/>
                <w:sz w:val="12"/>
                <w:szCs w:val="12"/>
                <w:color w:val="auto"/>
              </w:rPr>
              <w:t>‑</w:t>
            </w:r>
            <w:r>
              <w:rPr>
                <w:rFonts w:ascii="Arial" w:cs="Arial" w:eastAsia="Arial" w:hAnsi="Arial"/>
                <w:sz w:val="12"/>
                <w:szCs w:val="12"/>
                <w:color w:val="auto"/>
              </w:rPr>
              <w:t>stage small cell lung cancer</w:t>
            </w: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GBM</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Glioblastoma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HCC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Hepatocellular 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HER2 (or HER3)</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epidermal growth factor receptor 2 (or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HPV16</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Human papilloma virus 16</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HR</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Hormone receptor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IHC3+, 2+, 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Immunohistochemistry score 1+ (or 2+ or 3+)</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IO</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Immuno-oncology</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ISH-positive</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i w:val="1"/>
                <w:iCs w:val="1"/>
                <w:color w:val="auto"/>
              </w:rPr>
              <w:t xml:space="preserve">In-situ </w:t>
            </w:r>
            <w:r>
              <w:rPr>
                <w:rFonts w:ascii="Arial" w:cs="Arial" w:eastAsia="Arial" w:hAnsi="Arial"/>
                <w:sz w:val="12"/>
                <w:szCs w:val="12"/>
                <w:color w:val="auto"/>
              </w:rPr>
              <w:t>hybridization positive</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mCRPC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Metastatic castration-resistant prostate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MSS-CRC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Microsatellite stable colorectal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NSCLC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Non-small cell lung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PDAC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Pancreatic ductal adenocarcinoma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PD-(L)1</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Programmed cell death protein (death-ligand) 1</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Platinum resistant ovarian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RCC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Renal cell carcinoma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SCLC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Small cell lung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TNBC</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Triple-negative breast cancer</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TROP2</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Trophoblast cell-surface antigen 2</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r>
        <w:trPr>
          <w:trHeight w:val="153"/>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VEGF-A</w:t>
            </w:r>
          </w:p>
        </w:tc>
        <w:tc>
          <w:tcPr>
            <w:tcW w:w="702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Vascular endothelial growth factor A</w:t>
            </w:r>
          </w:p>
        </w:tc>
      </w:tr>
      <w:tr>
        <w:trPr>
          <w:trHeight w:val="25"/>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70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1324" w:right="2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Profit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gridSpan w:val="4"/>
          </w:tcPr>
          <w:p>
            <w:pPr>
              <w:ind w:left="1040"/>
              <w:spacing w:after="0"/>
              <w:rPr>
                <w:sz w:val="20"/>
                <w:szCs w:val="20"/>
                <w:color w:val="auto"/>
              </w:rPr>
            </w:pPr>
            <w:r>
              <w:rPr>
                <w:rFonts w:ascii="Arial" w:cs="Arial" w:eastAsia="Arial" w:hAnsi="Arial"/>
                <w:sz w:val="11"/>
                <w:szCs w:val="11"/>
                <w:b w:val="1"/>
                <w:bCs w:val="1"/>
                <w:color w:val="005A64"/>
              </w:rPr>
              <w:t>Three months ended 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Borders>
              <w:bottom w:val="single" w:sz="8" w:color="BECE33"/>
            </w:tcBorders>
            <w:gridSpan w:val="2"/>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2025</w:t>
            </w:r>
          </w:p>
        </w:tc>
        <w:tc>
          <w:tcPr>
            <w:tcW w:w="0" w:type="dxa"/>
            <w:vAlign w:val="bottom"/>
          </w:tcPr>
          <w:p>
            <w:pPr>
              <w:spacing w:after="0"/>
              <w:rPr>
                <w:sz w:val="1"/>
                <w:szCs w:val="1"/>
                <w:color w:val="auto"/>
              </w:rPr>
            </w:pPr>
          </w:p>
        </w:tc>
      </w:tr>
      <w:tr>
        <w:trPr>
          <w:trHeight w:val="146"/>
        </w:trPr>
        <w:tc>
          <w:tcPr>
            <w:tcW w:w="7420" w:type="dxa"/>
            <w:vAlign w:val="bottom"/>
          </w:tcPr>
          <w:p>
            <w:pPr>
              <w:spacing w:after="0"/>
              <w:rPr>
                <w:sz w:val="12"/>
                <w:szCs w:val="12"/>
                <w:color w:val="auto"/>
              </w:rPr>
            </w:pPr>
          </w:p>
        </w:tc>
        <w:tc>
          <w:tcPr>
            <w:tcW w:w="120" w:type="dxa"/>
            <w:vAlign w:val="bottom"/>
            <w:tcBorders>
              <w:right w:val="single" w:sz="8" w:color="BECD32"/>
            </w:tcBorders>
          </w:tcPr>
          <w:p>
            <w:pPr>
              <w:spacing w:after="0"/>
              <w:rPr>
                <w:sz w:val="12"/>
                <w:szCs w:val="12"/>
                <w:color w:val="auto"/>
              </w:rPr>
            </w:pPr>
          </w:p>
        </w:tc>
        <w:tc>
          <w:tcPr>
            <w:tcW w:w="182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2026</w:t>
            </w:r>
          </w:p>
        </w:tc>
        <w:tc>
          <w:tcPr>
            <w:tcW w:w="120" w:type="dxa"/>
            <w:vAlign w:val="bottom"/>
            <w:tcBorders>
              <w:right w:val="single" w:sz="8" w:color="BECD32"/>
            </w:tcBorders>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420" w:type="dxa"/>
            <w:vAlign w:val="bottom"/>
            <w:tcBorders>
              <w:bottom w:val="single" w:sz="8" w:color="005A64"/>
            </w:tcBorders>
          </w:tcPr>
          <w:p>
            <w:pPr>
              <w:spacing w:after="0"/>
              <w:rPr>
                <w:sz w:val="20"/>
                <w:szCs w:val="20"/>
                <w:color w:val="auto"/>
              </w:rPr>
            </w:pPr>
            <w:r>
              <w:rPr>
                <w:rFonts w:ascii="Arial" w:cs="Arial" w:eastAsia="Arial" w:hAnsi="Arial"/>
                <w:sz w:val="11"/>
                <w:szCs w:val="11"/>
                <w:i w:val="1"/>
                <w:iCs w:val="1"/>
                <w:color w:val="005A64"/>
              </w:rPr>
              <w:t>(in millions €, except per share data)</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20" w:type="dxa"/>
            <w:vAlign w:val="bottom"/>
            <w:tcBorders>
              <w:right w:val="single" w:sz="8" w:color="BECD32"/>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005A64"/>
            </w:tcBorders>
          </w:tcPr>
          <w:p>
            <w:pPr>
              <w:spacing w:after="0"/>
              <w:rPr>
                <w:sz w:val="15"/>
                <w:szCs w:val="15"/>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Revenues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118.1</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182.8</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Cost of sales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(71.4)</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(83.8)</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Research and development expenses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(557.0)</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(525.6)</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Sales and marketing expenses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(27.9)</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(13.7)</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General and administrative expenses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(122.9)</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(106.9)</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operating expenses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(46.8)</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(48.5)</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operating income</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30.4</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61.6</w:t>
            </w:r>
          </w:p>
        </w:tc>
        <w:tc>
          <w:tcPr>
            <w:tcW w:w="0" w:type="dxa"/>
            <w:vAlign w:val="bottom"/>
          </w:tcPr>
          <w:p>
            <w:pPr>
              <w:spacing w:after="0"/>
              <w:rPr>
                <w:sz w:val="1"/>
                <w:szCs w:val="1"/>
                <w:color w:val="auto"/>
              </w:rPr>
            </w:pPr>
          </w:p>
        </w:tc>
      </w:tr>
      <w:tr>
        <w:trPr>
          <w:trHeight w:val="163"/>
        </w:trPr>
        <w:tc>
          <w:tcPr>
            <w:tcW w:w="74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Operating loss</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(677.5)</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005A64"/>
            </w:tcBorders>
          </w:tcPr>
          <w:p>
            <w:pPr>
              <w:spacing w:after="0"/>
              <w:rPr>
                <w:sz w:val="14"/>
                <w:szCs w:val="14"/>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(534.1)</w:t>
            </w:r>
          </w:p>
        </w:tc>
        <w:tc>
          <w:tcPr>
            <w:tcW w:w="0" w:type="dxa"/>
            <w:vAlign w:val="bottom"/>
          </w:tcPr>
          <w:p>
            <w:pPr>
              <w:spacing w:after="0"/>
              <w:rPr>
                <w:sz w:val="1"/>
                <w:szCs w:val="1"/>
                <w:color w:val="auto"/>
              </w:rPr>
            </w:pPr>
          </w:p>
        </w:tc>
      </w:tr>
      <w:tr>
        <w:trPr>
          <w:trHeight w:val="157"/>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income</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120.6</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122.6</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Finance expenses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(11.2)</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(33.9)</w:t>
            </w:r>
          </w:p>
        </w:tc>
        <w:tc>
          <w:tcPr>
            <w:tcW w:w="0" w:type="dxa"/>
            <w:vAlign w:val="bottom"/>
          </w:tcPr>
          <w:p>
            <w:pPr>
              <w:spacing w:after="0"/>
              <w:rPr>
                <w:sz w:val="1"/>
                <w:szCs w:val="1"/>
                <w:color w:val="auto"/>
              </w:rPr>
            </w:pPr>
          </w:p>
        </w:tc>
      </w:tr>
      <w:tr>
        <w:trPr>
          <w:trHeight w:val="163"/>
        </w:trPr>
        <w:tc>
          <w:tcPr>
            <w:tcW w:w="74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Loss before tax</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(568.1)</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005A64"/>
            </w:tcBorders>
          </w:tcPr>
          <w:p>
            <w:pPr>
              <w:spacing w:after="0"/>
              <w:rPr>
                <w:sz w:val="14"/>
                <w:szCs w:val="14"/>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(445.4)</w:t>
            </w:r>
          </w:p>
        </w:tc>
        <w:tc>
          <w:tcPr>
            <w:tcW w:w="0" w:type="dxa"/>
            <w:vAlign w:val="bottom"/>
          </w:tcPr>
          <w:p>
            <w:pPr>
              <w:spacing w:after="0"/>
              <w:rPr>
                <w:sz w:val="1"/>
                <w:szCs w:val="1"/>
                <w:color w:val="auto"/>
              </w:rPr>
            </w:pPr>
          </w:p>
        </w:tc>
      </w:tr>
      <w:tr>
        <w:trPr>
          <w:trHeight w:val="157"/>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taxes</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36.2</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29.6</w:t>
            </w:r>
          </w:p>
        </w:tc>
        <w:tc>
          <w:tcPr>
            <w:tcW w:w="0" w:type="dxa"/>
            <w:vAlign w:val="bottom"/>
          </w:tcPr>
          <w:p>
            <w:pPr>
              <w:spacing w:after="0"/>
              <w:rPr>
                <w:sz w:val="1"/>
                <w:szCs w:val="1"/>
                <w:color w:val="auto"/>
              </w:rPr>
            </w:pPr>
          </w:p>
        </w:tc>
      </w:tr>
      <w:tr>
        <w:trPr>
          <w:trHeight w:val="163"/>
        </w:trPr>
        <w:tc>
          <w:tcPr>
            <w:tcW w:w="742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Net loss</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(531.9)</w:t>
            </w:r>
          </w:p>
        </w:tc>
        <w:tc>
          <w:tcPr>
            <w:tcW w:w="120" w:type="dxa"/>
            <w:vAlign w:val="bottom"/>
            <w:tcBorders>
              <w:right w:val="single" w:sz="8" w:color="BECD32"/>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005A64"/>
            </w:tcBorders>
          </w:tcPr>
          <w:p>
            <w:pPr>
              <w:spacing w:after="0"/>
              <w:rPr>
                <w:sz w:val="14"/>
                <w:szCs w:val="14"/>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(415.8)</w:t>
            </w:r>
          </w:p>
        </w:tc>
        <w:tc>
          <w:tcPr>
            <w:tcW w:w="0" w:type="dxa"/>
            <w:vAlign w:val="bottom"/>
          </w:tcPr>
          <w:p>
            <w:pPr>
              <w:spacing w:after="0"/>
              <w:rPr>
                <w:sz w:val="1"/>
                <w:szCs w:val="1"/>
                <w:color w:val="auto"/>
              </w:rPr>
            </w:pPr>
          </w:p>
        </w:tc>
      </w:tr>
      <w:tr>
        <w:trPr>
          <w:trHeight w:val="160"/>
        </w:trPr>
        <w:tc>
          <w:tcPr>
            <w:tcW w:w="742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Loss per share</w:t>
            </w: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Borders>
              <w:bottom w:val="single" w:sz="8" w:color="7FACB1"/>
            </w:tcBorders>
          </w:tcPr>
          <w:p>
            <w:pPr>
              <w:spacing w:after="0"/>
              <w:rPr>
                <w:sz w:val="13"/>
                <w:szCs w:val="13"/>
                <w:color w:val="auto"/>
              </w:rPr>
            </w:pPr>
          </w:p>
        </w:tc>
        <w:tc>
          <w:tcPr>
            <w:tcW w:w="120" w:type="dxa"/>
            <w:vAlign w:val="bottom"/>
            <w:tcBorders>
              <w:right w:val="single" w:sz="8" w:color="BECD32"/>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20" w:type="dxa"/>
            <w:vAlign w:val="bottom"/>
            <w:tcBorders>
              <w:bottom w:val="single" w:sz="8" w:color="005A64"/>
            </w:tcBorders>
          </w:tcPr>
          <w:p>
            <w:pPr>
              <w:spacing w:after="0"/>
              <w:rPr>
                <w:sz w:val="20"/>
                <w:szCs w:val="20"/>
                <w:color w:val="auto"/>
              </w:rPr>
            </w:pPr>
            <w:r>
              <w:rPr>
                <w:rFonts w:ascii="Arial" w:cs="Arial" w:eastAsia="Arial" w:hAnsi="Arial"/>
                <w:sz w:val="11"/>
                <w:szCs w:val="11"/>
                <w:color w:val="005A64"/>
              </w:rPr>
              <w:t>Basic and diluted loss per share</w:t>
            </w:r>
          </w:p>
        </w:tc>
        <w:tc>
          <w:tcPr>
            <w:tcW w:w="120" w:type="dxa"/>
            <w:vAlign w:val="bottom"/>
            <w:tcBorders>
              <w:right w:val="single" w:sz="8" w:color="BECE33"/>
            </w:tcBorders>
          </w:tcPr>
          <w:p>
            <w:pPr>
              <w:spacing w:after="0"/>
              <w:rPr>
                <w:sz w:val="13"/>
                <w:szCs w:val="13"/>
                <w:color w:val="auto"/>
              </w:rPr>
            </w:pPr>
          </w:p>
        </w:tc>
        <w:tc>
          <w:tcPr>
            <w:tcW w:w="182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color w:val="005A64"/>
              </w:rPr>
              <w:t>(2.10)</w:t>
            </w:r>
          </w:p>
        </w:tc>
        <w:tc>
          <w:tcPr>
            <w:tcW w:w="120" w:type="dxa"/>
            <w:vAlign w:val="bottom"/>
            <w:tcBorders>
              <w:bottom w:val="single" w:sz="8" w:color="BECE33"/>
              <w:right w:val="single" w:sz="8" w:color="BECE33"/>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005A64"/>
            </w:tcBorders>
          </w:tcPr>
          <w:p>
            <w:pPr>
              <w:spacing w:after="0"/>
              <w:rPr>
                <w:sz w:val="13"/>
                <w:szCs w:val="13"/>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300"/>
          </w:cols>
          <w:pgMar w:left="300" w:top="1327" w:right="299" w:bottom="1440" w:gutter="0" w:footer="0" w:header="0"/>
        </w:sectPr>
      </w:pPr>
    </w:p>
    <w:bookmarkStart w:id="15" w:name="page16"/>
    <w:bookmarkEnd w:id="15"/>
    <w:p>
      <w:pPr>
        <w:jc w:val="center"/>
        <w:ind w:right="32"/>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Profit or Loss</w:t>
      </w:r>
    </w:p>
    <w:p>
      <w:pPr>
        <w:spacing w:after="0" w:line="3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(Adjusted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6661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ectPr>
          <w:pgSz w:w="11900" w:h="16838" w:orient="portrait"/>
          <w:cols w:equalWidth="0" w:num="1">
            <w:col w:w="11308"/>
          </w:cols>
          <w:pgMar w:left="292" w:top="1264" w:right="299" w:bottom="1440" w:gutter="0" w:footer="0" w:header="0"/>
        </w:sectPr>
      </w:pPr>
    </w:p>
    <w:p>
      <w:pPr>
        <w:spacing w:after="0" w:line="222"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Results (non-IFRS measures)</w:t>
      </w:r>
      <w:r>
        <w:rPr>
          <w:rFonts w:ascii="Arial" w:cs="Arial" w:eastAsia="Arial" w:hAnsi="Arial"/>
          <w:sz w:val="14"/>
          <w:szCs w:val="14"/>
          <w:b w:val="1"/>
          <w:bCs w:val="1"/>
          <w:color w:val="005A64"/>
          <w:vertAlign w:val="superscript"/>
        </w:rPr>
        <w:t>1</w:t>
      </w:r>
    </w:p>
    <w:p>
      <w:pPr>
        <w:spacing w:after="0" w:line="352" w:lineRule="exact"/>
        <w:rPr>
          <w:sz w:val="20"/>
          <w:szCs w:val="20"/>
          <w:color w:val="auto"/>
        </w:rPr>
      </w:pPr>
    </w:p>
    <w:p>
      <w:pPr>
        <w:ind w:left="8"/>
        <w:spacing w:after="0"/>
        <w:rPr>
          <w:sz w:val="20"/>
          <w:szCs w:val="20"/>
          <w:color w:val="auto"/>
        </w:rPr>
      </w:pPr>
      <w:r>
        <w:rPr>
          <w:rFonts w:ascii="Arial" w:cs="Arial" w:eastAsia="Arial" w:hAnsi="Arial"/>
          <w:sz w:val="11"/>
          <w:szCs w:val="11"/>
          <w:i w:val="1"/>
          <w:iCs w:val="1"/>
          <w:color w:val="005A64"/>
        </w:rPr>
        <w:t>(in millions €,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34" w:lineRule="exact"/>
        <w:rPr>
          <w:sz w:val="20"/>
          <w:szCs w:val="20"/>
          <w:color w:val="auto"/>
        </w:rPr>
      </w:pPr>
    </w:p>
    <w:p>
      <w:pPr>
        <w:ind w:left="8"/>
        <w:spacing w:after="0"/>
        <w:rPr>
          <w:sz w:val="20"/>
          <w:szCs w:val="20"/>
          <w:color w:val="auto"/>
        </w:rPr>
      </w:pPr>
      <w:r>
        <w:rPr>
          <w:rFonts w:ascii="Arial" w:cs="Arial" w:eastAsia="Arial" w:hAnsi="Arial"/>
          <w:sz w:val="10"/>
          <w:szCs w:val="10"/>
          <w:color w:val="005A64"/>
        </w:rPr>
        <w:t>Adjusted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29845</wp:posOffset>
            </wp:positionV>
            <wp:extent cx="474345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45" w:lineRule="exact"/>
        <w:rPr>
          <w:sz w:val="20"/>
          <w:szCs w:val="20"/>
          <w:color w:val="auto"/>
        </w:rPr>
      </w:pPr>
    </w:p>
    <w:p>
      <w:pPr>
        <w:ind w:left="8"/>
        <w:spacing w:after="0"/>
        <w:rPr>
          <w:sz w:val="20"/>
          <w:szCs w:val="20"/>
          <w:color w:val="auto"/>
        </w:rPr>
      </w:pPr>
      <w:r>
        <w:rPr>
          <w:rFonts w:ascii="Arial" w:cs="Arial" w:eastAsia="Arial" w:hAnsi="Arial"/>
          <w:sz w:val="11"/>
          <w:szCs w:val="11"/>
          <w:color w:val="005A64"/>
        </w:rPr>
        <w:t>Adjusted other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34" w:lineRule="exact"/>
        <w:rPr>
          <w:sz w:val="20"/>
          <w:szCs w:val="20"/>
          <w:color w:val="auto"/>
        </w:rPr>
      </w:pPr>
    </w:p>
    <w:p>
      <w:pPr>
        <w:ind w:left="8"/>
        <w:spacing w:after="0"/>
        <w:rPr>
          <w:sz w:val="20"/>
          <w:szCs w:val="20"/>
          <w:color w:val="auto"/>
        </w:rPr>
      </w:pPr>
      <w:r>
        <w:rPr>
          <w:rFonts w:ascii="Arial" w:cs="Arial" w:eastAsia="Arial" w:hAnsi="Arial"/>
          <w:sz w:val="11"/>
          <w:szCs w:val="11"/>
          <w:color w:val="005A64"/>
        </w:rPr>
        <w:t>Adjusted other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3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3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34"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005A64"/>
        </w:rPr>
        <w:t>Adjusted net loss</w:t>
      </w:r>
      <w:r>
        <w:rPr>
          <w:rFonts w:ascii="Arial" w:cs="Arial" w:eastAsia="Arial" w:hAnsi="Arial"/>
          <w:sz w:val="14"/>
          <w:szCs w:val="14"/>
          <w:b w:val="1"/>
          <w:bCs w:val="1"/>
          <w:color w:val="005A64"/>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7434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9"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3C9673"/>
        </w:rPr>
        <w:t>Adjusted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474345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24" w:lineRule="exact"/>
        <w:rPr>
          <w:sz w:val="20"/>
          <w:szCs w:val="20"/>
          <w:color w:val="auto"/>
        </w:rPr>
      </w:pPr>
    </w:p>
    <w:p>
      <w:pPr>
        <w:ind w:left="8"/>
        <w:spacing w:after="0"/>
        <w:rPr>
          <w:sz w:val="20"/>
          <w:szCs w:val="20"/>
          <w:color w:val="auto"/>
        </w:rPr>
      </w:pPr>
      <w:r>
        <w:rPr>
          <w:rFonts w:ascii="Arial" w:cs="Arial" w:eastAsia="Arial" w:hAnsi="Arial"/>
          <w:sz w:val="11"/>
          <w:szCs w:val="11"/>
          <w:color w:val="005A64"/>
        </w:rPr>
        <w:t>Adjusted basic and diluted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474345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434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8"/>
        </w:trPr>
        <w:tc>
          <w:tcPr>
            <w:tcW w:w="80" w:type="dxa"/>
            <w:vAlign w:val="bottom"/>
          </w:tcPr>
          <w:p>
            <w:pPr>
              <w:spacing w:after="0"/>
              <w:rPr>
                <w:sz w:val="12"/>
                <w:szCs w:val="12"/>
                <w:color w:val="auto"/>
              </w:rPr>
            </w:pPr>
          </w:p>
        </w:tc>
        <w:tc>
          <w:tcPr>
            <w:tcW w:w="2860" w:type="dxa"/>
            <w:vAlign w:val="bottom"/>
            <w:gridSpan w:val="4"/>
          </w:tcPr>
          <w:p>
            <w:pPr>
              <w:ind w:left="1040"/>
              <w:spacing w:after="0"/>
              <w:rPr>
                <w:sz w:val="20"/>
                <w:szCs w:val="20"/>
                <w:color w:val="auto"/>
              </w:rPr>
            </w:pPr>
            <w:r>
              <w:rPr>
                <w:rFonts w:ascii="Arial" w:cs="Arial" w:eastAsia="Arial" w:hAnsi="Arial"/>
                <w:sz w:val="11"/>
                <w:szCs w:val="11"/>
                <w:b w:val="1"/>
                <w:bCs w:val="1"/>
                <w:color w:val="005A64"/>
              </w:rPr>
              <w:t>Three months ended March 31,</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20" w:type="dxa"/>
            <w:vAlign w:val="bottom"/>
            <w:tcBorders>
              <w:bottom w:val="single" w:sz="8" w:color="BECE33"/>
            </w:tcBorders>
            <w:gridSpan w:val="2"/>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1"/>
                <w:szCs w:val="11"/>
                <w:b w:val="1"/>
                <w:bCs w:val="1"/>
                <w:color w:val="005A64"/>
              </w:rPr>
              <w:t>2025</w:t>
            </w:r>
          </w:p>
        </w:tc>
        <w:tc>
          <w:tcPr>
            <w:tcW w:w="0" w:type="dxa"/>
            <w:vAlign w:val="bottom"/>
          </w:tcPr>
          <w:p>
            <w:pPr>
              <w:spacing w:after="0"/>
              <w:rPr>
                <w:sz w:val="1"/>
                <w:szCs w:val="1"/>
                <w:color w:val="auto"/>
              </w:rPr>
            </w:pPr>
          </w:p>
        </w:tc>
      </w:tr>
      <w:tr>
        <w:trPr>
          <w:trHeight w:val="146"/>
        </w:trPr>
        <w:tc>
          <w:tcPr>
            <w:tcW w:w="1820" w:type="dxa"/>
            <w:vAlign w:val="bottom"/>
            <w:tcBorders>
              <w:left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2026</w:t>
            </w:r>
          </w:p>
        </w:tc>
        <w:tc>
          <w:tcPr>
            <w:tcW w:w="12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0" w:type="dxa"/>
            <w:vAlign w:val="bottom"/>
            <w:tcBorders>
              <w:left w:val="single" w:sz="8" w:color="BECD32"/>
            </w:tcBorders>
          </w:tcPr>
          <w:p>
            <w:pPr>
              <w:spacing w:after="0"/>
              <w:rPr>
                <w:sz w:val="15"/>
                <w:szCs w:val="15"/>
                <w:color w:val="auto"/>
              </w:rPr>
            </w:pPr>
          </w:p>
        </w:tc>
        <w:tc>
          <w:tcPr>
            <w:tcW w:w="1860" w:type="dxa"/>
            <w:vAlign w:val="bottom"/>
            <w:tcBorders>
              <w:right w:val="single" w:sz="8" w:color="BECD32"/>
            </w:tcBorders>
            <w:gridSpan w:val="2"/>
          </w:tcPr>
          <w:p>
            <w:pPr>
              <w:ind w:left="1200"/>
              <w:spacing w:after="0"/>
              <w:rPr>
                <w:sz w:val="20"/>
                <w:szCs w:val="20"/>
                <w:color w:val="auto"/>
              </w:rPr>
            </w:pPr>
            <w:r>
              <w:rPr>
                <w:rFonts w:ascii="Arial" w:cs="Arial" w:eastAsia="Arial" w:hAnsi="Arial"/>
                <w:sz w:val="11"/>
                <w:szCs w:val="11"/>
                <w:i w:val="1"/>
                <w:iCs w:val="1"/>
                <w:color w:val="005A64"/>
              </w:rPr>
              <w:t>(unaudited)</w:t>
            </w:r>
          </w:p>
        </w:tc>
        <w:tc>
          <w:tcPr>
            <w:tcW w:w="1000" w:type="dxa"/>
            <w:vAlign w:val="bottom"/>
            <w:gridSpan w:val="2"/>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1"/>
                <w:szCs w:val="11"/>
                <w:i w:val="1"/>
                <w:iCs w:val="1"/>
                <w:color w:val="005A64"/>
              </w:rPr>
              <w:t>(unaudited)</w:t>
            </w:r>
          </w:p>
        </w:tc>
        <w:tc>
          <w:tcPr>
            <w:tcW w:w="0" w:type="dxa"/>
            <w:vAlign w:val="bottom"/>
          </w:tcPr>
          <w:p>
            <w:pPr>
              <w:spacing w:after="0"/>
              <w:rPr>
                <w:sz w:val="1"/>
                <w:szCs w:val="1"/>
                <w:color w:val="auto"/>
              </w:rPr>
            </w:pPr>
          </w:p>
        </w:tc>
      </w:tr>
      <w:tr>
        <w:trPr>
          <w:trHeight w:val="160"/>
        </w:trPr>
        <w:tc>
          <w:tcPr>
            <w:tcW w:w="1820" w:type="dxa"/>
            <w:vAlign w:val="bottom"/>
            <w:tcBorders>
              <w:top w:val="single" w:sz="8" w:color="005A64"/>
              <w:left w:val="single" w:sz="8" w:color="BECD32"/>
              <w:bottom w:val="single" w:sz="8" w:color="7FACB1"/>
            </w:tcBorders>
            <w:gridSpan w:val="2"/>
          </w:tcPr>
          <w:p>
            <w:pPr>
              <w:jc w:val="right"/>
              <w:spacing w:after="0"/>
              <w:rPr>
                <w:sz w:val="20"/>
                <w:szCs w:val="20"/>
                <w:color w:val="auto"/>
              </w:rPr>
            </w:pPr>
            <w:r>
              <w:rPr>
                <w:rFonts w:ascii="Arial" w:cs="Arial" w:eastAsia="Arial" w:hAnsi="Arial"/>
                <w:sz w:val="11"/>
                <w:szCs w:val="11"/>
                <w:color w:val="005A64"/>
              </w:rPr>
              <w:t>(527.1)</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005A64"/>
              <w:bottom w:val="single" w:sz="8" w:color="7FACB1"/>
            </w:tcBorders>
          </w:tcPr>
          <w:p>
            <w:pPr>
              <w:spacing w:after="0"/>
              <w:rPr>
                <w:sz w:val="13"/>
                <w:szCs w:val="13"/>
                <w:color w:val="auto"/>
              </w:rPr>
            </w:pPr>
          </w:p>
        </w:tc>
        <w:tc>
          <w:tcPr>
            <w:tcW w:w="800" w:type="dxa"/>
            <w:vAlign w:val="bottom"/>
            <w:tcBorders>
              <w:top w:val="single" w:sz="8" w:color="005A64"/>
              <w:bottom w:val="single" w:sz="8" w:color="7FACB1"/>
            </w:tcBorders>
          </w:tcPr>
          <w:p>
            <w:pPr>
              <w:jc w:val="right"/>
              <w:spacing w:after="0"/>
              <w:rPr>
                <w:sz w:val="20"/>
                <w:szCs w:val="20"/>
                <w:color w:val="auto"/>
              </w:rPr>
            </w:pPr>
            <w:r>
              <w:rPr>
                <w:rFonts w:ascii="Arial" w:cs="Arial" w:eastAsia="Arial" w:hAnsi="Arial"/>
                <w:sz w:val="11"/>
                <w:szCs w:val="11"/>
                <w:color w:val="005A64"/>
              </w:rPr>
              <w:t>(525.6)</w:t>
            </w:r>
          </w:p>
        </w:tc>
        <w:tc>
          <w:tcPr>
            <w:tcW w:w="0" w:type="dxa"/>
            <w:vAlign w:val="bottom"/>
          </w:tcPr>
          <w:p>
            <w:pPr>
              <w:spacing w:after="0"/>
              <w:rPr>
                <w:sz w:val="1"/>
                <w:szCs w:val="1"/>
                <w:color w:val="auto"/>
              </w:rPr>
            </w:pPr>
          </w:p>
        </w:tc>
      </w:tr>
      <w:tr>
        <w:trPr>
          <w:trHeight w:val="160"/>
        </w:trPr>
        <w:tc>
          <w:tcPr>
            <w:tcW w:w="1820" w:type="dxa"/>
            <w:vAlign w:val="bottom"/>
            <w:tcBorders>
              <w:left w:val="single" w:sz="8" w:color="BECD32"/>
              <w:bottom w:val="single" w:sz="8" w:color="7FACB1"/>
            </w:tcBorders>
            <w:gridSpan w:val="2"/>
          </w:tcPr>
          <w:p>
            <w:pPr>
              <w:jc w:val="right"/>
              <w:spacing w:after="0"/>
              <w:rPr>
                <w:sz w:val="20"/>
                <w:szCs w:val="20"/>
                <w:color w:val="auto"/>
              </w:rPr>
            </w:pPr>
            <w:r>
              <w:rPr>
                <w:rFonts w:ascii="Arial" w:cs="Arial" w:eastAsia="Arial" w:hAnsi="Arial"/>
                <w:sz w:val="11"/>
                <w:szCs w:val="11"/>
                <w:color w:val="005A64"/>
              </w:rPr>
              <w:t>(39.4)</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(48.5)</w:t>
            </w:r>
          </w:p>
        </w:tc>
        <w:tc>
          <w:tcPr>
            <w:tcW w:w="0" w:type="dxa"/>
            <w:vAlign w:val="bottom"/>
          </w:tcPr>
          <w:p>
            <w:pPr>
              <w:spacing w:after="0"/>
              <w:rPr>
                <w:sz w:val="1"/>
                <w:szCs w:val="1"/>
                <w:color w:val="auto"/>
              </w:rPr>
            </w:pPr>
          </w:p>
        </w:tc>
      </w:tr>
      <w:tr>
        <w:trPr>
          <w:trHeight w:val="160"/>
        </w:trPr>
        <w:tc>
          <w:tcPr>
            <w:tcW w:w="1820" w:type="dxa"/>
            <w:vAlign w:val="bottom"/>
            <w:tcBorders>
              <w:left w:val="single" w:sz="8" w:color="BECD32"/>
              <w:bottom w:val="single" w:sz="8" w:color="7FACB1"/>
            </w:tcBorders>
            <w:gridSpan w:val="2"/>
          </w:tcPr>
          <w:p>
            <w:pPr>
              <w:jc w:val="right"/>
              <w:spacing w:after="0"/>
              <w:rPr>
                <w:sz w:val="20"/>
                <w:szCs w:val="20"/>
                <w:color w:val="auto"/>
              </w:rPr>
            </w:pPr>
            <w:r>
              <w:rPr>
                <w:rFonts w:ascii="Arial" w:cs="Arial" w:eastAsia="Arial" w:hAnsi="Arial"/>
                <w:sz w:val="11"/>
                <w:szCs w:val="11"/>
                <w:color w:val="005A64"/>
              </w:rPr>
              <w:t>30.4</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7FACB1"/>
            </w:tcBorders>
          </w:tcPr>
          <w:p>
            <w:pPr>
              <w:spacing w:after="0"/>
              <w:rPr>
                <w:sz w:val="13"/>
                <w:szCs w:val="13"/>
                <w:color w:val="auto"/>
              </w:rPr>
            </w:pPr>
          </w:p>
        </w:tc>
        <w:tc>
          <w:tcPr>
            <w:tcW w:w="80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46.6</w:t>
            </w:r>
          </w:p>
        </w:tc>
        <w:tc>
          <w:tcPr>
            <w:tcW w:w="0" w:type="dxa"/>
            <w:vAlign w:val="bottom"/>
          </w:tcPr>
          <w:p>
            <w:pPr>
              <w:spacing w:after="0"/>
              <w:rPr>
                <w:sz w:val="1"/>
                <w:szCs w:val="1"/>
                <w:color w:val="auto"/>
              </w:rPr>
            </w:pPr>
          </w:p>
        </w:tc>
      </w:tr>
      <w:tr>
        <w:trPr>
          <w:trHeight w:val="164"/>
        </w:trPr>
        <w:tc>
          <w:tcPr>
            <w:tcW w:w="80" w:type="dxa"/>
            <w:vAlign w:val="bottom"/>
            <w:tcBorders>
              <w:left w:val="single" w:sz="8" w:color="BECD32"/>
            </w:tcBorders>
          </w:tcPr>
          <w:p>
            <w:pPr>
              <w:spacing w:after="0"/>
              <w:rPr>
                <w:sz w:val="14"/>
                <w:szCs w:val="14"/>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(640.2)</w:t>
            </w: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bottom w:val="single" w:sz="8" w:color="005A64"/>
            </w:tcBorders>
          </w:tcPr>
          <w:p>
            <w:pPr>
              <w:spacing w:after="0"/>
              <w:rPr>
                <w:sz w:val="14"/>
                <w:szCs w:val="14"/>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(549.1)</w:t>
            </w:r>
          </w:p>
        </w:tc>
        <w:tc>
          <w:tcPr>
            <w:tcW w:w="0" w:type="dxa"/>
            <w:vAlign w:val="bottom"/>
          </w:tcPr>
          <w:p>
            <w:pPr>
              <w:spacing w:after="0"/>
              <w:rPr>
                <w:sz w:val="1"/>
                <w:szCs w:val="1"/>
                <w:color w:val="auto"/>
              </w:rPr>
            </w:pPr>
          </w:p>
        </w:tc>
      </w:tr>
      <w:tr>
        <w:trPr>
          <w:trHeight w:val="160"/>
        </w:trPr>
        <w:tc>
          <w:tcPr>
            <w:tcW w:w="80" w:type="dxa"/>
            <w:vAlign w:val="bottom"/>
            <w:tcBorders>
              <w:left w:val="single" w:sz="8" w:color="BECD32"/>
            </w:tcBorders>
          </w:tcPr>
          <w:p>
            <w:pPr>
              <w:spacing w:after="0"/>
              <w:rPr>
                <w:sz w:val="13"/>
                <w:szCs w:val="13"/>
                <w:color w:val="auto"/>
              </w:rPr>
            </w:pPr>
          </w:p>
        </w:tc>
        <w:tc>
          <w:tcPr>
            <w:tcW w:w="174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(530.8)</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bottom w:val="single" w:sz="8" w:color="005A64"/>
            </w:tcBorders>
          </w:tcPr>
          <w:p>
            <w:pPr>
              <w:spacing w:after="0"/>
              <w:rPr>
                <w:sz w:val="13"/>
                <w:szCs w:val="13"/>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(460.4)</w:t>
            </w:r>
          </w:p>
        </w:tc>
        <w:tc>
          <w:tcPr>
            <w:tcW w:w="0" w:type="dxa"/>
            <w:vAlign w:val="bottom"/>
          </w:tcPr>
          <w:p>
            <w:pPr>
              <w:spacing w:after="0"/>
              <w:rPr>
                <w:sz w:val="1"/>
                <w:szCs w:val="1"/>
                <w:color w:val="auto"/>
              </w:rPr>
            </w:pPr>
          </w:p>
        </w:tc>
      </w:tr>
      <w:tr>
        <w:trPr>
          <w:trHeight w:val="160"/>
        </w:trPr>
        <w:tc>
          <w:tcPr>
            <w:tcW w:w="1820" w:type="dxa"/>
            <w:vAlign w:val="bottom"/>
            <w:tcBorders>
              <w:left w:val="single" w:sz="8" w:color="BECD32"/>
            </w:tcBorders>
            <w:gridSpan w:val="2"/>
          </w:tcPr>
          <w:p>
            <w:pPr>
              <w:jc w:val="right"/>
              <w:spacing w:after="0"/>
              <w:rPr>
                <w:sz w:val="20"/>
                <w:szCs w:val="20"/>
                <w:color w:val="auto"/>
              </w:rPr>
            </w:pPr>
            <w:r>
              <w:rPr>
                <w:rFonts w:ascii="Arial" w:cs="Arial" w:eastAsia="Arial" w:hAnsi="Arial"/>
                <w:sz w:val="11"/>
                <w:szCs w:val="11"/>
                <w:b w:val="1"/>
                <w:bCs w:val="1"/>
                <w:color w:val="005A64"/>
              </w:rPr>
              <w:t>(494.6)</w:t>
            </w:r>
          </w:p>
        </w:tc>
        <w:tc>
          <w:tcPr>
            <w:tcW w:w="120" w:type="dxa"/>
            <w:vAlign w:val="bottom"/>
            <w:tcBorders>
              <w:right w:val="single" w:sz="8" w:color="BECD32"/>
            </w:tcBorders>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b w:val="1"/>
                <w:bCs w:val="1"/>
                <w:color w:val="005A64"/>
              </w:rPr>
              <w:t>(430.8)</w:t>
            </w:r>
          </w:p>
        </w:tc>
        <w:tc>
          <w:tcPr>
            <w:tcW w:w="0" w:type="dxa"/>
            <w:vAlign w:val="bottom"/>
          </w:tcPr>
          <w:p>
            <w:pPr>
              <w:spacing w:after="0"/>
              <w:rPr>
                <w:sz w:val="1"/>
                <w:szCs w:val="1"/>
                <w:color w:val="auto"/>
              </w:rPr>
            </w:pPr>
          </w:p>
        </w:tc>
      </w:tr>
      <w:tr>
        <w:trPr>
          <w:trHeight w:val="167"/>
        </w:trPr>
        <w:tc>
          <w:tcPr>
            <w:tcW w:w="80" w:type="dxa"/>
            <w:vAlign w:val="bottom"/>
            <w:tcBorders>
              <w:left w:val="single" w:sz="8" w:color="BECD32"/>
            </w:tcBorders>
          </w:tcPr>
          <w:p>
            <w:pPr>
              <w:spacing w:after="0"/>
              <w:rPr>
                <w:sz w:val="14"/>
                <w:szCs w:val="14"/>
                <w:color w:val="auto"/>
              </w:rPr>
            </w:pPr>
          </w:p>
        </w:tc>
        <w:tc>
          <w:tcPr>
            <w:tcW w:w="1740" w:type="dxa"/>
            <w:vAlign w:val="bottom"/>
            <w:tcBorders>
              <w:top w:val="single" w:sz="8" w:color="005A64"/>
              <w:bottom w:val="single" w:sz="8" w:color="7FACB1"/>
            </w:tcBorders>
          </w:tcPr>
          <w:p>
            <w:pPr>
              <w:spacing w:after="0"/>
              <w:rPr>
                <w:sz w:val="14"/>
                <w:szCs w:val="14"/>
                <w:color w:val="auto"/>
              </w:rPr>
            </w:pPr>
          </w:p>
        </w:tc>
        <w:tc>
          <w:tcPr>
            <w:tcW w:w="120" w:type="dxa"/>
            <w:vAlign w:val="bottom"/>
            <w:tcBorders>
              <w:right w:val="single" w:sz="8" w:color="BECD32"/>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005A64"/>
              <w:bottom w:val="single" w:sz="8" w:color="7FACB1"/>
            </w:tcBorders>
          </w:tcPr>
          <w:p>
            <w:pPr>
              <w:spacing w:after="0"/>
              <w:rPr>
                <w:sz w:val="14"/>
                <w:szCs w:val="14"/>
                <w:color w:val="auto"/>
              </w:rPr>
            </w:pPr>
          </w:p>
        </w:tc>
        <w:tc>
          <w:tcPr>
            <w:tcW w:w="800" w:type="dxa"/>
            <w:vAlign w:val="bottom"/>
            <w:tcBorders>
              <w:top w:val="single" w:sz="8" w:color="005A64"/>
              <w:bottom w:val="single" w:sz="8" w:color="7FACB1"/>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Borders>
              <w:left w:val="single" w:sz="8" w:color="BECE33"/>
              <w:bottom w:val="single" w:sz="8" w:color="BECE33"/>
            </w:tcBorders>
            <w:gridSpan w:val="2"/>
          </w:tcPr>
          <w:p>
            <w:pPr>
              <w:jc w:val="right"/>
              <w:spacing w:after="0"/>
              <w:rPr>
                <w:sz w:val="20"/>
                <w:szCs w:val="20"/>
                <w:color w:val="auto"/>
              </w:rPr>
            </w:pPr>
            <w:r>
              <w:rPr>
                <w:rFonts w:ascii="Arial" w:cs="Arial" w:eastAsia="Arial" w:hAnsi="Arial"/>
                <w:sz w:val="11"/>
                <w:szCs w:val="11"/>
                <w:color w:val="005A64"/>
              </w:rPr>
              <w:t>(1.95)</w:t>
            </w:r>
          </w:p>
        </w:tc>
        <w:tc>
          <w:tcPr>
            <w:tcW w:w="120" w:type="dxa"/>
            <w:vAlign w:val="bottom"/>
            <w:tcBorders>
              <w:bottom w:val="single" w:sz="8" w:color="BECE33"/>
              <w:right w:val="single" w:sz="8" w:color="BECE33"/>
            </w:tcBorders>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bottom w:val="single" w:sz="8" w:color="005A64"/>
            </w:tcBorders>
          </w:tcPr>
          <w:p>
            <w:pPr>
              <w:spacing w:after="0"/>
              <w:rPr>
                <w:sz w:val="12"/>
                <w:szCs w:val="12"/>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1"/>
                <w:szCs w:val="11"/>
                <w:color w:val="005A64"/>
              </w:rPr>
              <w:t>(1.79)</w:t>
            </w: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2">
            <w:col w:w="6828" w:space="720"/>
            <w:col w:w="3760"/>
          </w:cols>
          <w:pgMar w:left="292" w:top="1264" w:right="299" w:bottom="1440" w:gutter="0" w:footer="0" w:header="0"/>
          <w:type w:val="continuous"/>
        </w:sectPr>
      </w:pPr>
    </w:p>
    <w:p>
      <w:pPr>
        <w:ind w:left="48" w:hanging="48"/>
        <w:spacing w:after="0" w:line="231" w:lineRule="auto"/>
        <w:tabs>
          <w:tab w:leader="none" w:pos="61" w:val="left"/>
        </w:tabs>
        <w:numPr>
          <w:ilvl w:val="0"/>
          <w:numId w:val="13"/>
        </w:numPr>
        <w:rPr>
          <w:rFonts w:ascii="Arial" w:cs="Arial" w:eastAsia="Arial" w:hAnsi="Arial"/>
          <w:sz w:val="14"/>
          <w:szCs w:val="14"/>
          <w:color w:val="auto"/>
          <w:vertAlign w:val="superscript"/>
        </w:rPr>
      </w:pPr>
      <w:r>
        <w:rPr>
          <w:rFonts w:ascii="Arial" w:cs="Arial" w:eastAsia="Arial" w:hAnsi="Arial"/>
          <w:sz w:val="11"/>
          <w:szCs w:val="11"/>
          <w:color w:val="auto"/>
        </w:rPr>
        <w:t xml:space="preserve">Certain adjusted results presented in this table are identical to BioNTech’s results under IFRS Accounting Standards. Reconciliation of all other adjusted results to the Company’s IFRS results can be found at the end of this press release and in BioNTech’s Report on Form 6-K for the period ended March 31, 2026 filed on May 5, 2026, which is available at </w:t>
      </w:r>
      <w:r>
        <w:rPr>
          <w:rFonts w:ascii="Arial" w:cs="Arial" w:eastAsia="Arial" w:hAnsi="Arial"/>
          <w:sz w:val="11"/>
          <w:szCs w:val="11"/>
          <w:u w:val="single" w:color="auto"/>
          <w:color w:val="auto"/>
        </w:rPr>
        <w:t>www.sec.gov</w:t>
      </w:r>
      <w:r>
        <w:rPr>
          <w:rFonts w:ascii="Arial" w:cs="Arial" w:eastAsia="Arial" w:hAnsi="Arial"/>
          <w:sz w:val="11"/>
          <w:szCs w:val="11"/>
          <w:color w:val="auto"/>
        </w:rPr>
        <w:t>.</w:t>
      </w:r>
    </w:p>
    <w:p>
      <w:pPr>
        <w:ind w:left="68" w:hanging="68"/>
        <w:spacing w:after="0" w:line="201" w:lineRule="auto"/>
        <w:tabs>
          <w:tab w:leader="none" w:pos="68"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Tax effects are not considered as part of our non-IFRS adjustments.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308"/>
          </w:cols>
          <w:pgMar w:left="292" w:top="1264" w:right="299" w:bottom="1440" w:gutter="0" w:footer="0" w:header="0"/>
          <w:type w:val="continuous"/>
        </w:sectPr>
      </w:pPr>
    </w:p>
    <w:bookmarkStart w:id="16" w:name="page17"/>
    <w:bookmarkEnd w:id="16"/>
    <w:p>
      <w:pPr>
        <w:jc w:val="center"/>
        <w:ind w:righ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280" w:type="dxa"/>
            <w:vAlign w:val="bottom"/>
          </w:tcPr>
          <w:p>
            <w:pPr>
              <w:spacing w:after="0"/>
              <w:rPr>
                <w:sz w:val="14"/>
                <w:szCs w:val="14"/>
                <w:color w:val="auto"/>
              </w:rPr>
            </w:pPr>
          </w:p>
        </w:tc>
        <w:tc>
          <w:tcPr>
            <w:tcW w:w="140" w:type="dxa"/>
            <w:vAlign w:val="bottom"/>
            <w:tcBorders>
              <w:right w:val="single" w:sz="8" w:color="BECE33"/>
            </w:tcBorders>
          </w:tcPr>
          <w:p>
            <w:pPr>
              <w:spacing w:after="0"/>
              <w:rPr>
                <w:sz w:val="14"/>
                <w:szCs w:val="14"/>
                <w:color w:val="auto"/>
              </w:rPr>
            </w:pPr>
          </w:p>
        </w:tc>
        <w:tc>
          <w:tcPr>
            <w:tcW w:w="100" w:type="dxa"/>
            <w:vAlign w:val="bottom"/>
            <w:tcBorders>
              <w:top w:val="single" w:sz="8" w:color="BECE33"/>
            </w:tcBorders>
          </w:tcPr>
          <w:p>
            <w:pPr>
              <w:spacing w:after="0"/>
              <w:rPr>
                <w:sz w:val="14"/>
                <w:szCs w:val="14"/>
                <w:color w:val="auto"/>
              </w:rPr>
            </w:pPr>
          </w:p>
        </w:tc>
        <w:tc>
          <w:tcPr>
            <w:tcW w:w="1900" w:type="dxa"/>
            <w:vAlign w:val="bottom"/>
            <w:tcBorders>
              <w:top w:val="single" w:sz="8" w:color="BECE33"/>
              <w:right w:val="single" w:sz="8" w:color="BECE33"/>
            </w:tcBorders>
            <w:gridSpan w:val="2"/>
          </w:tcPr>
          <w:p>
            <w:pPr>
              <w:jc w:val="right"/>
              <w:ind w:right="140"/>
              <w:spacing w:after="0"/>
              <w:rPr>
                <w:sz w:val="20"/>
                <w:szCs w:val="20"/>
                <w:color w:val="auto"/>
              </w:rPr>
            </w:pPr>
            <w:r>
              <w:rPr>
                <w:rFonts w:ascii="Arial" w:cs="Arial" w:eastAsia="Arial" w:hAnsi="Arial"/>
                <w:sz w:val="11"/>
                <w:szCs w:val="11"/>
                <w:b w:val="1"/>
                <w:bCs w:val="1"/>
                <w:color w:val="005A64"/>
              </w:rPr>
              <w:t>March 31</w:t>
            </w: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December 31,</w:t>
            </w:r>
          </w:p>
        </w:tc>
      </w:tr>
      <w:tr>
        <w:trPr>
          <w:trHeight w:val="169"/>
        </w:trPr>
        <w:tc>
          <w:tcPr>
            <w:tcW w:w="7420" w:type="dxa"/>
            <w:vAlign w:val="bottom"/>
            <w:tcBorders>
              <w:right w:val="single" w:sz="8" w:color="BECE33"/>
            </w:tcBorders>
            <w:gridSpan w:val="2"/>
          </w:tcPr>
          <w:p>
            <w:pPr>
              <w:spacing w:after="0"/>
              <w:rPr>
                <w:sz w:val="20"/>
                <w:szCs w:val="20"/>
                <w:color w:val="auto"/>
              </w:rPr>
            </w:pPr>
            <w:r>
              <w:rPr>
                <w:rFonts w:ascii="Arial" w:cs="Arial" w:eastAsia="Arial" w:hAnsi="Arial"/>
                <w:sz w:val="11"/>
                <w:szCs w:val="11"/>
                <w:i w:val="1"/>
                <w:iCs w:val="1"/>
                <w:color w:val="005A64"/>
              </w:rPr>
              <w:t>(in millions €)</w:t>
            </w:r>
          </w:p>
        </w:tc>
        <w:tc>
          <w:tcPr>
            <w:tcW w:w="1860" w:type="dxa"/>
            <w:vAlign w:val="bottom"/>
            <w:gridSpan w:val="2"/>
          </w:tcPr>
          <w:p>
            <w:pPr>
              <w:jc w:val="right"/>
              <w:spacing w:after="0"/>
              <w:rPr>
                <w:sz w:val="20"/>
                <w:szCs w:val="20"/>
                <w:color w:val="auto"/>
              </w:rPr>
            </w:pPr>
            <w:r>
              <w:rPr>
                <w:rFonts w:ascii="Arial" w:cs="Arial" w:eastAsia="Arial" w:hAnsi="Arial"/>
                <w:sz w:val="11"/>
                <w:szCs w:val="11"/>
                <w:b w:val="1"/>
                <w:bCs w:val="1"/>
                <w:color w:val="005A64"/>
              </w:rPr>
              <w:t>2026</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1"/>
                <w:szCs w:val="11"/>
                <w:b w:val="1"/>
                <w:bCs w:val="1"/>
                <w:color w:val="005A64"/>
              </w:rPr>
              <w:t>2025</w:t>
            </w:r>
          </w:p>
        </w:tc>
      </w:tr>
      <w:tr>
        <w:trPr>
          <w:trHeight w:val="178"/>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Assets</w:t>
            </w:r>
          </w:p>
        </w:tc>
        <w:tc>
          <w:tcPr>
            <w:tcW w:w="140" w:type="dxa"/>
            <w:vAlign w:val="bottom"/>
            <w:tcBorders>
              <w:right w:val="single" w:sz="8" w:color="BECE33"/>
            </w:tcBorders>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i w:val="1"/>
                <w:iCs w:val="1"/>
                <w:color w:val="005A64"/>
              </w:rPr>
              <w:t>(unaudited)</w:t>
            </w:r>
          </w:p>
        </w:tc>
        <w:tc>
          <w:tcPr>
            <w:tcW w:w="140" w:type="dxa"/>
            <w:vAlign w:val="bottom"/>
            <w:tcBorders>
              <w:right w:val="single" w:sz="8" w:color="BECE33"/>
            </w:tcBorders>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Borders>
              <w:bottom w:val="single" w:sz="8" w:color="005A64"/>
            </w:tcBorders>
          </w:tcPr>
          <w:p>
            <w:pPr>
              <w:spacing w:after="0"/>
              <w:rPr>
                <w:sz w:val="15"/>
                <w:szCs w:val="15"/>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assets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Goodwill</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370.5</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367.9</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intangible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1,546.8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1,606.0</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Property, plant and equipment</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1,112.7</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1,080.9</w:t>
            </w:r>
          </w:p>
        </w:tc>
      </w:tr>
      <w:tr>
        <w:trPr>
          <w:trHeight w:val="160"/>
        </w:trPr>
        <w:tc>
          <w:tcPr>
            <w:tcW w:w="7420" w:type="dxa"/>
            <w:vAlign w:val="bottom"/>
            <w:tcBorders>
              <w:right w:val="single" w:sz="8" w:color="BECE33"/>
            </w:tcBorders>
            <w:gridSpan w:val="2"/>
          </w:tcPr>
          <w:p>
            <w:pPr>
              <w:spacing w:after="0"/>
              <w:rPr>
                <w:sz w:val="20"/>
                <w:szCs w:val="20"/>
                <w:color w:val="auto"/>
              </w:rPr>
            </w:pPr>
            <w:r>
              <w:rPr>
                <w:rFonts w:ascii="Arial" w:cs="Arial" w:eastAsia="Arial" w:hAnsi="Arial"/>
                <w:sz w:val="11"/>
                <w:szCs w:val="11"/>
                <w:color w:val="005A64"/>
              </w:rPr>
              <w:t>Right-of-use assets</w:t>
            </w:r>
          </w:p>
        </w:tc>
        <w:tc>
          <w:tcPr>
            <w:tcW w:w="1860" w:type="dxa"/>
            <w:vAlign w:val="bottom"/>
            <w:gridSpan w:val="2"/>
          </w:tcPr>
          <w:p>
            <w:pPr>
              <w:jc w:val="right"/>
              <w:spacing w:after="0"/>
              <w:rPr>
                <w:sz w:val="20"/>
                <w:szCs w:val="20"/>
                <w:color w:val="auto"/>
              </w:rPr>
            </w:pPr>
            <w:r>
              <w:rPr>
                <w:rFonts w:ascii="Arial" w:cs="Arial" w:eastAsia="Arial" w:hAnsi="Arial"/>
                <w:sz w:val="11"/>
                <w:szCs w:val="11"/>
                <w:color w:val="005A64"/>
              </w:rPr>
              <w:t>205.5</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1"/>
                <w:szCs w:val="11"/>
                <w:color w:val="005A64"/>
              </w:rPr>
              <w:t>210.2</w:t>
            </w:r>
          </w:p>
        </w:tc>
      </w:tr>
      <w:tr>
        <w:trPr>
          <w:trHeight w:val="160"/>
        </w:trPr>
        <w:tc>
          <w:tcPr>
            <w:tcW w:w="7420" w:type="dxa"/>
            <w:vAlign w:val="bottom"/>
            <w:tcBorders>
              <w:top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Contract assets</w:t>
            </w:r>
          </w:p>
        </w:tc>
        <w:tc>
          <w:tcPr>
            <w:tcW w:w="100" w:type="dxa"/>
            <w:vAlign w:val="bottom"/>
          </w:tcPr>
          <w:p>
            <w:pPr>
              <w:spacing w:after="0"/>
              <w:rPr>
                <w:sz w:val="13"/>
                <w:szCs w:val="13"/>
                <w:color w:val="auto"/>
              </w:rPr>
            </w:pPr>
          </w:p>
        </w:tc>
        <w:tc>
          <w:tcPr>
            <w:tcW w:w="1900" w:type="dxa"/>
            <w:vAlign w:val="bottom"/>
            <w:tcBorders>
              <w:top w:val="single" w:sz="8" w:color="7FACB1"/>
              <w:right w:val="single" w:sz="8" w:color="BECE33"/>
            </w:tcBorders>
            <w:gridSpan w:val="2"/>
          </w:tcPr>
          <w:p>
            <w:pPr>
              <w:jc w:val="right"/>
              <w:ind w:right="140"/>
              <w:spacing w:after="0"/>
              <w:rPr>
                <w:sz w:val="20"/>
                <w:szCs w:val="20"/>
                <w:color w:val="auto"/>
              </w:rPr>
            </w:pPr>
            <w:r>
              <w:rPr>
                <w:rFonts w:ascii="Arial" w:cs="Arial" w:eastAsia="Arial" w:hAnsi="Arial"/>
                <w:sz w:val="11"/>
                <w:szCs w:val="11"/>
                <w:color w:val="005A64"/>
              </w:rPr>
              <w:t>—</w:t>
            </w:r>
          </w:p>
        </w:tc>
        <w:tc>
          <w:tcPr>
            <w:tcW w:w="100" w:type="dxa"/>
            <w:vAlign w:val="bottom"/>
          </w:tcPr>
          <w:p>
            <w:pPr>
              <w:spacing w:after="0"/>
              <w:rPr>
                <w:sz w:val="13"/>
                <w:szCs w:val="13"/>
                <w:color w:val="auto"/>
              </w:rPr>
            </w:pPr>
          </w:p>
        </w:tc>
        <w:tc>
          <w:tcPr>
            <w:tcW w:w="1780" w:type="dxa"/>
            <w:vAlign w:val="bottom"/>
            <w:tcBorders>
              <w:top w:val="single" w:sz="8" w:color="7FACB1"/>
            </w:tcBorders>
          </w:tcPr>
          <w:p>
            <w:pPr>
              <w:jc w:val="right"/>
              <w:spacing w:after="0"/>
              <w:rPr>
                <w:sz w:val="20"/>
                <w:szCs w:val="20"/>
                <w:color w:val="auto"/>
              </w:rPr>
            </w:pPr>
            <w:r>
              <w:rPr>
                <w:rFonts w:ascii="Arial" w:cs="Arial" w:eastAsia="Arial" w:hAnsi="Arial"/>
                <w:sz w:val="11"/>
                <w:szCs w:val="11"/>
                <w:color w:val="005A64"/>
              </w:rPr>
              <w:t>2.0</w:t>
            </w:r>
          </w:p>
        </w:tc>
      </w:tr>
      <w:tr>
        <w:trPr>
          <w:trHeight w:val="160"/>
        </w:trPr>
        <w:tc>
          <w:tcPr>
            <w:tcW w:w="7420" w:type="dxa"/>
            <w:vAlign w:val="bottom"/>
            <w:tcBorders>
              <w:top w:val="single" w:sz="8" w:color="7FACB1"/>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tcBorders>
              <w:top w:val="single" w:sz="8" w:color="7FACB1"/>
              <w:bottom w:val="single" w:sz="8" w:color="7FACB1"/>
            </w:tcBorders>
            <w:gridSpan w:val="2"/>
          </w:tcPr>
          <w:p>
            <w:pPr>
              <w:jc w:val="right"/>
              <w:spacing w:after="0"/>
              <w:rPr>
                <w:sz w:val="20"/>
                <w:szCs w:val="20"/>
                <w:color w:val="auto"/>
              </w:rPr>
            </w:pPr>
            <w:r>
              <w:rPr>
                <w:rFonts w:ascii="Arial" w:cs="Arial" w:eastAsia="Arial" w:hAnsi="Arial"/>
                <w:sz w:val="11"/>
                <w:szCs w:val="11"/>
                <w:color w:val="005A64"/>
              </w:rPr>
              <w:t>2,279.9</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top w:val="single" w:sz="8" w:color="7FACB1"/>
              <w:bottom w:val="single" w:sz="8" w:color="7FACB1"/>
            </w:tcBorders>
          </w:tcPr>
          <w:p>
            <w:pPr>
              <w:jc w:val="right"/>
              <w:spacing w:after="0"/>
              <w:rPr>
                <w:sz w:val="20"/>
                <w:szCs w:val="20"/>
                <w:color w:val="auto"/>
              </w:rPr>
            </w:pPr>
            <w:r>
              <w:rPr>
                <w:rFonts w:ascii="Arial" w:cs="Arial" w:eastAsia="Arial" w:hAnsi="Arial"/>
                <w:sz w:val="11"/>
                <w:szCs w:val="11"/>
                <w:color w:val="005A64"/>
              </w:rPr>
              <w:t>2,554.2</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12.2</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7.3</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Deferred tax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14.7</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13.5</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assets</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5,542.3</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5,842.0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assets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6"/>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Inventories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103.8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110.7</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Trade and other receivables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539.2</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924.2</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Contract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8.9</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8.1</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4,699.8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7,201.8</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non-financial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176.6</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173.8</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Income tax assets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64.1</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52.6</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Cash and cash equivalents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9,939.4</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7,675.4</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assets</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15,531.8</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16,146.6</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assets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21,074.1</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21,988.6</w:t>
            </w:r>
          </w:p>
        </w:tc>
      </w:tr>
      <w:tr>
        <w:trPr>
          <w:trHeight w:val="322"/>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Equity and liabilities</w:t>
            </w:r>
          </w:p>
        </w:tc>
        <w:tc>
          <w:tcPr>
            <w:tcW w:w="140" w:type="dxa"/>
            <w:vAlign w:val="bottom"/>
            <w:tcBorders>
              <w:right w:val="single" w:sz="8" w:color="BECE33"/>
            </w:tcBorders>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Borders>
              <w:bottom w:val="single" w:sz="8" w:color="005A64"/>
            </w:tcBorders>
          </w:tcPr>
          <w:p>
            <w:pPr>
              <w:spacing w:after="0"/>
              <w:rPr>
                <w:sz w:val="24"/>
                <w:szCs w:val="24"/>
                <w:color w:val="auto"/>
              </w:rPr>
            </w:pPr>
          </w:p>
        </w:tc>
        <w:tc>
          <w:tcPr>
            <w:tcW w:w="140" w:type="dxa"/>
            <w:vAlign w:val="bottom"/>
            <w:tcBorders>
              <w:right w:val="single" w:sz="8" w:color="BECE33"/>
            </w:tcBorders>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Borders>
              <w:bottom w:val="single" w:sz="8" w:color="005A64"/>
            </w:tcBorders>
          </w:tcPr>
          <w:p>
            <w:pPr>
              <w:spacing w:after="0"/>
              <w:rPr>
                <w:sz w:val="24"/>
                <w:szCs w:val="24"/>
                <w:color w:val="auto"/>
              </w:rPr>
            </w:pP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Equity</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Share capital</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259.0</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259.0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Capital reserve</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2,468.2</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2,473.3</w:t>
            </w:r>
          </w:p>
        </w:tc>
      </w:tr>
      <w:tr>
        <w:trPr>
          <w:trHeight w:val="159"/>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Treasury shares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(6.1)</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Retained earnings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17,430.0</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17,961.9</w:t>
            </w:r>
          </w:p>
        </w:tc>
      </w:tr>
      <w:tr>
        <w:trPr>
          <w:trHeight w:val="160"/>
        </w:trPr>
        <w:tc>
          <w:tcPr>
            <w:tcW w:w="7420" w:type="dxa"/>
            <w:vAlign w:val="bottom"/>
            <w:tcBorders>
              <w:bottom w:val="single" w:sz="8" w:color="7FACB1"/>
              <w:right w:val="single" w:sz="8" w:color="BECE33"/>
            </w:tcBorders>
            <w:gridSpan w:val="2"/>
          </w:tcPr>
          <w:p>
            <w:pPr>
              <w:spacing w:after="0"/>
              <w:rPr>
                <w:sz w:val="20"/>
                <w:szCs w:val="20"/>
                <w:color w:val="auto"/>
              </w:rPr>
            </w:pPr>
            <w:r>
              <w:rPr>
                <w:rFonts w:ascii="Arial" w:cs="Arial" w:eastAsia="Arial" w:hAnsi="Arial"/>
                <w:sz w:val="11"/>
                <w:szCs w:val="11"/>
                <w:color w:val="005A64"/>
              </w:rPr>
              <w:t>Other reserves</w:t>
            </w:r>
          </w:p>
        </w:tc>
        <w:tc>
          <w:tcPr>
            <w:tcW w:w="1860" w:type="dxa"/>
            <w:vAlign w:val="bottom"/>
            <w:tcBorders>
              <w:bottom w:val="single" w:sz="8" w:color="7FACB1"/>
            </w:tcBorders>
            <w:gridSpan w:val="2"/>
          </w:tcPr>
          <w:p>
            <w:pPr>
              <w:jc w:val="right"/>
              <w:spacing w:after="0"/>
              <w:rPr>
                <w:sz w:val="20"/>
                <w:szCs w:val="20"/>
                <w:color w:val="auto"/>
              </w:rPr>
            </w:pPr>
            <w:r>
              <w:rPr>
                <w:rFonts w:ascii="Arial" w:cs="Arial" w:eastAsia="Arial" w:hAnsi="Arial"/>
                <w:sz w:val="11"/>
                <w:szCs w:val="11"/>
                <w:color w:val="005A64"/>
              </w:rPr>
              <w:t>(1,453.3)</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(1,462.3)</w:t>
            </w:r>
          </w:p>
        </w:tc>
      </w:tr>
      <w:tr>
        <w:trPr>
          <w:trHeight w:val="164"/>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18,697.8</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19,224.2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Non-current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246.1</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215.2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92.0</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94.9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35.5</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87.7</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88.0</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108.8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104.2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Deferred tax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52.9</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84.3</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non-current liabilities</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611.3</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622.1</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b w:val="1"/>
                <w:bCs w:val="1"/>
                <w:color w:val="3C9673"/>
              </w:rPr>
              <w:t>Current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spacing w:after="0"/>
              <w:rPr>
                <w:sz w:val="13"/>
                <w:szCs w:val="13"/>
                <w:color w:val="auto"/>
              </w:rPr>
            </w:pP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spacing w:after="0"/>
              <w:rPr>
                <w:sz w:val="13"/>
                <w:szCs w:val="13"/>
                <w:color w:val="auto"/>
              </w:rPr>
            </w:pPr>
          </w:p>
        </w:tc>
      </w:tr>
      <w:tr>
        <w:trPr>
          <w:trHeight w:val="157"/>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Lease liabilities, loans and borrowings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56.7</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52.2</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Trade payables and other payables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468.8</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534.9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financial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77.5</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351.7</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Income tax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38.1</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65.6</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Provisions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167.0</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145.3</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Contract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758.5</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754.9</w:t>
            </w:r>
          </w:p>
        </w:tc>
      </w:tr>
      <w:tr>
        <w:trPr>
          <w:trHeight w:val="160"/>
        </w:trPr>
        <w:tc>
          <w:tcPr>
            <w:tcW w:w="7280" w:type="dxa"/>
            <w:vAlign w:val="bottom"/>
            <w:tcBorders>
              <w:bottom w:val="single" w:sz="8" w:color="7FACB1"/>
            </w:tcBorders>
          </w:tcPr>
          <w:p>
            <w:pPr>
              <w:spacing w:after="0"/>
              <w:rPr>
                <w:sz w:val="20"/>
                <w:szCs w:val="20"/>
                <w:color w:val="auto"/>
              </w:rPr>
            </w:pPr>
            <w:r>
              <w:rPr>
                <w:rFonts w:ascii="Arial" w:cs="Arial" w:eastAsia="Arial" w:hAnsi="Arial"/>
                <w:sz w:val="11"/>
                <w:szCs w:val="11"/>
                <w:color w:val="005A64"/>
              </w:rPr>
              <w:t>Other non-financial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198.4</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7FACB1"/>
            </w:tcBorders>
          </w:tcPr>
          <w:p>
            <w:pPr>
              <w:jc w:val="right"/>
              <w:spacing w:after="0"/>
              <w:rPr>
                <w:sz w:val="20"/>
                <w:szCs w:val="20"/>
                <w:color w:val="auto"/>
              </w:rPr>
            </w:pPr>
            <w:r>
              <w:rPr>
                <w:rFonts w:ascii="Arial" w:cs="Arial" w:eastAsia="Arial" w:hAnsi="Arial"/>
                <w:sz w:val="11"/>
                <w:szCs w:val="11"/>
                <w:color w:val="005A64"/>
              </w:rPr>
              <w:t>237.7</w:t>
            </w:r>
          </w:p>
        </w:tc>
      </w:tr>
      <w:tr>
        <w:trPr>
          <w:trHeight w:val="163"/>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current liabilities</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1,765.0</w:t>
            </w:r>
          </w:p>
        </w:tc>
        <w:tc>
          <w:tcPr>
            <w:tcW w:w="140" w:type="dxa"/>
            <w:vAlign w:val="bottom"/>
            <w:tcBorders>
              <w:right w:val="single" w:sz="8" w:color="BECE33"/>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2,142.3</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liabilities</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2,376.3</w:t>
            </w:r>
          </w:p>
        </w:tc>
        <w:tc>
          <w:tcPr>
            <w:tcW w:w="140" w:type="dxa"/>
            <w:vAlign w:val="bottom"/>
            <w:tcBorders>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2,764.4</w:t>
            </w:r>
          </w:p>
        </w:tc>
      </w:tr>
      <w:tr>
        <w:trPr>
          <w:trHeight w:val="160"/>
        </w:trPr>
        <w:tc>
          <w:tcPr>
            <w:tcW w:w="7280" w:type="dxa"/>
            <w:vAlign w:val="bottom"/>
            <w:tcBorders>
              <w:bottom w:val="single" w:sz="8" w:color="005A64"/>
            </w:tcBorders>
          </w:tcPr>
          <w:p>
            <w:pPr>
              <w:spacing w:after="0"/>
              <w:rPr>
                <w:sz w:val="20"/>
                <w:szCs w:val="20"/>
                <w:color w:val="auto"/>
              </w:rPr>
            </w:pPr>
            <w:r>
              <w:rPr>
                <w:rFonts w:ascii="Arial" w:cs="Arial" w:eastAsia="Arial" w:hAnsi="Arial"/>
                <w:sz w:val="11"/>
                <w:szCs w:val="11"/>
                <w:b w:val="1"/>
                <w:bCs w:val="1"/>
                <w:color w:val="005A64"/>
              </w:rPr>
              <w:t>Total equity and liabilities</w:t>
            </w:r>
          </w:p>
        </w:tc>
        <w:tc>
          <w:tcPr>
            <w:tcW w:w="140" w:type="dxa"/>
            <w:vAlign w:val="bottom"/>
            <w:tcBorders>
              <w:right w:val="single" w:sz="8" w:color="BECE33"/>
            </w:tcBorders>
          </w:tcPr>
          <w:p>
            <w:pPr>
              <w:spacing w:after="0"/>
              <w:rPr>
                <w:sz w:val="13"/>
                <w:szCs w:val="13"/>
                <w:color w:val="auto"/>
              </w:rPr>
            </w:pPr>
          </w:p>
        </w:tc>
        <w:tc>
          <w:tcPr>
            <w:tcW w:w="1860" w:type="dxa"/>
            <w:vAlign w:val="bottom"/>
            <w:tcBorders>
              <w:bottom w:val="single" w:sz="8" w:color="BECE33"/>
            </w:tcBorders>
            <w:gridSpan w:val="2"/>
          </w:tcPr>
          <w:p>
            <w:pPr>
              <w:jc w:val="right"/>
              <w:spacing w:after="0"/>
              <w:rPr>
                <w:sz w:val="20"/>
                <w:szCs w:val="20"/>
                <w:color w:val="auto"/>
              </w:rPr>
            </w:pPr>
            <w:r>
              <w:rPr>
                <w:rFonts w:ascii="Arial" w:cs="Arial" w:eastAsia="Arial" w:hAnsi="Arial"/>
                <w:sz w:val="11"/>
                <w:szCs w:val="11"/>
                <w:b w:val="1"/>
                <w:bCs w:val="1"/>
                <w:color w:val="005A64"/>
              </w:rPr>
              <w:t>21,074.1</w:t>
            </w:r>
          </w:p>
        </w:tc>
        <w:tc>
          <w:tcPr>
            <w:tcW w:w="140" w:type="dxa"/>
            <w:vAlign w:val="bottom"/>
            <w:tcBorders>
              <w:bottom w:val="single" w:sz="8" w:color="BECE33"/>
              <w:right w:val="single" w:sz="8" w:color="BECE33"/>
            </w:tcBorders>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tcBorders>
              <w:bottom w:val="single" w:sz="8" w:color="005A64"/>
            </w:tcBorders>
          </w:tcPr>
          <w:p>
            <w:pPr>
              <w:jc w:val="right"/>
              <w:spacing w:after="0"/>
              <w:rPr>
                <w:sz w:val="20"/>
                <w:szCs w:val="20"/>
                <w:color w:val="auto"/>
              </w:rPr>
            </w:pPr>
            <w:r>
              <w:rPr>
                <w:rFonts w:ascii="Arial" w:cs="Arial" w:eastAsia="Arial" w:hAnsi="Arial"/>
                <w:sz w:val="11"/>
                <w:szCs w:val="11"/>
                <w:b w:val="1"/>
                <w:bCs w:val="1"/>
                <w:color w:val="005A64"/>
              </w:rPr>
              <w:t>21,988.6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1300"/>
          </w:cols>
          <w:pgMar w:left="300" w:top="1165"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t>Interim 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6661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6610" cy="1143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00" w:type="dxa"/>
            <w:vAlign w:val="bottom"/>
            <w:gridSpan w:val="4"/>
          </w:tcPr>
          <w:p>
            <w:pPr>
              <w:ind w:left="880"/>
              <w:spacing w:after="0"/>
              <w:rPr>
                <w:sz w:val="20"/>
                <w:szCs w:val="20"/>
                <w:color w:val="auto"/>
              </w:rPr>
            </w:pPr>
            <w:r>
              <w:rPr>
                <w:rFonts w:ascii="Arial" w:cs="Arial" w:eastAsia="Arial" w:hAnsi="Arial"/>
                <w:sz w:val="10"/>
                <w:szCs w:val="10"/>
                <w:b w:val="1"/>
                <w:bCs w:val="1"/>
                <w:color w:val="005A64"/>
              </w:rPr>
              <w:t>Three months ended March 31,</w:t>
            </w:r>
          </w:p>
        </w:tc>
        <w:tc>
          <w:tcPr>
            <w:tcW w:w="680" w:type="dxa"/>
            <w:vAlign w:val="bottom"/>
          </w:tcPr>
          <w:p>
            <w:pPr>
              <w:spacing w:after="0"/>
              <w:rPr>
                <w:sz w:val="11"/>
                <w:szCs w:val="11"/>
                <w:color w:val="auto"/>
              </w:rPr>
            </w:pPr>
          </w:p>
        </w:tc>
      </w:tr>
      <w:tr>
        <w:trPr>
          <w:trHeight w:val="182"/>
        </w:trPr>
        <w:tc>
          <w:tcPr>
            <w:tcW w:w="7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BECD32"/>
            </w:tcBorders>
            <w:gridSpan w:val="2"/>
          </w:tcPr>
          <w:p>
            <w:pPr>
              <w:spacing w:after="0"/>
              <w:rPr>
                <w:sz w:val="15"/>
                <w:szCs w:val="15"/>
                <w:color w:val="auto"/>
              </w:rPr>
            </w:pPr>
          </w:p>
        </w:tc>
        <w:tc>
          <w:tcPr>
            <w:tcW w:w="100" w:type="dxa"/>
            <w:vAlign w:val="bottom"/>
            <w:tcBorders>
              <w:bottom w:val="single" w:sz="8" w:color="BECD32"/>
            </w:tcBorders>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31"/>
        </w:trPr>
        <w:tc>
          <w:tcPr>
            <w:tcW w:w="7940" w:type="dxa"/>
            <w:vAlign w:val="bottom"/>
          </w:tcPr>
          <w:p>
            <w:pPr>
              <w:spacing w:after="0"/>
              <w:rPr>
                <w:sz w:val="11"/>
                <w:szCs w:val="11"/>
                <w:color w:val="auto"/>
              </w:rPr>
            </w:pPr>
          </w:p>
        </w:tc>
        <w:tc>
          <w:tcPr>
            <w:tcW w:w="100" w:type="dxa"/>
            <w:vAlign w:val="bottom"/>
            <w:tcBorders>
              <w:right w:val="single" w:sz="8" w:color="BECD32"/>
            </w:tcBorders>
          </w:tcPr>
          <w:p>
            <w:pPr>
              <w:spacing w:after="0"/>
              <w:rPr>
                <w:sz w:val="11"/>
                <w:szCs w:val="11"/>
                <w:color w:val="auto"/>
              </w:rPr>
            </w:pPr>
          </w:p>
        </w:tc>
        <w:tc>
          <w:tcPr>
            <w:tcW w:w="1580" w:type="dxa"/>
            <w:vAlign w:val="bottom"/>
            <w:gridSpan w:val="2"/>
          </w:tcPr>
          <w:p>
            <w:pPr>
              <w:jc w:val="right"/>
              <w:spacing w:after="0"/>
              <w:rPr>
                <w:sz w:val="20"/>
                <w:szCs w:val="20"/>
                <w:color w:val="auto"/>
              </w:rPr>
            </w:pPr>
            <w:r>
              <w:rPr>
                <w:rFonts w:ascii="Arial" w:cs="Arial" w:eastAsia="Arial" w:hAnsi="Arial"/>
                <w:sz w:val="10"/>
                <w:szCs w:val="10"/>
                <w:b w:val="1"/>
                <w:bCs w:val="1"/>
                <w:color w:val="005A64"/>
              </w:rPr>
              <w:t>2026</w:t>
            </w:r>
          </w:p>
        </w:tc>
        <w:tc>
          <w:tcPr>
            <w:tcW w:w="100" w:type="dxa"/>
            <w:vAlign w:val="bottom"/>
            <w:tcBorders>
              <w:right w:val="single" w:sz="8" w:color="BECD32"/>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005A64"/>
              </w:rPr>
              <w:t>2025</w:t>
            </w:r>
          </w:p>
        </w:tc>
      </w:tr>
      <w:tr>
        <w:trPr>
          <w:trHeight w:val="158"/>
        </w:trPr>
        <w:tc>
          <w:tcPr>
            <w:tcW w:w="8040" w:type="dxa"/>
            <w:vAlign w:val="bottom"/>
            <w:tcBorders>
              <w:right w:val="single" w:sz="8" w:color="BECD32"/>
            </w:tcBorders>
            <w:gridSpan w:val="2"/>
          </w:tcPr>
          <w:p>
            <w:pPr>
              <w:spacing w:after="0"/>
              <w:rPr>
                <w:sz w:val="20"/>
                <w:szCs w:val="20"/>
                <w:color w:val="auto"/>
              </w:rPr>
            </w:pPr>
            <w:r>
              <w:rPr>
                <w:rFonts w:ascii="Arial" w:cs="Arial" w:eastAsia="Arial" w:hAnsi="Arial"/>
                <w:sz w:val="10"/>
                <w:szCs w:val="10"/>
                <w:i w:val="1"/>
                <w:iCs w:val="1"/>
                <w:color w:val="005A64"/>
              </w:rPr>
              <w:t>(in millions €)</w:t>
            </w:r>
          </w:p>
        </w:tc>
        <w:tc>
          <w:tcPr>
            <w:tcW w:w="60" w:type="dxa"/>
            <w:vAlign w:val="bottom"/>
          </w:tcPr>
          <w:p>
            <w:pPr>
              <w:spacing w:after="0"/>
              <w:rPr>
                <w:sz w:val="13"/>
                <w:szCs w:val="13"/>
                <w:color w:val="auto"/>
              </w:rPr>
            </w:pPr>
          </w:p>
        </w:tc>
        <w:tc>
          <w:tcPr>
            <w:tcW w:w="1620" w:type="dxa"/>
            <w:vAlign w:val="bottom"/>
            <w:tcBorders>
              <w:right w:val="single" w:sz="8" w:color="BECD32"/>
            </w:tcBorders>
            <w:gridSpan w:val="2"/>
          </w:tcPr>
          <w:p>
            <w:pPr>
              <w:ind w:left="1020"/>
              <w:spacing w:after="0"/>
              <w:rPr>
                <w:sz w:val="20"/>
                <w:szCs w:val="20"/>
                <w:color w:val="auto"/>
              </w:rPr>
            </w:pPr>
            <w:r>
              <w:rPr>
                <w:rFonts w:ascii="Arial" w:cs="Arial" w:eastAsia="Arial" w:hAnsi="Arial"/>
                <w:sz w:val="10"/>
                <w:szCs w:val="10"/>
                <w:i w:val="1"/>
                <w:iCs w:val="1"/>
                <w:color w:val="005A64"/>
              </w:rPr>
              <w:t>(unaudited)</w:t>
            </w:r>
          </w:p>
        </w:tc>
        <w:tc>
          <w:tcPr>
            <w:tcW w:w="880" w:type="dxa"/>
            <w:vAlign w:val="bottom"/>
            <w:gridSpan w:val="2"/>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i w:val="1"/>
                <w:iCs w:val="1"/>
                <w:color w:val="005A64"/>
              </w:rPr>
              <w:t>(unaudited)</w:t>
            </w:r>
          </w:p>
        </w:tc>
      </w:tr>
      <w:tr>
        <w:trPr>
          <w:trHeight w:val="24"/>
        </w:trPr>
        <w:tc>
          <w:tcPr>
            <w:tcW w:w="794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Borders>
              <w:bottom w:val="single" w:sz="8" w:color="005A64"/>
            </w:tcBorders>
          </w:tcPr>
          <w:p>
            <w:pPr>
              <w:spacing w:after="0"/>
              <w:rPr>
                <w:sz w:val="2"/>
                <w:szCs w:val="2"/>
                <w:color w:val="auto"/>
              </w:rPr>
            </w:pPr>
          </w:p>
        </w:tc>
        <w:tc>
          <w:tcPr>
            <w:tcW w:w="100" w:type="dxa"/>
            <w:vAlign w:val="bottom"/>
            <w:tcBorders>
              <w:right w:val="single" w:sz="8" w:color="BECD32"/>
            </w:tcBorders>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r>
      <w:tr>
        <w:trPr>
          <w:trHeight w:val="140"/>
        </w:trPr>
        <w:tc>
          <w:tcPr>
            <w:tcW w:w="80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0"/>
                <w:szCs w:val="10"/>
                <w:b w:val="1"/>
                <w:bCs w:val="1"/>
                <w:color w:val="3C9673"/>
              </w:rPr>
              <w:t>Operating activities</w:t>
            </w:r>
          </w:p>
        </w:tc>
        <w:tc>
          <w:tcPr>
            <w:tcW w:w="60" w:type="dxa"/>
            <w:vAlign w:val="bottom"/>
            <w:tcBorders>
              <w:bottom w:val="single" w:sz="8" w:color="7FACB1"/>
            </w:tcBorders>
          </w:tcPr>
          <w:p>
            <w:pPr>
              <w:spacing w:after="0"/>
              <w:rPr>
                <w:sz w:val="12"/>
                <w:szCs w:val="12"/>
                <w:color w:val="auto"/>
              </w:rPr>
            </w:pPr>
          </w:p>
        </w:tc>
        <w:tc>
          <w:tcPr>
            <w:tcW w:w="15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spacing w:after="0"/>
              <w:rPr>
                <w:sz w:val="12"/>
                <w:szCs w:val="12"/>
                <w:color w:val="auto"/>
              </w:rPr>
            </w:pPr>
          </w:p>
        </w:tc>
      </w:tr>
      <w:tr>
        <w:trPr>
          <w:trHeight w:val="146"/>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Net loss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(531.9)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(415.8)</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Income taxes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(29.6)</w:t>
            </w:r>
          </w:p>
        </w:tc>
      </w:tr>
      <w:tr>
        <w:trPr>
          <w:trHeight w:val="144"/>
        </w:trPr>
        <w:tc>
          <w:tcPr>
            <w:tcW w:w="794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Loss before tax</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(568.1)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5A64"/>
            </w:tcBorders>
          </w:tcPr>
          <w:p>
            <w:pPr>
              <w:spacing w:after="0"/>
              <w:rPr>
                <w:sz w:val="12"/>
                <w:szCs w:val="12"/>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(445.4)</w:t>
            </w:r>
          </w:p>
        </w:tc>
      </w:tr>
      <w:tr>
        <w:trPr>
          <w:trHeight w:val="147"/>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Adjustments to reconcile loss before tax to net cash flows: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spacing w:after="0"/>
              <w:rPr>
                <w:sz w:val="12"/>
                <w:szCs w:val="12"/>
                <w:color w:val="auto"/>
              </w:rPr>
            </w:pPr>
          </w:p>
        </w:tc>
      </w:tr>
      <w:tr>
        <w:trPr>
          <w:trHeight w:val="144"/>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Depreciation, amortization and impairment of property, plant, equipment, intangible assets and right-of-use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121.3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42.8</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Share-based payment expenses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22.1</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Net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48.3</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Gain on disposal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income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(122.6)</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Finance expense excluding foreign exchange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7.9</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Government and similar grants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(17.6)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(14.5)</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Other non-cash income</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(15.0)</w:t>
            </w:r>
          </w:p>
        </w:tc>
      </w:tr>
      <w:tr>
        <w:trPr>
          <w:trHeight w:val="148"/>
        </w:trPr>
        <w:tc>
          <w:tcPr>
            <w:tcW w:w="80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0"/>
                <w:szCs w:val="10"/>
                <w:b w:val="1"/>
                <w:bCs w:val="1"/>
                <w:color w:val="3C9673"/>
              </w:rPr>
              <w:t>Working capital adjustments:</w:t>
            </w:r>
          </w:p>
        </w:tc>
        <w:tc>
          <w:tcPr>
            <w:tcW w:w="60" w:type="dxa"/>
            <w:vAlign w:val="bottom"/>
            <w:tcBorders>
              <w:bottom w:val="single" w:sz="8" w:color="7FACB1"/>
            </w:tcBorders>
          </w:tcPr>
          <w:p>
            <w:pPr>
              <w:spacing w:after="0"/>
              <w:rPr>
                <w:sz w:val="12"/>
                <w:szCs w:val="12"/>
                <w:color w:val="auto"/>
              </w:rPr>
            </w:pPr>
          </w:p>
        </w:tc>
        <w:tc>
          <w:tcPr>
            <w:tcW w:w="15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spacing w:after="0"/>
              <w:rPr>
                <w:sz w:val="12"/>
                <w:szCs w:val="12"/>
                <w:color w:val="auto"/>
              </w:rPr>
            </w:pPr>
          </w:p>
        </w:tc>
      </w:tr>
      <w:tr>
        <w:trPr>
          <w:trHeight w:val="145"/>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trade and other receivables, contract assets and other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431.1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520.7</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inventories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33.8</w:t>
            </w:r>
          </w:p>
        </w:tc>
      </w:tr>
      <w:tr>
        <w:trPr>
          <w:trHeight w:val="142"/>
        </w:trPr>
        <w:tc>
          <w:tcPr>
            <w:tcW w:w="7940" w:type="dxa"/>
            <w:vAlign w:val="bottom"/>
            <w:tcBorders>
              <w:bottom w:val="single" w:sz="8" w:color="7FACB1"/>
            </w:tcBorders>
          </w:tcPr>
          <w:p>
            <w:pPr>
              <w:ind w:left="80"/>
              <w:spacing w:after="0"/>
              <w:rPr>
                <w:sz w:val="20"/>
                <w:szCs w:val="20"/>
                <w:color w:val="auto"/>
              </w:rPr>
            </w:pPr>
            <w:r>
              <w:rPr>
                <w:rFonts w:ascii="Arial" w:cs="Arial" w:eastAsia="Arial" w:hAnsi="Arial"/>
                <w:sz w:val="10"/>
                <w:szCs w:val="10"/>
                <w:color w:val="005A64"/>
              </w:rPr>
              <w:t>Decrease in trade payables, other financial liabilities, other liabilities, contract liabilities, refund liabilities and provisions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(371.9)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(981.6)</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Interest received and realized gains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86.6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118.6</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Interest paid and realized losses from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(3.1)</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Income tax paid, net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(12.2)</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Share-based payments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(3.6)</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Government and similar grants received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14.3</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23.2</w:t>
            </w:r>
          </w:p>
        </w:tc>
      </w:tr>
      <w:tr>
        <w:trPr>
          <w:trHeight w:val="144"/>
        </w:trPr>
        <w:tc>
          <w:tcPr>
            <w:tcW w:w="794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used in operating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(421.0)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5A64"/>
            </w:tcBorders>
          </w:tcPr>
          <w:p>
            <w:pPr>
              <w:spacing w:after="0"/>
              <w:rPr>
                <w:sz w:val="12"/>
                <w:szCs w:val="12"/>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(780.7)</w:t>
            </w:r>
          </w:p>
        </w:tc>
      </w:tr>
      <w:tr>
        <w:trPr>
          <w:trHeight w:val="146"/>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b w:val="1"/>
                <w:bCs w:val="1"/>
                <w:color w:val="3C9673"/>
              </w:rPr>
              <w:t>Investing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spacing w:after="0"/>
              <w:rPr>
                <w:sz w:val="12"/>
                <w:szCs w:val="12"/>
                <w:color w:val="auto"/>
              </w:rPr>
            </w:pPr>
          </w:p>
        </w:tc>
      </w:tr>
      <w:tr>
        <w:trPr>
          <w:trHeight w:val="145"/>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Purchase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(56.8)</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(48.9)</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Proceeds from sale of property, plant and equipment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0.5</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Purchase of intangible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(569.2)</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Acquisition of subsidiaries and businesses, net of cash acquired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(78.5)</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Investment in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(1,550.2)</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(2,507.7)</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Proceeds from maturity of other financial assets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4,278.1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4,450.6</w:t>
            </w:r>
          </w:p>
        </w:tc>
      </w:tr>
      <w:tr>
        <w:trPr>
          <w:trHeight w:val="144"/>
        </w:trPr>
        <w:tc>
          <w:tcPr>
            <w:tcW w:w="794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from investing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2,650.6</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5A64"/>
            </w:tcBorders>
          </w:tcPr>
          <w:p>
            <w:pPr>
              <w:spacing w:after="0"/>
              <w:rPr>
                <w:sz w:val="12"/>
                <w:szCs w:val="12"/>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1,246.8</w:t>
            </w:r>
          </w:p>
        </w:tc>
      </w:tr>
      <w:tr>
        <w:trPr>
          <w:trHeight w:val="145"/>
        </w:trPr>
        <w:tc>
          <w:tcPr>
            <w:tcW w:w="8040" w:type="dxa"/>
            <w:vAlign w:val="bottom"/>
            <w:tcBorders>
              <w:bottom w:val="single" w:sz="8" w:color="7FACB1"/>
              <w:right w:val="single" w:sz="8" w:color="BECD32"/>
            </w:tcBorders>
            <w:gridSpan w:val="2"/>
          </w:tcPr>
          <w:p>
            <w:pPr>
              <w:spacing w:after="0"/>
              <w:rPr>
                <w:sz w:val="20"/>
                <w:szCs w:val="20"/>
                <w:color w:val="auto"/>
              </w:rPr>
            </w:pPr>
            <w:r>
              <w:rPr>
                <w:rFonts w:ascii="Arial" w:cs="Arial" w:eastAsia="Arial" w:hAnsi="Arial"/>
                <w:sz w:val="10"/>
                <w:szCs w:val="10"/>
                <w:b w:val="1"/>
                <w:bCs w:val="1"/>
                <w:color w:val="3C9673"/>
              </w:rPr>
              <w:t>Financing activities</w:t>
            </w:r>
          </w:p>
        </w:tc>
        <w:tc>
          <w:tcPr>
            <w:tcW w:w="60" w:type="dxa"/>
            <w:vAlign w:val="bottom"/>
            <w:tcBorders>
              <w:bottom w:val="single" w:sz="8" w:color="7FACB1"/>
            </w:tcBorders>
          </w:tcPr>
          <w:p>
            <w:pPr>
              <w:spacing w:after="0"/>
              <w:rPr>
                <w:sz w:val="12"/>
                <w:szCs w:val="12"/>
                <w:color w:val="auto"/>
              </w:rPr>
            </w:pPr>
          </w:p>
        </w:tc>
        <w:tc>
          <w:tcPr>
            <w:tcW w:w="1520" w:type="dxa"/>
            <w:vAlign w:val="bottom"/>
            <w:tcBorders>
              <w:bottom w:val="single" w:sz="8" w:color="7FACB1"/>
            </w:tcBorders>
          </w:tcPr>
          <w:p>
            <w:pPr>
              <w:spacing w:after="0"/>
              <w:rPr>
                <w:sz w:val="12"/>
                <w:szCs w:val="12"/>
                <w:color w:val="auto"/>
              </w:rPr>
            </w:pP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spacing w:after="0"/>
              <w:rPr>
                <w:sz w:val="12"/>
                <w:szCs w:val="12"/>
                <w:color w:val="auto"/>
              </w:rPr>
            </w:pPr>
          </w:p>
        </w:tc>
      </w:tr>
      <w:tr>
        <w:trPr>
          <w:trHeight w:val="145"/>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Proceeds from loans and borrowings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38.4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Repayment of loans and borrowings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(0.1)</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Payments related to lease liabilities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(11.9)</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(9.3)</w:t>
            </w:r>
          </w:p>
        </w:tc>
      </w:tr>
      <w:tr>
        <w:trPr>
          <w:trHeight w:val="144"/>
        </w:trPr>
        <w:tc>
          <w:tcPr>
            <w:tcW w:w="794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Net cash flows from / (used in) financing activities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26.4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5A64"/>
            </w:tcBorders>
          </w:tcPr>
          <w:p>
            <w:pPr>
              <w:spacing w:after="0"/>
              <w:rPr>
                <w:sz w:val="12"/>
                <w:szCs w:val="12"/>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(13.8)</w:t>
            </w:r>
          </w:p>
        </w:tc>
      </w:tr>
      <w:tr>
        <w:trPr>
          <w:trHeight w:val="140"/>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Net increase in cash and cash equivalents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2,256.0</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452.3</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Change in cash and cash equivalents resulting from exchange rate differences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(3.4)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(16.1)</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Change in cash and cash equivalents resulting from other valuation effects</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11.4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(13.2)</w:t>
            </w:r>
          </w:p>
        </w:tc>
      </w:tr>
      <w:tr>
        <w:trPr>
          <w:trHeight w:val="142"/>
        </w:trPr>
        <w:tc>
          <w:tcPr>
            <w:tcW w:w="7940" w:type="dxa"/>
            <w:vAlign w:val="bottom"/>
            <w:tcBorders>
              <w:bottom w:val="single" w:sz="8" w:color="7FACB1"/>
            </w:tcBorders>
          </w:tcPr>
          <w:p>
            <w:pPr>
              <w:spacing w:after="0"/>
              <w:rPr>
                <w:sz w:val="20"/>
                <w:szCs w:val="20"/>
                <w:color w:val="auto"/>
              </w:rPr>
            </w:pPr>
            <w:r>
              <w:rPr>
                <w:rFonts w:ascii="Arial" w:cs="Arial" w:eastAsia="Arial" w:hAnsi="Arial"/>
                <w:sz w:val="10"/>
                <w:szCs w:val="10"/>
                <w:color w:val="005A64"/>
              </w:rPr>
              <w:t>Cash and cash equivalents at the beginning of the period</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7,675.4</w:t>
            </w:r>
          </w:p>
        </w:tc>
        <w:tc>
          <w:tcPr>
            <w:tcW w:w="100" w:type="dxa"/>
            <w:vAlign w:val="bottom"/>
            <w:tcBorders>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7FACB1"/>
            </w:tcBorders>
          </w:tcPr>
          <w:p>
            <w:pPr>
              <w:spacing w:after="0"/>
              <w:rPr>
                <w:sz w:val="12"/>
                <w:szCs w:val="12"/>
                <w:color w:val="auto"/>
              </w:rPr>
            </w:pPr>
          </w:p>
        </w:tc>
        <w:tc>
          <w:tcPr>
            <w:tcW w:w="680" w:type="dxa"/>
            <w:vAlign w:val="bottom"/>
            <w:tcBorders>
              <w:bottom w:val="single" w:sz="8" w:color="7FACB1"/>
            </w:tcBorders>
          </w:tcPr>
          <w:p>
            <w:pPr>
              <w:jc w:val="right"/>
              <w:spacing w:after="0"/>
              <w:rPr>
                <w:sz w:val="20"/>
                <w:szCs w:val="20"/>
                <w:color w:val="auto"/>
              </w:rPr>
            </w:pPr>
            <w:r>
              <w:rPr>
                <w:rFonts w:ascii="Arial" w:cs="Arial" w:eastAsia="Arial" w:hAnsi="Arial"/>
                <w:sz w:val="10"/>
                <w:szCs w:val="10"/>
                <w:color w:val="005A64"/>
              </w:rPr>
              <w:t>9,761.9</w:t>
            </w:r>
          </w:p>
        </w:tc>
      </w:tr>
      <w:tr>
        <w:trPr>
          <w:trHeight w:val="144"/>
        </w:trPr>
        <w:tc>
          <w:tcPr>
            <w:tcW w:w="7940" w:type="dxa"/>
            <w:vAlign w:val="bottom"/>
            <w:tcBorders>
              <w:bottom w:val="single" w:sz="8" w:color="005A64"/>
            </w:tcBorders>
          </w:tcPr>
          <w:p>
            <w:pPr>
              <w:spacing w:after="0"/>
              <w:rPr>
                <w:sz w:val="20"/>
                <w:szCs w:val="20"/>
                <w:color w:val="auto"/>
              </w:rPr>
            </w:pPr>
            <w:r>
              <w:rPr>
                <w:rFonts w:ascii="Arial" w:cs="Arial" w:eastAsia="Arial" w:hAnsi="Arial"/>
                <w:sz w:val="10"/>
                <w:szCs w:val="10"/>
                <w:b w:val="1"/>
                <w:bCs w:val="1"/>
                <w:color w:val="005A64"/>
              </w:rPr>
              <w:t>Cash and cash equivalents as of March 31</w:t>
            </w:r>
          </w:p>
        </w:tc>
        <w:tc>
          <w:tcPr>
            <w:tcW w:w="100" w:type="dxa"/>
            <w:vAlign w:val="bottom"/>
            <w:tcBorders>
              <w:right w:val="single" w:sz="8" w:color="BECD32"/>
            </w:tcBorders>
          </w:tcPr>
          <w:p>
            <w:pPr>
              <w:spacing w:after="0"/>
              <w:rPr>
                <w:sz w:val="12"/>
                <w:szCs w:val="12"/>
                <w:color w:val="auto"/>
              </w:rPr>
            </w:pPr>
          </w:p>
        </w:tc>
        <w:tc>
          <w:tcPr>
            <w:tcW w:w="1580" w:type="dxa"/>
            <w:vAlign w:val="bottom"/>
            <w:tcBorders>
              <w:bottom w:val="single" w:sz="8" w:color="BECE33"/>
            </w:tcBorders>
            <w:gridSpan w:val="2"/>
          </w:tcPr>
          <w:p>
            <w:pPr>
              <w:jc w:val="right"/>
              <w:spacing w:after="0"/>
              <w:rPr>
                <w:sz w:val="20"/>
                <w:szCs w:val="20"/>
                <w:color w:val="auto"/>
              </w:rPr>
            </w:pPr>
            <w:r>
              <w:rPr>
                <w:rFonts w:ascii="Arial" w:cs="Arial" w:eastAsia="Arial" w:hAnsi="Arial"/>
                <w:sz w:val="10"/>
                <w:szCs w:val="10"/>
                <w:b w:val="1"/>
                <w:bCs w:val="1"/>
                <w:color w:val="005A64"/>
              </w:rPr>
              <w:t>9,939.4</w:t>
            </w:r>
          </w:p>
        </w:tc>
        <w:tc>
          <w:tcPr>
            <w:tcW w:w="100" w:type="dxa"/>
            <w:vAlign w:val="bottom"/>
            <w:tcBorders>
              <w:bottom w:val="single" w:sz="8" w:color="BECE33"/>
              <w:right w:val="single" w:sz="8" w:color="BECD32"/>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bottom w:val="single" w:sz="8" w:color="005A64"/>
            </w:tcBorders>
          </w:tcPr>
          <w:p>
            <w:pPr>
              <w:spacing w:after="0"/>
              <w:rPr>
                <w:sz w:val="12"/>
                <w:szCs w:val="12"/>
                <w:color w:val="auto"/>
              </w:rPr>
            </w:pPr>
          </w:p>
        </w:tc>
        <w:tc>
          <w:tcPr>
            <w:tcW w:w="680" w:type="dxa"/>
            <w:vAlign w:val="bottom"/>
            <w:tcBorders>
              <w:bottom w:val="single" w:sz="8" w:color="005A64"/>
            </w:tcBorders>
          </w:tcPr>
          <w:p>
            <w:pPr>
              <w:jc w:val="right"/>
              <w:spacing w:after="0"/>
              <w:rPr>
                <w:sz w:val="20"/>
                <w:szCs w:val="20"/>
                <w:color w:val="auto"/>
              </w:rPr>
            </w:pPr>
            <w:r>
              <w:rPr>
                <w:rFonts w:ascii="Arial" w:cs="Arial" w:eastAsia="Arial" w:hAnsi="Arial"/>
                <w:sz w:val="10"/>
                <w:szCs w:val="10"/>
                <w:b w:val="1"/>
                <w:bCs w:val="1"/>
                <w:color w:val="005A64"/>
              </w:rPr>
              <w:t>10,184.9</w:t>
            </w:r>
          </w:p>
        </w:tc>
      </w:tr>
    </w:tbl>
    <w:p>
      <w:pPr>
        <w:spacing w:after="0" w:line="51" w:lineRule="exact"/>
        <w:rPr>
          <w:sz w:val="20"/>
          <w:szCs w:val="20"/>
          <w:color w:val="auto"/>
        </w:rPr>
      </w:pPr>
    </w:p>
    <w:p>
      <w:pPr>
        <w:spacing w:after="0"/>
        <w:rPr>
          <w:sz w:val="20"/>
          <w:szCs w:val="20"/>
          <w:color w:val="auto"/>
        </w:rPr>
      </w:pPr>
      <w:r>
        <w:rPr>
          <w:rFonts w:ascii="Arial" w:cs="Arial" w:eastAsia="Arial" w:hAnsi="Arial"/>
          <w:sz w:val="8"/>
          <w:szCs w:val="8"/>
          <w:color w:val="auto"/>
        </w:rPr>
        <w:t>Certain prior period lines were aggregated to conform to current period presentation.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300"/>
          </w:cols>
          <w:pgMar w:left="300" w:top="1102" w:right="299" w:bottom="1440" w:gutter="0" w:footer="0" w:header="0"/>
        </w:sectPr>
      </w:pPr>
    </w:p>
    <w:bookmarkStart w:id="18" w:name="page19"/>
    <w:bookmarkEnd w:id="18"/>
    <w:tbl>
      <w:tblPr>
        <w:tblLayout w:type="fixed"/>
        <w:tblInd w:w="8"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0" w:type="dxa"/>
            <w:vAlign w:val="bottom"/>
            <w:gridSpan w:val="4"/>
          </w:tcPr>
          <w:p>
            <w:pPr>
              <w:ind w:left="620"/>
              <w:spacing w:after="0"/>
              <w:rPr>
                <w:sz w:val="20"/>
                <w:szCs w:val="20"/>
                <w:color w:val="auto"/>
              </w:rPr>
            </w:pPr>
            <w:r>
              <w:rPr>
                <w:rFonts w:ascii="Arial" w:cs="Arial" w:eastAsia="Arial" w:hAnsi="Arial"/>
                <w:sz w:val="14"/>
                <w:szCs w:val="14"/>
                <w:b w:val="1"/>
                <w:bCs w:val="1"/>
                <w:color w:val="auto"/>
              </w:rPr>
              <w:t>Non-IFRS Reconciliation</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820" w:type="dxa"/>
            <w:vAlign w:val="bottom"/>
            <w:tcBorders>
              <w:bottom w:val="single" w:sz="8" w:color="BECE33"/>
            </w:tcBorders>
            <w:gridSpan w:val="2"/>
          </w:tcPr>
          <w:p>
            <w:pPr>
              <w:spacing w:after="0"/>
              <w:rPr>
                <w:sz w:val="15"/>
                <w:szCs w:val="15"/>
                <w:color w:val="auto"/>
              </w:rPr>
            </w:pPr>
          </w:p>
        </w:tc>
        <w:tc>
          <w:tcPr>
            <w:tcW w:w="80" w:type="dxa"/>
            <w:vAlign w:val="bottom"/>
            <w:tcBorders>
              <w:bottom w:val="single" w:sz="8" w:color="BECE33"/>
            </w:tcBorders>
          </w:tcPr>
          <w:p>
            <w:pPr>
              <w:spacing w:after="0"/>
              <w:rPr>
                <w:sz w:val="15"/>
                <w:szCs w:val="15"/>
                <w:color w:val="auto"/>
              </w:rPr>
            </w:pPr>
          </w:p>
        </w:tc>
        <w:tc>
          <w:tcPr>
            <w:tcW w:w="1100" w:type="dxa"/>
            <w:vAlign w:val="bottom"/>
            <w:tcBorders>
              <w:bottom w:val="single" w:sz="8" w:color="BECE33"/>
            </w:tcBorders>
          </w:tcPr>
          <w:p>
            <w:pPr>
              <w:spacing w:after="0"/>
              <w:rPr>
                <w:sz w:val="15"/>
                <w:szCs w:val="15"/>
                <w:color w:val="auto"/>
              </w:rPr>
            </w:pPr>
          </w:p>
        </w:tc>
        <w:tc>
          <w:tcPr>
            <w:tcW w:w="180" w:type="dxa"/>
            <w:vAlign w:val="bottom"/>
            <w:tcBorders>
              <w:bottom w:val="single" w:sz="8" w:color="BECE33"/>
            </w:tcBorders>
          </w:tcPr>
          <w:p>
            <w:pPr>
              <w:spacing w:after="0"/>
              <w:rPr>
                <w:sz w:val="15"/>
                <w:szCs w:val="15"/>
                <w:color w:val="auto"/>
              </w:rPr>
            </w:pPr>
          </w:p>
        </w:tc>
        <w:tc>
          <w:tcPr>
            <w:tcW w:w="1220" w:type="dxa"/>
            <w:vAlign w:val="bottom"/>
            <w:tcBorders>
              <w:bottom w:val="single" w:sz="8" w:color="BECE33"/>
            </w:tcBorders>
          </w:tcPr>
          <w:p>
            <w:pPr>
              <w:spacing w:after="0"/>
              <w:rPr>
                <w:sz w:val="15"/>
                <w:szCs w:val="15"/>
                <w:color w:val="auto"/>
              </w:rPr>
            </w:pPr>
          </w:p>
        </w:tc>
        <w:tc>
          <w:tcPr>
            <w:tcW w:w="180" w:type="dxa"/>
            <w:vAlign w:val="bottom"/>
            <w:tcBorders>
              <w:bottom w:val="single" w:sz="8" w:color="BECE33"/>
            </w:tcBorders>
          </w:tcPr>
          <w:p>
            <w:pPr>
              <w:spacing w:after="0"/>
              <w:rPr>
                <w:sz w:val="15"/>
                <w:szCs w:val="15"/>
                <w:color w:val="auto"/>
              </w:rPr>
            </w:pPr>
          </w:p>
        </w:tc>
        <w:tc>
          <w:tcPr>
            <w:tcW w:w="1220" w:type="dxa"/>
            <w:vAlign w:val="bottom"/>
            <w:tcBorders>
              <w:bottom w:val="single" w:sz="8" w:color="BECE33"/>
            </w:tcBorders>
          </w:tcPr>
          <w:p>
            <w:pPr>
              <w:spacing w:after="0"/>
              <w:rPr>
                <w:sz w:val="15"/>
                <w:szCs w:val="15"/>
                <w:color w:val="auto"/>
              </w:rPr>
            </w:pPr>
          </w:p>
        </w:tc>
        <w:tc>
          <w:tcPr>
            <w:tcW w:w="180" w:type="dxa"/>
            <w:vAlign w:val="bottom"/>
            <w:tcBorders>
              <w:bottom w:val="single" w:sz="8" w:color="BECE33"/>
            </w:tcBorders>
          </w:tcPr>
          <w:p>
            <w:pPr>
              <w:spacing w:after="0"/>
              <w:rPr>
                <w:sz w:val="15"/>
                <w:szCs w:val="15"/>
                <w:color w:val="auto"/>
              </w:rPr>
            </w:pPr>
          </w:p>
        </w:tc>
        <w:tc>
          <w:tcPr>
            <w:tcW w:w="1220" w:type="dxa"/>
            <w:vAlign w:val="bottom"/>
            <w:tcBorders>
              <w:bottom w:val="single" w:sz="8" w:color="BECE33"/>
            </w:tcBorders>
          </w:tcPr>
          <w:p>
            <w:pPr>
              <w:spacing w:after="0"/>
              <w:rPr>
                <w:sz w:val="15"/>
                <w:szCs w:val="15"/>
                <w:color w:val="auto"/>
              </w:rPr>
            </w:pPr>
          </w:p>
        </w:tc>
        <w:tc>
          <w:tcPr>
            <w:tcW w:w="180" w:type="dxa"/>
            <w:vAlign w:val="bottom"/>
            <w:tcBorders>
              <w:bottom w:val="single" w:sz="8" w:color="BECE33"/>
            </w:tcBorders>
          </w:tcPr>
          <w:p>
            <w:pPr>
              <w:spacing w:after="0"/>
              <w:rPr>
                <w:sz w:val="15"/>
                <w:szCs w:val="15"/>
                <w:color w:val="auto"/>
              </w:rPr>
            </w:pPr>
          </w:p>
        </w:tc>
        <w:tc>
          <w:tcPr>
            <w:tcW w:w="1540" w:type="dxa"/>
            <w:vAlign w:val="bottom"/>
            <w:tcBorders>
              <w:bottom w:val="single" w:sz="8" w:color="BECE33"/>
            </w:tcBorders>
          </w:tcPr>
          <w:p>
            <w:pPr>
              <w:spacing w:after="0"/>
              <w:rPr>
                <w:sz w:val="15"/>
                <w:szCs w:val="15"/>
                <w:color w:val="auto"/>
              </w:rPr>
            </w:pPr>
          </w:p>
        </w:tc>
        <w:tc>
          <w:tcPr>
            <w:tcW w:w="180" w:type="dxa"/>
            <w:vAlign w:val="bottom"/>
            <w:tcBorders>
              <w:bottom w:val="single" w:sz="8" w:color="BECE33"/>
            </w:tcBorders>
          </w:tcPr>
          <w:p>
            <w:pPr>
              <w:spacing w:after="0"/>
              <w:rPr>
                <w:sz w:val="15"/>
                <w:szCs w:val="15"/>
                <w:color w:val="auto"/>
              </w:rPr>
            </w:pPr>
          </w:p>
        </w:tc>
        <w:tc>
          <w:tcPr>
            <w:tcW w:w="1100" w:type="dxa"/>
            <w:vAlign w:val="bottom"/>
            <w:tcBorders>
              <w:bottom w:val="single" w:sz="8" w:color="BECE33"/>
            </w:tcBorders>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2820" w:type="dxa"/>
            <w:vAlign w:val="bottom"/>
            <w:gridSpan w:val="2"/>
          </w:tcPr>
          <w:p>
            <w:pPr>
              <w:spacing w:after="0"/>
              <w:rPr>
                <w:sz w:val="20"/>
                <w:szCs w:val="20"/>
                <w:color w:val="auto"/>
              </w:rPr>
            </w:pPr>
            <w:r>
              <w:rPr>
                <w:rFonts w:ascii="Arial" w:cs="Arial" w:eastAsia="Arial" w:hAnsi="Arial"/>
                <w:sz w:val="8"/>
                <w:szCs w:val="8"/>
                <w:b w:val="1"/>
                <w:bCs w:val="1"/>
                <w:color w:val="005A64"/>
              </w:rPr>
              <w:t>Non-IFRS Reconciliation for the three months ended March 31, 2026</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BECE33"/>
            </w:tcBorders>
          </w:tcPr>
          <w:p>
            <w:pPr>
              <w:spacing w:after="0"/>
              <w:rPr>
                <w:sz w:val="16"/>
                <w:szCs w:val="16"/>
                <w:color w:val="auto"/>
              </w:rPr>
            </w:pPr>
          </w:p>
        </w:tc>
        <w:tc>
          <w:tcPr>
            <w:tcW w:w="110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122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2800" w:type="dxa"/>
            <w:vAlign w:val="bottom"/>
            <w:tcBorders>
              <w:bottom w:val="single" w:sz="8" w:color="BECE33"/>
            </w:tcBorders>
            <w:gridSpan w:val="4"/>
          </w:tcPr>
          <w:p>
            <w:pPr>
              <w:spacing w:after="0"/>
              <w:rPr>
                <w:sz w:val="16"/>
                <w:szCs w:val="16"/>
                <w:color w:val="auto"/>
              </w:rPr>
            </w:pPr>
          </w:p>
        </w:tc>
        <w:tc>
          <w:tcPr>
            <w:tcW w:w="1540" w:type="dxa"/>
            <w:vAlign w:val="bottom"/>
            <w:tcBorders>
              <w:bottom w:val="single" w:sz="8" w:color="BECE33"/>
            </w:tcBorders>
          </w:tcPr>
          <w:p>
            <w:pPr>
              <w:spacing w:after="0"/>
              <w:rPr>
                <w:sz w:val="16"/>
                <w:szCs w:val="16"/>
                <w:color w:val="auto"/>
              </w:rPr>
            </w:pPr>
          </w:p>
        </w:tc>
        <w:tc>
          <w:tcPr>
            <w:tcW w:w="180" w:type="dxa"/>
            <w:vAlign w:val="bottom"/>
            <w:tcBorders>
              <w:bottom w:val="single" w:sz="8" w:color="BECE33"/>
            </w:tcBorders>
          </w:tcPr>
          <w:p>
            <w:pPr>
              <w:spacing w:after="0"/>
              <w:rPr>
                <w:sz w:val="16"/>
                <w:szCs w:val="16"/>
                <w:color w:val="auto"/>
              </w:rPr>
            </w:pPr>
          </w:p>
        </w:tc>
        <w:tc>
          <w:tcPr>
            <w:tcW w:w="1100" w:type="dxa"/>
            <w:vAlign w:val="bottom"/>
            <w:tcBorders>
              <w:bottom w:val="single" w:sz="8" w:color="BECE33"/>
            </w:tcBorders>
          </w:tcPr>
          <w:p>
            <w:pPr>
              <w:spacing w:after="0"/>
              <w:rPr>
                <w:sz w:val="16"/>
                <w:szCs w:val="16"/>
                <w:color w:val="auto"/>
              </w:rPr>
            </w:pPr>
          </w:p>
        </w:tc>
        <w:tc>
          <w:tcPr>
            <w:tcW w:w="120" w:type="dxa"/>
            <w:vAlign w:val="bottom"/>
            <w:tcBorders>
              <w:bottom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27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0" w:type="dxa"/>
            <w:vAlign w:val="bottom"/>
            <w:gridSpan w:val="4"/>
          </w:tcPr>
          <w:p>
            <w:pPr>
              <w:ind w:left="780"/>
              <w:spacing w:after="0"/>
              <w:rPr>
                <w:sz w:val="20"/>
                <w:szCs w:val="20"/>
                <w:color w:val="auto"/>
              </w:rPr>
            </w:pPr>
            <w:r>
              <w:rPr>
                <w:rFonts w:ascii="Arial" w:cs="Arial" w:eastAsia="Arial" w:hAnsi="Arial"/>
                <w:sz w:val="8"/>
                <w:szCs w:val="8"/>
                <w:b w:val="1"/>
                <w:bCs w:val="1"/>
                <w:color w:val="005A64"/>
              </w:rPr>
              <w:t>non-IFRS adjustments (unaudited)</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700" w:type="dxa"/>
            <w:vAlign w:val="bottom"/>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IFRS</w:t>
            </w:r>
          </w:p>
        </w:tc>
        <w:tc>
          <w:tcPr>
            <w:tcW w:w="122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right w:val="single" w:sz="8" w:color="BECE33"/>
            </w:tcBorders>
            <w:gridSpan w:val="2"/>
            <w:vMerge w:val="restart"/>
          </w:tcPr>
          <w:p>
            <w:pPr>
              <w:jc w:val="right"/>
              <w:ind w:right="140"/>
              <w:spacing w:after="0"/>
              <w:rPr>
                <w:sz w:val="20"/>
                <w:szCs w:val="20"/>
                <w:color w:val="auto"/>
              </w:rPr>
            </w:pPr>
            <w:r>
              <w:rPr>
                <w:rFonts w:ascii="Arial" w:cs="Arial" w:eastAsia="Arial" w:hAnsi="Arial"/>
                <w:sz w:val="8"/>
                <w:szCs w:val="8"/>
                <w:b w:val="1"/>
                <w:bCs w:val="1"/>
                <w:color w:val="005A64"/>
              </w:rPr>
              <w:t>Adjusted</w:t>
            </w:r>
          </w:p>
        </w:tc>
        <w:tc>
          <w:tcPr>
            <w:tcW w:w="0" w:type="dxa"/>
            <w:vAlign w:val="bottom"/>
          </w:tcPr>
          <w:p>
            <w:pPr>
              <w:spacing w:after="0"/>
              <w:rPr>
                <w:sz w:val="1"/>
                <w:szCs w:val="1"/>
                <w:color w:val="auto"/>
              </w:rPr>
            </w:pPr>
          </w:p>
        </w:tc>
      </w:tr>
      <w:tr>
        <w:trPr>
          <w:trHeight w:val="364"/>
        </w:trPr>
        <w:tc>
          <w:tcPr>
            <w:tcW w:w="2700" w:type="dxa"/>
            <w:vAlign w:val="bottom"/>
          </w:tcPr>
          <w:p>
            <w:pPr>
              <w:spacing w:after="0"/>
              <w:rPr>
                <w:sz w:val="24"/>
                <w:szCs w:val="24"/>
                <w:color w:val="auto"/>
              </w:rPr>
            </w:pPr>
          </w:p>
        </w:tc>
        <w:tc>
          <w:tcPr>
            <w:tcW w:w="120" w:type="dxa"/>
            <w:vAlign w:val="bottom"/>
            <w:tcBorders>
              <w:right w:val="single" w:sz="8" w:color="BECE33"/>
            </w:tcBorders>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from bargain purchase and</w:t>
            </w:r>
          </w:p>
        </w:tc>
        <w:tc>
          <w:tcPr>
            <w:tcW w:w="1220" w:type="dxa"/>
            <w:vAlign w:val="bottom"/>
            <w:tcBorders>
              <w:right w:val="single" w:sz="8" w:color="BECE33"/>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700" w:type="dxa"/>
            <w:vAlign w:val="bottom"/>
          </w:tcPr>
          <w:p>
            <w:pPr>
              <w:spacing w:after="0"/>
              <w:rPr>
                <w:sz w:val="4"/>
                <w:szCs w:val="4"/>
                <w:color w:val="auto"/>
              </w:rPr>
            </w:pPr>
          </w:p>
        </w:tc>
        <w:tc>
          <w:tcPr>
            <w:tcW w:w="120" w:type="dxa"/>
            <w:vAlign w:val="bottom"/>
            <w:tcBorders>
              <w:right w:val="single" w:sz="8" w:color="BECE33"/>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Results</w:t>
            </w: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20" w:type="dxa"/>
            <w:vAlign w:val="bottom"/>
            <w:tcBorders>
              <w:right w:val="single" w:sz="8" w:color="BECE33"/>
            </w:tcBorders>
            <w:gridSpan w:val="2"/>
            <w:vMerge w:val="restart"/>
          </w:tcPr>
          <w:p>
            <w:pPr>
              <w:jc w:val="right"/>
              <w:ind w:right="140"/>
              <w:spacing w:after="0"/>
              <w:rPr>
                <w:sz w:val="20"/>
                <w:szCs w:val="20"/>
                <w:color w:val="auto"/>
              </w:rPr>
            </w:pPr>
            <w:r>
              <w:rPr>
                <w:rFonts w:ascii="Arial" w:cs="Arial" w:eastAsia="Arial" w:hAnsi="Arial"/>
                <w:sz w:val="8"/>
                <w:szCs w:val="8"/>
                <w:b w:val="1"/>
                <w:bCs w:val="1"/>
                <w:color w:val="005A64"/>
              </w:rPr>
              <w:t>Results</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120" w:type="dxa"/>
            <w:vAlign w:val="bottom"/>
            <w:tcBorders>
              <w:right w:val="single" w:sz="8" w:color="BECE33"/>
            </w:tcBorders>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Expenses and income from</w:t>
            </w: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Employee-related expenses</w:t>
            </w:r>
          </w:p>
        </w:tc>
        <w:tc>
          <w:tcPr>
            <w:tcW w:w="172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and expenses from</w:t>
            </w:r>
          </w:p>
        </w:tc>
        <w:tc>
          <w:tcPr>
            <w:tcW w:w="1220" w:type="dxa"/>
            <w:vAlign w:val="bottom"/>
            <w:tcBorders>
              <w:right w:val="single" w:sz="8" w:color="BECE33"/>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700" w:type="dxa"/>
            <w:vAlign w:val="bottom"/>
            <w:vMerge w:val="restart"/>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120" w:type="dxa"/>
            <w:vAlign w:val="bottom"/>
            <w:tcBorders>
              <w:right w:val="single" w:sz="8" w:color="BECE33"/>
            </w:tcBorders>
            <w:vMerge w:val="restart"/>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i w:val="1"/>
                <w:iCs w:val="1"/>
                <w:color w:val="005A64"/>
              </w:rPr>
              <w:t>(unaudited)</w:t>
            </w:r>
          </w:p>
        </w:tc>
        <w:tc>
          <w:tcPr>
            <w:tcW w:w="180" w:type="dxa"/>
            <w:vAlign w:val="bottom"/>
            <w:vMerge w:val="restart"/>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2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Impairment and reversal</w:t>
            </w:r>
          </w:p>
        </w:tc>
        <w:tc>
          <w:tcPr>
            <w:tcW w:w="180" w:type="dxa"/>
            <w:vAlign w:val="bottom"/>
            <w:vMerge w:val="restart"/>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i w:val="1"/>
                <w:iCs w:val="1"/>
                <w:color w:val="005A64"/>
              </w:rPr>
              <w:t>(unaudited)</w:t>
            </w:r>
          </w:p>
        </w:tc>
        <w:tc>
          <w:tcPr>
            <w:tcW w:w="120" w:type="dxa"/>
            <w:vAlign w:val="bottom"/>
            <w:tcBorders>
              <w:right w:val="single" w:sz="8" w:color="BECE33"/>
            </w:tcBorders>
            <w:vMerge w:val="restart"/>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700" w:type="dxa"/>
            <w:vAlign w:val="bottom"/>
            <w:tcBorders>
              <w:bottom w:val="single" w:sz="8" w:color="005A64"/>
            </w:tcBorders>
            <w:vMerge w:val="continue"/>
          </w:tcPr>
          <w:p>
            <w:pPr>
              <w:spacing w:after="0"/>
              <w:rPr>
                <w:sz w:val="10"/>
                <w:szCs w:val="10"/>
                <w:color w:val="auto"/>
              </w:rPr>
            </w:pPr>
          </w:p>
        </w:tc>
        <w:tc>
          <w:tcPr>
            <w:tcW w:w="120" w:type="dxa"/>
            <w:vAlign w:val="bottom"/>
            <w:tcBorders>
              <w:right w:val="single" w:sz="8" w:color="BECE33"/>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legal proceedings</w:t>
            </w:r>
          </w:p>
        </w:tc>
        <w:tc>
          <w:tcPr>
            <w:tcW w:w="180" w:type="dxa"/>
            <w:vAlign w:val="bottom"/>
          </w:tcPr>
          <w:p>
            <w:pPr>
              <w:spacing w:after="0"/>
              <w:rPr>
                <w:sz w:val="10"/>
                <w:szCs w:val="10"/>
                <w:color w:val="auto"/>
              </w:rPr>
            </w:pPr>
          </w:p>
        </w:tc>
        <w:tc>
          <w:tcPr>
            <w:tcW w:w="1220" w:type="dxa"/>
            <w:vAlign w:val="bottom"/>
            <w:tcBorders>
              <w:bottom w:val="single" w:sz="8" w:color="005A64"/>
            </w:tcBorders>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from restructuring</w:t>
            </w:r>
          </w:p>
        </w:tc>
        <w:tc>
          <w:tcPr>
            <w:tcW w:w="180" w:type="dxa"/>
            <w:vAlign w:val="bottom"/>
          </w:tcPr>
          <w:p>
            <w:pPr>
              <w:spacing w:after="0"/>
              <w:rPr>
                <w:sz w:val="10"/>
                <w:szCs w:val="10"/>
                <w:color w:val="auto"/>
              </w:rPr>
            </w:pPr>
          </w:p>
        </w:tc>
        <w:tc>
          <w:tcPr>
            <w:tcW w:w="15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divestiture related items</w:t>
            </w:r>
          </w:p>
        </w:tc>
        <w:tc>
          <w:tcPr>
            <w:tcW w:w="180" w:type="dxa"/>
            <w:vAlign w:val="bottom"/>
          </w:tcPr>
          <w:p>
            <w:pPr>
              <w:spacing w:after="0"/>
              <w:rPr>
                <w:sz w:val="10"/>
                <w:szCs w:val="10"/>
                <w:color w:val="auto"/>
              </w:rPr>
            </w:pPr>
          </w:p>
        </w:tc>
        <w:tc>
          <w:tcPr>
            <w:tcW w:w="1100" w:type="dxa"/>
            <w:vAlign w:val="bottom"/>
            <w:tcBorders>
              <w:bottom w:val="single" w:sz="8" w:color="005A64"/>
            </w:tcBorders>
            <w:vMerge w:val="continue"/>
          </w:tcPr>
          <w:p>
            <w:pPr>
              <w:spacing w:after="0"/>
              <w:rPr>
                <w:sz w:val="10"/>
                <w:szCs w:val="10"/>
                <w:color w:val="auto"/>
              </w:rPr>
            </w:pPr>
          </w:p>
        </w:tc>
        <w:tc>
          <w:tcPr>
            <w:tcW w:w="120" w:type="dxa"/>
            <w:vAlign w:val="bottom"/>
            <w:tcBorders>
              <w:right w:val="single" w:sz="8" w:color="BECE33"/>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Research and development expenses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(557.0)</w:t>
            </w:r>
          </w:p>
        </w:tc>
        <w:tc>
          <w:tcPr>
            <w:tcW w:w="180" w:type="dxa"/>
            <w:vAlign w:val="bottom"/>
          </w:tcPr>
          <w:p>
            <w:pPr>
              <w:spacing w:after="0"/>
              <w:rPr>
                <w:sz w:val="9"/>
                <w:szCs w:val="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220" w:type="dxa"/>
            <w:vAlign w:val="bottom"/>
          </w:tcPr>
          <w:p>
            <w:pPr>
              <w:jc w:val="right"/>
              <w:spacing w:after="0"/>
              <w:rPr>
                <w:sz w:val="20"/>
                <w:szCs w:val="20"/>
                <w:color w:val="auto"/>
              </w:rPr>
            </w:pPr>
            <w:r>
              <w:rPr>
                <w:rFonts w:ascii="Arial" w:cs="Arial" w:eastAsia="Arial" w:hAnsi="Arial"/>
                <w:sz w:val="8"/>
                <w:szCs w:val="8"/>
                <w:color w:val="005A64"/>
              </w:rPr>
              <w:t>29.9</w:t>
            </w:r>
          </w:p>
        </w:tc>
        <w:tc>
          <w:tcPr>
            <w:tcW w:w="180" w:type="dxa"/>
            <w:vAlign w:val="bottom"/>
          </w:tcPr>
          <w:p>
            <w:pPr>
              <w:spacing w:after="0"/>
              <w:rPr>
                <w:sz w:val="9"/>
                <w:szCs w:val="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7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(527.1)</w:t>
            </w:r>
          </w:p>
        </w:tc>
        <w:tc>
          <w:tcPr>
            <w:tcW w:w="12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Other operating expenses</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(46.8)</w:t>
            </w:r>
          </w:p>
        </w:tc>
        <w:tc>
          <w:tcPr>
            <w:tcW w:w="180" w:type="dxa"/>
            <w:vAlign w:val="bottom"/>
          </w:tcPr>
          <w:p>
            <w:pPr>
              <w:spacing w:after="0"/>
              <w:rPr>
                <w:sz w:val="9"/>
                <w:szCs w:val="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40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220" w:type="dxa"/>
            <w:vAlign w:val="bottom"/>
          </w:tcPr>
          <w:p>
            <w:pPr>
              <w:jc w:val="right"/>
              <w:spacing w:after="0"/>
              <w:rPr>
                <w:sz w:val="20"/>
                <w:szCs w:val="20"/>
                <w:color w:val="auto"/>
              </w:rPr>
            </w:pPr>
            <w:r>
              <w:rPr>
                <w:rFonts w:ascii="Arial" w:cs="Arial" w:eastAsia="Arial" w:hAnsi="Arial"/>
                <w:sz w:val="8"/>
                <w:szCs w:val="8"/>
                <w:color w:val="005A64"/>
              </w:rPr>
              <w:t>7.4</w:t>
            </w:r>
          </w:p>
        </w:tc>
        <w:tc>
          <w:tcPr>
            <w:tcW w:w="180" w:type="dxa"/>
            <w:vAlign w:val="bottom"/>
          </w:tcPr>
          <w:p>
            <w:pPr>
              <w:spacing w:after="0"/>
              <w:rPr>
                <w:sz w:val="9"/>
                <w:szCs w:val="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100" w:type="dxa"/>
            <w:vAlign w:val="bottom"/>
          </w:tcPr>
          <w:p>
            <w:pPr>
              <w:jc w:val="right"/>
              <w:spacing w:after="0"/>
              <w:rPr>
                <w:sz w:val="20"/>
                <w:szCs w:val="20"/>
                <w:color w:val="auto"/>
              </w:rPr>
            </w:pPr>
            <w:r>
              <w:rPr>
                <w:rFonts w:ascii="Arial" w:cs="Arial" w:eastAsia="Arial" w:hAnsi="Arial"/>
                <w:sz w:val="8"/>
                <w:szCs w:val="8"/>
                <w:color w:val="005A64"/>
              </w:rPr>
              <w:t>(39.4)</w:t>
            </w:r>
          </w:p>
        </w:tc>
        <w:tc>
          <w:tcPr>
            <w:tcW w:w="12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5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Operating loss</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(677.5)</w:t>
            </w:r>
          </w:p>
        </w:tc>
        <w:tc>
          <w:tcPr>
            <w:tcW w:w="180" w:type="dxa"/>
            <w:vAlign w:val="bottom"/>
          </w:tcPr>
          <w:p>
            <w:pPr>
              <w:spacing w:after="0"/>
              <w:rPr>
                <w:sz w:val="9"/>
                <w:szCs w:val="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220" w:type="dxa"/>
            <w:vAlign w:val="bottom"/>
          </w:tcPr>
          <w:p>
            <w:pPr>
              <w:jc w:val="right"/>
              <w:spacing w:after="0"/>
              <w:rPr>
                <w:sz w:val="20"/>
                <w:szCs w:val="20"/>
                <w:color w:val="auto"/>
              </w:rPr>
            </w:pPr>
            <w:r>
              <w:rPr>
                <w:rFonts w:ascii="Arial" w:cs="Arial" w:eastAsia="Arial" w:hAnsi="Arial"/>
                <w:sz w:val="8"/>
                <w:szCs w:val="8"/>
                <w:b w:val="1"/>
                <w:bCs w:val="1"/>
                <w:color w:val="005A64"/>
              </w:rPr>
              <w:t>29.9</w:t>
            </w:r>
          </w:p>
        </w:tc>
        <w:tc>
          <w:tcPr>
            <w:tcW w:w="18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Arial" w:cs="Arial" w:eastAsia="Arial" w:hAnsi="Arial"/>
                <w:sz w:val="8"/>
                <w:szCs w:val="8"/>
                <w:b w:val="1"/>
                <w:bCs w:val="1"/>
                <w:color w:val="005A64"/>
              </w:rPr>
              <w:t>7.4</w:t>
            </w:r>
          </w:p>
        </w:tc>
        <w:tc>
          <w:tcPr>
            <w:tcW w:w="180" w:type="dxa"/>
            <w:vAlign w:val="bottom"/>
          </w:tcPr>
          <w:p>
            <w:pPr>
              <w:spacing w:after="0"/>
              <w:rPr>
                <w:sz w:val="9"/>
                <w:szCs w:val="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(640.2)</w:t>
            </w:r>
          </w:p>
        </w:tc>
        <w:tc>
          <w:tcPr>
            <w:tcW w:w="12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005A64"/>
              </w:rPr>
              <w:t>Loss before tax</w:t>
            </w:r>
          </w:p>
        </w:tc>
        <w:tc>
          <w:tcPr>
            <w:tcW w:w="1180" w:type="dxa"/>
            <w:vAlign w:val="bottom"/>
            <w:gridSpan w:val="2"/>
          </w:tcPr>
          <w:p>
            <w:pPr>
              <w:jc w:val="right"/>
              <w:spacing w:after="0"/>
              <w:rPr>
                <w:sz w:val="20"/>
                <w:szCs w:val="20"/>
                <w:color w:val="auto"/>
              </w:rPr>
            </w:pPr>
            <w:r>
              <w:rPr>
                <w:rFonts w:ascii="Arial" w:cs="Arial" w:eastAsia="Arial" w:hAnsi="Arial"/>
                <w:sz w:val="8"/>
                <w:szCs w:val="8"/>
                <w:b w:val="1"/>
                <w:bCs w:val="1"/>
                <w:color w:val="005A64"/>
              </w:rPr>
              <w:t>(568.1)</w:t>
            </w:r>
          </w:p>
        </w:tc>
        <w:tc>
          <w:tcPr>
            <w:tcW w:w="180" w:type="dxa"/>
            <w:vAlign w:val="bottom"/>
          </w:tcPr>
          <w:p>
            <w:pPr>
              <w:spacing w:after="0"/>
              <w:rPr>
                <w:sz w:val="9"/>
                <w:szCs w:val="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220" w:type="dxa"/>
            <w:vAlign w:val="bottom"/>
          </w:tcPr>
          <w:p>
            <w:pPr>
              <w:jc w:val="right"/>
              <w:spacing w:after="0"/>
              <w:rPr>
                <w:sz w:val="20"/>
                <w:szCs w:val="20"/>
                <w:color w:val="auto"/>
              </w:rPr>
            </w:pPr>
            <w:r>
              <w:rPr>
                <w:rFonts w:ascii="Arial" w:cs="Arial" w:eastAsia="Arial" w:hAnsi="Arial"/>
                <w:sz w:val="8"/>
                <w:szCs w:val="8"/>
                <w:b w:val="1"/>
                <w:bCs w:val="1"/>
                <w:color w:val="005A64"/>
              </w:rPr>
              <w:t>29.9</w:t>
            </w:r>
          </w:p>
        </w:tc>
        <w:tc>
          <w:tcPr>
            <w:tcW w:w="18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Arial" w:cs="Arial" w:eastAsia="Arial" w:hAnsi="Arial"/>
                <w:sz w:val="8"/>
                <w:szCs w:val="8"/>
                <w:b w:val="1"/>
                <w:bCs w:val="1"/>
                <w:color w:val="005A64"/>
              </w:rPr>
              <w:t>7.4</w:t>
            </w:r>
          </w:p>
        </w:tc>
        <w:tc>
          <w:tcPr>
            <w:tcW w:w="180" w:type="dxa"/>
            <w:vAlign w:val="bottom"/>
          </w:tcPr>
          <w:p>
            <w:pPr>
              <w:spacing w:after="0"/>
              <w:rPr>
                <w:sz w:val="9"/>
                <w:szCs w:val="9"/>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(530.8)</w:t>
            </w:r>
          </w:p>
        </w:tc>
        <w:tc>
          <w:tcPr>
            <w:tcW w:w="12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loss</w:t>
            </w:r>
            <w:r>
              <w:rPr>
                <w:rFonts w:ascii="Arial" w:cs="Arial" w:eastAsia="Arial" w:hAnsi="Arial"/>
                <w:sz w:val="10"/>
                <w:szCs w:val="10"/>
                <w:b w:val="1"/>
                <w:bCs w:val="1"/>
                <w:color w:val="005A64"/>
                <w:vertAlign w:val="superscript"/>
              </w:rPr>
              <w:t>1</w:t>
            </w:r>
          </w:p>
        </w:tc>
        <w:tc>
          <w:tcPr>
            <w:tcW w:w="120" w:type="dxa"/>
            <w:vAlign w:val="bottom"/>
            <w:tcBorders>
              <w:right w:val="single" w:sz="8" w:color="BECE33"/>
            </w:tcBorders>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(531.9)</w:t>
            </w:r>
          </w:p>
        </w:tc>
        <w:tc>
          <w:tcPr>
            <w:tcW w:w="180" w:type="dxa"/>
            <w:vAlign w:val="bottom"/>
          </w:tcPr>
          <w:p>
            <w:pPr>
              <w:spacing w:after="0"/>
              <w:rPr>
                <w:sz w:val="12"/>
                <w:szCs w:val="12"/>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2"/>
                <w:szCs w:val="12"/>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29.9</w:t>
            </w:r>
          </w:p>
        </w:tc>
        <w:tc>
          <w:tcPr>
            <w:tcW w:w="180" w:type="dxa"/>
            <w:vAlign w:val="bottom"/>
          </w:tcPr>
          <w:p>
            <w:pPr>
              <w:spacing w:after="0"/>
              <w:rPr>
                <w:sz w:val="12"/>
                <w:szCs w:val="12"/>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7.4</w:t>
            </w:r>
          </w:p>
        </w:tc>
        <w:tc>
          <w:tcPr>
            <w:tcW w:w="180" w:type="dxa"/>
            <w:vAlign w:val="bottom"/>
          </w:tcPr>
          <w:p>
            <w:pPr>
              <w:spacing w:after="0"/>
              <w:rPr>
                <w:sz w:val="12"/>
                <w:szCs w:val="12"/>
                <w:color w:val="auto"/>
              </w:rPr>
            </w:pPr>
          </w:p>
        </w:tc>
        <w:tc>
          <w:tcPr>
            <w:tcW w:w="15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(494.6)</w:t>
            </w:r>
          </w:p>
        </w:tc>
        <w:tc>
          <w:tcPr>
            <w:tcW w:w="120" w:type="dxa"/>
            <w:vAlign w:val="bottom"/>
            <w:tcBorders>
              <w:right w:val="single" w:sz="8" w:color="BECE33"/>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b w:val="1"/>
                <w:bCs w:val="1"/>
                <w:color w:val="3C9673"/>
              </w:rPr>
              <w:t>Loss per share</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Borders>
              <w:right w:val="single" w:sz="8" w:color="BECE33"/>
            </w:tcBorders>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70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20" w:type="dxa"/>
            <w:vAlign w:val="bottom"/>
            <w:tcBorders>
              <w:right w:val="single" w:sz="8" w:color="BECE33"/>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820" w:type="dxa"/>
            <w:vAlign w:val="bottom"/>
            <w:tcBorders>
              <w:right w:val="single" w:sz="8" w:color="BECE33"/>
            </w:tcBorders>
            <w:gridSpan w:val="2"/>
          </w:tcPr>
          <w:p>
            <w:pPr>
              <w:spacing w:after="0"/>
              <w:rPr>
                <w:sz w:val="20"/>
                <w:szCs w:val="20"/>
                <w:color w:val="auto"/>
              </w:rPr>
            </w:pPr>
            <w:r>
              <w:rPr>
                <w:rFonts w:ascii="Arial" w:cs="Arial" w:eastAsia="Arial" w:hAnsi="Arial"/>
                <w:sz w:val="8"/>
                <w:szCs w:val="8"/>
                <w:color w:val="005A64"/>
              </w:rPr>
              <w:t>Basic and diluted loss per share</w:t>
            </w:r>
          </w:p>
        </w:tc>
        <w:tc>
          <w:tcPr>
            <w:tcW w:w="1180" w:type="dxa"/>
            <w:vAlign w:val="bottom"/>
            <w:gridSpan w:val="2"/>
          </w:tcPr>
          <w:p>
            <w:pPr>
              <w:jc w:val="right"/>
              <w:spacing w:after="0"/>
              <w:rPr>
                <w:sz w:val="20"/>
                <w:szCs w:val="20"/>
                <w:color w:val="auto"/>
              </w:rPr>
            </w:pPr>
            <w:r>
              <w:rPr>
                <w:rFonts w:ascii="Arial" w:cs="Arial" w:eastAsia="Arial" w:hAnsi="Arial"/>
                <w:sz w:val="8"/>
                <w:szCs w:val="8"/>
                <w:color w:val="005A64"/>
              </w:rPr>
              <w:t>(2.10)</w:t>
            </w: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(1.95)</w:t>
            </w:r>
          </w:p>
        </w:tc>
        <w:tc>
          <w:tcPr>
            <w:tcW w:w="120" w:type="dxa"/>
            <w:vAlign w:val="bottom"/>
            <w:tcBorders>
              <w:right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2700" w:type="dxa"/>
            <w:vAlign w:val="bottom"/>
            <w:tcBorders>
              <w:bottom w:val="single" w:sz="8" w:color="005A64"/>
            </w:tcBorders>
          </w:tcPr>
          <w:p>
            <w:pPr>
              <w:spacing w:after="0"/>
              <w:rPr>
                <w:sz w:val="3"/>
                <w:szCs w:val="3"/>
                <w:color w:val="auto"/>
              </w:rPr>
            </w:pPr>
          </w:p>
        </w:tc>
        <w:tc>
          <w:tcPr>
            <w:tcW w:w="120" w:type="dxa"/>
            <w:vAlign w:val="bottom"/>
            <w:tcBorders>
              <w:right w:val="single" w:sz="8" w:color="BECE33"/>
            </w:tcBorders>
          </w:tcPr>
          <w:p>
            <w:pPr>
              <w:spacing w:after="0"/>
              <w:rPr>
                <w:sz w:val="3"/>
                <w:szCs w:val="3"/>
                <w:color w:val="auto"/>
              </w:rPr>
            </w:pPr>
          </w:p>
        </w:tc>
        <w:tc>
          <w:tcPr>
            <w:tcW w:w="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2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2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22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540" w:type="dxa"/>
            <w:vAlign w:val="bottom"/>
            <w:tcBorders>
              <w:bottom w:val="single" w:sz="8" w:color="BECE33"/>
            </w:tcBorders>
          </w:tcPr>
          <w:p>
            <w:pPr>
              <w:spacing w:after="0"/>
              <w:rPr>
                <w:sz w:val="3"/>
                <w:szCs w:val="3"/>
                <w:color w:val="auto"/>
              </w:rPr>
            </w:pPr>
          </w:p>
        </w:tc>
        <w:tc>
          <w:tcPr>
            <w:tcW w:w="180" w:type="dxa"/>
            <w:vAlign w:val="bottom"/>
            <w:tcBorders>
              <w:bottom w:val="single" w:sz="8" w:color="BECE33"/>
            </w:tcBorders>
          </w:tcPr>
          <w:p>
            <w:pPr>
              <w:spacing w:after="0"/>
              <w:rPr>
                <w:sz w:val="3"/>
                <w:szCs w:val="3"/>
                <w:color w:val="auto"/>
              </w:rPr>
            </w:pPr>
          </w:p>
        </w:tc>
        <w:tc>
          <w:tcPr>
            <w:tcW w:w="1100" w:type="dxa"/>
            <w:vAlign w:val="bottom"/>
            <w:tcBorders>
              <w:bottom w:val="single" w:sz="8" w:color="BECE33"/>
            </w:tcBorders>
          </w:tcPr>
          <w:p>
            <w:pPr>
              <w:spacing w:after="0"/>
              <w:rPr>
                <w:sz w:val="3"/>
                <w:szCs w:val="3"/>
                <w:color w:val="auto"/>
              </w:rPr>
            </w:pPr>
          </w:p>
        </w:tc>
        <w:tc>
          <w:tcPr>
            <w:tcW w:w="120" w:type="dxa"/>
            <w:vAlign w:val="bottom"/>
            <w:tcBorders>
              <w:bottom w:val="single" w:sz="8" w:color="BECE33"/>
              <w:right w:val="single" w:sz="8" w:color="BECE3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42875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428750" cy="154305"/>
                    </a:xfrm>
                    <a:prstGeom prst="rect">
                      <a:avLst/>
                    </a:prstGeom>
                    <a:noFill/>
                  </pic:spPr>
                </pic:pic>
              </a:graphicData>
            </a:graphic>
          </wp:anchor>
        </w:drawing>
      </w:r>
    </w:p>
    <w:p>
      <w:pPr>
        <w:ind w:left="48" w:hanging="48"/>
        <w:spacing w:after="0"/>
        <w:tabs>
          <w:tab w:leader="none" w:pos="48" w:val="left"/>
        </w:tabs>
        <w:numPr>
          <w:ilvl w:val="0"/>
          <w:numId w:val="15"/>
        </w:numPr>
        <w:rPr>
          <w:rFonts w:ascii="Arial" w:cs="Arial" w:eastAsia="Arial" w:hAnsi="Arial"/>
          <w:sz w:val="11"/>
          <w:szCs w:val="11"/>
          <w:color w:val="auto"/>
          <w:vertAlign w:val="superscript"/>
        </w:rPr>
      </w:pPr>
      <w:r>
        <w:rPr>
          <w:rFonts w:ascii="Arial" w:cs="Arial" w:eastAsia="Arial" w:hAnsi="Arial"/>
          <w:sz w:val="8"/>
          <w:szCs w:val="8"/>
          <w:color w:val="auto"/>
        </w:rPr>
        <w:t>Tax effects are not considered as part of BioNTech's non-IFRS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194"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005A64"/>
        </w:rPr>
        <w:t>Non-IFRS Reconciliation for the three months ended March 31, 2025</w:t>
      </w:r>
    </w:p>
    <w:p>
      <w:pPr>
        <w:spacing w:after="0" w:line="385" w:lineRule="exact"/>
        <w:rPr>
          <w:sz w:val="20"/>
          <w:szCs w:val="20"/>
          <w:color w:val="auto"/>
        </w:rPr>
      </w:pPr>
    </w:p>
    <w:tbl>
      <w:tblPr>
        <w:tblLayout w:type="fixed"/>
        <w:tblInd w:w="8" w:type="dxa"/>
        <w:tblCellMar>
          <w:top w:w="0" w:type="dxa"/>
          <w:left w:w="0" w:type="dxa"/>
          <w:bottom w:w="0" w:type="dxa"/>
          <w:right w:w="0" w:type="dxa"/>
        </w:tblCellMar>
      </w:tblPr>
      <w:tr>
        <w:trPr>
          <w:trHeight w:val="114"/>
        </w:trPr>
        <w:tc>
          <w:tcPr>
            <w:tcW w:w="2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780" w:type="dxa"/>
            <w:vAlign w:val="bottom"/>
            <w:gridSpan w:val="4"/>
          </w:tcPr>
          <w:p>
            <w:pPr>
              <w:ind w:left="780"/>
              <w:spacing w:after="0"/>
              <w:rPr>
                <w:sz w:val="20"/>
                <w:szCs w:val="20"/>
                <w:color w:val="auto"/>
              </w:rPr>
            </w:pPr>
            <w:r>
              <w:rPr>
                <w:rFonts w:ascii="Arial" w:cs="Arial" w:eastAsia="Arial" w:hAnsi="Arial"/>
                <w:sz w:val="8"/>
                <w:szCs w:val="8"/>
                <w:b w:val="1"/>
                <w:bCs w:val="1"/>
                <w:color w:val="005A64"/>
              </w:rPr>
              <w:t>non-IFRS adjustments (unaudited)</w:t>
            </w: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IFRS</w:t>
            </w:r>
          </w:p>
        </w:tc>
        <w:tc>
          <w:tcPr>
            <w:tcW w:w="124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Borders>
              <w:bottom w:val="single" w:sz="8" w:color="005A64"/>
            </w:tcBorders>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Adjusted</w:t>
            </w:r>
          </w:p>
        </w:tc>
        <w:tc>
          <w:tcPr>
            <w:tcW w:w="0" w:type="dxa"/>
            <w:vAlign w:val="bottom"/>
          </w:tcPr>
          <w:p>
            <w:pPr>
              <w:spacing w:after="0"/>
              <w:rPr>
                <w:sz w:val="1"/>
                <w:szCs w:val="1"/>
                <w:color w:val="auto"/>
              </w:rPr>
            </w:pPr>
          </w:p>
        </w:tc>
      </w:tr>
      <w:tr>
        <w:trPr>
          <w:trHeight w:val="355"/>
        </w:trPr>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from bargain purchase and</w:t>
            </w: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Results</w:t>
            </w: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00" w:type="dxa"/>
            <w:vAlign w:val="bottom"/>
            <w:vMerge w:val="restart"/>
          </w:tcPr>
          <w:p>
            <w:pPr>
              <w:jc w:val="right"/>
              <w:spacing w:after="0"/>
              <w:rPr>
                <w:sz w:val="20"/>
                <w:szCs w:val="20"/>
                <w:color w:val="auto"/>
              </w:rPr>
            </w:pPr>
            <w:r>
              <w:rPr>
                <w:rFonts w:ascii="Arial" w:cs="Arial" w:eastAsia="Arial" w:hAnsi="Arial"/>
                <w:sz w:val="8"/>
                <w:szCs w:val="8"/>
                <w:b w:val="1"/>
                <w:bCs w:val="1"/>
                <w:color w:val="005A64"/>
              </w:rPr>
              <w:t>Results</w:t>
            </w:r>
          </w:p>
        </w:tc>
        <w:tc>
          <w:tcPr>
            <w:tcW w:w="0" w:type="dxa"/>
            <w:vAlign w:val="bottom"/>
          </w:tcPr>
          <w:p>
            <w:pPr>
              <w:spacing w:after="0"/>
              <w:rPr>
                <w:sz w:val="1"/>
                <w:szCs w:val="1"/>
                <w:color w:val="auto"/>
              </w:rPr>
            </w:pPr>
          </w:p>
        </w:tc>
      </w:tr>
      <w:tr>
        <w:trPr>
          <w:trHeight w:val="60"/>
        </w:trPr>
        <w:tc>
          <w:tcPr>
            <w:tcW w:w="2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Expenses and income from</w:t>
            </w:r>
          </w:p>
        </w:tc>
        <w:tc>
          <w:tcPr>
            <w:tcW w:w="1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8"/>
                <w:szCs w:val="8"/>
                <w:b w:val="1"/>
                <w:bCs w:val="1"/>
                <w:color w:val="005A64"/>
              </w:rPr>
              <w:t>Employee-related expenses</w:t>
            </w:r>
          </w:p>
        </w:tc>
        <w:tc>
          <w:tcPr>
            <w:tcW w:w="1740" w:type="dxa"/>
            <w:vAlign w:val="bottom"/>
            <w:gridSpan w:val="2"/>
            <w:vMerge w:val="restart"/>
          </w:tcPr>
          <w:p>
            <w:pPr>
              <w:jc w:val="right"/>
              <w:ind w:right="200"/>
              <w:spacing w:after="0"/>
              <w:rPr>
                <w:sz w:val="20"/>
                <w:szCs w:val="20"/>
                <w:color w:val="auto"/>
              </w:rPr>
            </w:pPr>
            <w:r>
              <w:rPr>
                <w:rFonts w:ascii="Arial" w:cs="Arial" w:eastAsia="Arial" w:hAnsi="Arial"/>
                <w:sz w:val="8"/>
                <w:szCs w:val="8"/>
                <w:b w:val="1"/>
                <w:bCs w:val="1"/>
                <w:color w:val="005A64"/>
              </w:rPr>
              <w:t>income and expenses from divestiture</w:t>
            </w: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740" w:type="dxa"/>
            <w:vAlign w:val="bottom"/>
            <w:gridSpan w:val="2"/>
            <w:vMerge w:val="continue"/>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980" w:type="dxa"/>
            <w:vAlign w:val="bottom"/>
            <w:gridSpan w:val="2"/>
          </w:tcPr>
          <w:p>
            <w:pPr>
              <w:spacing w:after="0"/>
              <w:rPr>
                <w:sz w:val="20"/>
                <w:szCs w:val="20"/>
                <w:color w:val="auto"/>
              </w:rPr>
            </w:pPr>
            <w:r>
              <w:rPr>
                <w:rFonts w:ascii="Arial" w:cs="Arial" w:eastAsia="Arial" w:hAnsi="Arial"/>
                <w:sz w:val="8"/>
                <w:szCs w:val="8"/>
                <w:i w:val="1"/>
                <w:iCs w:val="1"/>
                <w:color w:val="005A64"/>
              </w:rPr>
              <w:t>(in millions €, except per share data)</w:t>
            </w:r>
          </w:p>
        </w:tc>
        <w:tc>
          <w:tcPr>
            <w:tcW w:w="1280" w:type="dxa"/>
            <w:vAlign w:val="bottom"/>
            <w:gridSpan w:val="2"/>
          </w:tcPr>
          <w:p>
            <w:pPr>
              <w:jc w:val="right"/>
              <w:ind w:right="180"/>
              <w:spacing w:after="0"/>
              <w:rPr>
                <w:sz w:val="20"/>
                <w:szCs w:val="20"/>
                <w:color w:val="auto"/>
              </w:rPr>
            </w:pPr>
            <w:r>
              <w:rPr>
                <w:rFonts w:ascii="Arial" w:cs="Arial" w:eastAsia="Arial" w:hAnsi="Arial"/>
                <w:sz w:val="8"/>
                <w:szCs w:val="8"/>
                <w:i w:val="1"/>
                <w:iCs w:val="1"/>
                <w:color w:val="005A64"/>
              </w:rPr>
              <w:t>(unaudited)</w:t>
            </w: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legal proceedings</w:t>
            </w:r>
          </w:p>
        </w:tc>
        <w:tc>
          <w:tcPr>
            <w:tcW w:w="140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Impairment and reversal</w:t>
            </w:r>
          </w:p>
        </w:tc>
        <w:tc>
          <w:tcPr>
            <w:tcW w:w="138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from restructuring</w:t>
            </w:r>
          </w:p>
        </w:tc>
        <w:tc>
          <w:tcPr>
            <w:tcW w:w="174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related items</w:t>
            </w:r>
          </w:p>
        </w:tc>
        <w:tc>
          <w:tcPr>
            <w:tcW w:w="1100" w:type="dxa"/>
            <w:vAlign w:val="bottom"/>
          </w:tcPr>
          <w:p>
            <w:pPr>
              <w:jc w:val="right"/>
              <w:spacing w:after="0"/>
              <w:rPr>
                <w:sz w:val="20"/>
                <w:szCs w:val="20"/>
                <w:color w:val="auto"/>
              </w:rPr>
            </w:pPr>
            <w:r>
              <w:rPr>
                <w:rFonts w:ascii="Arial" w:cs="Arial" w:eastAsia="Arial" w:hAnsi="Arial"/>
                <w:sz w:val="8"/>
                <w:szCs w:val="8"/>
                <w:i w:val="1"/>
                <w:iCs w:val="1"/>
                <w:color w:val="005A64"/>
              </w:rPr>
              <w:t>(unaudited)</w:t>
            </w:r>
          </w:p>
        </w:tc>
        <w:tc>
          <w:tcPr>
            <w:tcW w:w="0" w:type="dxa"/>
            <w:vAlign w:val="bottom"/>
          </w:tcPr>
          <w:p>
            <w:pPr>
              <w:spacing w:after="0"/>
              <w:rPr>
                <w:sz w:val="1"/>
                <w:szCs w:val="1"/>
                <w:color w:val="auto"/>
              </w:rPr>
            </w:pPr>
          </w:p>
        </w:tc>
      </w:tr>
      <w:tr>
        <w:trPr>
          <w:trHeight w:val="24"/>
        </w:trPr>
        <w:tc>
          <w:tcPr>
            <w:tcW w:w="28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5"/>
        </w:trPr>
        <w:tc>
          <w:tcPr>
            <w:tcW w:w="2980" w:type="dxa"/>
            <w:vAlign w:val="bottom"/>
            <w:gridSpan w:val="2"/>
          </w:tcPr>
          <w:p>
            <w:pPr>
              <w:spacing w:after="0"/>
              <w:rPr>
                <w:sz w:val="20"/>
                <w:szCs w:val="20"/>
                <w:color w:val="auto"/>
              </w:rPr>
            </w:pPr>
            <w:r>
              <w:rPr>
                <w:rFonts w:ascii="Arial" w:cs="Arial" w:eastAsia="Arial" w:hAnsi="Arial"/>
                <w:sz w:val="8"/>
                <w:szCs w:val="8"/>
                <w:color w:val="005A64"/>
              </w:rPr>
              <w:t>Other operating income</w:t>
            </w:r>
          </w:p>
        </w:tc>
        <w:tc>
          <w:tcPr>
            <w:tcW w:w="1100" w:type="dxa"/>
            <w:vAlign w:val="bottom"/>
          </w:tcPr>
          <w:p>
            <w:pPr>
              <w:jc w:val="right"/>
              <w:spacing w:after="0"/>
              <w:rPr>
                <w:sz w:val="20"/>
                <w:szCs w:val="20"/>
                <w:color w:val="auto"/>
              </w:rPr>
            </w:pPr>
            <w:r>
              <w:rPr>
                <w:rFonts w:ascii="Arial" w:cs="Arial" w:eastAsia="Arial" w:hAnsi="Arial"/>
                <w:sz w:val="8"/>
                <w:szCs w:val="8"/>
                <w:color w:val="005A64"/>
              </w:rPr>
              <w:t>61.6</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400" w:type="dxa"/>
            <w:vAlign w:val="bottom"/>
            <w:gridSpan w:val="2"/>
          </w:tcPr>
          <w:p>
            <w:pPr>
              <w:jc w:val="right"/>
              <w:ind w:right="200"/>
              <w:spacing w:after="0"/>
              <w:rPr>
                <w:sz w:val="20"/>
                <w:szCs w:val="20"/>
                <w:color w:val="auto"/>
              </w:rPr>
            </w:pPr>
            <w:r>
              <w:rPr>
                <w:rFonts w:ascii="Arial" w:cs="Arial" w:eastAsia="Arial" w:hAnsi="Arial"/>
                <w:sz w:val="8"/>
                <w:szCs w:val="8"/>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8"/>
                <w:szCs w:val="8"/>
                <w:color w:val="005A64"/>
              </w:rPr>
              <w:t>—</w:t>
            </w:r>
          </w:p>
        </w:tc>
        <w:tc>
          <w:tcPr>
            <w:tcW w:w="1560" w:type="dxa"/>
            <w:vAlign w:val="bottom"/>
          </w:tcPr>
          <w:p>
            <w:pPr>
              <w:jc w:val="right"/>
              <w:spacing w:after="0"/>
              <w:rPr>
                <w:sz w:val="20"/>
                <w:szCs w:val="20"/>
                <w:color w:val="auto"/>
              </w:rPr>
            </w:pPr>
            <w:r>
              <w:rPr>
                <w:rFonts w:ascii="Arial" w:cs="Arial" w:eastAsia="Arial" w:hAnsi="Arial"/>
                <w:sz w:val="8"/>
                <w:szCs w:val="8"/>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46.6</w:t>
            </w:r>
          </w:p>
        </w:tc>
        <w:tc>
          <w:tcPr>
            <w:tcW w:w="0" w:type="dxa"/>
            <w:vAlign w:val="bottom"/>
          </w:tcPr>
          <w:p>
            <w:pPr>
              <w:spacing w:after="0"/>
              <w:rPr>
                <w:sz w:val="1"/>
                <w:szCs w:val="1"/>
                <w:color w:val="auto"/>
              </w:rPr>
            </w:pPr>
          </w:p>
        </w:tc>
      </w:tr>
      <w:tr>
        <w:trPr>
          <w:trHeight w:val="37"/>
        </w:trPr>
        <w:tc>
          <w:tcPr>
            <w:tcW w:w="28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60" w:type="dxa"/>
            <w:vAlign w:val="bottom"/>
          </w:tcPr>
          <w:p>
            <w:pPr>
              <w:spacing w:after="0"/>
              <w:rPr>
                <w:sz w:val="3"/>
                <w:szCs w:val="3"/>
                <w:color w:val="auto"/>
              </w:rPr>
            </w:pPr>
          </w:p>
        </w:tc>
        <w:tc>
          <w:tcPr>
            <w:tcW w:w="1560" w:type="dxa"/>
            <w:vAlign w:val="bottom"/>
            <w:tcBorders>
              <w:bottom w:val="single" w:sz="8" w:color="7FACB1"/>
            </w:tcBorders>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980" w:type="dxa"/>
            <w:vAlign w:val="bottom"/>
            <w:gridSpan w:val="2"/>
          </w:tcPr>
          <w:p>
            <w:pPr>
              <w:spacing w:after="0"/>
              <w:rPr>
                <w:sz w:val="20"/>
                <w:szCs w:val="20"/>
                <w:color w:val="auto"/>
              </w:rPr>
            </w:pPr>
            <w:r>
              <w:rPr>
                <w:rFonts w:ascii="Arial" w:cs="Arial" w:eastAsia="Arial" w:hAnsi="Arial"/>
                <w:sz w:val="8"/>
                <w:szCs w:val="8"/>
                <w:b w:val="1"/>
                <w:bCs w:val="1"/>
                <w:color w:val="005A64"/>
              </w:rPr>
              <w:t>Operating loss</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(534.1)</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40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560" w:type="dxa"/>
            <w:vAlign w:val="bottom"/>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(549.1)</w:t>
            </w:r>
          </w:p>
        </w:tc>
        <w:tc>
          <w:tcPr>
            <w:tcW w:w="0" w:type="dxa"/>
            <w:vAlign w:val="bottom"/>
          </w:tcPr>
          <w:p>
            <w:pPr>
              <w:spacing w:after="0"/>
              <w:rPr>
                <w:sz w:val="1"/>
                <w:szCs w:val="1"/>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2980" w:type="dxa"/>
            <w:vAlign w:val="bottom"/>
            <w:gridSpan w:val="2"/>
          </w:tcPr>
          <w:p>
            <w:pPr>
              <w:spacing w:after="0"/>
              <w:rPr>
                <w:sz w:val="20"/>
                <w:szCs w:val="20"/>
                <w:color w:val="auto"/>
              </w:rPr>
            </w:pPr>
            <w:r>
              <w:rPr>
                <w:rFonts w:ascii="Arial" w:cs="Arial" w:eastAsia="Arial" w:hAnsi="Arial"/>
                <w:sz w:val="8"/>
                <w:szCs w:val="8"/>
                <w:b w:val="1"/>
                <w:bCs w:val="1"/>
                <w:color w:val="005A64"/>
              </w:rPr>
              <w:t>Loss before tax</w:t>
            </w: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(445.4)</w:t>
            </w:r>
          </w:p>
        </w:tc>
        <w:tc>
          <w:tcPr>
            <w:tcW w:w="180" w:type="dxa"/>
            <w:vAlign w:val="bottom"/>
          </w:tcPr>
          <w:p>
            <w:pPr>
              <w:spacing w:after="0"/>
              <w:rPr>
                <w:sz w:val="9"/>
                <w:szCs w:val="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400" w:type="dxa"/>
            <w:vAlign w:val="bottom"/>
            <w:gridSpan w:val="2"/>
          </w:tcPr>
          <w:p>
            <w:pPr>
              <w:jc w:val="right"/>
              <w:ind w:right="200"/>
              <w:spacing w:after="0"/>
              <w:rPr>
                <w:sz w:val="20"/>
                <w:szCs w:val="20"/>
                <w:color w:val="auto"/>
              </w:rPr>
            </w:pPr>
            <w:r>
              <w:rPr>
                <w:rFonts w:ascii="Arial" w:cs="Arial" w:eastAsia="Arial" w:hAnsi="Arial"/>
                <w:sz w:val="8"/>
                <w:szCs w:val="8"/>
                <w:b w:val="1"/>
                <w:bCs w:val="1"/>
                <w:color w:val="005A64"/>
              </w:rPr>
              <w:t>—</w:t>
            </w:r>
          </w:p>
        </w:tc>
        <w:tc>
          <w:tcPr>
            <w:tcW w:w="1380" w:type="dxa"/>
            <w:vAlign w:val="bottom"/>
            <w:gridSpan w:val="2"/>
          </w:tcPr>
          <w:p>
            <w:pPr>
              <w:jc w:val="right"/>
              <w:ind w:right="180"/>
              <w:spacing w:after="0"/>
              <w:rPr>
                <w:sz w:val="20"/>
                <w:szCs w:val="20"/>
                <w:color w:val="auto"/>
              </w:rPr>
            </w:pPr>
            <w:r>
              <w:rPr>
                <w:rFonts w:ascii="Arial" w:cs="Arial" w:eastAsia="Arial" w:hAnsi="Arial"/>
                <w:sz w:val="8"/>
                <w:szCs w:val="8"/>
                <w:b w:val="1"/>
                <w:bCs w:val="1"/>
                <w:color w:val="005A64"/>
              </w:rPr>
              <w:t>—</w:t>
            </w:r>
          </w:p>
        </w:tc>
        <w:tc>
          <w:tcPr>
            <w:tcW w:w="1560" w:type="dxa"/>
            <w:vAlign w:val="bottom"/>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b w:val="1"/>
                <w:bCs w:val="1"/>
                <w:color w:val="005A64"/>
              </w:rPr>
              <w:t>(460.4)</w:t>
            </w:r>
          </w:p>
        </w:tc>
        <w:tc>
          <w:tcPr>
            <w:tcW w:w="0" w:type="dxa"/>
            <w:vAlign w:val="bottom"/>
          </w:tcPr>
          <w:p>
            <w:pPr>
              <w:spacing w:after="0"/>
              <w:rPr>
                <w:sz w:val="1"/>
                <w:szCs w:val="1"/>
                <w:color w:val="auto"/>
              </w:rPr>
            </w:pPr>
          </w:p>
        </w:tc>
      </w:tr>
      <w:tr>
        <w:trPr>
          <w:trHeight w:val="33"/>
        </w:trPr>
        <w:tc>
          <w:tcPr>
            <w:tcW w:w="28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005A64"/>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800" w:type="dxa"/>
            <w:vAlign w:val="bottom"/>
            <w:tcBorders>
              <w:bottom w:val="single" w:sz="8" w:color="005A64"/>
            </w:tcBorders>
          </w:tcPr>
          <w:p>
            <w:pPr>
              <w:spacing w:after="0"/>
              <w:rPr>
                <w:sz w:val="20"/>
                <w:szCs w:val="20"/>
                <w:color w:val="auto"/>
              </w:rPr>
            </w:pPr>
            <w:r>
              <w:rPr>
                <w:rFonts w:ascii="Arial" w:cs="Arial" w:eastAsia="Arial" w:hAnsi="Arial"/>
                <w:sz w:val="8"/>
                <w:szCs w:val="8"/>
                <w:b w:val="1"/>
                <w:bCs w:val="1"/>
                <w:color w:val="005A64"/>
              </w:rPr>
              <w:t>Net loss</w:t>
            </w:r>
            <w:r>
              <w:rPr>
                <w:rFonts w:ascii="Arial" w:cs="Arial" w:eastAsia="Arial" w:hAnsi="Arial"/>
                <w:sz w:val="10"/>
                <w:szCs w:val="10"/>
                <w:b w:val="1"/>
                <w:bCs w:val="1"/>
                <w:color w:val="005A64"/>
                <w:vertAlign w:val="superscript"/>
              </w:rPr>
              <w:t>1</w:t>
            </w:r>
          </w:p>
        </w:tc>
        <w:tc>
          <w:tcPr>
            <w:tcW w:w="1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(415.8)</w:t>
            </w:r>
          </w:p>
        </w:tc>
        <w:tc>
          <w:tcPr>
            <w:tcW w:w="180" w:type="dxa"/>
            <w:vAlign w:val="bottom"/>
          </w:tcPr>
          <w:p>
            <w:pPr>
              <w:spacing w:after="0"/>
              <w:rPr>
                <w:sz w:val="12"/>
                <w:szCs w:val="12"/>
                <w:color w:val="auto"/>
              </w:rPr>
            </w:pPr>
          </w:p>
        </w:tc>
        <w:tc>
          <w:tcPr>
            <w:tcW w:w="124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2"/>
                <w:szCs w:val="12"/>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80" w:type="dxa"/>
            <w:vAlign w:val="bottom"/>
          </w:tcPr>
          <w:p>
            <w:pPr>
              <w:spacing w:after="0"/>
              <w:rPr>
                <w:sz w:val="12"/>
                <w:szCs w:val="12"/>
                <w:color w:val="auto"/>
              </w:rPr>
            </w:pPr>
          </w:p>
        </w:tc>
        <w:tc>
          <w:tcPr>
            <w:tcW w:w="122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w:t>
            </w:r>
          </w:p>
        </w:tc>
        <w:tc>
          <w:tcPr>
            <w:tcW w:w="160" w:type="dxa"/>
            <w:vAlign w:val="bottom"/>
          </w:tcPr>
          <w:p>
            <w:pPr>
              <w:spacing w:after="0"/>
              <w:rPr>
                <w:sz w:val="12"/>
                <w:szCs w:val="12"/>
                <w:color w:val="auto"/>
              </w:rPr>
            </w:pPr>
          </w:p>
        </w:tc>
        <w:tc>
          <w:tcPr>
            <w:tcW w:w="156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(15.0)</w:t>
            </w:r>
          </w:p>
        </w:tc>
        <w:tc>
          <w:tcPr>
            <w:tcW w:w="180" w:type="dxa"/>
            <w:vAlign w:val="bottom"/>
          </w:tcPr>
          <w:p>
            <w:pPr>
              <w:spacing w:after="0"/>
              <w:rPr>
                <w:sz w:val="12"/>
                <w:szCs w:val="12"/>
                <w:color w:val="auto"/>
              </w:rPr>
            </w:pPr>
          </w:p>
        </w:tc>
        <w:tc>
          <w:tcPr>
            <w:tcW w:w="1100" w:type="dxa"/>
            <w:vAlign w:val="bottom"/>
            <w:tcBorders>
              <w:bottom w:val="single" w:sz="8" w:color="005A64"/>
            </w:tcBorders>
          </w:tcPr>
          <w:p>
            <w:pPr>
              <w:jc w:val="right"/>
              <w:spacing w:after="0"/>
              <w:rPr>
                <w:sz w:val="20"/>
                <w:szCs w:val="20"/>
                <w:color w:val="auto"/>
              </w:rPr>
            </w:pPr>
            <w:r>
              <w:rPr>
                <w:rFonts w:ascii="Arial" w:cs="Arial" w:eastAsia="Arial" w:hAnsi="Arial"/>
                <w:sz w:val="8"/>
                <w:szCs w:val="8"/>
                <w:b w:val="1"/>
                <w:bCs w:val="1"/>
                <w:color w:val="005A64"/>
              </w:rPr>
              <w:t>(430.8)</w:t>
            </w:r>
          </w:p>
        </w:tc>
        <w:tc>
          <w:tcPr>
            <w:tcW w:w="0" w:type="dxa"/>
            <w:vAlign w:val="bottom"/>
          </w:tcPr>
          <w:p>
            <w:pPr>
              <w:spacing w:after="0"/>
              <w:rPr>
                <w:sz w:val="1"/>
                <w:szCs w:val="1"/>
                <w:color w:val="auto"/>
              </w:rPr>
            </w:pPr>
          </w:p>
        </w:tc>
      </w:tr>
      <w:tr>
        <w:trPr>
          <w:trHeight w:val="118"/>
        </w:trPr>
        <w:tc>
          <w:tcPr>
            <w:tcW w:w="2980" w:type="dxa"/>
            <w:vAlign w:val="bottom"/>
            <w:gridSpan w:val="2"/>
          </w:tcPr>
          <w:p>
            <w:pPr>
              <w:spacing w:after="0"/>
              <w:rPr>
                <w:sz w:val="20"/>
                <w:szCs w:val="20"/>
                <w:color w:val="auto"/>
              </w:rPr>
            </w:pPr>
            <w:r>
              <w:rPr>
                <w:rFonts w:ascii="Arial" w:cs="Arial" w:eastAsia="Arial" w:hAnsi="Arial"/>
                <w:sz w:val="8"/>
                <w:szCs w:val="8"/>
                <w:b w:val="1"/>
                <w:bCs w:val="1"/>
                <w:color w:val="3C9673"/>
              </w:rPr>
              <w:t>Loss per share</w:t>
            </w: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8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Borders>
              <w:bottom w:val="single" w:sz="8" w:color="7FACB1"/>
            </w:tcBorders>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980" w:type="dxa"/>
            <w:vAlign w:val="bottom"/>
            <w:gridSpan w:val="2"/>
          </w:tcPr>
          <w:p>
            <w:pPr>
              <w:spacing w:after="0"/>
              <w:rPr>
                <w:sz w:val="20"/>
                <w:szCs w:val="20"/>
                <w:color w:val="auto"/>
              </w:rPr>
            </w:pPr>
            <w:r>
              <w:rPr>
                <w:rFonts w:ascii="Arial" w:cs="Arial" w:eastAsia="Arial" w:hAnsi="Arial"/>
                <w:sz w:val="8"/>
                <w:szCs w:val="8"/>
                <w:color w:val="005A64"/>
              </w:rPr>
              <w:t>Basic and diluted loss per share</w:t>
            </w:r>
          </w:p>
        </w:tc>
        <w:tc>
          <w:tcPr>
            <w:tcW w:w="1100" w:type="dxa"/>
            <w:vAlign w:val="bottom"/>
          </w:tcPr>
          <w:p>
            <w:pPr>
              <w:jc w:val="right"/>
              <w:spacing w:after="0"/>
              <w:rPr>
                <w:sz w:val="20"/>
                <w:szCs w:val="20"/>
                <w:color w:val="auto"/>
              </w:rPr>
            </w:pPr>
            <w:r>
              <w:rPr>
                <w:rFonts w:ascii="Arial" w:cs="Arial" w:eastAsia="Arial" w:hAnsi="Arial"/>
                <w:sz w:val="8"/>
                <w:szCs w:val="8"/>
                <w:color w:val="005A64"/>
              </w:rPr>
              <w:t>(1.73)</w:t>
            </w: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jc w:val="right"/>
              <w:spacing w:after="0"/>
              <w:rPr>
                <w:sz w:val="20"/>
                <w:szCs w:val="20"/>
                <w:color w:val="auto"/>
              </w:rPr>
            </w:pPr>
            <w:r>
              <w:rPr>
                <w:rFonts w:ascii="Arial" w:cs="Arial" w:eastAsia="Arial" w:hAnsi="Arial"/>
                <w:sz w:val="8"/>
                <w:szCs w:val="8"/>
                <w:color w:val="005A64"/>
              </w:rPr>
              <w:t>(1.79)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52" w:lineRule="exact"/>
        <w:rPr>
          <w:sz w:val="20"/>
          <w:szCs w:val="20"/>
          <w:color w:val="auto"/>
        </w:rPr>
      </w:pPr>
    </w:p>
    <w:p>
      <w:pPr>
        <w:ind w:left="48" w:hanging="48"/>
        <w:spacing w:after="0"/>
        <w:tabs>
          <w:tab w:leader="none" w:pos="48" w:val="left"/>
        </w:tabs>
        <w:numPr>
          <w:ilvl w:val="0"/>
          <w:numId w:val="16"/>
        </w:numPr>
        <w:rPr>
          <w:rFonts w:ascii="Arial" w:cs="Arial" w:eastAsia="Arial" w:hAnsi="Arial"/>
          <w:sz w:val="11"/>
          <w:szCs w:val="11"/>
          <w:color w:val="auto"/>
          <w:vertAlign w:val="superscript"/>
        </w:rPr>
      </w:pPr>
      <w:r>
        <w:rPr>
          <w:rFonts w:ascii="Arial" w:cs="Arial" w:eastAsia="Arial" w:hAnsi="Arial"/>
          <w:sz w:val="8"/>
          <w:szCs w:val="8"/>
          <w:color w:val="auto"/>
        </w:rPr>
        <w:t>Tax effects are not considered as part of BioNTech's non-IFRS adjustments.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1168"/>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308"/>
          </w:cols>
          <w:pgMar w:left="292" w:top="1264" w:right="299"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
      <w:numFmt w:val="bullet"/>
      <w:start w:val="1"/>
    </w:lvl>
    <w:lvl w:ilvl="1">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bullet"/>
      <w:start w:val="1"/>
    </w:lvl>
  </w:abstractNum>
  <w:abstractNum w:abstractNumId="13">
    <w:nsid w:val="1BEFD79F"/>
    <w:multiLevelType w:val="hybridMultilevel"/>
    <w:lvl w:ilvl="0">
      <w:lvlJc w:val="left"/>
      <w:lvlText w:val="2"/>
      <w:numFmt w:val="bullet"/>
      <w:start w:val="1"/>
    </w:lvl>
  </w:abstractNum>
  <w:abstractNum w:abstractNumId="14">
    <w:nsid w:val="41A7C4C9"/>
    <w:multiLevelType w:val="hybridMultilevel"/>
    <w:lvl w:ilvl="0">
      <w:lvlJc w:val="left"/>
      <w:lvlText w:val="1"/>
      <w:numFmt w:val="bullet"/>
      <w:start w:val="1"/>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2026-05-05T05:49:42Z</dcterms:created>
  <dcterms:modified xsi:type="dcterms:W3CDTF">2026-05-05T05:49:42Z</dcterms:modified>
</cp:coreProperties>
</file>