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64452d425.htm"/>
      <w:bookmarkStart w:id="1" w:name="ksd864452d425"/>
      <w:bookmarkEnd w:id="0"/>
      <w:bookmarkEnd w:id="1"/>
      <w:r>
        <w:rPr>
          <w:rFonts w:ascii="Times New Roman" w:hAnsi="Times New Roman"/>
          <w:sz w:val="20"/>
        </w:rPr>
        <w:t xml:space="preserve">Filed by BioNTech SE (Commission File No. 001-39081)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14d-2(b) under </w:t>
      </w:r>
    </w:p>
    <w:p>
      <w:pPr>
        <w:pStyle w:val="TextBody"/>
        <w:bidi w:val="0"/>
        <w:spacing w:before="0" w:after="0"/>
        <w:jc w:val="right"/>
        <w:rPr>
          <w:rFonts w:ascii="Times New Roman" w:hAnsi="Times New Roman"/>
          <w:sz w:val="20"/>
        </w:rPr>
      </w:pPr>
      <w:r>
        <w:rPr>
          <w:rFonts w:ascii="Times New Roman" w:hAnsi="Times New Roman"/>
          <w:sz w:val="20"/>
        </w:rPr>
        <w:t xml:space="preserve">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CureVac N.V.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001-39446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communications are being filed in connection with the proposed acquisition of CureVac N.V. by BioNTech SE. </w:t>
      </w:r>
    </w:p>
    <w:p>
      <w:pPr>
        <w:pStyle w:val="TextBody"/>
        <w:bidi w:val="0"/>
        <w:spacing w:before="360" w:after="0"/>
        <w:jc w:val="left"/>
        <w:rPr>
          <w:rFonts w:ascii="Times New Roman" w:hAnsi="Times New Roman"/>
          <w:b/>
          <w:sz w:val="20"/>
        </w:rPr>
      </w:pPr>
      <w:r>
        <w:rPr>
          <w:rFonts w:ascii="Times New Roman" w:hAnsi="Times New Roman"/>
          <w:b/>
          <w:sz w:val="20"/>
        </w:rPr>
        <w:t xml:space="preserve">BioNTech Reaches Agreement to Receive a Non-exclusive License for mRNA-based COVID-19 and/or Influenza Products and Resolve Patent Litigation with CureVac and GSK </w:t>
      </w:r>
    </w:p>
    <w:p>
      <w:pPr>
        <w:pStyle w:val="TextBody"/>
        <w:bidi w:val="0"/>
        <w:spacing w:before="120" w:after="0"/>
        <w:jc w:val="left"/>
        <w:rPr>
          <w:rFonts w:ascii="Times New Roman" w:hAnsi="Times New Roman"/>
          <w:sz w:val="20"/>
        </w:rPr>
      </w:pPr>
      <w:r>
        <w:rPr>
          <w:rFonts w:ascii="Times New Roman" w:hAnsi="Times New Roman"/>
          <w:sz w:val="20"/>
        </w:rPr>
        <w:t xml:space="preserve">8 August 2025 </w:t>
      </w:r>
    </w:p>
    <w:p>
      <w:pPr>
        <w:pStyle w:val="TextBody"/>
        <w:bidi w:val="0"/>
        <w:spacing w:before="240" w:after="0"/>
        <w:jc w:val="left"/>
        <w:rPr>
          <w:rFonts w:ascii="Times New Roman" w:hAnsi="Times New Roman"/>
          <w:sz w:val="20"/>
        </w:rPr>
      </w:pPr>
      <w:r>
        <w:rPr>
          <w:rFonts w:ascii="Times New Roman" w:hAnsi="Times New Roman"/>
          <w:sz w:val="20"/>
        </w:rPr>
        <w:t xml:space="preserve">BioNTech SE (Nasdaq: BNTX) is committed to developing breakthrough mRNA-based medicines for those in need. The announced acquisition of CureVac N.V. (Nasdaq: CVAC) (the Acquisition) is an investment in the future of mRNA-based cancer medicines and another strategic building block for BioNTech. Upon closing, it will bring together two highly complementary companies which have been researching and developing investigational mRNA-based products over decades with great passion and build on BioNTechs proven track record and established position in the global mRNA industry. </w:t>
      </w:r>
    </w:p>
    <w:p>
      <w:pPr>
        <w:pStyle w:val="TextBody"/>
        <w:bidi w:val="0"/>
        <w:spacing w:before="240" w:after="0"/>
        <w:jc w:val="left"/>
        <w:rPr>
          <w:rFonts w:ascii="Times New Roman" w:hAnsi="Times New Roman"/>
          <w:sz w:val="20"/>
        </w:rPr>
      </w:pPr>
      <w:r>
        <w:rPr>
          <w:rFonts w:ascii="Times New Roman" w:hAnsi="Times New Roman"/>
          <w:sz w:val="20"/>
        </w:rPr>
        <w:t xml:space="preserve">Separate from the Acquisition, BioNTech SE and an affiliate (together, BioNTech) and Pfizer, Inc. (NYSE: PFE, Pfizer) entered into agreements with CureVac N.V. and an affiliate (together, CureVac), and an affiliate of GSK plc (LSE/NYSE: GSK, GSK) on August 7, 2025 (the Settlement Arrangements) to resolve the pending patent litigation between BioNTech, Pfizer and CureVac in the United States, and set a framework for resolving patent litigation and allegations of patent infringement between BioNTech, Pfizer and CureVac outside the U.S. (subject to closing of the Acquisition). As a consequence of entering into the Settlement Arrangements, CureVac, BioNTech and Pfizer filed a Stipulation and Order with the United States District Court for the Eastern District of Virginia dismissing with prejudice CureVacs action for patent infringement relating to certain CureVac patents (Civil Action No 2:23-cv-222). </w:t>
      </w:r>
    </w:p>
    <w:p>
      <w:pPr>
        <w:pStyle w:val="TextBody"/>
        <w:bidi w:val="0"/>
        <w:spacing w:before="240" w:after="0"/>
        <w:jc w:val="left"/>
        <w:rPr>
          <w:rFonts w:ascii="Times New Roman" w:hAnsi="Times New Roman"/>
          <w:sz w:val="20"/>
        </w:rPr>
      </w:pPr>
      <w:r>
        <w:rPr>
          <w:rFonts w:ascii="Times New Roman" w:hAnsi="Times New Roman"/>
          <w:sz w:val="20"/>
        </w:rPr>
        <w:t xml:space="preserve">Under the Settlement Arrangements, BioNTech and Pfizer will receive a non-exclusive license from CureVac to manufacture, use, import into the U.S. and sell mRNA-based COVID-19 and/or influenza products (Licensed Products). The non-exclusive license will be expanded into a worldwide license upon the closing of the Acquisition. In addition, BioNTech and Pfizer will receive, among other things, a release from all claims relating to purported infringement of CureVac and GSK related to the research, development, manufacture or sale of the Pfizer-BioNTech COVID-19 vaccine in the U.S. prior to January 1, 2025 and, following closing of the Acquisition, a release from all claims by CureVac and GSK worldwide. The Settlement Arrangements not only effectively resolve the ongoing disputes between CureVac, BioNTech and Pfizer in the U.S. and, if the Acquisition closes, the rest of the world, but it will also allow BioNTech to focus on the execution of its strategy and its priority programs, including mRNA-based product candidates.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Settlement Arrangements do not in any way constitute an admission of liability with respect to any allegation raised by CureVac or GSK, all of which BioNTech expressly denies, and nothing in the Settlement Arrangements shall be taken as or construed to be an admission by BioNTech as evidence supporting any such allegation, any matter of fact or law, any violation of law or any other liability whatsoever.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Settlement Arrangements, BioNTech will, among other things, pay to the benefit of GSK $370 million to GSK and a 1% royalty on U.S. sales of Licensed Products from January 1, 2025, onward. Following the closing of the Acquisition, BioNTech will pay $130 million to GSK and a 1% royalty on rest-of-world sales of Licensed Products from January 1, 2025, onward. Subject to the closing of the Acquisition, Pfizer has agreed to reimburse BioNTech for $80 million and half of claimed royalties payable to GSK from January 1, 2025, onwards on sales of mRNA-based COVID-19 products.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Settlement Arrangements, BioNTech will also pay CureVac $370 million upon the closing of the Acquisition or the termination of the purchase agreement relating to the Acquisition, and a 1% royalty on U.S. sales of Licensed Products from January 1, 2025, onward. Following the closing of the Acquisition, BioNTech will pay a 1% royalty on rest-of-world sales of Licensed Products to CureVac from January 1, 2025, onward.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between BioNTech and CureVac announced on June 12, 2025, will, subject to regulatory approval, be implemented as planned and its terms will remain unaffected. </w:t>
      </w:r>
    </w:p>
    <w:p>
      <w:pPr>
        <w:pStyle w:val="TextBody"/>
        <w:bidi w:val="0"/>
        <w:spacing w:before="360" w:after="0"/>
        <w:jc w:val="left"/>
        <w:rPr>
          <w:rFonts w:ascii="Times New Roman" w:hAnsi="Times New Roman"/>
          <w:b/>
          <w:sz w:val="20"/>
        </w:rPr>
      </w:pPr>
      <w:r>
        <w:rPr>
          <w:rFonts w:ascii="Times New Roman" w:hAnsi="Times New Roman"/>
          <w:b/>
          <w:sz w:val="20"/>
        </w:rPr>
        <w:t xml:space="preserve">About BioNTech </w:t>
      </w:r>
    </w:p>
    <w:p>
      <w:pPr>
        <w:pStyle w:val="TextBody"/>
        <w:bidi w:val="0"/>
        <w:spacing w:before="120" w:after="0"/>
        <w:jc w:val="left"/>
        <w:rPr>
          <w:rFonts w:ascii="Times New Roman" w:hAnsi="Times New Roman"/>
          <w:sz w:val="20"/>
        </w:rPr>
      </w:pPr>
      <w:r>
        <w:rPr>
          <w:rFonts w:ascii="Times New Roman" w:hAnsi="Times New Roman"/>
          <w:sz w:val="20"/>
        </w:rPr>
        <w:t xml:space="preserve">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www.BioNTech.com.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to complete the Acquisition, the impact of the Acquisition on the terms contemplated by the Settlement Agreement, Pfizers agreement to reimburse BioNTech with respect to royalty and upfront payments in connection with the Settlement Agreement, and the disputes among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BioNTech, Pfizer, CureVac, and GSK generally. Many of these risks and uncertainties are beyond the control of BioNTech. Investors are cautioned that any such forward-looking statements are based on BioNTechs current beliefs and expectations regarding future events and are not guarantees of future performance and involve risks and uncertainties. There can be no guarantees that the Acquisition will close on the expected timetable or at all. If underlying assumptions prove inaccurate or risks or uncertainties materialize, actual results may differ materially from those set forth in the forward-looking statements. You should not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satisfaction of conditions to closing of the Acquisition; approval of the dismissal order contemplated by the Settlement Agreement; BioNTech and Pfizer reaching a definitive agreement with respect to the terms of Pfizers reimbursement;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review the risks and uncertainties described under the heading Risk Factors in BioNTechs Report on Form 6-K for the period ended June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and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(https://www.biontech.com).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(https://www.biontech.com).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obtain free copies of the Registration Statement, exchange offer/prospectus, Schedule TO and Schedule 14D-9, as each may be amended from time to time, and other relevant documents filed by BioNTech and CureVac with the SEC (when they become available) at http://www.sec.gov, the SECs website, or free of charge from BioNTechs website (https://www.biontech.com) or by contacting BioNTechs Investor Relations Department at Investors@biontech.de. These documents are also available free of charge from CureVacs website (https://www.curevac.com) or by contacting CureVacs Investor Relations Department at communications@curevac.com.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2259</Words>
  <Characters>12503</Characters>
  <CharactersWithSpaces>14656</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