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6"/>
          <w:szCs w:val="36"/>
          <w:b w:val="1"/>
          <w:bCs w:val="1"/>
          <w:color w:val="auto"/>
        </w:rPr>
        <w:t>UNITED STATES</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SECURITIES AND EXCHANGE COMMISSION</w:t>
      </w: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396"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FORM 6-K</w:t>
      </w:r>
    </w:p>
    <w:p>
      <w:pPr>
        <w:spacing w:after="0" w:line="236" w:lineRule="exact"/>
        <w:rPr>
          <w:sz w:val="24"/>
          <w:szCs w:val="24"/>
          <w:color w:val="auto"/>
        </w:rPr>
      </w:pPr>
    </w:p>
    <w:p>
      <w:pPr>
        <w:jc w:val="center"/>
        <w:ind w:right="-39"/>
        <w:spacing w:after="0" w:line="230" w:lineRule="exact"/>
        <w:rPr>
          <w:sz w:val="20"/>
          <w:szCs w:val="20"/>
          <w:color w:val="auto"/>
        </w:rPr>
      </w:pPr>
      <w:r>
        <w:rPr>
          <w:rFonts w:ascii="Arial" w:cs="Arial" w:eastAsia="Arial" w:hAnsi="Arial"/>
          <w:sz w:val="20"/>
          <w:szCs w:val="20"/>
          <w:b w:val="1"/>
          <w:bCs w:val="1"/>
          <w:color w:val="auto"/>
        </w:rPr>
        <w:t>REPORT OF FOREIGN PRIVATE ISSUER PURSUANT TO RULE 13a</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16 OR 15d</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16</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FOR THE MONTH OF AUGUST 2020</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COMMISSION FILE NUMBER 001-39081</w:t>
      </w:r>
    </w:p>
    <w:p>
      <w:pPr>
        <w:spacing w:after="0" w:line="200"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BioNTech SE</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333333"/>
        </w:rPr>
        <w:t>(Translation of registrant’s name into English)</w:t>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An der Goldgrube 12</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D-55131 Mainz</w:t>
      </w:r>
    </w:p>
    <w:p>
      <w:pPr>
        <w:jc w:val="center"/>
        <w:ind w:right="-39"/>
        <w:spacing w:after="0"/>
        <w:rPr>
          <w:sz w:val="20"/>
          <w:szCs w:val="20"/>
          <w:color w:val="auto"/>
        </w:rPr>
      </w:pPr>
      <w:r>
        <w:rPr>
          <w:rFonts w:ascii="Arial" w:cs="Arial" w:eastAsia="Arial" w:hAnsi="Arial"/>
          <w:sz w:val="20"/>
          <w:szCs w:val="20"/>
          <w:b w:val="1"/>
          <w:bCs w:val="1"/>
          <w:color w:val="auto"/>
        </w:rPr>
        <w:t>Germany</w:t>
      </w:r>
    </w:p>
    <w:p>
      <w:pPr>
        <w:jc w:val="center"/>
        <w:ind w:right="-39"/>
        <w:spacing w:after="0"/>
        <w:rPr>
          <w:sz w:val="20"/>
          <w:szCs w:val="20"/>
          <w:color w:val="auto"/>
        </w:rPr>
      </w:pPr>
      <w:r>
        <w:rPr>
          <w:rFonts w:ascii="Arial" w:cs="Arial" w:eastAsia="Arial" w:hAnsi="Arial"/>
          <w:sz w:val="20"/>
          <w:szCs w:val="20"/>
          <w:b w:val="1"/>
          <w:bCs w:val="1"/>
          <w:color w:val="auto"/>
        </w:rPr>
        <w:t>+49 6131-9084-0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333333"/>
        </w:rPr>
        <w:t>(Address of principal executive offices)</w:t>
      </w:r>
    </w:p>
    <w:p>
      <w:pPr>
        <w:spacing w:after="0" w:line="175" w:lineRule="exact"/>
        <w:rPr>
          <w:sz w:val="24"/>
          <w:szCs w:val="24"/>
          <w:color w:val="auto"/>
        </w:rPr>
      </w:pPr>
    </w:p>
    <w:p>
      <w:pPr>
        <w:spacing w:after="0" w:line="298" w:lineRule="exact"/>
        <w:rPr>
          <w:sz w:val="20"/>
          <w:szCs w:val="20"/>
          <w:color w:val="auto"/>
        </w:rPr>
      </w:pPr>
      <w:r>
        <w:rPr>
          <w:rFonts w:ascii="Arial" w:cs="Arial" w:eastAsia="Arial" w:hAnsi="Arial"/>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Arial" w:cs="Arial" w:eastAsia="Arial" w:hAnsi="Arial"/>
          <w:sz w:val="22"/>
          <w:szCs w:val="22"/>
          <w:color w:val="auto"/>
        </w:rPr>
        <w:t>F or Form 40</w:t>
      </w:r>
      <w:r>
        <w:rPr>
          <w:rFonts w:ascii="MS PGothic" w:cs="MS PGothic" w:eastAsia="MS PGothic" w:hAnsi="MS PGothic"/>
          <w:sz w:val="22"/>
          <w:szCs w:val="22"/>
          <w:color w:val="auto"/>
        </w:rPr>
        <w:t>‑</w:t>
      </w:r>
      <w:r>
        <w:rPr>
          <w:rFonts w:ascii="Arial" w:cs="Arial" w:eastAsia="Arial" w:hAnsi="Arial"/>
          <w:sz w:val="22"/>
          <w:szCs w:val="22"/>
          <w:color w:val="auto"/>
        </w:rPr>
        <w:t>F: Form 20</w:t>
      </w:r>
      <w:r>
        <w:rPr>
          <w:rFonts w:ascii="MS PGothic" w:cs="MS PGothic" w:eastAsia="MS PGothic" w:hAnsi="MS PGothic"/>
          <w:sz w:val="22"/>
          <w:szCs w:val="22"/>
          <w:color w:val="auto"/>
        </w:rPr>
        <w:t>‑</w:t>
      </w:r>
      <w:r>
        <w:rPr>
          <w:rFonts w:ascii="Arial" w:cs="Arial" w:eastAsia="Arial" w:hAnsi="Arial"/>
          <w:sz w:val="22"/>
          <w:szCs w:val="22"/>
          <w:color w:val="auto"/>
        </w:rPr>
        <w:t xml:space="preserve">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w:t>
      </w:r>
      <w:r>
        <w:rPr>
          <w:rFonts w:ascii="MS PGothic" w:cs="MS PGothic" w:eastAsia="MS PGothic" w:hAnsi="MS PGothic"/>
          <w:sz w:val="22"/>
          <w:szCs w:val="22"/>
          <w:color w:val="auto"/>
        </w:rPr>
        <w:t>‑</w:t>
      </w:r>
      <w:r>
        <w:rPr>
          <w:rFonts w:ascii="Arial" w:cs="Arial" w:eastAsia="Arial" w:hAnsi="Arial"/>
          <w:sz w:val="22"/>
          <w:szCs w:val="22"/>
          <w:color w:val="auto"/>
        </w:rPr>
        <w:t xml:space="preserve">F </w:t>
      </w:r>
      <w:r>
        <w:rPr>
          <w:rFonts w:ascii="MS PGothic" w:cs="MS PGothic" w:eastAsia="MS PGothic" w:hAnsi="MS PGothic"/>
          <w:sz w:val="22"/>
          <w:szCs w:val="22"/>
          <w:color w:val="auto"/>
        </w:rPr>
        <w:t>☐</w:t>
      </w:r>
    </w:p>
    <w:p>
      <w:pPr>
        <w:spacing w:after="0" w:line="135"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Indicate by check mark if the registrant is submitting the Form 6</w:t>
      </w:r>
      <w:r>
        <w:rPr>
          <w:rFonts w:ascii="MS PGothic" w:cs="MS PGothic" w:eastAsia="MS PGothic" w:hAnsi="MS PGothic"/>
          <w:sz w:val="19"/>
          <w:szCs w:val="19"/>
          <w:color w:val="auto"/>
        </w:rPr>
        <w:t>‑</w:t>
      </w:r>
      <w:r>
        <w:rPr>
          <w:rFonts w:ascii="Arial" w:cs="Arial" w:eastAsia="Arial" w:hAnsi="Arial"/>
          <w:sz w:val="19"/>
          <w:szCs w:val="19"/>
          <w:color w:val="auto"/>
        </w:rPr>
        <w:t>K in paper as permitted by Regulation S</w:t>
      </w:r>
      <w:r>
        <w:rPr>
          <w:rFonts w:ascii="MS PGothic" w:cs="MS PGothic" w:eastAsia="MS PGothic" w:hAnsi="MS PGothic"/>
          <w:sz w:val="19"/>
          <w:szCs w:val="19"/>
          <w:color w:val="auto"/>
        </w:rPr>
        <w:t>‑</w:t>
      </w:r>
      <w:r>
        <w:rPr>
          <w:rFonts w:ascii="Arial" w:cs="Arial" w:eastAsia="Arial" w:hAnsi="Arial"/>
          <w:sz w:val="19"/>
          <w:szCs w:val="19"/>
          <w:color w:val="auto"/>
        </w:rPr>
        <w:t xml:space="preserve">T Rule 101(b)(1): </w:t>
      </w:r>
      <w:r>
        <w:rPr>
          <w:rFonts w:ascii="MS PGothic" w:cs="MS PGothic" w:eastAsia="MS PGothic" w:hAnsi="MS PGothic"/>
          <w:sz w:val="19"/>
          <w:szCs w:val="19"/>
          <w:color w:val="auto"/>
        </w:rPr>
        <w:t>☐</w:t>
      </w:r>
    </w:p>
    <w:p>
      <w:pPr>
        <w:spacing w:after="0" w:line="254"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Indicate by check mark if the registrant is submitting the Form 6</w:t>
      </w:r>
      <w:r>
        <w:rPr>
          <w:rFonts w:ascii="MS PGothic" w:cs="MS PGothic" w:eastAsia="MS PGothic" w:hAnsi="MS PGothic"/>
          <w:sz w:val="19"/>
          <w:szCs w:val="19"/>
          <w:color w:val="auto"/>
        </w:rPr>
        <w:t>‑</w:t>
      </w:r>
      <w:r>
        <w:rPr>
          <w:rFonts w:ascii="Arial" w:cs="Arial" w:eastAsia="Arial" w:hAnsi="Arial"/>
          <w:sz w:val="19"/>
          <w:szCs w:val="19"/>
          <w:color w:val="auto"/>
        </w:rPr>
        <w:t>K in paper as permitted by Regulation S</w:t>
      </w:r>
      <w:r>
        <w:rPr>
          <w:rFonts w:ascii="MS PGothic" w:cs="MS PGothic" w:eastAsia="MS PGothic" w:hAnsi="MS PGothic"/>
          <w:sz w:val="19"/>
          <w:szCs w:val="19"/>
          <w:color w:val="auto"/>
        </w:rPr>
        <w:t>‑</w:t>
      </w:r>
      <w:r>
        <w:rPr>
          <w:rFonts w:ascii="Arial" w:cs="Arial" w:eastAsia="Arial" w:hAnsi="Arial"/>
          <w:sz w:val="19"/>
          <w:szCs w:val="19"/>
          <w:color w:val="auto"/>
        </w:rPr>
        <w:t xml:space="preserve">T Rule 101(b)(7):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494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27" w:right="3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DOCUMENTS INCLUDED AS PART OF THIS FORM 6-K</w:t>
      </w:r>
    </w:p>
    <w:p>
      <w:pPr>
        <w:spacing w:after="0" w:line="240"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22"/>
          <w:szCs w:val="22"/>
          <w:color w:val="auto"/>
        </w:rPr>
        <w:t>On August 11, 2020, BioNTech SE (the “Company”) issued a press release providing a development update and reporting its financial results for the three and six months ended June 30, 2020. Attached hereto as Exhibit 99.1 are the press release, the interim condensed consolidated financial statements as well as the operating and financial review and prospects of the Company, for the three and 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firstLine="802"/>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700"/>
        <w:spacing w:after="0"/>
        <w:rPr>
          <w:sz w:val="20"/>
          <w:szCs w:val="20"/>
          <w:color w:val="auto"/>
        </w:rPr>
      </w:pPr>
      <w:r>
        <w:rPr>
          <w:rFonts w:ascii="Arial" w:cs="Arial" w:eastAsia="Arial" w:hAnsi="Arial"/>
          <w:sz w:val="22"/>
          <w:szCs w:val="22"/>
          <w:b w:val="1"/>
          <w:bCs w:val="1"/>
          <w:color w:val="auto"/>
        </w:rPr>
        <w:t>BioNTech SE</w:t>
      </w:r>
    </w:p>
    <w:p>
      <w:pPr>
        <w:spacing w:after="0" w:line="200" w:lineRule="exact"/>
        <w:rPr>
          <w:sz w:val="20"/>
          <w:szCs w:val="20"/>
          <w:color w:val="auto"/>
        </w:rPr>
      </w:pPr>
    </w:p>
    <w:p>
      <w:pPr>
        <w:spacing w:after="0" w:line="282" w:lineRule="exact"/>
        <w:rPr>
          <w:sz w:val="20"/>
          <w:szCs w:val="20"/>
          <w:color w:val="auto"/>
        </w:rPr>
      </w:pPr>
    </w:p>
    <w:p>
      <w:pPr>
        <w:ind w:left="5700"/>
        <w:spacing w:after="0"/>
        <w:tabs>
          <w:tab w:leader="none" w:pos="6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Dr. Sierk Poetting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6985</wp:posOffset>
            </wp:positionV>
            <wp:extent cx="31889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ind w:left="6220"/>
        <w:spacing w:after="0"/>
        <w:rPr>
          <w:sz w:val="20"/>
          <w:szCs w:val="20"/>
          <w:color w:val="auto"/>
        </w:rPr>
      </w:pPr>
      <w:r>
        <w:rPr>
          <w:rFonts w:ascii="Arial" w:cs="Arial" w:eastAsia="Arial" w:hAnsi="Arial"/>
          <w:sz w:val="22"/>
          <w:szCs w:val="22"/>
          <w:color w:val="auto"/>
        </w:rPr>
        <w:t>Name: Dr. Sierk Poetting</w:t>
      </w:r>
    </w:p>
    <w:p>
      <w:pPr>
        <w:ind w:left="6220"/>
        <w:spacing w:after="0" w:line="230" w:lineRule="auto"/>
        <w:rPr>
          <w:sz w:val="20"/>
          <w:szCs w:val="20"/>
          <w:color w:val="auto"/>
        </w:rPr>
      </w:pPr>
      <w:r>
        <w:rPr>
          <w:rFonts w:ascii="Arial" w:cs="Arial" w:eastAsia="Arial" w:hAnsi="Arial"/>
          <w:sz w:val="22"/>
          <w:szCs w:val="22"/>
          <w:color w:val="auto"/>
        </w:rPr>
        <w:t>Title: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Date: August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494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340" w:type="dxa"/>
            <w:vAlign w:val="bottom"/>
          </w:tcPr>
          <w:p>
            <w:pPr>
              <w:ind w:left="1300"/>
              <w:spacing w:after="0"/>
              <w:rPr>
                <w:sz w:val="20"/>
                <w:szCs w:val="20"/>
                <w:color w:val="auto"/>
              </w:rPr>
            </w:pPr>
            <w:r>
              <w:rPr>
                <w:rFonts w:ascii="Arial" w:cs="Arial" w:eastAsia="Arial" w:hAnsi="Arial"/>
                <w:sz w:val="22"/>
                <w:szCs w:val="22"/>
                <w:b w:val="1"/>
                <w:bCs w:val="1"/>
                <w:color w:val="auto"/>
              </w:rPr>
              <w:t>EXHIBIT INDEX</w:t>
            </w:r>
          </w:p>
        </w:tc>
      </w:tr>
      <w:tr>
        <w:trPr>
          <w:trHeight w:val="652"/>
        </w:trPr>
        <w:tc>
          <w:tcPr>
            <w:tcW w:w="112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9280" w:type="dxa"/>
            <w:vAlign w:val="bottom"/>
            <w:gridSpan w:val="2"/>
          </w:tcPr>
          <w:p>
            <w:pPr>
              <w:spacing w:after="0"/>
              <w:rPr>
                <w:sz w:val="20"/>
                <w:szCs w:val="20"/>
                <w:color w:val="auto"/>
              </w:rPr>
            </w:pPr>
            <w:r>
              <w:rPr>
                <w:rFonts w:ascii="Arial" w:cs="Arial" w:eastAsia="Arial" w:hAnsi="Arial"/>
                <w:sz w:val="22"/>
                <w:szCs w:val="22"/>
                <w:color w:val="auto"/>
              </w:rPr>
              <w:t>Description of Exhibit</w:t>
            </w:r>
          </w:p>
        </w:tc>
      </w:tr>
      <w:tr>
        <w:trPr>
          <w:trHeight w:val="20"/>
        </w:trPr>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485"/>
        </w:trPr>
        <w:tc>
          <w:tcPr>
            <w:tcW w:w="620" w:type="dxa"/>
            <w:vAlign w:val="bottom"/>
          </w:tcPr>
          <w:p>
            <w:pPr>
              <w:spacing w:after="0"/>
              <w:rPr>
                <w:sz w:val="20"/>
                <w:szCs w:val="20"/>
                <w:color w:val="auto"/>
              </w:rPr>
            </w:pPr>
            <w:r>
              <w:rPr>
                <w:rFonts w:ascii="Arial" w:cs="Arial" w:eastAsia="Arial" w:hAnsi="Arial"/>
                <w:sz w:val="22"/>
                <w:szCs w:val="22"/>
                <w:color w:val="auto"/>
              </w:rPr>
              <w:t>99.1</w:t>
            </w:r>
          </w:p>
        </w:tc>
        <w:tc>
          <w:tcPr>
            <w:tcW w:w="500" w:type="dxa"/>
            <w:vAlign w:val="bottom"/>
          </w:tcPr>
          <w:p>
            <w:pPr>
              <w:spacing w:after="0"/>
              <w:rPr>
                <w:sz w:val="24"/>
                <w:szCs w:val="24"/>
                <w:color w:val="auto"/>
              </w:rPr>
            </w:pPr>
          </w:p>
        </w:tc>
        <w:tc>
          <w:tcPr>
            <w:tcW w:w="9280" w:type="dxa"/>
            <w:vAlign w:val="bottom"/>
            <w:gridSpan w:val="2"/>
          </w:tcPr>
          <w:p>
            <w:pPr>
              <w:spacing w:after="0"/>
              <w:rPr>
                <w:sz w:val="20"/>
                <w:szCs w:val="20"/>
                <w:color w:val="auto"/>
              </w:rPr>
            </w:pPr>
            <w:r>
              <w:rPr>
                <w:rFonts w:ascii="Arial" w:cs="Arial" w:eastAsia="Arial" w:hAnsi="Arial"/>
                <w:sz w:val="22"/>
                <w:szCs w:val="22"/>
                <w:color w:val="auto"/>
                <w:w w:val="88"/>
              </w:rPr>
              <w:t>Second Quarter 2020 Financial Results Press Release dated August 11, 2020 and Quarterly Report for the</w:t>
            </w:r>
          </w:p>
        </w:tc>
      </w:tr>
      <w:tr>
        <w:trPr>
          <w:trHeight w:val="274"/>
        </w:trPr>
        <w:tc>
          <w:tcPr>
            <w:tcW w:w="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80" w:type="dxa"/>
            <w:vAlign w:val="bottom"/>
            <w:gridSpan w:val="2"/>
          </w:tcPr>
          <w:p>
            <w:pPr>
              <w:spacing w:after="0"/>
              <w:rPr>
                <w:sz w:val="20"/>
                <w:szCs w:val="20"/>
                <w:color w:val="auto"/>
              </w:rPr>
            </w:pPr>
            <w:r>
              <w:rPr>
                <w:rFonts w:ascii="Arial" w:cs="Arial" w:eastAsia="Arial" w:hAnsi="Arial"/>
                <w:sz w:val="22"/>
                <w:szCs w:val="22"/>
                <w:color w:val="auto"/>
              </w:rPr>
              <w:t>Three and Six Months Ended June 30, 2020</w:t>
            </w:r>
          </w:p>
        </w:tc>
      </w:tr>
    </w:tbl>
    <w:p>
      <w:pPr>
        <w:sectPr>
          <w:pgSz w:w="11900" w:h="16838" w:orient="portrait"/>
          <w:cols w:equalWidth="0" w:num="1">
            <w:col w:w="10400"/>
          </w:cols>
          <w:pgMar w:left="740" w:top="112"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13970</wp:posOffset>
            </wp:positionV>
            <wp:extent cx="1979930" cy="214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7993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line="288" w:lineRule="auto"/>
        <w:rPr>
          <w:sz w:val="20"/>
          <w:szCs w:val="20"/>
          <w:color w:val="auto"/>
        </w:rPr>
      </w:pPr>
      <w:r>
        <w:rPr>
          <w:rFonts w:ascii="Arial" w:cs="Arial" w:eastAsia="Arial" w:hAnsi="Arial"/>
          <w:sz w:val="25"/>
          <w:szCs w:val="25"/>
          <w:b w:val="1"/>
          <w:bCs w:val="1"/>
          <w:color w:val="auto"/>
        </w:rPr>
        <w:t>BioNTech Announces Second Quarter 2020 Financial Results and Corporate Progress</w:t>
      </w:r>
    </w:p>
    <w:p>
      <w:pPr>
        <w:spacing w:after="0" w:line="370" w:lineRule="exact"/>
        <w:rPr>
          <w:sz w:val="20"/>
          <w:szCs w:val="20"/>
          <w:color w:val="auto"/>
        </w:rPr>
      </w:pPr>
    </w:p>
    <w:p>
      <w:pPr>
        <w:ind w:left="900" w:right="20" w:hanging="447"/>
        <w:spacing w:after="0" w:line="253" w:lineRule="auto"/>
        <w:tabs>
          <w:tab w:leader="none" w:pos="90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Pivotal Phase 2b/3 trial for BNT162 vaccine program against COVID-19 initiated with first clinical results expected as early as October 2020</w:t>
      </w:r>
    </w:p>
    <w:p>
      <w:pPr>
        <w:spacing w:after="0" w:line="55" w:lineRule="exact"/>
        <w:rPr>
          <w:rFonts w:ascii="Arial" w:cs="Arial" w:eastAsia="Arial" w:hAnsi="Arial"/>
          <w:sz w:val="20"/>
          <w:szCs w:val="20"/>
          <w:color w:val="auto"/>
        </w:rPr>
      </w:pPr>
    </w:p>
    <w:p>
      <w:pPr>
        <w:ind w:left="900" w:hanging="447"/>
        <w:spacing w:after="0" w:line="253" w:lineRule="auto"/>
        <w:tabs>
          <w:tab w:leader="none" w:pos="90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Initial commercial supply agreements for BNT162 signed with the United States, Japan, Canada and the United Kingdom for more than 250 million doses in 2020 and 2021</w:t>
      </w:r>
    </w:p>
    <w:p>
      <w:pPr>
        <w:spacing w:after="0" w:line="55" w:lineRule="exact"/>
        <w:rPr>
          <w:rFonts w:ascii="Arial" w:cs="Arial" w:eastAsia="Arial" w:hAnsi="Arial"/>
          <w:sz w:val="20"/>
          <w:szCs w:val="20"/>
          <w:color w:val="auto"/>
        </w:rPr>
      </w:pPr>
    </w:p>
    <w:p>
      <w:pPr>
        <w:ind w:left="900" w:hanging="447"/>
        <w:spacing w:after="0" w:line="253" w:lineRule="auto"/>
        <w:tabs>
          <w:tab w:leader="none" w:pos="90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Published data update for the lead FixVac product candidate BNT111 in Nature and announced a partnership with Regeneron to advance combination therapy with anti-PD-1 into Phase 2 trial in melanoma</w:t>
      </w:r>
    </w:p>
    <w:p>
      <w:pPr>
        <w:spacing w:after="0" w:line="55" w:lineRule="exact"/>
        <w:rPr>
          <w:rFonts w:ascii="Arial" w:cs="Arial" w:eastAsia="Arial" w:hAnsi="Arial"/>
          <w:sz w:val="20"/>
          <w:szCs w:val="20"/>
          <w:color w:val="auto"/>
        </w:rPr>
      </w:pPr>
    </w:p>
    <w:p>
      <w:pPr>
        <w:ind w:left="900" w:right="20" w:hanging="447"/>
        <w:spacing w:after="0" w:line="253" w:lineRule="auto"/>
        <w:tabs>
          <w:tab w:leader="none" w:pos="90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Presented data for BNT122 Phase 1 trial in multiple solid tumors at AACR Annual Meeting; on track to initiate randomized Phase 2 trials in adjuvant NSCLC and adjuvant CRC by the end of 2020</w:t>
      </w:r>
    </w:p>
    <w:p>
      <w:pPr>
        <w:spacing w:after="0" w:line="55" w:lineRule="exact"/>
        <w:rPr>
          <w:rFonts w:ascii="Arial" w:cs="Arial" w:eastAsia="Arial" w:hAnsi="Arial"/>
          <w:sz w:val="20"/>
          <w:szCs w:val="20"/>
          <w:color w:val="auto"/>
        </w:rPr>
      </w:pPr>
    </w:p>
    <w:p>
      <w:pPr>
        <w:jc w:val="both"/>
        <w:ind w:left="900" w:hanging="447"/>
        <w:spacing w:after="0" w:line="233" w:lineRule="auto"/>
        <w:tabs>
          <w:tab w:leader="none" w:pos="90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Ended Q2 2020 with cash and cash equivalents of €573 million ($642 million</w:t>
      </w:r>
      <w:r>
        <w:rPr>
          <w:rFonts w:ascii="Arial" w:cs="Arial" w:eastAsia="Arial" w:hAnsi="Arial"/>
          <w:sz w:val="16"/>
          <w:szCs w:val="16"/>
          <w:i w:val="1"/>
          <w:iCs w:val="1"/>
          <w:color w:val="auto"/>
        </w:rPr>
        <w:t>1</w:t>
      </w:r>
      <w:r>
        <w:rPr>
          <w:rFonts w:ascii="Arial" w:cs="Arial" w:eastAsia="Arial" w:hAnsi="Arial"/>
          <w:sz w:val="20"/>
          <w:szCs w:val="20"/>
          <w:i w:val="1"/>
          <w:iCs w:val="1"/>
          <w:color w:val="auto"/>
        </w:rPr>
        <w:t>) and raised an additional €681 million ($762 million</w:t>
      </w:r>
      <w:r>
        <w:rPr>
          <w:rFonts w:ascii="Arial" w:cs="Arial" w:eastAsia="Arial" w:hAnsi="Arial"/>
          <w:sz w:val="16"/>
          <w:szCs w:val="16"/>
          <w:i w:val="1"/>
          <w:iCs w:val="1"/>
          <w:color w:val="auto"/>
        </w:rPr>
        <w:t>1</w:t>
      </w:r>
      <w:r>
        <w:rPr>
          <w:rFonts w:ascii="Arial" w:cs="Arial" w:eastAsia="Arial" w:hAnsi="Arial"/>
          <w:sz w:val="20"/>
          <w:szCs w:val="20"/>
          <w:i w:val="1"/>
          <w:iCs w:val="1"/>
          <w:color w:val="auto"/>
        </w:rPr>
        <w:t>) in gross proceeds from an equity private placement and follow-on underwritten offering leading to an expected pro-forma cash and cash equivalents balance of €1.25 billion ($1.40 billion</w:t>
      </w:r>
      <w:r>
        <w:rPr>
          <w:rFonts w:ascii="Arial" w:cs="Arial" w:eastAsia="Arial" w:hAnsi="Arial"/>
          <w:sz w:val="16"/>
          <w:szCs w:val="16"/>
          <w:i w:val="1"/>
          <w:iCs w:val="1"/>
          <w:color w:val="auto"/>
        </w:rPr>
        <w:t>1</w:t>
      </w:r>
      <w:r>
        <w:rPr>
          <w:rFonts w:ascii="Arial" w:cs="Arial" w:eastAsia="Arial" w:hAnsi="Arial"/>
          <w:sz w:val="20"/>
          <w:szCs w:val="20"/>
          <w:i w:val="1"/>
          <w:iCs w:val="1"/>
          <w:color w:val="auto"/>
        </w:rPr>
        <w:t>). In addition, up to €100 million ($112 million</w:t>
      </w:r>
      <w:r>
        <w:rPr>
          <w:rFonts w:ascii="Arial" w:cs="Arial" w:eastAsia="Arial" w:hAnsi="Arial"/>
          <w:sz w:val="16"/>
          <w:szCs w:val="16"/>
          <w:i w:val="1"/>
          <w:iCs w:val="1"/>
          <w:color w:val="auto"/>
        </w:rPr>
        <w:t>1</w:t>
      </w:r>
      <w:r>
        <w:rPr>
          <w:rFonts w:ascii="Arial" w:cs="Arial" w:eastAsia="Arial" w:hAnsi="Arial"/>
          <w:sz w:val="20"/>
          <w:szCs w:val="20"/>
          <w:i w:val="1"/>
          <w:iCs w:val="1"/>
          <w:color w:val="auto"/>
        </w:rPr>
        <w:t>) secured in loan financing from the European Investment Bank in June 2020. Financing transactions are subject to closing conditions which were not fulfilled before June 30, 2020</w:t>
      </w:r>
    </w:p>
    <w:p>
      <w:pPr>
        <w:spacing w:after="0" w:line="301" w:lineRule="exact"/>
        <w:rPr>
          <w:sz w:val="20"/>
          <w:szCs w:val="20"/>
          <w:color w:val="auto"/>
        </w:rPr>
      </w:pPr>
    </w:p>
    <w:p>
      <w:pPr>
        <w:ind w:left="3020" w:right="2560" w:firstLine="385"/>
        <w:spacing w:after="0" w:line="279" w:lineRule="auto"/>
        <w:rPr>
          <w:sz w:val="20"/>
          <w:szCs w:val="20"/>
          <w:color w:val="auto"/>
        </w:rPr>
      </w:pPr>
      <w:r>
        <w:rPr>
          <w:rFonts w:ascii="Arial" w:cs="Arial" w:eastAsia="Arial" w:hAnsi="Arial"/>
          <w:sz w:val="19"/>
          <w:szCs w:val="19"/>
          <w:i w:val="1"/>
          <w:iCs w:val="1"/>
          <w:color w:val="auto"/>
        </w:rPr>
        <w:t>Conference call and webcast for analysts and investors scheduled for August 11, 2020 at 08:00 a.m. ET (2:00 p.m. CET)</w:t>
      </w:r>
    </w:p>
    <w:p>
      <w:pPr>
        <w:spacing w:after="0" w:line="36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auto"/>
        </w:rPr>
        <w:t xml:space="preserve">MAINZ, Germany, August 11, 2020 (GLOBE NEWSWIRE) </w:t>
      </w:r>
      <w:r>
        <w:rPr>
          <w:rFonts w:ascii="Arial" w:cs="Arial" w:eastAsia="Arial" w:hAnsi="Arial"/>
          <w:sz w:val="19"/>
          <w:szCs w:val="19"/>
          <w:color w:val="auto"/>
        </w:rPr>
        <w:t>-- BioNTech SE (Nasdaq: BNTX, “BioNTech” or “the Company”), a</w:t>
      </w:r>
      <w:r>
        <w:rPr>
          <w:rFonts w:ascii="Arial" w:cs="Arial" w:eastAsia="Arial" w:hAnsi="Arial"/>
          <w:sz w:val="19"/>
          <w:szCs w:val="19"/>
          <w:b w:val="1"/>
          <w:bCs w:val="1"/>
          <w:color w:val="auto"/>
        </w:rPr>
        <w:t xml:space="preserve"> </w:t>
      </w:r>
      <w:r>
        <w:rPr>
          <w:rFonts w:ascii="Arial" w:cs="Arial" w:eastAsia="Arial" w:hAnsi="Arial"/>
          <w:sz w:val="19"/>
          <w:szCs w:val="19"/>
          <w:color w:val="auto"/>
        </w:rPr>
        <w:t>clinical-stage biotechnology company focused on patient-specific immunotherapies for the treatment of cancer and infectious diseases, today provided an update on its corporate progress and reported financial results for the quarter ended June 30, 2020.</w:t>
      </w:r>
    </w:p>
    <w:p>
      <w:pPr>
        <w:spacing w:after="0" w:line="19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“We made significant progress in the second quarter toward our goal of advancing our oncology programs and toward bringing a COVID-19 vaccine to market as quickly as possible. I am incredibly proud of our team, who has worked tirelessly to initiate our BNT162 Phase 2b/3 trial in record time and put us in a position to seek regulatory review as early as October of this year, if our trials are successful,” said </w:t>
      </w:r>
      <w:r>
        <w:rPr>
          <w:rFonts w:ascii="Arial" w:cs="Arial" w:eastAsia="Arial" w:hAnsi="Arial"/>
          <w:sz w:val="20"/>
          <w:szCs w:val="20"/>
          <w:b w:val="1"/>
          <w:bCs w:val="1"/>
          <w:color w:val="auto"/>
        </w:rPr>
        <w:t>Ugur Sahin, BioNTech’s CEO and Co-founder</w:t>
      </w:r>
      <w:r>
        <w:rPr>
          <w:rFonts w:ascii="Arial" w:cs="Arial" w:eastAsia="Arial" w:hAnsi="Arial"/>
          <w:sz w:val="20"/>
          <w:szCs w:val="20"/>
          <w:color w:val="auto"/>
        </w:rPr>
        <w:t>. “In addition, we have significantly strengthened our balance sheet, providing financial resources to advance our broad pipeline of novel immunotherapies targeting oncology and infectious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494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79930" cy="213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979930" cy="213995"/>
                    </a:xfrm>
                    <a:prstGeom prst="rect">
                      <a:avLst/>
                    </a:prstGeom>
                    <a:noFill/>
                  </pic:spPr>
                </pic:pic>
              </a:graphicData>
            </a:graphic>
          </wp:anchor>
        </w:drawing>
        <w:t>Second Quarter 2020 and Subsequent Updates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Infectious disease</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COVID-19 Vaccine Program – BNT162</w:t>
      </w:r>
    </w:p>
    <w:p>
      <w:pPr>
        <w:spacing w:after="0" w:line="6" w:lineRule="exact"/>
        <w:rPr>
          <w:sz w:val="20"/>
          <w:szCs w:val="20"/>
          <w:color w:val="auto"/>
        </w:rPr>
      </w:pPr>
    </w:p>
    <w:p>
      <w:pPr>
        <w:jc w:val="both"/>
        <w:ind w:left="900" w:right="20" w:hanging="447"/>
        <w:spacing w:after="0" w:line="232" w:lineRule="auto"/>
        <w:tabs>
          <w:tab w:leader="none" w:pos="90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Released data from the ongoing U.S. Phase 1/2 placebo-controlled, observer-blinded clinical trial, evaluating nucleoside-modified messenger RNA vaccine candidate (BNT162b1) in 45 subjects, and data from the ongoing Germany trial in 60 subjects.</w:t>
      </w:r>
    </w:p>
    <w:p>
      <w:pPr>
        <w:spacing w:after="0" w:line="89" w:lineRule="exact"/>
        <w:rPr>
          <w:rFonts w:ascii="Arial" w:cs="Arial" w:eastAsia="Arial" w:hAnsi="Arial"/>
          <w:sz w:val="20"/>
          <w:szCs w:val="20"/>
          <w:color w:val="auto"/>
        </w:rPr>
      </w:pPr>
    </w:p>
    <w:p>
      <w:pPr>
        <w:ind w:left="900" w:hanging="447"/>
        <w:spacing w:after="0"/>
        <w:tabs>
          <w:tab w:leader="none" w:pos="90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Received Fast Track designation for BNT162b1 and BNT162b2 from the U.S. Food and Drug Administration (FDA).</w:t>
      </w:r>
    </w:p>
    <w:p>
      <w:pPr>
        <w:spacing w:after="0" w:line="107" w:lineRule="exact"/>
        <w:rPr>
          <w:rFonts w:ascii="Arial" w:cs="Arial" w:eastAsia="Arial" w:hAnsi="Arial"/>
          <w:sz w:val="20"/>
          <w:szCs w:val="20"/>
          <w:color w:val="auto"/>
        </w:rPr>
      </w:pPr>
    </w:p>
    <w:p>
      <w:pPr>
        <w:jc w:val="both"/>
        <w:ind w:left="900" w:right="20" w:hanging="447"/>
        <w:spacing w:after="0" w:line="232" w:lineRule="auto"/>
        <w:tabs>
          <w:tab w:leader="none" w:pos="90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Initiated a Phase 2b/3 study for BNT162b2 in up to 30,000 participants aged 18 to 85 years at approximately 120 sites globally; if successful, BioNTech and Pfizer plan to file for market authorization or regulatory approval as early as October 2020.</w:t>
      </w:r>
    </w:p>
    <w:p>
      <w:pPr>
        <w:spacing w:after="0" w:line="89" w:lineRule="exact"/>
        <w:rPr>
          <w:rFonts w:ascii="Arial" w:cs="Arial" w:eastAsia="Arial" w:hAnsi="Arial"/>
          <w:sz w:val="20"/>
          <w:szCs w:val="20"/>
          <w:color w:val="auto"/>
        </w:rPr>
      </w:pPr>
    </w:p>
    <w:p>
      <w:pPr>
        <w:ind w:left="900" w:hanging="447"/>
        <w:spacing w:after="0" w:line="236" w:lineRule="auto"/>
        <w:tabs>
          <w:tab w:leader="none" w:pos="90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Initiation of a Phase 1 study for BNT162b1 to evaluate safety and immunogenicity in Chinese participants to support potential regulatory approval in China.</w:t>
      </w:r>
    </w:p>
    <w:p>
      <w:pPr>
        <w:spacing w:after="0" w:line="87" w:lineRule="exact"/>
        <w:rPr>
          <w:rFonts w:ascii="Arial" w:cs="Arial" w:eastAsia="Arial" w:hAnsi="Arial"/>
          <w:sz w:val="20"/>
          <w:szCs w:val="20"/>
          <w:color w:val="auto"/>
        </w:rPr>
      </w:pPr>
    </w:p>
    <w:p>
      <w:pPr>
        <w:jc w:val="both"/>
        <w:ind w:left="900" w:hanging="447"/>
        <w:spacing w:after="0" w:line="232" w:lineRule="auto"/>
        <w:tabs>
          <w:tab w:leader="none" w:pos="900" w:val="left"/>
        </w:tabs>
        <w:numPr>
          <w:ilvl w:val="0"/>
          <w:numId w:val="2"/>
        </w:numPr>
        <w:rPr>
          <w:rFonts w:ascii="Arial" w:cs="Arial" w:eastAsia="Arial" w:hAnsi="Arial"/>
          <w:sz w:val="20"/>
          <w:szCs w:val="20"/>
          <w:color w:val="auto"/>
        </w:rPr>
      </w:pPr>
      <w:r>
        <w:rPr>
          <w:rFonts w:ascii="Arial" w:cs="Arial" w:eastAsia="Arial" w:hAnsi="Arial"/>
          <w:sz w:val="20"/>
          <w:szCs w:val="20"/>
          <w:color w:val="auto"/>
        </w:rPr>
        <w:t>Announced initial commercial supply agreements totaling more than 250 million doses with the United Kingdom, the United States, Japan and Canada in 2020 and 2021, with an option to purchase up to an additional 500 million doses. All agreements are subject to clinical success and regulatory approval.</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Oncology</w:t>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FixVac</w:t>
      </w:r>
    </w:p>
    <w:p>
      <w:pPr>
        <w:spacing w:after="0" w:line="6" w:lineRule="exact"/>
        <w:rPr>
          <w:sz w:val="20"/>
          <w:szCs w:val="20"/>
          <w:color w:val="auto"/>
        </w:rPr>
      </w:pPr>
    </w:p>
    <w:p>
      <w:pPr>
        <w:jc w:val="both"/>
        <w:ind w:left="900" w:hanging="447"/>
        <w:spacing w:after="0" w:line="228" w:lineRule="auto"/>
        <w:tabs>
          <w:tab w:leader="none" w:pos="9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BNT111 – On July 30, BioNTech announced the publication of interim Phase 1 data for BNT111, the Company’s lead mRNA-based FixVac cancer vaccine program, in </w:t>
      </w:r>
      <w:r>
        <w:rPr>
          <w:rFonts w:ascii="Arial" w:cs="Arial" w:eastAsia="Arial" w:hAnsi="Arial"/>
          <w:sz w:val="20"/>
          <w:szCs w:val="20"/>
          <w:i w:val="1"/>
          <w:iCs w:val="1"/>
          <w:color w:val="auto"/>
        </w:rPr>
        <w:t>Nature</w:t>
      </w:r>
      <w:r>
        <w:rPr>
          <w:rFonts w:ascii="Arial" w:cs="Arial" w:eastAsia="Arial" w:hAnsi="Arial"/>
          <w:sz w:val="20"/>
          <w:szCs w:val="20"/>
          <w:color w:val="auto"/>
        </w:rPr>
        <w:t>. The trial, designed to evaluate safety and tolerability of vaccinated patients with stage IIIB-C and stage IV melanoma, included 89 patients and highlighted a favorable tolerability profile of BNT111. An efficacy analysis conducted within a subset of 42 checkpoint-inhibitor (CPI)-experienced metastatic melanoma patients showed that BNT111 mediates durable responses both as a single agent and in combination with anti-PD-1 antibodies by establishing an association with activation and strong expansion of tumor-antigen-specific CD4+ and CD8+ T cells.</w:t>
      </w:r>
    </w:p>
    <w:p>
      <w:pPr>
        <w:spacing w:after="0" w:line="90" w:lineRule="exact"/>
        <w:rPr>
          <w:rFonts w:ascii="Arial" w:cs="Arial" w:eastAsia="Arial" w:hAnsi="Arial"/>
          <w:sz w:val="20"/>
          <w:szCs w:val="20"/>
          <w:color w:val="auto"/>
        </w:rPr>
      </w:pPr>
    </w:p>
    <w:p>
      <w:pPr>
        <w:jc w:val="both"/>
        <w:ind w:left="900" w:hanging="447"/>
        <w:spacing w:after="0" w:line="232" w:lineRule="auto"/>
        <w:tabs>
          <w:tab w:leader="none" w:pos="900" w:val="left"/>
        </w:tabs>
        <w:numPr>
          <w:ilvl w:val="0"/>
          <w:numId w:val="3"/>
        </w:numPr>
        <w:rPr>
          <w:rFonts w:ascii="Arial" w:cs="Arial" w:eastAsia="Arial" w:hAnsi="Arial"/>
          <w:sz w:val="20"/>
          <w:szCs w:val="20"/>
          <w:color w:val="auto"/>
        </w:rPr>
      </w:pPr>
      <w:r>
        <w:rPr>
          <w:rFonts w:ascii="Arial" w:cs="Arial" w:eastAsia="Arial" w:hAnsi="Arial"/>
          <w:sz w:val="20"/>
          <w:szCs w:val="20"/>
          <w:color w:val="auto"/>
        </w:rPr>
        <w:t>BNT111 – On July 31, BioNTech and Regeneron Pharmaceuticals, Inc. announced a strategic collaboration to jointly conduct a randomized Phase 2 study for the treatment of melanoma that has progressed after prior PD-1 blockade, utilizing BNT111 FixVac and Regeneron’s Libtayo</w:t>
      </w:r>
      <w:r>
        <w:rPr>
          <w:rFonts w:ascii="Arial" w:cs="Arial" w:eastAsia="Arial" w:hAnsi="Arial"/>
          <w:sz w:val="16"/>
          <w:szCs w:val="16"/>
          <w:color w:val="auto"/>
        </w:rPr>
        <w:t>®</w:t>
      </w:r>
      <w:r>
        <w:rPr>
          <w:rFonts w:ascii="Arial" w:cs="Arial" w:eastAsia="Arial" w:hAnsi="Arial"/>
          <w:sz w:val="20"/>
          <w:szCs w:val="20"/>
          <w:color w:val="auto"/>
        </w:rPr>
        <w:t xml:space="preserve"> in combination.</w:t>
      </w:r>
    </w:p>
    <w:p>
      <w:pPr>
        <w:spacing w:after="0" w:line="88" w:lineRule="exact"/>
        <w:rPr>
          <w:rFonts w:ascii="Arial" w:cs="Arial" w:eastAsia="Arial" w:hAnsi="Arial"/>
          <w:sz w:val="20"/>
          <w:szCs w:val="20"/>
          <w:color w:val="auto"/>
        </w:rPr>
      </w:pPr>
    </w:p>
    <w:p>
      <w:pPr>
        <w:ind w:left="900" w:hanging="447"/>
        <w:spacing w:after="0"/>
        <w:tabs>
          <w:tab w:leader="none" w:pos="900" w:val="left"/>
        </w:tabs>
        <w:numPr>
          <w:ilvl w:val="0"/>
          <w:numId w:val="3"/>
        </w:numPr>
        <w:rPr>
          <w:rFonts w:ascii="Arial" w:cs="Arial" w:eastAsia="Arial" w:hAnsi="Arial"/>
          <w:sz w:val="20"/>
          <w:szCs w:val="20"/>
          <w:color w:val="auto"/>
        </w:rPr>
      </w:pPr>
      <w:r>
        <w:rPr>
          <w:rFonts w:ascii="Arial" w:cs="Arial" w:eastAsia="Arial" w:hAnsi="Arial"/>
          <w:sz w:val="20"/>
          <w:szCs w:val="20"/>
          <w:color w:val="auto"/>
        </w:rPr>
        <w:t>BNT111 – BioNTech expects to initiate this Phase 2 trial with registrational potential in the second half of 2020.</w:t>
      </w:r>
    </w:p>
    <w:p>
      <w:pPr>
        <w:ind w:left="900" w:hanging="447"/>
        <w:spacing w:after="0" w:line="236" w:lineRule="auto"/>
        <w:tabs>
          <w:tab w:leader="none" w:pos="900" w:val="left"/>
        </w:tabs>
        <w:numPr>
          <w:ilvl w:val="0"/>
          <w:numId w:val="3"/>
        </w:numPr>
        <w:rPr>
          <w:rFonts w:ascii="Arial" w:cs="Arial" w:eastAsia="Arial" w:hAnsi="Arial"/>
          <w:sz w:val="20"/>
          <w:szCs w:val="20"/>
          <w:color w:val="auto"/>
        </w:rPr>
      </w:pPr>
      <w:r>
        <w:rPr>
          <w:rFonts w:ascii="Arial" w:cs="Arial" w:eastAsia="Arial" w:hAnsi="Arial"/>
          <w:sz w:val="20"/>
          <w:szCs w:val="20"/>
          <w:color w:val="auto"/>
        </w:rPr>
        <w:t>BNT113 – Planned initiation of a potentially registrational Phase 2 trial in HPV16+ head and neck cancer expected in 2H 2020.</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6" w:name="page7"/>
    <w:bookmarkEnd w:id="6"/>
    <w:p>
      <w:pPr>
        <w:jc w:val="both"/>
        <w:ind w:left="900" w:hanging="447"/>
        <w:spacing w:after="0" w:line="232" w:lineRule="auto"/>
        <w:tabs>
          <w:tab w:leader="none" w:pos="900" w:val="left"/>
        </w:tabs>
        <w:numPr>
          <w:ilvl w:val="0"/>
          <w:numId w:val="4"/>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79930" cy="213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979930" cy="213995"/>
                    </a:xfrm>
                    <a:prstGeom prst="rect">
                      <a:avLst/>
                    </a:prstGeom>
                    <a:noFill/>
                  </pic:spPr>
                </pic:pic>
              </a:graphicData>
            </a:graphic>
          </wp:anchor>
        </w:drawing>
        <w:t>BNT114</w:t>
      </w:r>
      <w:r>
        <w:rPr>
          <w:rFonts w:ascii="Arial" w:cs="Arial" w:eastAsia="Arial" w:hAnsi="Arial"/>
          <w:sz w:val="16"/>
          <w:szCs w:val="16"/>
          <w:color w:val="auto"/>
        </w:rPr>
        <w:t>2</w:t>
      </w:r>
      <w:r>
        <w:rPr>
          <w:rFonts w:ascii="Arial" w:cs="Arial" w:eastAsia="Arial" w:hAnsi="Arial"/>
          <w:sz w:val="20"/>
          <w:szCs w:val="20"/>
          <w:color w:val="auto"/>
        </w:rPr>
        <w:t xml:space="preserve"> – Planned data update from a Phase 1 trial in triple negative breast cancer (TNBC) is expected in 2H 2020. The exploratory Phase 1 study tests immunogenicity and safety of vaccination with individualized neoantigen immunotherapy and non-mutated tumor-associated antigens in TNBC.</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Individualized neoantigen specific immunotherapy (iNeST)</w:t>
      </w:r>
    </w:p>
    <w:p>
      <w:pPr>
        <w:spacing w:after="0" w:line="6" w:lineRule="exact"/>
        <w:rPr>
          <w:sz w:val="20"/>
          <w:szCs w:val="20"/>
          <w:color w:val="auto"/>
        </w:rPr>
      </w:pPr>
    </w:p>
    <w:p>
      <w:pPr>
        <w:jc w:val="both"/>
        <w:ind w:left="900" w:hanging="447"/>
        <w:spacing w:after="0" w:line="229" w:lineRule="auto"/>
        <w:tabs>
          <w:tab w:leader="none" w:pos="900" w:val="left"/>
        </w:tabs>
        <w:numPr>
          <w:ilvl w:val="0"/>
          <w:numId w:val="5"/>
        </w:numPr>
        <w:rPr>
          <w:rFonts w:ascii="Arial" w:cs="Arial" w:eastAsia="Arial" w:hAnsi="Arial"/>
          <w:sz w:val="20"/>
          <w:szCs w:val="20"/>
          <w:color w:val="auto"/>
        </w:rPr>
      </w:pPr>
      <w:r>
        <w:rPr>
          <w:rFonts w:ascii="Arial" w:cs="Arial" w:eastAsia="Arial" w:hAnsi="Arial"/>
          <w:sz w:val="20"/>
          <w:szCs w:val="20"/>
          <w:color w:val="auto"/>
        </w:rPr>
        <w:t>BNT122 – BioNTech and Genentech reported a data update for the Phase 1a and 1b trial in multiple solid tumors in June 2020 as part of the American Association for Cancer Research (AACR) Virtual Annual Meeting II. As a monotherapy and in combination with atezolizumab, RO7198457 (BNT122/RG6180) was observed to have a manageable safety profile and to induce significant levels of neoantigen-specific immune responses, even in late-stage, heavily pre-treated patients. RO7198457 (BNT122/RG6180) is partnered with Genentech.</w:t>
      </w:r>
    </w:p>
    <w:p>
      <w:pPr>
        <w:spacing w:after="0" w:line="90" w:lineRule="exact"/>
        <w:rPr>
          <w:rFonts w:ascii="Arial" w:cs="Arial" w:eastAsia="Arial" w:hAnsi="Arial"/>
          <w:sz w:val="20"/>
          <w:szCs w:val="20"/>
          <w:color w:val="auto"/>
        </w:rPr>
      </w:pPr>
    </w:p>
    <w:p>
      <w:pPr>
        <w:ind w:left="900" w:right="20" w:hanging="447"/>
        <w:spacing w:after="0" w:line="236" w:lineRule="auto"/>
        <w:tabs>
          <w:tab w:leader="none" w:pos="900" w:val="left"/>
        </w:tabs>
        <w:numPr>
          <w:ilvl w:val="0"/>
          <w:numId w:val="5"/>
        </w:numPr>
        <w:rPr>
          <w:rFonts w:ascii="Arial" w:cs="Arial" w:eastAsia="Arial" w:hAnsi="Arial"/>
          <w:sz w:val="20"/>
          <w:szCs w:val="20"/>
          <w:color w:val="auto"/>
        </w:rPr>
      </w:pPr>
      <w:r>
        <w:rPr>
          <w:rFonts w:ascii="Arial" w:cs="Arial" w:eastAsia="Arial" w:hAnsi="Arial"/>
          <w:sz w:val="20"/>
          <w:szCs w:val="20"/>
          <w:color w:val="auto"/>
        </w:rPr>
        <w:t>BNT122 – BioNTech expects to provide an enrollment update from the Phase 2 trial (IMCODE-001) in first line melanoma in 2H 2020 with an interim data update anticipated in 2H 2021.</w:t>
      </w:r>
    </w:p>
    <w:p>
      <w:pPr>
        <w:spacing w:after="0" w:line="87" w:lineRule="exact"/>
        <w:rPr>
          <w:rFonts w:ascii="Arial" w:cs="Arial" w:eastAsia="Arial" w:hAnsi="Arial"/>
          <w:sz w:val="20"/>
          <w:szCs w:val="20"/>
          <w:color w:val="auto"/>
        </w:rPr>
      </w:pPr>
    </w:p>
    <w:p>
      <w:pPr>
        <w:jc w:val="both"/>
        <w:ind w:left="900" w:hanging="447"/>
        <w:spacing w:after="0"/>
        <w:tabs>
          <w:tab w:leader="none" w:pos="900" w:val="left"/>
        </w:tabs>
        <w:numPr>
          <w:ilvl w:val="0"/>
          <w:numId w:val="5"/>
        </w:numPr>
        <w:rPr>
          <w:rFonts w:ascii="Arial" w:cs="Arial" w:eastAsia="Arial" w:hAnsi="Arial"/>
          <w:sz w:val="19"/>
          <w:szCs w:val="19"/>
          <w:color w:val="auto"/>
        </w:rPr>
      </w:pPr>
      <w:r>
        <w:rPr>
          <w:rFonts w:ascii="Arial" w:cs="Arial" w:eastAsia="Arial" w:hAnsi="Arial"/>
          <w:sz w:val="19"/>
          <w:szCs w:val="19"/>
          <w:color w:val="auto"/>
        </w:rPr>
        <w:t>BNT122 – Two Phase 2 clinical trials are planned in the adjuvant setting. The first adjuvant Phase 2 study is currently recruiting for patients and first patient dosing is expected in 2H 2020. The trial is designed to evaluate the efficacy and safety of RO7198457 (BNT122/RG6180) plus atezolizumab compared with atezolizumab alone in patients with early and adjuvant stage non-small-cell lung cancer (NSCLC). The second Phase 2 study will be in colorectal cancer in adjuvant setting and is expected to initiate in 2H 2020. This trial will be a multi-site, open-label, Phase 2, randomized trial to compare the efficacy of RO7198457 (BNT122/ RG6180) versus watchful waiting in patients with circulating tumor DNA (ctDNA) positive, surgically resected Stage 2/3 rectal cancer, or Stage 2 (high risk)/Stage 3 colon cancer.</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mRNA intratumoral immunotherapy</w:t>
      </w:r>
    </w:p>
    <w:p>
      <w:pPr>
        <w:spacing w:after="0" w:line="6" w:lineRule="exact"/>
        <w:rPr>
          <w:sz w:val="20"/>
          <w:szCs w:val="20"/>
          <w:color w:val="auto"/>
        </w:rPr>
      </w:pPr>
    </w:p>
    <w:p>
      <w:pPr>
        <w:jc w:val="both"/>
        <w:ind w:left="900" w:hanging="447"/>
        <w:spacing w:after="0" w:line="229" w:lineRule="auto"/>
        <w:tabs>
          <w:tab w:leader="none" w:pos="900" w:val="left"/>
        </w:tabs>
        <w:numPr>
          <w:ilvl w:val="0"/>
          <w:numId w:val="6"/>
        </w:numPr>
        <w:rPr>
          <w:rFonts w:ascii="Arial" w:cs="Arial" w:eastAsia="Arial" w:hAnsi="Arial"/>
          <w:sz w:val="20"/>
          <w:szCs w:val="20"/>
          <w:color w:val="auto"/>
        </w:rPr>
      </w:pPr>
      <w:r>
        <w:rPr>
          <w:rFonts w:ascii="Arial" w:cs="Arial" w:eastAsia="Arial" w:hAnsi="Arial"/>
          <w:sz w:val="20"/>
          <w:szCs w:val="20"/>
          <w:color w:val="auto"/>
        </w:rPr>
        <w:t>BNT131 – BioNTech expects to provide a data update from the Phase 1 trial in solid tumors in 2H 2020. The trial is a first-in-human (FIH), multi-site, open-label, Phase 1, dose escalation and expansion trial to evaluate the safety, pharmacokinetics, pharmacodynamics and anti-tumor activity of SAR441000/BNT131 administered intratumorally as a monotherapy and in combination with cemiplimab in patients with advanced solid tumors. The data to be presented will include safety, tolerability and pharmacodynamic biomarkers. SAR441000/BNT131 is partnered with Sanofi.</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CAR-T cell immunotherapy</w:t>
      </w:r>
    </w:p>
    <w:p>
      <w:pPr>
        <w:spacing w:after="0" w:line="6" w:lineRule="exact"/>
        <w:rPr>
          <w:sz w:val="20"/>
          <w:szCs w:val="20"/>
          <w:color w:val="auto"/>
        </w:rPr>
      </w:pPr>
    </w:p>
    <w:p>
      <w:pPr>
        <w:jc w:val="both"/>
        <w:ind w:left="900" w:hanging="447"/>
        <w:spacing w:after="0" w:line="232" w:lineRule="auto"/>
        <w:tabs>
          <w:tab w:leader="none" w:pos="900" w:val="left"/>
        </w:tabs>
        <w:numPr>
          <w:ilvl w:val="0"/>
          <w:numId w:val="7"/>
        </w:numPr>
        <w:rPr>
          <w:rFonts w:ascii="Arial" w:cs="Arial" w:eastAsia="Arial" w:hAnsi="Arial"/>
          <w:sz w:val="20"/>
          <w:szCs w:val="20"/>
          <w:color w:val="auto"/>
        </w:rPr>
      </w:pPr>
      <w:r>
        <w:rPr>
          <w:rFonts w:ascii="Arial" w:cs="Arial" w:eastAsia="Arial" w:hAnsi="Arial"/>
          <w:sz w:val="20"/>
          <w:szCs w:val="20"/>
          <w:color w:val="auto"/>
        </w:rPr>
        <w:t>BNT211 – Initiation of a Phase 1/2a open-label, multi-site dose escalation and dose expansion basket trial with or without a CLDN6 CARVac immunotherapy is expected in 2H 2020. While the preclinical focus has mainly been on ovarian cancer, patients with uterine, testicular, lung and gastric cancers may also be enrolled.</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Neoantigen-Targeting T Cells</w:t>
      </w:r>
    </w:p>
    <w:p>
      <w:pPr>
        <w:spacing w:after="0" w:line="6" w:lineRule="exact"/>
        <w:rPr>
          <w:sz w:val="20"/>
          <w:szCs w:val="20"/>
          <w:color w:val="auto"/>
        </w:rPr>
      </w:pPr>
    </w:p>
    <w:p>
      <w:pPr>
        <w:jc w:val="both"/>
        <w:ind w:left="900" w:hanging="447"/>
        <w:spacing w:after="0" w:line="230" w:lineRule="auto"/>
        <w:tabs>
          <w:tab w:leader="none" w:pos="900" w:val="left"/>
        </w:tabs>
        <w:numPr>
          <w:ilvl w:val="0"/>
          <w:numId w:val="8"/>
        </w:numPr>
        <w:rPr>
          <w:rFonts w:ascii="Arial" w:cs="Arial" w:eastAsia="Arial" w:hAnsi="Arial"/>
          <w:sz w:val="20"/>
          <w:szCs w:val="20"/>
          <w:color w:val="auto"/>
        </w:rPr>
      </w:pPr>
      <w:r>
        <w:rPr>
          <w:rFonts w:ascii="Arial" w:cs="Arial" w:eastAsia="Arial" w:hAnsi="Arial"/>
          <w:sz w:val="20"/>
          <w:szCs w:val="20"/>
          <w:color w:val="auto"/>
        </w:rPr>
        <w:t>BNT221 (NEO-PTC-01) – Initiation of a Phase 1 dose escalation trial of BNT221 is expected in 2H 2020 for the treatment of metastatic melanoma in patients who are refractory or unresponsive to checkpoint inhibitors. The primary objectives will be to evaluate the safety and feasibility of administering BNT221 to patients. Additional objectives include evaluation of immunogenicity and clinical efficacy.</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79930" cy="213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979930" cy="213995"/>
                    </a:xfrm>
                    <a:prstGeom prst="rect">
                      <a:avLst/>
                    </a:prstGeom>
                    <a:noFill/>
                  </pic:spPr>
                </pic:pic>
              </a:graphicData>
            </a:graphic>
          </wp:anchor>
        </w:drawing>
        <w:t>Next-generation checkpoint immunomodulators</w:t>
      </w:r>
    </w:p>
    <w:p>
      <w:pPr>
        <w:spacing w:after="0" w:line="6" w:lineRule="exact"/>
        <w:rPr>
          <w:sz w:val="20"/>
          <w:szCs w:val="20"/>
          <w:color w:val="auto"/>
        </w:rPr>
      </w:pPr>
    </w:p>
    <w:p>
      <w:pPr>
        <w:jc w:val="both"/>
        <w:ind w:left="900" w:hanging="447"/>
        <w:spacing w:after="0" w:line="257" w:lineRule="auto"/>
        <w:tabs>
          <w:tab w:leader="none" w:pos="900" w:val="left"/>
        </w:tabs>
        <w:numPr>
          <w:ilvl w:val="0"/>
          <w:numId w:val="9"/>
        </w:numPr>
        <w:rPr>
          <w:rFonts w:ascii="Arial" w:cs="Arial" w:eastAsia="Arial" w:hAnsi="Arial"/>
          <w:sz w:val="19"/>
          <w:szCs w:val="19"/>
          <w:color w:val="auto"/>
        </w:rPr>
      </w:pPr>
      <w:r>
        <w:rPr>
          <w:rFonts w:ascii="Arial" w:cs="Arial" w:eastAsia="Arial" w:hAnsi="Arial"/>
          <w:sz w:val="19"/>
          <w:szCs w:val="19"/>
          <w:color w:val="auto"/>
        </w:rPr>
        <w:t>BNT311 – BioNTech expects to provide a data update in 2H 2020, which will include dose-escalation data from the Phase 1/2 trial in multiple solid tumors for GEN1042/BNT311 (PD-L1x4-1BB). The program is partnered with Genmab.</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Toll-Like receptor binding agonist</w:t>
      </w:r>
    </w:p>
    <w:p>
      <w:pPr>
        <w:spacing w:after="0" w:line="6" w:lineRule="exact"/>
        <w:rPr>
          <w:sz w:val="20"/>
          <w:szCs w:val="20"/>
          <w:color w:val="auto"/>
        </w:rPr>
      </w:pPr>
    </w:p>
    <w:p>
      <w:pPr>
        <w:jc w:val="both"/>
        <w:ind w:left="900" w:hanging="447"/>
        <w:spacing w:after="0" w:line="230" w:lineRule="auto"/>
        <w:tabs>
          <w:tab w:leader="none" w:pos="9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BNT411 – On July 8, the first patient was dosed in a Phase 1/2a, first-in-human, open-label, dose-escalation trial with expansion cohorts to evaluate the safety, pharmacokinetics, pharmacodynamics and preliminary efficacy of BNT411 as a monotherapy in patients with solid tumors and in combination with atezolizumab, carboplatin and etoposide in patients with chemotherapy-naïve extensive-stage small cell lung cancer (ES-SCLC).</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Corporate Development</w:t>
      </w:r>
    </w:p>
    <w:p>
      <w:pPr>
        <w:spacing w:after="0" w:line="118"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During the second quarter, BioNTech completed the acquisition of Neon Therapeutics, Inc. BioNTech continues to integrate the new subsidiary, based in Cambridge, Massachusetts, which serves as BioNTech’s U.S. headquarters.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2020 Financial Results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Position: Cash and cash equivalents as of June 30, 2020, were €573.0 million.</w:t>
      </w:r>
    </w:p>
    <w:p>
      <w:pPr>
        <w:spacing w:after="0" w:line="141" w:lineRule="exact"/>
        <w:rPr>
          <w:sz w:val="20"/>
          <w:szCs w:val="20"/>
          <w:color w:val="auto"/>
        </w:rPr>
      </w:pPr>
    </w:p>
    <w:p>
      <w:pPr>
        <w:jc w:val="both"/>
        <w:ind w:left="900" w:hanging="447"/>
        <w:spacing w:after="0" w:line="230" w:lineRule="auto"/>
        <w:tabs>
          <w:tab w:leader="none" w:pos="9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On July 27, 2020, BioNTech announced the closing of an underwritten offering of 5,500,000 American Depositary Shares (“ADSs”), each representing one of BioNTech’s ordinary shares, at a public offering price of $93.00 per ADS, for gross proceeds of €456.8 million ($511.5 million</w:t>
      </w:r>
      <w:r>
        <w:rPr>
          <w:rFonts w:ascii="Arial" w:cs="Arial" w:eastAsia="Arial" w:hAnsi="Arial"/>
          <w:sz w:val="16"/>
          <w:szCs w:val="16"/>
          <w:color w:val="auto"/>
        </w:rPr>
        <w:t>1</w:t>
      </w:r>
      <w:r>
        <w:rPr>
          <w:rFonts w:ascii="Arial" w:cs="Arial" w:eastAsia="Arial" w:hAnsi="Arial"/>
          <w:sz w:val="20"/>
          <w:szCs w:val="20"/>
          <w:color w:val="auto"/>
        </w:rPr>
        <w:t>). The underwritten offering had no accounting impact within the second quarter 2020.</w:t>
      </w:r>
    </w:p>
    <w:p>
      <w:pPr>
        <w:spacing w:after="0" w:line="90" w:lineRule="exact"/>
        <w:rPr>
          <w:rFonts w:ascii="Arial" w:cs="Arial" w:eastAsia="Arial" w:hAnsi="Arial"/>
          <w:sz w:val="20"/>
          <w:szCs w:val="20"/>
          <w:color w:val="auto"/>
        </w:rPr>
      </w:pPr>
    </w:p>
    <w:p>
      <w:pPr>
        <w:jc w:val="both"/>
        <w:ind w:left="900" w:hanging="447"/>
        <w:spacing w:after="0" w:line="241" w:lineRule="auto"/>
        <w:tabs>
          <w:tab w:leader="none" w:pos="900" w:val="left"/>
        </w:tabs>
        <w:numPr>
          <w:ilvl w:val="0"/>
          <w:numId w:val="11"/>
        </w:numPr>
        <w:rPr>
          <w:rFonts w:ascii="Arial" w:cs="Arial" w:eastAsia="Arial" w:hAnsi="Arial"/>
          <w:sz w:val="19"/>
          <w:szCs w:val="19"/>
          <w:color w:val="auto"/>
        </w:rPr>
      </w:pPr>
      <w:r>
        <w:rPr>
          <w:rFonts w:ascii="Arial" w:cs="Arial" w:eastAsia="Arial" w:hAnsi="Arial"/>
          <w:sz w:val="19"/>
          <w:szCs w:val="19"/>
          <w:color w:val="auto"/>
        </w:rPr>
        <w:t>On July 22, 2020, BioNTech announced the terms of a rights offering of rights to subscribe for ordinary shares, including ordinary shares represented by ADSs, extended to holders of its ordinary shares and ADSs. Certain holders irrevocably agreed not to transfer or exercise their rights in the rights offering, and the shares underlying those rights were offered in the underwritten offering. The ADS rights exercise period expires at 12:01 a.m. (New York City time) on August 14, 2020 and the ordinary share rights exercise period expires one minute after 11:59 p.m. (Mainz, Germany time) on August 14, 2020. The rights offering had no accounting impact within the second quarter 2020.</w:t>
      </w:r>
    </w:p>
    <w:p>
      <w:pPr>
        <w:spacing w:after="0" w:line="87" w:lineRule="exact"/>
        <w:rPr>
          <w:rFonts w:ascii="Arial" w:cs="Arial" w:eastAsia="Arial" w:hAnsi="Arial"/>
          <w:sz w:val="19"/>
          <w:szCs w:val="19"/>
          <w:color w:val="auto"/>
        </w:rPr>
      </w:pPr>
    </w:p>
    <w:p>
      <w:pPr>
        <w:jc w:val="both"/>
        <w:ind w:left="900" w:hanging="447"/>
        <w:spacing w:after="0" w:line="228" w:lineRule="auto"/>
        <w:tabs>
          <w:tab w:leader="none" w:pos="9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On June 29, 2020, BioNTech announced the signing of a private investment of €223.9 million ($250.7 million</w:t>
      </w:r>
      <w:r>
        <w:rPr>
          <w:rFonts w:ascii="Arial" w:cs="Arial" w:eastAsia="Arial" w:hAnsi="Arial"/>
          <w:sz w:val="16"/>
          <w:szCs w:val="16"/>
          <w:color w:val="auto"/>
        </w:rPr>
        <w:t>1</w:t>
      </w:r>
      <w:r>
        <w:rPr>
          <w:rFonts w:ascii="Arial" w:cs="Arial" w:eastAsia="Arial" w:hAnsi="Arial"/>
          <w:sz w:val="20"/>
          <w:szCs w:val="20"/>
          <w:color w:val="auto"/>
        </w:rPr>
        <w:t>) by Temasek and another accredited investor. The private placement includes an investment of approximately €123.9 million ($138.7 million</w:t>
      </w:r>
      <w:r>
        <w:rPr>
          <w:rFonts w:ascii="Arial" w:cs="Arial" w:eastAsia="Arial" w:hAnsi="Arial"/>
          <w:sz w:val="16"/>
          <w:szCs w:val="16"/>
          <w:color w:val="auto"/>
        </w:rPr>
        <w:t>1</w:t>
      </w:r>
      <w:r>
        <w:rPr>
          <w:rFonts w:ascii="Arial" w:cs="Arial" w:eastAsia="Arial" w:hAnsi="Arial"/>
          <w:sz w:val="20"/>
          <w:szCs w:val="20"/>
          <w:color w:val="auto"/>
        </w:rPr>
        <w:t>) in ordinary shares and a €100.0 million ($112.0 million</w:t>
      </w:r>
      <w:r>
        <w:rPr>
          <w:rFonts w:ascii="Arial" w:cs="Arial" w:eastAsia="Arial" w:hAnsi="Arial"/>
          <w:sz w:val="16"/>
          <w:szCs w:val="16"/>
          <w:color w:val="auto"/>
        </w:rPr>
        <w:t>1</w:t>
      </w:r>
      <w:r>
        <w:rPr>
          <w:rFonts w:ascii="Arial" w:cs="Arial" w:eastAsia="Arial" w:hAnsi="Arial"/>
          <w:sz w:val="20"/>
          <w:szCs w:val="20"/>
          <w:color w:val="auto"/>
        </w:rPr>
        <w:t>) investment in a 4-year mandatory convertible note. Upon closing, private placement investors will receive 2,595,996 ordinary shares in BioNTech, which will be subject to a 180-day lock-up agreement. The 4-year mandatory convertible note will come with a coupon of 4.5% per annum and a conversion premium of 20% above the reference price. The investment is subject to customary closing conditions, which were not fulfilled before June 30, 2020 and had no accounting impact within the second quarter 2020.</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8" w:name="page9"/>
    <w:bookmarkEnd w:id="8"/>
    <w:p>
      <w:pPr>
        <w:jc w:val="both"/>
        <w:ind w:left="900" w:hanging="447"/>
        <w:spacing w:after="0" w:line="229" w:lineRule="auto"/>
        <w:tabs>
          <w:tab w:leader="none" w:pos="900" w:val="left"/>
        </w:tabs>
        <w:numPr>
          <w:ilvl w:val="0"/>
          <w:numId w:val="12"/>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79930" cy="213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979930" cy="213995"/>
                    </a:xfrm>
                    <a:prstGeom prst="rect">
                      <a:avLst/>
                    </a:prstGeom>
                    <a:noFill/>
                  </pic:spPr>
                </pic:pic>
              </a:graphicData>
            </a:graphic>
          </wp:anchor>
        </w:drawing>
        <w:t>On June 11, 2020, the European Investment Bank (EIB) and BioNTech entered into a €100.0 million ($112.0 million</w:t>
      </w:r>
      <w:r>
        <w:rPr>
          <w:rFonts w:ascii="Arial" w:cs="Arial" w:eastAsia="Arial" w:hAnsi="Arial"/>
          <w:sz w:val="16"/>
          <w:szCs w:val="16"/>
          <w:color w:val="auto"/>
        </w:rPr>
        <w:t>1</w:t>
      </w:r>
      <w:r>
        <w:rPr>
          <w:rFonts w:ascii="Arial" w:cs="Arial" w:eastAsia="Arial" w:hAnsi="Arial"/>
          <w:sz w:val="20"/>
          <w:szCs w:val="20"/>
          <w:color w:val="auto"/>
        </w:rPr>
        <w:t>) loan financing agreement to support the development of BNT162. The deal will also allow the Company to expand its manufacturing capacity in order to rapidly supply the vaccine, worldwide, in response to the pandemic. The EIB debt investment will be disbursed in two tranches of €50.0 million ($56.0 million</w:t>
      </w:r>
      <w:r>
        <w:rPr>
          <w:rFonts w:ascii="Arial" w:cs="Arial" w:eastAsia="Arial" w:hAnsi="Arial"/>
          <w:sz w:val="16"/>
          <w:szCs w:val="16"/>
          <w:color w:val="auto"/>
        </w:rPr>
        <w:t>1</w:t>
      </w:r>
      <w:r>
        <w:rPr>
          <w:rFonts w:ascii="Arial" w:cs="Arial" w:eastAsia="Arial" w:hAnsi="Arial"/>
          <w:sz w:val="20"/>
          <w:szCs w:val="20"/>
          <w:color w:val="auto"/>
        </w:rPr>
        <w:t>) each. The closing of the financing agreement, subject to achieving certain milestone events, was not fulfilled before June 30, 2020 and had no accounting impact within the second quarter 2020.</w:t>
      </w:r>
    </w:p>
    <w:p>
      <w:pPr>
        <w:spacing w:after="0" w:line="87" w:lineRule="exact"/>
        <w:rPr>
          <w:rFonts w:ascii="Arial" w:cs="Arial" w:eastAsia="Arial" w:hAnsi="Arial"/>
          <w:sz w:val="20"/>
          <w:szCs w:val="20"/>
          <w:color w:val="auto"/>
        </w:rPr>
      </w:pPr>
    </w:p>
    <w:p>
      <w:pPr>
        <w:ind w:left="900" w:hanging="447"/>
        <w:spacing w:after="0" w:line="236" w:lineRule="auto"/>
        <w:tabs>
          <w:tab w:leader="none" w:pos="9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 Q2 2020 BioNTech received an aggregate of €216.7 million ($236.0 million) in non-refundable upfront payments from the BNT162 collaboration agreements and equity investments with Pfizer and Fosun Pharma.</w:t>
      </w:r>
    </w:p>
    <w:p>
      <w:pPr>
        <w:spacing w:after="0" w:line="6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i w:val="1"/>
          <w:iCs w:val="1"/>
          <w:color w:val="auto"/>
        </w:rPr>
        <w:t xml:space="preserve">Revenue: </w:t>
      </w:r>
      <w:r>
        <w:rPr>
          <w:rFonts w:ascii="Arial" w:cs="Arial" w:eastAsia="Arial" w:hAnsi="Arial"/>
          <w:sz w:val="20"/>
          <w:szCs w:val="20"/>
          <w:color w:val="auto"/>
        </w:rPr>
        <w:t>Total revenue, consisting primarily of revenue from collaboration agreements, was €41.8 million for the three months</w:t>
      </w:r>
      <w:r>
        <w:rPr>
          <w:rFonts w:ascii="Arial" w:cs="Arial" w:eastAsia="Arial" w:hAnsi="Arial"/>
          <w:sz w:val="20"/>
          <w:szCs w:val="20"/>
          <w:i w:val="1"/>
          <w:iCs w:val="1"/>
          <w:color w:val="auto"/>
        </w:rPr>
        <w:t xml:space="preserve"> </w:t>
      </w:r>
      <w:r>
        <w:rPr>
          <w:rFonts w:ascii="Arial" w:cs="Arial" w:eastAsia="Arial" w:hAnsi="Arial"/>
          <w:sz w:val="20"/>
          <w:szCs w:val="20"/>
          <w:color w:val="auto"/>
        </w:rPr>
        <w:t>ended June 30, 2020, compared to €25.8 million for the three months ended June 30, 2019. For the period of six months ended June 30, 2020, total revenue was €69.4 million, compared to €51.9 million for the comparative prior year period. The revenue from collaboration agreements overall increased due to the recognition of revenue from our new collaboration agreements signed with Pfizer and Fosun Pharma as part of the Company’s BNT162 vaccine program against COVID-19. The revenues from other sales transactions increased due to increased orders and include sales of diagnostic products, peptides, retroviral vectors for clinical supply and development and manufacturing services sold to third-party customers.</w:t>
      </w:r>
    </w:p>
    <w:p>
      <w:pPr>
        <w:spacing w:after="0" w:line="111" w:lineRule="exact"/>
        <w:rPr>
          <w:sz w:val="20"/>
          <w:szCs w:val="20"/>
          <w:color w:val="auto"/>
        </w:rPr>
      </w:pPr>
    </w:p>
    <w:p>
      <w:pPr>
        <w:jc w:val="both"/>
        <w:spacing w:after="0" w:line="231" w:lineRule="auto"/>
        <w:rPr>
          <w:sz w:val="20"/>
          <w:szCs w:val="20"/>
          <w:color w:val="auto"/>
        </w:rPr>
      </w:pPr>
      <w:r>
        <w:rPr>
          <w:rFonts w:ascii="Arial" w:cs="Arial" w:eastAsia="Arial" w:hAnsi="Arial"/>
          <w:sz w:val="20"/>
          <w:szCs w:val="20"/>
          <w:i w:val="1"/>
          <w:iCs w:val="1"/>
          <w:color w:val="auto"/>
        </w:rPr>
        <w:t xml:space="preserve">Research and Development Expenses: </w:t>
      </w:r>
      <w:r>
        <w:rPr>
          <w:rFonts w:ascii="Arial" w:cs="Arial" w:eastAsia="Arial" w:hAnsi="Arial"/>
          <w:sz w:val="20"/>
          <w:szCs w:val="20"/>
          <w:color w:val="auto"/>
        </w:rPr>
        <w:t>Research and development expenses were €95.2 million for the three months ended</w:t>
      </w:r>
      <w:r>
        <w:rPr>
          <w:rFonts w:ascii="Arial" w:cs="Arial" w:eastAsia="Arial" w:hAnsi="Arial"/>
          <w:sz w:val="20"/>
          <w:szCs w:val="20"/>
          <w:i w:val="1"/>
          <w:iCs w:val="1"/>
          <w:color w:val="auto"/>
        </w:rPr>
        <w:t xml:space="preserve"> </w:t>
      </w:r>
      <w:r>
        <w:rPr>
          <w:rFonts w:ascii="Arial" w:cs="Arial" w:eastAsia="Arial" w:hAnsi="Arial"/>
          <w:sz w:val="20"/>
          <w:szCs w:val="20"/>
          <w:color w:val="auto"/>
        </w:rPr>
        <w:t>June 30, 2020, compared to €53.4 million for the three months ended June 30, 2019. For the period of six months ended June 30, 2020, total research and development expenses were €160.3 million, compared to €110.6 million for the comparative prior year period. The increase was mainly due to an increase in headcount leading to higher wages, benefits and social security expenses as well as an increase in expenses for purchased research and development services, especially with respect to our BNT162 program. In addition, from the date of acquisition, the new U.S.-based subsidiary, BioNTech US Inc., contributed to our research and development expenses.</w:t>
      </w:r>
    </w:p>
    <w:p>
      <w:pPr>
        <w:spacing w:after="0" w:line="9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i w:val="1"/>
          <w:iCs w:val="1"/>
          <w:color w:val="auto"/>
        </w:rPr>
        <w:t xml:space="preserve">General and Administrative Expenses: </w:t>
      </w:r>
      <w:r>
        <w:rPr>
          <w:rFonts w:ascii="Arial" w:cs="Arial" w:eastAsia="Arial" w:hAnsi="Arial"/>
          <w:sz w:val="20"/>
          <w:szCs w:val="20"/>
          <w:color w:val="auto"/>
        </w:rPr>
        <w:t>General and administrative expenses were €18.8 million for the three months ended</w:t>
      </w:r>
      <w:r>
        <w:rPr>
          <w:rFonts w:ascii="Arial" w:cs="Arial" w:eastAsia="Arial" w:hAnsi="Arial"/>
          <w:sz w:val="20"/>
          <w:szCs w:val="20"/>
          <w:i w:val="1"/>
          <w:iCs w:val="1"/>
          <w:color w:val="auto"/>
        </w:rPr>
        <w:t xml:space="preserve"> </w:t>
      </w:r>
      <w:r>
        <w:rPr>
          <w:rFonts w:ascii="Arial" w:cs="Arial" w:eastAsia="Arial" w:hAnsi="Arial"/>
          <w:sz w:val="20"/>
          <w:szCs w:val="20"/>
          <w:color w:val="auto"/>
        </w:rPr>
        <w:t>June 30, 2020, compared to €14.6 million for the three months ended June 30, 2019. For the period of six months ended June 30, 2020, total general and administrative expenses were €34.6 million, compared to €23.9 million for the comparative prior year period. The increase was mainly influenced by higher expenses for purchased management consulting and legal services as well as an increase in headcount leading to higher wages, benefits and social security expenses. In addition, from the date of acquisition, our new U.S.-based subsidiary, BioNTech US Inc., contributed to our general and administrative expenses.</w:t>
      </w:r>
    </w:p>
    <w:p>
      <w:pPr>
        <w:spacing w:after="0" w:line="11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i w:val="1"/>
          <w:iCs w:val="1"/>
          <w:color w:val="auto"/>
        </w:rPr>
        <w:t xml:space="preserve">Net Loss: </w:t>
      </w:r>
      <w:r>
        <w:rPr>
          <w:rFonts w:ascii="Arial" w:cs="Arial" w:eastAsia="Arial" w:hAnsi="Arial"/>
          <w:sz w:val="20"/>
          <w:szCs w:val="20"/>
          <w:color w:val="auto"/>
        </w:rPr>
        <w:t>Net loss was €88.3 million for the three months ended June 30, 2020, compared to €50.1 million for the three months</w:t>
      </w:r>
      <w:r>
        <w:rPr>
          <w:rFonts w:ascii="Arial" w:cs="Arial" w:eastAsia="Arial" w:hAnsi="Arial"/>
          <w:sz w:val="20"/>
          <w:szCs w:val="20"/>
          <w:i w:val="1"/>
          <w:iCs w:val="1"/>
          <w:color w:val="auto"/>
        </w:rPr>
        <w:t xml:space="preserve"> </w:t>
      </w:r>
      <w:r>
        <w:rPr>
          <w:rFonts w:ascii="Arial" w:cs="Arial" w:eastAsia="Arial" w:hAnsi="Arial"/>
          <w:sz w:val="20"/>
          <w:szCs w:val="20"/>
          <w:color w:val="auto"/>
        </w:rPr>
        <w:t>ended June 30, 2019. For the period of six months ended June 30, 2020, total net loss was €141.7 million, compared to €90.8 million for the comparative prior year period.</w:t>
      </w:r>
    </w:p>
    <w:p>
      <w:pPr>
        <w:spacing w:after="0" w:line="202"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79930" cy="213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979930" cy="213995"/>
                    </a:xfrm>
                    <a:prstGeom prst="rect">
                      <a:avLst/>
                    </a:prstGeom>
                    <a:noFill/>
                  </pic:spPr>
                </pic:pic>
              </a:graphicData>
            </a:graphic>
          </wp:anchor>
        </w:drawing>
        <w:t>Shares Outstanding: Shares outstanding as of June 30, 2020 were 232,673,455.</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Financial Guidance:</w:t>
      </w:r>
    </w:p>
    <w:p>
      <w:pPr>
        <w:spacing w:after="0" w:line="141" w:lineRule="exact"/>
        <w:rPr>
          <w:sz w:val="20"/>
          <w:szCs w:val="20"/>
          <w:color w:val="auto"/>
        </w:rPr>
      </w:pPr>
    </w:p>
    <w:p>
      <w:pPr>
        <w:ind w:left="900" w:hanging="447"/>
        <w:spacing w:after="0" w:line="236" w:lineRule="auto"/>
        <w:tabs>
          <w:tab w:leader="none" w:pos="9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As a result of increased spending related to BNT162, BioNTech now expects net cash used in operating activities and for purchases of property and equipment to be between €450 million and €600 million in the full year 2020.</w:t>
      </w:r>
    </w:p>
    <w:p>
      <w:pPr>
        <w:spacing w:after="0" w:line="87" w:lineRule="exact"/>
        <w:rPr>
          <w:rFonts w:ascii="Arial" w:cs="Arial" w:eastAsia="Arial" w:hAnsi="Arial"/>
          <w:sz w:val="20"/>
          <w:szCs w:val="20"/>
          <w:color w:val="auto"/>
        </w:rPr>
      </w:pPr>
    </w:p>
    <w:p>
      <w:pPr>
        <w:jc w:val="both"/>
        <w:ind w:left="900" w:hanging="447"/>
        <w:spacing w:after="0" w:line="232" w:lineRule="auto"/>
        <w:tabs>
          <w:tab w:leader="none" w:pos="9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BioNTech anticipates that existing cash and cash equivalents, the net proceeds from the recent underwritten offering and the expected net proceeds from the private investment announced in June 2020 will enable the Company to fund operating expenses and capital requirements through at least the next 24 months.</w:t>
      </w:r>
    </w:p>
    <w:p>
      <w:pPr>
        <w:spacing w:after="0" w:line="319" w:lineRule="exact"/>
        <w:rPr>
          <w:sz w:val="20"/>
          <w:szCs w:val="20"/>
          <w:color w:val="auto"/>
        </w:rPr>
      </w:pPr>
    </w:p>
    <w:p>
      <w:pPr>
        <w:ind w:right="1120"/>
        <w:spacing w:after="0" w:line="345" w:lineRule="auto"/>
        <w:rPr>
          <w:sz w:val="20"/>
          <w:szCs w:val="20"/>
          <w:color w:val="auto"/>
        </w:rPr>
      </w:pPr>
      <w:r>
        <w:rPr>
          <w:rFonts w:ascii="Arial" w:cs="Arial" w:eastAsia="Arial" w:hAnsi="Arial"/>
          <w:sz w:val="20"/>
          <w:szCs w:val="20"/>
          <w:color w:val="auto"/>
        </w:rPr>
        <w:t xml:space="preserve">Full financial statements can be found in the 6-K filing as published on the SEC website under https://www.sec.gov/. </w:t>
      </w:r>
      <w:r>
        <w:rPr>
          <w:rFonts w:ascii="Arial" w:cs="Arial" w:eastAsia="Arial" w:hAnsi="Arial"/>
          <w:sz w:val="20"/>
          <w:szCs w:val="20"/>
          <w:b w:val="1"/>
          <w:bCs w:val="1"/>
          <w:color w:val="auto"/>
        </w:rPr>
        <w:t>Conference Call and Webcast Information</w:t>
      </w:r>
    </w:p>
    <w:p>
      <w:pPr>
        <w:jc w:val="both"/>
        <w:ind w:right="20"/>
        <w:spacing w:after="0" w:line="236" w:lineRule="auto"/>
        <w:rPr>
          <w:sz w:val="20"/>
          <w:szCs w:val="20"/>
          <w:color w:val="auto"/>
        </w:rPr>
      </w:pPr>
      <w:r>
        <w:rPr>
          <w:rFonts w:ascii="Arial" w:cs="Arial" w:eastAsia="Arial" w:hAnsi="Arial"/>
          <w:sz w:val="20"/>
          <w:szCs w:val="20"/>
          <w:color w:val="auto"/>
        </w:rPr>
        <w:t>BioNTech SE will host a conference call and webcast today at 08:00 a.m. ET (2:00 p.m. CET) to report its financial results for the quarter ended June 30, 2020 and provide a corporate update.</w:t>
      </w:r>
    </w:p>
    <w:p>
      <w:pPr>
        <w:spacing w:after="0" w:line="209"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To participate in the conference call, please dial the following numbers 15-20 minutes prior to the start of the call and provide the Conference ID: 1963889.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gridSpan w:val="2"/>
          </w:tcPr>
          <w:p>
            <w:pPr>
              <w:spacing w:after="0"/>
              <w:rPr>
                <w:sz w:val="20"/>
                <w:szCs w:val="20"/>
                <w:color w:val="auto"/>
              </w:rPr>
            </w:pPr>
            <w:r>
              <w:rPr>
                <w:rFonts w:ascii="Arial" w:cs="Arial" w:eastAsia="Arial" w:hAnsi="Arial"/>
                <w:sz w:val="20"/>
                <w:szCs w:val="20"/>
                <w:color w:val="auto"/>
              </w:rPr>
              <w:t>United States international:</w:t>
            </w:r>
          </w:p>
        </w:tc>
        <w:tc>
          <w:tcPr>
            <w:tcW w:w="2140" w:type="dxa"/>
            <w:vAlign w:val="bottom"/>
          </w:tcPr>
          <w:p>
            <w:pPr>
              <w:jc w:val="right"/>
              <w:ind w:right="461"/>
              <w:spacing w:after="0"/>
              <w:rPr>
                <w:sz w:val="20"/>
                <w:szCs w:val="20"/>
                <w:color w:val="auto"/>
              </w:rPr>
            </w:pPr>
            <w:r>
              <w:rPr>
                <w:rFonts w:ascii="Arial" w:cs="Arial" w:eastAsia="Arial" w:hAnsi="Arial"/>
                <w:sz w:val="20"/>
                <w:szCs w:val="20"/>
                <w:color w:val="auto"/>
              </w:rPr>
              <w:t>+1 646 741 3167</w:t>
            </w:r>
          </w:p>
        </w:tc>
      </w:tr>
      <w:tr>
        <w:trPr>
          <w:trHeight w:val="216"/>
        </w:trPr>
        <w:tc>
          <w:tcPr>
            <w:tcW w:w="3040" w:type="dxa"/>
            <w:vAlign w:val="bottom"/>
            <w:gridSpan w:val="2"/>
          </w:tcPr>
          <w:p>
            <w:pPr>
              <w:spacing w:after="0" w:line="216" w:lineRule="exact"/>
              <w:rPr>
                <w:sz w:val="20"/>
                <w:szCs w:val="20"/>
                <w:color w:val="auto"/>
              </w:rPr>
            </w:pPr>
            <w:r>
              <w:rPr>
                <w:rFonts w:ascii="Arial" w:cs="Arial" w:eastAsia="Arial" w:hAnsi="Arial"/>
                <w:sz w:val="20"/>
                <w:szCs w:val="20"/>
                <w:color w:val="auto"/>
              </w:rPr>
              <w:t>United States domestic (toll-free):</w:t>
            </w:r>
          </w:p>
        </w:tc>
        <w:tc>
          <w:tcPr>
            <w:tcW w:w="2140" w:type="dxa"/>
            <w:vAlign w:val="bottom"/>
          </w:tcPr>
          <w:p>
            <w:pPr>
              <w:jc w:val="right"/>
              <w:spacing w:after="0" w:line="216" w:lineRule="exact"/>
              <w:rPr>
                <w:sz w:val="20"/>
                <w:szCs w:val="20"/>
                <w:color w:val="auto"/>
              </w:rPr>
            </w:pPr>
            <w:r>
              <w:rPr>
                <w:rFonts w:ascii="Arial" w:cs="Arial" w:eastAsia="Arial" w:hAnsi="Arial"/>
                <w:sz w:val="20"/>
                <w:szCs w:val="20"/>
                <w:color w:val="auto"/>
              </w:rPr>
              <w:t>+1 877 870 9135</w:t>
            </w:r>
          </w:p>
        </w:tc>
      </w:tr>
      <w:tr>
        <w:trPr>
          <w:trHeight w:val="237"/>
        </w:trPr>
        <w:tc>
          <w:tcPr>
            <w:tcW w:w="1220" w:type="dxa"/>
            <w:vAlign w:val="bottom"/>
          </w:tcPr>
          <w:p>
            <w:pPr>
              <w:spacing w:after="0"/>
              <w:rPr>
                <w:sz w:val="20"/>
                <w:szCs w:val="20"/>
                <w:color w:val="auto"/>
              </w:rPr>
            </w:pPr>
            <w:r>
              <w:rPr>
                <w:rFonts w:ascii="Arial" w:cs="Arial" w:eastAsia="Arial" w:hAnsi="Arial"/>
                <w:sz w:val="20"/>
                <w:szCs w:val="20"/>
                <w:color w:val="auto"/>
              </w:rPr>
              <w:t>Germany:</w:t>
            </w:r>
          </w:p>
        </w:tc>
        <w:tc>
          <w:tcPr>
            <w:tcW w:w="3960" w:type="dxa"/>
            <w:vAlign w:val="bottom"/>
            <w:gridSpan w:val="2"/>
          </w:tcPr>
          <w:p>
            <w:pPr>
              <w:jc w:val="right"/>
              <w:ind w:right="1921"/>
              <w:spacing w:after="0"/>
              <w:rPr>
                <w:sz w:val="20"/>
                <w:szCs w:val="20"/>
                <w:color w:val="auto"/>
              </w:rPr>
            </w:pPr>
            <w:r>
              <w:rPr>
                <w:rFonts w:ascii="Arial" w:cs="Arial" w:eastAsia="Arial" w:hAnsi="Arial"/>
                <w:sz w:val="20"/>
                <w:szCs w:val="20"/>
                <w:color w:val="auto"/>
              </w:rPr>
              <w:t>+49 692 2222 625</w:t>
            </w:r>
          </w:p>
        </w:tc>
      </w:tr>
    </w:tbl>
    <w:p>
      <w:pPr>
        <w:spacing w:after="0" w:line="20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Participants may also access the slides and the webcast of the conference call via the “Events &amp; Presentations” page of the Investor Relations section of the Company’s website at https://biontech.de/. A replay of the webcast will be available shortly after the conclusion of the call and archived on the Company’s website for 30 days following the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7993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979930" cy="214630"/>
                    </a:xfrm>
                    <a:prstGeom prst="rect">
                      <a:avLst/>
                    </a:prstGeom>
                    <a:noFill/>
                  </pic:spPr>
                </pic:pic>
              </a:graphicData>
            </a:graphic>
          </wp:anchor>
        </w:drawing>
        <w:t>BioNTech SE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(“BioNTech” or “the Company”)</w:t>
      </w:r>
    </w:p>
    <w:p>
      <w:pPr>
        <w:spacing w:after="0" w:line="192"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Financial and Operational Results for the Second Quarter Ended June 30, 2020</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Pipeline Updates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Below is a summary of our clinical product candidates, organized by platform and indication.</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Oncology</w:t>
      </w:r>
    </w:p>
    <w:p>
      <w:pPr>
        <w:spacing w:after="0" w:line="118"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BioNTech has also continued to advance its broad oncology pipeline. With the initiation of a first-in-human (FIH) Phase 1 clinical trial for TLR7 agonist (BNT411), the oncology pipeline now includes 11 products in 12 ongoing trials across the mRNA-, antibody- and small molecule technologies. In Q2 and subsequent, BioNTech reported 2 interim data updates on clinical trials for 2 different oncology product candidates. Up to four further data updates are expected in 2H 2020. In 2H 2020, BioNTech intends to initiate three Phase 2 trials (BNT111, BNT 113, BNT122), two additional FIH trials (BNT211, BNT221) and is currently recruiting subjects for RO7198457 (BNT122/RG6180) for a Phase 2 clinical trial in adjuvant NSCLC.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FixVac</w:t>
      </w:r>
    </w:p>
    <w:p>
      <w:pPr>
        <w:spacing w:after="0" w:line="11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Our FixVac product candidates contain selected combinations of pharmacologically optimized uridine mRNA encoding known cancer-specific shared antigens. These candidates feature our proprietary immunogenic mRNA backbone and proprietary RNA-lipoplex, or RNA-LPX, delivery formulation, designed to enhance stability and translation, target dendritic cells and trigger both innate and adaptive immune responses. FixVac is currently being evaluating in five clinical trials including:</w:t>
      </w:r>
    </w:p>
    <w:p>
      <w:pPr>
        <w:spacing w:after="0" w:line="90" w:lineRule="exact"/>
        <w:rPr>
          <w:sz w:val="20"/>
          <w:szCs w:val="20"/>
          <w:color w:val="auto"/>
        </w:rPr>
      </w:pPr>
    </w:p>
    <w:p>
      <w:pPr>
        <w:ind w:left="900" w:hanging="447"/>
        <w:spacing w:after="0"/>
        <w:tabs>
          <w:tab w:leader="none" w:pos="9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BNT111 in a Phase 1 trial in advanced melanoma.</w:t>
      </w:r>
    </w:p>
    <w:p>
      <w:pPr>
        <w:spacing w:after="0" w:line="108" w:lineRule="exact"/>
        <w:rPr>
          <w:sz w:val="20"/>
          <w:szCs w:val="20"/>
          <w:color w:val="auto"/>
        </w:rPr>
      </w:pPr>
    </w:p>
    <w:p>
      <w:pPr>
        <w:jc w:val="both"/>
        <w:ind w:left="1800" w:hanging="456"/>
        <w:spacing w:after="0" w:line="226" w:lineRule="auto"/>
        <w:tabs>
          <w:tab w:leader="none" w:pos="1800" w:val="left"/>
        </w:tabs>
        <w:numPr>
          <w:ilvl w:val="1"/>
          <w:numId w:val="15"/>
        </w:numPr>
        <w:rPr>
          <w:rFonts w:ascii="Courier New" w:cs="Courier New" w:eastAsia="Courier New" w:hAnsi="Courier New"/>
          <w:sz w:val="20"/>
          <w:szCs w:val="20"/>
          <w:color w:val="auto"/>
        </w:rPr>
      </w:pPr>
      <w:r>
        <w:rPr>
          <w:rFonts w:ascii="Arial" w:cs="Arial" w:eastAsia="Arial" w:hAnsi="Arial"/>
          <w:sz w:val="20"/>
          <w:szCs w:val="20"/>
          <w:color w:val="auto"/>
        </w:rPr>
        <w:t>A data update was recently published in Nature. The trial, designed to evaluate safety and tolerability of vaccinated patients with stage IIIB-C and stage IV melanoma, included 89 patients and highlighted a favorable tolerability profile of BNT111. An efficacy analysis conducted within a subset of 42 checkpoint-inhibitor (CPI)-experienced metastatic melanoma patients showed that BNT111 mediates durable responses both as a single agent and in combination with anti-PD-1 antibodies by establishing an association with activation and strong expansion of tumor-antigen-specific CD4+ and CD8+ T cells.</w:t>
      </w:r>
    </w:p>
    <w:p>
      <w:pPr>
        <w:spacing w:after="0" w:line="87" w:lineRule="exact"/>
        <w:rPr>
          <w:rFonts w:ascii="Courier New" w:cs="Courier New" w:eastAsia="Courier New" w:hAnsi="Courier New"/>
          <w:sz w:val="20"/>
          <w:szCs w:val="20"/>
          <w:color w:val="auto"/>
        </w:rPr>
      </w:pPr>
    </w:p>
    <w:p>
      <w:pPr>
        <w:jc w:val="both"/>
        <w:ind w:left="1800" w:hanging="456"/>
        <w:spacing w:after="0" w:line="226" w:lineRule="auto"/>
        <w:tabs>
          <w:tab w:leader="none" w:pos="1800" w:val="left"/>
        </w:tabs>
        <w:numPr>
          <w:ilvl w:val="1"/>
          <w:numId w:val="15"/>
        </w:numPr>
        <w:rPr>
          <w:rFonts w:ascii="Courier New" w:cs="Courier New" w:eastAsia="Courier New" w:hAnsi="Courier New"/>
          <w:sz w:val="20"/>
          <w:szCs w:val="20"/>
          <w:color w:val="auto"/>
        </w:rPr>
      </w:pPr>
      <w:r>
        <w:rPr>
          <w:rFonts w:ascii="Arial" w:cs="Arial" w:eastAsia="Arial" w:hAnsi="Arial"/>
          <w:sz w:val="20"/>
          <w:szCs w:val="20"/>
          <w:color w:val="auto"/>
        </w:rPr>
        <w:t>On July 31, BioNTech and Regeneron Pharmaceuticals, Inc. announced a strategic collaboration to jointly conduct a randomized Phase 2 study for the treatment of melanoma that has progressed after prior PD-1 blockade, utilizing BNT111 FixVac and Regeneron’s Libtayo</w:t>
      </w:r>
      <w:r>
        <w:rPr>
          <w:rFonts w:ascii="Arial" w:cs="Arial" w:eastAsia="Arial" w:hAnsi="Arial"/>
          <w:sz w:val="16"/>
          <w:szCs w:val="16"/>
          <w:color w:val="auto"/>
        </w:rPr>
        <w:t>®</w:t>
      </w:r>
      <w:r>
        <w:rPr>
          <w:rFonts w:ascii="Arial" w:cs="Arial" w:eastAsia="Arial" w:hAnsi="Arial"/>
          <w:sz w:val="20"/>
          <w:szCs w:val="20"/>
          <w:color w:val="auto"/>
        </w:rPr>
        <w:t xml:space="preserve"> in combination.</w:t>
      </w:r>
    </w:p>
    <w:p>
      <w:pPr>
        <w:spacing w:after="0" w:line="79" w:lineRule="exact"/>
        <w:rPr>
          <w:rFonts w:ascii="Courier New" w:cs="Courier New" w:eastAsia="Courier New" w:hAnsi="Courier New"/>
          <w:sz w:val="20"/>
          <w:szCs w:val="20"/>
          <w:color w:val="auto"/>
        </w:rPr>
      </w:pPr>
    </w:p>
    <w:p>
      <w:pPr>
        <w:ind w:left="1800" w:hanging="456"/>
        <w:spacing w:after="0"/>
        <w:tabs>
          <w:tab w:leader="none" w:pos="1800" w:val="left"/>
        </w:tabs>
        <w:numPr>
          <w:ilvl w:val="1"/>
          <w:numId w:val="15"/>
        </w:numPr>
        <w:rPr>
          <w:rFonts w:ascii="Courier New" w:cs="Courier New" w:eastAsia="Courier New" w:hAnsi="Courier New"/>
          <w:sz w:val="20"/>
          <w:szCs w:val="20"/>
          <w:color w:val="auto"/>
        </w:rPr>
      </w:pPr>
      <w:r>
        <w:rPr>
          <w:rFonts w:ascii="Arial" w:cs="Arial" w:eastAsia="Arial" w:hAnsi="Arial"/>
          <w:sz w:val="20"/>
          <w:szCs w:val="20"/>
          <w:color w:val="auto"/>
        </w:rPr>
        <w:t>We expect to initiate this Phase 2 trial with registrational potential in the second half of 2020.</w:t>
      </w:r>
    </w:p>
    <w:p>
      <w:pPr>
        <w:spacing w:after="0" w:line="86" w:lineRule="exact"/>
        <w:rPr>
          <w:rFonts w:ascii="Courier New" w:cs="Courier New" w:eastAsia="Courier New" w:hAnsi="Courier New"/>
          <w:sz w:val="20"/>
          <w:szCs w:val="20"/>
          <w:color w:val="auto"/>
        </w:rPr>
      </w:pPr>
    </w:p>
    <w:p>
      <w:pPr>
        <w:ind w:left="900" w:hanging="447"/>
        <w:spacing w:after="0"/>
        <w:tabs>
          <w:tab w:leader="none" w:pos="9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BNT112 in a Phase 1/2 trial in prostate cancer ongoing.</w:t>
      </w:r>
    </w:p>
    <w:p>
      <w:pPr>
        <w:spacing w:after="0" w:line="107" w:lineRule="exact"/>
        <w:rPr>
          <w:rFonts w:ascii="Arial" w:cs="Arial" w:eastAsia="Arial" w:hAnsi="Arial"/>
          <w:sz w:val="20"/>
          <w:szCs w:val="20"/>
          <w:color w:val="auto"/>
        </w:rPr>
      </w:pPr>
    </w:p>
    <w:p>
      <w:pPr>
        <w:ind w:left="900" w:hanging="447"/>
        <w:spacing w:after="0" w:line="236" w:lineRule="auto"/>
        <w:tabs>
          <w:tab w:leader="none" w:pos="9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BNT113 in a Phase 1 trial in HPV16+ head and neck cancers. We are planning to initiate a Phase 2 trial with registrational potential for BNT113 in HPV+ head and neck cancers in the second half of 2020.</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1" w:name="page12"/>
    <w:bookmarkEnd w:id="11"/>
    <w:p>
      <w:pPr>
        <w:jc w:val="both"/>
        <w:ind w:left="900" w:hanging="447"/>
        <w:spacing w:after="0" w:line="232" w:lineRule="auto"/>
        <w:tabs>
          <w:tab w:leader="none" w:pos="900" w:val="left"/>
        </w:tabs>
        <w:numPr>
          <w:ilvl w:val="0"/>
          <w:numId w:val="16"/>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79930"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979930" cy="214630"/>
                    </a:xfrm>
                    <a:prstGeom prst="rect">
                      <a:avLst/>
                    </a:prstGeom>
                    <a:noFill/>
                  </pic:spPr>
                </pic:pic>
              </a:graphicData>
            </a:graphic>
          </wp:anchor>
        </w:drawing>
        <w:t>BNT114</w:t>
      </w:r>
      <w:r>
        <w:rPr>
          <w:rFonts w:ascii="Arial" w:cs="Arial" w:eastAsia="Arial" w:hAnsi="Arial"/>
          <w:sz w:val="16"/>
          <w:szCs w:val="16"/>
          <w:color w:val="auto"/>
        </w:rPr>
        <w:t>2</w:t>
      </w:r>
      <w:r>
        <w:rPr>
          <w:rFonts w:ascii="Arial" w:cs="Arial" w:eastAsia="Arial" w:hAnsi="Arial"/>
          <w:sz w:val="20"/>
          <w:szCs w:val="20"/>
          <w:color w:val="auto"/>
        </w:rPr>
        <w:t xml:space="preserve"> in a Phase 1 trial in triple negative breast cancer (TNBC). A data update from the trial is expected in the second half of 2020. The exploratory Phase 1 study evaluates immunogenicity and safety of vaccination with individualized neoantigen immunotherapy and non-mutated tumor-associated antigens in TNBC.</w:t>
      </w:r>
    </w:p>
    <w:p>
      <w:pPr>
        <w:spacing w:after="0" w:line="89" w:lineRule="exact"/>
        <w:rPr>
          <w:rFonts w:ascii="Arial" w:cs="Arial" w:eastAsia="Arial" w:hAnsi="Arial"/>
          <w:sz w:val="20"/>
          <w:szCs w:val="20"/>
          <w:color w:val="auto"/>
        </w:rPr>
      </w:pPr>
    </w:p>
    <w:p>
      <w:pPr>
        <w:ind w:left="900" w:hanging="447"/>
        <w:spacing w:after="0"/>
        <w:tabs>
          <w:tab w:leader="none" w:pos="9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BNT115 in a Phase 1 trial in ovarian cancer ongoing.</w:t>
      </w:r>
    </w:p>
    <w:p>
      <w:pPr>
        <w:spacing w:after="0" w:line="107" w:lineRule="exact"/>
        <w:rPr>
          <w:rFonts w:ascii="Arial" w:cs="Arial" w:eastAsia="Arial" w:hAnsi="Arial"/>
          <w:sz w:val="20"/>
          <w:szCs w:val="20"/>
          <w:color w:val="auto"/>
        </w:rPr>
      </w:pPr>
    </w:p>
    <w:p>
      <w:pPr>
        <w:ind w:left="900" w:hanging="447"/>
        <w:spacing w:after="0"/>
        <w:tabs>
          <w:tab w:leader="none" w:pos="9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BNT116 is in preclinical development for non-small cell lung cancer.</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Individualized neoantigen specific immunotherapy (iNeST)</w:t>
      </w:r>
    </w:p>
    <w:p>
      <w:pPr>
        <w:spacing w:after="0" w:line="11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Our iNeST immunotherapies contain unmodified, pharmacologically optimized mRNA encoding up to 20 patient-specific neoantigens and also feature our proprietary RNA-LPX formulation. RO7198457 (BNT122/ RG6180) is partnered with Genentech.</w:t>
      </w:r>
    </w:p>
    <w:p>
      <w:pPr>
        <w:spacing w:after="0" w:line="89" w:lineRule="exact"/>
        <w:rPr>
          <w:sz w:val="20"/>
          <w:szCs w:val="20"/>
          <w:color w:val="auto"/>
        </w:rPr>
      </w:pPr>
    </w:p>
    <w:p>
      <w:pPr>
        <w:jc w:val="both"/>
        <w:ind w:left="900" w:hanging="447"/>
        <w:spacing w:after="0" w:line="229" w:lineRule="auto"/>
        <w:tabs>
          <w:tab w:leader="none" w:pos="9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We, in collaboration with Genentech, reported a data update for the Phase 1a and 1b trial in multiple solid tumors in June 2020 as part of the American Association for Cancer Research (AACR) Virtual Annual Meeting II. As a monotherapy and in combination with atezolizumab, RO7198457 (BNT122/RG6180) was observed to have a manageable safety profile and to induce significant levels of neoantigen-specific immune responses, even in late-stage, heavily pre-treated patients.</w:t>
      </w:r>
    </w:p>
    <w:p>
      <w:pPr>
        <w:spacing w:after="0" w:line="90" w:lineRule="exact"/>
        <w:rPr>
          <w:rFonts w:ascii="Arial" w:cs="Arial" w:eastAsia="Arial" w:hAnsi="Arial"/>
          <w:sz w:val="20"/>
          <w:szCs w:val="20"/>
          <w:color w:val="auto"/>
        </w:rPr>
      </w:pPr>
    </w:p>
    <w:p>
      <w:pPr>
        <w:ind w:left="900" w:right="20" w:hanging="447"/>
        <w:spacing w:after="0" w:line="236" w:lineRule="auto"/>
        <w:tabs>
          <w:tab w:leader="none" w:pos="9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We expect to provide an enrollment update from the Phase 2 trial (IMCODE-001) in first line melanoma in the second half of 2020 with an interim data update anticipated in the second half of 2021.</w:t>
      </w:r>
    </w:p>
    <w:p>
      <w:pPr>
        <w:spacing w:after="0" w:line="87" w:lineRule="exact"/>
        <w:rPr>
          <w:rFonts w:ascii="Arial" w:cs="Arial" w:eastAsia="Arial" w:hAnsi="Arial"/>
          <w:sz w:val="20"/>
          <w:szCs w:val="20"/>
          <w:color w:val="auto"/>
        </w:rPr>
      </w:pPr>
    </w:p>
    <w:p>
      <w:pPr>
        <w:jc w:val="both"/>
        <w:ind w:left="900" w:hanging="447"/>
        <w:spacing w:after="0" w:line="228" w:lineRule="auto"/>
        <w:tabs>
          <w:tab w:leader="none" w:pos="9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We and Genentech plan to conduct two Phase 2 clinical trials in the adjuvant setting. The first adjuvant Phase 2 study is currently recruiting for patients, and first patient dosing is expected in the second half of 2020. The trial is designed to evaluate the efficacy and safety of RO7198457 (BNT122/RG6180) plus atezolizumab compared with atezolizumab alone in patients with early and adjuvant stage non-small cell lung cancer (NSCLC). The second Phase 2 study will be in colorectal cancer in adjuvant setting and is expected to initiate in the second half of 2020. This trial will be a multi-site, open-label, Phase 2, randomized trial to compare the efficacy of RO7198457 (BNT122/RG6180) versus watchful waiting in patients with circulating tumor DNA (ctDNA) positive, surgically resected Stage 2/3 rectal cancer or Stage 2 (high risk)/Stage 3 colon cancer.</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mRNA intratumoral immunotherapy</w:t>
      </w:r>
    </w:p>
    <w:p>
      <w:pPr>
        <w:spacing w:after="0" w:line="11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In collaboration with Sanofi, we are conducting a Phase 1 trial of SAR441000 (BNT131), our first mRNA-based intratumoral immunotherapy, as a monotherapy and in combination with cemiplimab in patients with solid tumors. SAR441000 (BNT131) consists of a modified mRNA that encodes the IL-12sc, IL-15sushi, GM-CSF and IFN-a cytokines. SAR441000 (BNT131) is designed to be administered directly into the tumor in order to alter the tumor microenvironment and enhance the immune system’s ability to recognize and fight cancer within the tumor (proximal) as well as in other untreated locations (distal).</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2" w:name="page13"/>
    <w:bookmarkEnd w:id="12"/>
    <w:p>
      <w:pPr>
        <w:jc w:val="both"/>
        <w:ind w:left="900" w:hanging="447"/>
        <w:spacing w:after="0" w:line="229" w:lineRule="auto"/>
        <w:tabs>
          <w:tab w:leader="none" w:pos="900" w:val="left"/>
        </w:tabs>
        <w:numPr>
          <w:ilvl w:val="0"/>
          <w:numId w:val="18"/>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7993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979930" cy="214630"/>
                    </a:xfrm>
                    <a:prstGeom prst="rect">
                      <a:avLst/>
                    </a:prstGeom>
                    <a:noFill/>
                  </pic:spPr>
                </pic:pic>
              </a:graphicData>
            </a:graphic>
          </wp:anchor>
        </w:drawing>
        <w:t>We expect to report a data update in the second half of 2020 from the ongoing Phase 1 trial. The trial is a first-in-human, multi-center, open-label, dose escalation and expansion trial to evaluate the safety, pharmacokinetics, pharmacodynamics and anti-tumor activity of SAR441000 (BNT131) administered intratumorally as a monotherapy and in combination with cemiplimab in patients with advanced solid tumors. The data to be presented will include safety, tolerability and pharmacodynamic biomarkers.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CLDN6 CAR-T cell immunotherapy</w:t>
      </w:r>
    </w:p>
    <w:p>
      <w:pPr>
        <w:spacing w:after="0" w:line="114"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auto"/>
        </w:rPr>
        <w:t>We are developing a proprietary chimeric antigen receptor T cell, or CAR-T, product candidate, BNT211, targeting Claudin-6, or CLDN6, a novel solid tumor-specific antigen. We developed BNT211 utilizing our target sdiscovery engine, and we plan to administer it along with a CARVac “primer” to boost the immune response and promote CAR-T cell persistence.</w:t>
      </w:r>
    </w:p>
    <w:p>
      <w:pPr>
        <w:spacing w:after="0" w:line="89" w:lineRule="exact"/>
        <w:rPr>
          <w:sz w:val="20"/>
          <w:szCs w:val="20"/>
          <w:color w:val="auto"/>
        </w:rPr>
      </w:pPr>
    </w:p>
    <w:p>
      <w:pPr>
        <w:jc w:val="both"/>
        <w:ind w:left="900" w:hanging="447"/>
        <w:spacing w:after="0" w:line="232" w:lineRule="auto"/>
        <w:tabs>
          <w:tab w:leader="none" w:pos="9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We expect to initiate a Phase 1/2a clinical trial for BNT211 in patients with advanced CLDN6+ solid tumors in the second half of 2020. While the preclinical focus has mainly been on ovarian cancer, patients with uterine, testicular, lung and gastric cancers may also be enrolled.</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Neo-antigen targeting T cells</w:t>
      </w:r>
    </w:p>
    <w:p>
      <w:pPr>
        <w:spacing w:after="0" w:line="114"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auto"/>
        </w:rPr>
        <w:t>Through our recent Neon acquisition, we obtained a neoantigen-targeting T cell platform that can be utilized to develop product candidates across several neoantigen-targeting non-engineered and engineered T cell therapies. Our lead product candidate under this platform is our individualized neoantigen-targeting T cell therapy, BNT221.</w:t>
      </w:r>
    </w:p>
    <w:p>
      <w:pPr>
        <w:spacing w:after="0" w:line="89" w:lineRule="exact"/>
        <w:rPr>
          <w:sz w:val="20"/>
          <w:szCs w:val="20"/>
          <w:color w:val="auto"/>
        </w:rPr>
      </w:pPr>
    </w:p>
    <w:p>
      <w:pPr>
        <w:jc w:val="both"/>
        <w:ind w:left="900" w:hanging="447"/>
        <w:spacing w:after="0" w:line="230" w:lineRule="auto"/>
        <w:tabs>
          <w:tab w:leader="none" w:pos="9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We expect to initiate a Phase 1 dose escalation trial of BNT221 in the second half of 2020 for the treatment of metastatic melanoma in patients who are refractory or unresponsive to checkpoint inhibitors. The primary objectives will be to evaluate the safety and feasibility of administering BNT221 to patients. Additional objectives include evaluation of immunogenicity and clinical efficacy.</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Next-generation checkpoint immunomodulators</w:t>
      </w:r>
    </w:p>
    <w:p>
      <w:pPr>
        <w:spacing w:after="0" w:line="11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We are developing, in collaboration with Genmab, novel next-generation bispecific antibodies that are designed for conditional activation of immunostimulatory checkpoint molecules. Our first bispecific candidates are GEN1046 (BNT311), which targets PD-L1 in conjunction with 4-1BB, and GEN1042 (BNT312), which targets CD40 in conjunction with 4-1BB. While 4-1BB is a known immune checkpoint target that is expressed on T cells and natural killer, or NK, cells, prior attempts to target 4-1BB with monoclonal antibodies have been severely limited by liver toxicities. Our 4-1BB targeting product candidates are designed to avoid toxicities by conditionally activating a 4-1BB receptor only together with the binding of either PD-L1 or CD40.</w:t>
      </w:r>
    </w:p>
    <w:p>
      <w:pPr>
        <w:spacing w:after="0" w:line="87" w:lineRule="exact"/>
        <w:rPr>
          <w:sz w:val="20"/>
          <w:szCs w:val="20"/>
          <w:color w:val="auto"/>
        </w:rPr>
      </w:pPr>
    </w:p>
    <w:p>
      <w:pPr>
        <w:jc w:val="both"/>
        <w:ind w:left="900" w:hanging="447"/>
        <w:spacing w:after="0" w:line="232" w:lineRule="auto"/>
        <w:tabs>
          <w:tab w:leader="none" w:pos="9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We have initiated Phase 1/2a trials of GEN1046 (BNT311) and GEN1042 (BNT312) in solid tumors. BioNTech expects to provide a data update for the BNT311 trial, which will include dose-escalation data in the second half of 2020.</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Targeted cancer antibodies</w:t>
      </w:r>
    </w:p>
    <w:p>
      <w:pPr>
        <w:spacing w:after="0" w:line="11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MVT-5873 (BNT321) is a fully human IgG1 monoclonal antibody targeting sialyl Lewis A (sLea), a novel epitope expressed specifically in pancreatic and other solid tumors. MVT-5873 (BNT321) is currently in Phase 1 clinical development in pancreatic cancer.</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7993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979930" cy="214630"/>
                    </a:xfrm>
                    <a:prstGeom prst="rect">
                      <a:avLst/>
                    </a:prstGeom>
                    <a:noFill/>
                  </pic:spPr>
                </pic:pic>
              </a:graphicData>
            </a:graphic>
          </wp:anchor>
        </w:drawing>
        <w:t>Small molecule immunomodulators</w:t>
      </w:r>
    </w:p>
    <w:p>
      <w:pPr>
        <w:spacing w:after="0" w:line="114"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BNT411 is our novel small molecule TLR7 agonist product candidate. BNT411 is engineered for high potency and high selectivity for the TLR7 receptor to activate both the adaptive and innate immune system.</w:t>
      </w:r>
    </w:p>
    <w:p>
      <w:pPr>
        <w:spacing w:after="0" w:line="88" w:lineRule="exact"/>
        <w:rPr>
          <w:sz w:val="20"/>
          <w:szCs w:val="20"/>
          <w:color w:val="auto"/>
        </w:rPr>
      </w:pPr>
    </w:p>
    <w:p>
      <w:pPr>
        <w:jc w:val="both"/>
        <w:ind w:left="900" w:hanging="447"/>
        <w:spacing w:after="0" w:line="230" w:lineRule="auto"/>
        <w:tabs>
          <w:tab w:leader="none" w:pos="9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On July 8, 2020, the first patient was dosed in a Phase 1/2a, first-in-human, open-label, dose-escalation trial with expansion cohorts to evaluate the safety, pharmacokinetics, pharmacodynamics and preliminary efficacy of BNT411 as a monotherapy in patients with solid tumors, and in combination with atezolizumab, carboplatin and etoposide in patients with chemotherapy-naïve extensive-stage small cell lung cancer (ES-SCLC).</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In addition, we have several other cancer immunotherapy programs in pre-clinical development including:</w:t>
      </w:r>
    </w:p>
    <w:p>
      <w:pPr>
        <w:spacing w:after="0" w:line="74" w:lineRule="exact"/>
        <w:rPr>
          <w:sz w:val="20"/>
          <w:szCs w:val="20"/>
          <w:color w:val="auto"/>
        </w:rPr>
      </w:pPr>
    </w:p>
    <w:p>
      <w:pPr>
        <w:jc w:val="both"/>
        <w:ind w:left="900" w:hanging="447"/>
        <w:spacing w:after="0" w:line="239" w:lineRule="auto"/>
        <w:tabs>
          <w:tab w:leader="none" w:pos="900" w:val="left"/>
        </w:tabs>
        <w:numPr>
          <w:ilvl w:val="0"/>
          <w:numId w:val="23"/>
        </w:numPr>
        <w:rPr>
          <w:rFonts w:ascii="Arial" w:cs="Arial" w:eastAsia="Arial" w:hAnsi="Arial"/>
          <w:sz w:val="20"/>
          <w:szCs w:val="20"/>
          <w:color w:val="auto"/>
        </w:rPr>
      </w:pPr>
      <w:r>
        <w:rPr>
          <w:rFonts w:ascii="Arial" w:cs="Arial" w:eastAsia="Arial" w:hAnsi="Arial"/>
          <w:sz w:val="20"/>
          <w:szCs w:val="20"/>
          <w:i w:val="1"/>
          <w:iCs w:val="1"/>
          <w:color w:val="auto"/>
        </w:rPr>
        <w:t xml:space="preserve">RiboMabs: </w:t>
      </w:r>
      <w:r>
        <w:rPr>
          <w:rFonts w:ascii="Arial" w:cs="Arial" w:eastAsia="Arial" w:hAnsi="Arial"/>
          <w:sz w:val="20"/>
          <w:szCs w:val="20"/>
          <w:color w:val="auto"/>
        </w:rPr>
        <w:t>novel classes of mRNA-based therapeutics that are designed to encode antibodies directly in the patient’s</w:t>
      </w:r>
      <w:r>
        <w:rPr>
          <w:rFonts w:ascii="Arial" w:cs="Arial" w:eastAsia="Arial" w:hAnsi="Arial"/>
          <w:sz w:val="20"/>
          <w:szCs w:val="20"/>
          <w:i w:val="1"/>
          <w:iCs w:val="1"/>
          <w:color w:val="auto"/>
        </w:rPr>
        <w:t xml:space="preserve"> </w:t>
      </w:r>
      <w:r>
        <w:rPr>
          <w:rFonts w:ascii="Arial" w:cs="Arial" w:eastAsia="Arial" w:hAnsi="Arial"/>
          <w:sz w:val="20"/>
          <w:szCs w:val="20"/>
          <w:color w:val="auto"/>
        </w:rPr>
        <w:t>body. We expect to initiate Phase 1 clinical trials for our first two RiboMab product candidates, BNT141 and BNT142, both in the first half of 2021.</w:t>
      </w:r>
    </w:p>
    <w:p>
      <w:pPr>
        <w:spacing w:after="0" w:line="68" w:lineRule="exact"/>
        <w:rPr>
          <w:rFonts w:ascii="Arial" w:cs="Arial" w:eastAsia="Arial" w:hAnsi="Arial"/>
          <w:sz w:val="20"/>
          <w:szCs w:val="20"/>
          <w:color w:val="auto"/>
        </w:rPr>
      </w:pPr>
    </w:p>
    <w:p>
      <w:pPr>
        <w:jc w:val="both"/>
        <w:ind w:left="900" w:hanging="447"/>
        <w:spacing w:after="0" w:line="239" w:lineRule="auto"/>
        <w:tabs>
          <w:tab w:leader="none" w:pos="900" w:val="left"/>
        </w:tabs>
        <w:numPr>
          <w:ilvl w:val="0"/>
          <w:numId w:val="23"/>
        </w:numPr>
        <w:rPr>
          <w:rFonts w:ascii="Arial" w:cs="Arial" w:eastAsia="Arial" w:hAnsi="Arial"/>
          <w:sz w:val="20"/>
          <w:szCs w:val="20"/>
          <w:color w:val="auto"/>
        </w:rPr>
      </w:pPr>
      <w:r>
        <w:rPr>
          <w:rFonts w:ascii="Arial" w:cs="Arial" w:eastAsia="Arial" w:hAnsi="Arial"/>
          <w:sz w:val="20"/>
          <w:szCs w:val="20"/>
          <w:i w:val="1"/>
          <w:iCs w:val="1"/>
          <w:color w:val="auto"/>
        </w:rPr>
        <w:t xml:space="preserve">RiboCytokines: </w:t>
      </w:r>
      <w:r>
        <w:rPr>
          <w:rFonts w:ascii="Arial" w:cs="Arial" w:eastAsia="Arial" w:hAnsi="Arial"/>
          <w:sz w:val="20"/>
          <w:szCs w:val="20"/>
          <w:color w:val="auto"/>
        </w:rPr>
        <w:t>novel classes of mRNA-based therapeutics that are designed to encode cytokines directly in the</w:t>
      </w:r>
      <w:r>
        <w:rPr>
          <w:rFonts w:ascii="Arial" w:cs="Arial" w:eastAsia="Arial" w:hAnsi="Arial"/>
          <w:sz w:val="20"/>
          <w:szCs w:val="20"/>
          <w:i w:val="1"/>
          <w:iCs w:val="1"/>
          <w:color w:val="auto"/>
        </w:rPr>
        <w:t xml:space="preserve"> </w:t>
      </w:r>
      <w:r>
        <w:rPr>
          <w:rFonts w:ascii="Arial" w:cs="Arial" w:eastAsia="Arial" w:hAnsi="Arial"/>
          <w:sz w:val="20"/>
          <w:szCs w:val="20"/>
          <w:color w:val="auto"/>
        </w:rPr>
        <w:t>patient’s body. We expect to initiate Phase 1 clinical trials for our first RiboCytokine product candidates, BNT151 and BNT152/BNT153 (combination), in the first half of 2021.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Infectious Disease Immunotherapies</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COVID-19 Vaccine Program</w:t>
      </w:r>
    </w:p>
    <w:p>
      <w:pPr>
        <w:spacing w:after="0" w:line="11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In response to the coronavirus global pandemic, the company assembled a global consortium of partners including Pfizer (worldwide collaboration outside of China) and Fosun Pharma (China). BioNTech's vaccine program against COVID-19, BNT162, leverages our proprietary mRNA platform. Currently there are four vaccine candidates: two of the four vaccine candidates include a nucleoside modified mRNA (modRNA), one includes a uridine containing mRNA (uRNA), and the fourth vaccine candidate utilizes self-amplifying mRNA (saRNA). Each mRNA format is combined with a lipid nanoparticle (LNP) formulation. The larger spike sequence is included in two of the vaccine candidates, and the smaller optimized receptor binding domain (RBD) from the spike protein is included in the other two candidates.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Along with our partner, Pfizer:</w:t>
      </w:r>
    </w:p>
    <w:p>
      <w:pPr>
        <w:spacing w:after="0" w:line="94" w:lineRule="exact"/>
        <w:rPr>
          <w:sz w:val="20"/>
          <w:szCs w:val="20"/>
          <w:color w:val="auto"/>
        </w:rPr>
      </w:pPr>
    </w:p>
    <w:p>
      <w:pPr>
        <w:jc w:val="both"/>
        <w:ind w:left="900" w:hanging="447"/>
        <w:spacing w:after="0" w:line="232" w:lineRule="auto"/>
        <w:tabs>
          <w:tab w:leader="none" w:pos="9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We released data from the ongoing U.S. Phase 1/2 placebo-controlled, observer-blinded clinical trial, evaluating nucleoside-modified mRNA vaccine candidate (BNT162b1) in 45 subjects, and data from an ongoing Germany trial in 60 subjects.</w:t>
      </w:r>
    </w:p>
    <w:p>
      <w:pPr>
        <w:spacing w:after="0" w:line="89" w:lineRule="exact"/>
        <w:rPr>
          <w:rFonts w:ascii="Arial" w:cs="Arial" w:eastAsia="Arial" w:hAnsi="Arial"/>
          <w:sz w:val="20"/>
          <w:szCs w:val="20"/>
          <w:color w:val="auto"/>
        </w:rPr>
      </w:pPr>
    </w:p>
    <w:p>
      <w:pPr>
        <w:ind w:left="900" w:right="20" w:hanging="447"/>
        <w:spacing w:after="0" w:line="236" w:lineRule="auto"/>
        <w:tabs>
          <w:tab w:leader="none" w:pos="9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We received Fast Track designation for BNT162b1 and BNT162b2 from the U.S. Food and Drug Administration (FDA).</w:t>
      </w:r>
    </w:p>
    <w:p>
      <w:pPr>
        <w:spacing w:after="0" w:line="87" w:lineRule="exact"/>
        <w:rPr>
          <w:rFonts w:ascii="Arial" w:cs="Arial" w:eastAsia="Arial" w:hAnsi="Arial"/>
          <w:sz w:val="20"/>
          <w:szCs w:val="20"/>
          <w:color w:val="auto"/>
        </w:rPr>
      </w:pPr>
    </w:p>
    <w:p>
      <w:pPr>
        <w:jc w:val="both"/>
        <w:ind w:left="900" w:hanging="447"/>
        <w:spacing w:after="0" w:line="232" w:lineRule="auto"/>
        <w:tabs>
          <w:tab w:leader="none" w:pos="9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We initiated a Phase 2b/3 study for BNT162b2 in up to 30,000 participants aged 18 to 85 years at approximately 120 sites globally. If successful, BioNTech and Pfizer plan to file for market authorization or regulatory approval as early as October 2020.</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4" w:name="page15"/>
    <w:bookmarkEnd w:id="14"/>
    <w:p>
      <w:pPr>
        <w:jc w:val="both"/>
        <w:ind w:left="900" w:hanging="447"/>
        <w:spacing w:after="0" w:line="232" w:lineRule="auto"/>
        <w:tabs>
          <w:tab w:leader="none" w:pos="900" w:val="left"/>
        </w:tabs>
        <w:numPr>
          <w:ilvl w:val="0"/>
          <w:numId w:val="25"/>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79930"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979930" cy="214630"/>
                    </a:xfrm>
                    <a:prstGeom prst="rect">
                      <a:avLst/>
                    </a:prstGeom>
                    <a:noFill/>
                  </pic:spPr>
                </pic:pic>
              </a:graphicData>
            </a:graphic>
          </wp:anchor>
        </w:drawing>
        <w:t>We completed initial commercial supply agreements totaling more than 250 million doses with the United Kingdom, the United States, Japan and Canada to be delivered in 2020 and 2021, with an option to purchase an additional 500 million doses. All agreements are subject to clinical success and regulatory approval.</w:t>
      </w:r>
    </w:p>
    <w:p>
      <w:pPr>
        <w:spacing w:after="0" w:line="89"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Along with our partner, Fosun, we have initiated a Phase 1 study for BNT162b1 to evaluate safety and immunogenicity in Chinese participants to support a potential regulatory approval pathway in China.</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Flu vaccine</w:t>
      </w:r>
    </w:p>
    <w:p>
      <w:pPr>
        <w:spacing w:after="0" w:line="114"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We have a collaboration with Pfizer to develop mRNA-based immunotherapies for the prevention of influenza, product candidate BNT161. We expect to begin clinical testing in 2021.</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Infectious diseases</w:t>
      </w:r>
    </w:p>
    <w:p>
      <w:pPr>
        <w:spacing w:after="0" w:line="11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We have a research collaboration with the University of Pennsylvania, under which we have the exclusive option to develop and commercialize mRNA immunotherapies for the treatment of up to 10 infectious disease indications. We expect the first clinical trial under this collaboration to start in the first half of 2021. We have also entered into a letter agreement and investment agreement with the Bill &amp; Melinda Gates Foundation to advance the development of immunotherapies for the prevention and/or treatment of HIV and tuberculosis, and up to three additional infectious diseases.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Rare Disease Protein Replacement Therapies</w:t>
      </w:r>
    </w:p>
    <w:p>
      <w:pPr>
        <w:spacing w:after="0" w:line="118"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We are collaborating with Genevant in order to capitalize on opportunities for our mRNA technology in rare disease indications potentially featuring expedited paths to market. We are combining our mRNA technology with Genevant’s lipid nanoparticle, or LNP, delivery technology to create up to five mRNA protein replacement therapies for the treatment of rare diseases with high unmet medical needs. We expect our product to enter the clinic in the second half of 2021.</w:t>
      </w:r>
    </w:p>
    <w:p>
      <w:pPr>
        <w:ind w:left="120" w:hanging="112"/>
        <w:spacing w:after="0" w:line="216" w:lineRule="auto"/>
        <w:tabs>
          <w:tab w:leader="none" w:pos="120" w:val="left"/>
        </w:tabs>
        <w:numPr>
          <w:ilvl w:val="0"/>
          <w:numId w:val="26"/>
        </w:numPr>
        <w:rPr>
          <w:rFonts w:ascii="Arial" w:cs="Arial" w:eastAsia="Arial" w:hAnsi="Arial"/>
          <w:sz w:val="28"/>
          <w:szCs w:val="28"/>
          <w:color w:val="auto"/>
          <w:vertAlign w:val="superscript"/>
        </w:rPr>
      </w:pPr>
      <w:r>
        <w:rPr>
          <w:rFonts w:ascii="Arial" w:cs="Arial" w:eastAsia="Arial" w:hAnsi="Arial"/>
          <w:sz w:val="16"/>
          <w:szCs w:val="16"/>
          <w:color w:val="auto"/>
        </w:rPr>
        <w:t>All amounts translated using the exchange rate published by the German Central Bank (Deutsche Bundesbank) in effect as of June 30, 2020.</w:t>
      </w:r>
    </w:p>
    <w:p>
      <w:pPr>
        <w:spacing w:after="0" w:line="225" w:lineRule="exact"/>
        <w:rPr>
          <w:sz w:val="20"/>
          <w:szCs w:val="20"/>
          <w:color w:val="auto"/>
        </w:rPr>
      </w:pPr>
    </w:p>
    <w:p>
      <w:pPr>
        <w:ind w:firstLine="8"/>
        <w:spacing w:after="0" w:line="181" w:lineRule="auto"/>
        <w:tabs>
          <w:tab w:leader="none" w:pos="115" w:val="left"/>
        </w:tabs>
        <w:numPr>
          <w:ilvl w:val="0"/>
          <w:numId w:val="27"/>
        </w:numPr>
        <w:rPr>
          <w:rFonts w:ascii="Arial" w:cs="Arial" w:eastAsia="Arial" w:hAnsi="Arial"/>
          <w:sz w:val="28"/>
          <w:szCs w:val="28"/>
          <w:color w:val="auto"/>
          <w:vertAlign w:val="superscript"/>
        </w:rPr>
      </w:pPr>
      <w:r>
        <w:rPr>
          <w:rFonts w:ascii="Arial" w:cs="Arial" w:eastAsia="Arial" w:hAnsi="Arial"/>
          <w:sz w:val="16"/>
          <w:szCs w:val="16"/>
          <w:color w:val="auto"/>
        </w:rPr>
        <w:t>IVAC_M_uID is also being investigated in arm 2 (N=15) of the 3 arm TNBC-MERIT trial, with BNT114 as an optional treatment; BNT114 is investigated in arm 1 (N=12) and arm 3 (N=15) of the TNBC-MERIT trial (total patients in study: N=42).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79930"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979930" cy="214630"/>
                    </a:xfrm>
                    <a:prstGeom prst="rect">
                      <a:avLst/>
                    </a:prstGeom>
                    <a:noFill/>
                  </pic:spPr>
                </pic:pic>
              </a:graphicData>
            </a:graphic>
          </wp:anchor>
        </w:drawing>
        <w:t>About BioNTech</w:t>
      </w:r>
    </w:p>
    <w:p>
      <w:pPr>
        <w:spacing w:after="0" w:line="1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Biopharmaceutical New Technologies is a next generation immunotherapy company pioneering novel therapies for cancer and other serious diseases. The Company exploits a wide array of computational discovery and therapeutic drug platforms for the rapid development of novel biopharmaceuticals. Its broad portfolio of oncology product candidates includes individualized and off-the-shelf mRNA-based therapies, innovative chimeric antigen receptor T cells, bi-specific checkpoint immuno-modulators, targeted cancer antibodies and small molecules. Based on its deep expertise in mRNA vaccine development and in-house manufacturing capabilities, BioNTech and its collaborators are developing multiple mRNA vaccine candidates for a range of infectious diseases alongside its diverse oncology pipeline. BioNTech has established a broad set of relationships with multiple global pharmaceutical collaborators, including Genmab, Sanofi, Bayer Animal Health, Genentech, a member of the Roche Group, Regeneron, Genevant, Fosun Pharma, and Pfizer.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please visit www.BioNTech.de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0"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as amended, including, but not limited to, statements concerning: our expected cash usage for 2020 and beyond; our anticipated cash runway; the timing, completion and extent of subscription of the rights offering; the planned next steps in BioNTech’s pipeline programs and specifically including, but not limited to, statements regarding plans to initiate clinical trials of BioNTech’s product candidates; expectations for data announcements with respect to BioNTech’s clinical trials; the timing for any potential emergency use authorizations or approvals for BNT162; and our ability to scale-up manufacturing capacity for BNT162 and supply the quantities of BNT162 to support clinical development and, if approved, market demand, including our production estimates for 2020 and 2021.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 The forward-looking statements in this press release are neither promises nor guarantees, and you should not place undue reliance on these forward-looking statements because they involve known and unknown risks, uncertainties, and other factors, many of which are beyond BioNTech’s control and which could cause actual results to differ materially from those expressed or implied by these forward-looking statements. You should review the risks and uncertainties described under the heading “Risk Factors” in BioNTech’s Annual Report on Form 20-F filed with the U.S. Securities and Exchange Commission (SEC) on March 31, 2020 and in subsequent filings made by BioNTech with the SEC, which are available on the SEC’s website at https://www.sec.gov/. Except as required by law, BioNTech disclaims any intention or responsibility for updating or revising any forward-looking statements contained in this press release in the event of new information, future developments or otherwise. These forward-looking statements are based on BioNTech’s current expectations and speak only as of the date hereof.</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79930"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979930" cy="214630"/>
                    </a:xfrm>
                    <a:prstGeom prst="rect">
                      <a:avLst/>
                    </a:prstGeom>
                    <a:noFill/>
                  </pic:spPr>
                </pic:pic>
              </a:graphicData>
            </a:graphic>
          </wp:anchor>
        </w:drawing>
        <w:t>Investor Relations</w:t>
      </w:r>
    </w:p>
    <w:p>
      <w:pPr>
        <w:spacing w:after="0" w:line="235" w:lineRule="auto"/>
        <w:rPr>
          <w:sz w:val="20"/>
          <w:szCs w:val="20"/>
          <w:color w:val="auto"/>
        </w:rPr>
      </w:pPr>
      <w:r>
        <w:rPr>
          <w:rFonts w:ascii="Arial" w:cs="Arial" w:eastAsia="Arial" w:hAnsi="Arial"/>
          <w:sz w:val="20"/>
          <w:szCs w:val="20"/>
          <w:color w:val="auto"/>
        </w:rPr>
        <w:t>Sylke Maas, Ph.D.</w:t>
      </w:r>
    </w:p>
    <w:p>
      <w:pPr>
        <w:spacing w:after="0" w:line="226" w:lineRule="auto"/>
        <w:rPr>
          <w:sz w:val="20"/>
          <w:szCs w:val="20"/>
          <w:color w:val="auto"/>
        </w:rPr>
      </w:pPr>
      <w:r>
        <w:rPr>
          <w:rFonts w:ascii="Arial" w:cs="Arial" w:eastAsia="Arial" w:hAnsi="Arial"/>
          <w:sz w:val="20"/>
          <w:szCs w:val="20"/>
          <w:color w:val="auto"/>
        </w:rPr>
        <w:t>VP Investor Relations &amp; Business Strategy</w:t>
      </w:r>
    </w:p>
    <w:p>
      <w:pPr>
        <w:spacing w:after="0" w:line="225" w:lineRule="auto"/>
        <w:rPr>
          <w:sz w:val="20"/>
          <w:szCs w:val="20"/>
          <w:color w:val="auto"/>
        </w:rPr>
      </w:pPr>
      <w:r>
        <w:rPr>
          <w:rFonts w:ascii="Arial" w:cs="Arial" w:eastAsia="Arial" w:hAnsi="Arial"/>
          <w:sz w:val="20"/>
          <w:szCs w:val="20"/>
          <w:color w:val="auto"/>
        </w:rPr>
        <w:t>Tel: +49 (0)6131 9084 1074</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E-mail: Investors@biontech.de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Relations</w:t>
      </w:r>
    </w:p>
    <w:p>
      <w:pPr>
        <w:spacing w:after="0" w:line="235" w:lineRule="auto"/>
        <w:rPr>
          <w:sz w:val="20"/>
          <w:szCs w:val="20"/>
          <w:color w:val="auto"/>
        </w:rPr>
      </w:pPr>
      <w:r>
        <w:rPr>
          <w:rFonts w:ascii="Arial" w:cs="Arial" w:eastAsia="Arial" w:hAnsi="Arial"/>
          <w:sz w:val="20"/>
          <w:szCs w:val="20"/>
          <w:color w:val="auto"/>
        </w:rPr>
        <w:t>Jasmina Alatovic</w:t>
      </w:r>
    </w:p>
    <w:p>
      <w:pPr>
        <w:spacing w:after="0" w:line="226" w:lineRule="auto"/>
        <w:rPr>
          <w:sz w:val="20"/>
          <w:szCs w:val="20"/>
          <w:color w:val="auto"/>
        </w:rPr>
      </w:pPr>
      <w:r>
        <w:rPr>
          <w:rFonts w:ascii="Arial" w:cs="Arial" w:eastAsia="Arial" w:hAnsi="Arial"/>
          <w:sz w:val="20"/>
          <w:szCs w:val="20"/>
          <w:color w:val="auto"/>
        </w:rPr>
        <w:t>Senior Manager Global External Communications</w:t>
      </w:r>
    </w:p>
    <w:p>
      <w:pPr>
        <w:spacing w:after="0" w:line="225" w:lineRule="auto"/>
        <w:rPr>
          <w:sz w:val="20"/>
          <w:szCs w:val="20"/>
          <w:color w:val="auto"/>
        </w:rPr>
      </w:pPr>
      <w:r>
        <w:rPr>
          <w:rFonts w:ascii="Arial" w:cs="Arial" w:eastAsia="Arial" w:hAnsi="Arial"/>
          <w:sz w:val="20"/>
          <w:szCs w:val="20"/>
          <w:color w:val="auto"/>
        </w:rPr>
        <w:t>Tel: +49 (0)6131 9084 1513 or +49 (0)151 1978 1385</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E-mail: Media@biontech.de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3089275</wp:posOffset>
            </wp:positionV>
            <wp:extent cx="6137910" cy="26403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3791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36"/>
          <w:szCs w:val="36"/>
          <w:color w:val="auto"/>
        </w:rPr>
        <w:t>BioNTech SE</w:t>
      </w:r>
    </w:p>
    <w:p>
      <w:pPr>
        <w:spacing w:after="0" w:line="124" w:lineRule="exact"/>
        <w:rPr>
          <w:sz w:val="20"/>
          <w:szCs w:val="20"/>
          <w:color w:val="auto"/>
        </w:rPr>
      </w:pPr>
    </w:p>
    <w:p>
      <w:pPr>
        <w:spacing w:after="0"/>
        <w:rPr>
          <w:sz w:val="20"/>
          <w:szCs w:val="20"/>
          <w:color w:val="auto"/>
        </w:rPr>
      </w:pPr>
      <w:r>
        <w:rPr>
          <w:rFonts w:ascii="Arial" w:cs="Arial" w:eastAsia="Arial" w:hAnsi="Arial"/>
          <w:sz w:val="25"/>
          <w:szCs w:val="25"/>
          <w:color w:val="auto"/>
        </w:rPr>
        <w:t>Quarterly Report for the Three and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rPr>
          <w:sz w:val="20"/>
          <w:szCs w:val="20"/>
          <w:color w:val="auto"/>
        </w:rPr>
      </w:pPr>
      <w:r>
        <w:rPr>
          <w:rFonts w:ascii="Arial" w:cs="Arial" w:eastAsia="Arial" w:hAnsi="Arial"/>
          <w:sz w:val="36"/>
          <w:szCs w:val="36"/>
          <w:color w:val="auto"/>
        </w:rPr>
        <w:t>BioNTech SE</w:t>
      </w:r>
    </w:p>
    <w:p>
      <w:pPr>
        <w:spacing w:after="0" w:line="124" w:lineRule="exact"/>
        <w:rPr>
          <w:sz w:val="20"/>
          <w:szCs w:val="20"/>
          <w:color w:val="auto"/>
        </w:rPr>
      </w:pPr>
    </w:p>
    <w:p>
      <w:pPr>
        <w:ind w:right="4340"/>
        <w:spacing w:after="0" w:line="367" w:lineRule="auto"/>
        <w:rPr>
          <w:sz w:val="20"/>
          <w:szCs w:val="20"/>
          <w:color w:val="auto"/>
        </w:rPr>
      </w:pPr>
      <w:r>
        <w:rPr>
          <w:rFonts w:ascii="Arial" w:cs="Arial" w:eastAsia="Arial" w:hAnsi="Arial"/>
          <w:sz w:val="25"/>
          <w:szCs w:val="25"/>
          <w:color w:val="auto"/>
        </w:rPr>
        <w:t>Quarterly Report for the Three and Six Months ended June 30, 2020 Index</w:t>
      </w:r>
    </w:p>
    <w:p>
      <w:pPr>
        <w:spacing w:after="0" w:line="141" w:lineRule="exact"/>
        <w:rPr>
          <w:sz w:val="20"/>
          <w:szCs w:val="20"/>
          <w:color w:val="auto"/>
        </w:rPr>
      </w:pPr>
    </w:p>
    <w:p>
      <w:pPr>
        <w:spacing w:after="0"/>
        <w:rPr>
          <w:rFonts w:ascii="Arial" w:cs="Arial" w:eastAsia="Arial" w:hAnsi="Arial"/>
          <w:sz w:val="25"/>
          <w:szCs w:val="25"/>
          <w:b w:val="1"/>
          <w:bCs w:val="1"/>
          <w:u w:val="single" w:color="auto"/>
          <w:color w:val="0000EE"/>
        </w:rPr>
      </w:pPr>
      <w:hyperlink w:anchor="page20">
        <w:r>
          <w:rPr>
            <w:rFonts w:ascii="Arial" w:cs="Arial" w:eastAsia="Arial" w:hAnsi="Arial"/>
            <w:sz w:val="25"/>
            <w:szCs w:val="25"/>
            <w:b w:val="1"/>
            <w:bCs w:val="1"/>
            <w:u w:val="single" w:color="auto"/>
            <w:color w:val="0000EE"/>
          </w:rPr>
          <w:t>Interim Condensed Consolidated Financial Statements</w:t>
        </w:r>
      </w:hyperlink>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260" w:type="dxa"/>
            <w:vAlign w:val="bottom"/>
            <w:gridSpan w:val="2"/>
          </w:tcPr>
          <w:p>
            <w:pPr>
              <w:spacing w:after="0"/>
              <w:rPr>
                <w:rFonts w:ascii="Arial" w:cs="Arial" w:eastAsia="Arial" w:hAnsi="Arial"/>
                <w:sz w:val="20"/>
                <w:szCs w:val="20"/>
                <w:b w:val="1"/>
                <w:bCs w:val="1"/>
                <w:u w:val="single" w:color="auto"/>
                <w:color w:val="0000EE"/>
              </w:rPr>
            </w:pPr>
            <w:hyperlink w:anchor="page20">
              <w:r>
                <w:rPr>
                  <w:rFonts w:ascii="Arial" w:cs="Arial" w:eastAsia="Arial" w:hAnsi="Arial"/>
                  <w:sz w:val="20"/>
                  <w:szCs w:val="20"/>
                  <w:b w:val="1"/>
                  <w:bCs w:val="1"/>
                  <w:u w:val="single" w:color="auto"/>
                  <w:color w:val="0000EE"/>
                </w:rPr>
                <w:t>Interim Condensed Consolidated Statements of Financial Position</w:t>
              </w:r>
            </w:hyperlink>
          </w:p>
        </w:tc>
        <w:tc>
          <w:tcPr>
            <w:tcW w:w="1980" w:type="dxa"/>
            <w:vAlign w:val="bottom"/>
          </w:tcPr>
          <w:p>
            <w:pPr>
              <w:jc w:val="right"/>
              <w:spacing w:after="0"/>
              <w:rPr>
                <w:sz w:val="20"/>
                <w:szCs w:val="20"/>
                <w:color w:val="auto"/>
              </w:rPr>
            </w:pPr>
            <w:r>
              <w:rPr>
                <w:rFonts w:ascii="Arial" w:cs="Arial" w:eastAsia="Arial" w:hAnsi="Arial"/>
                <w:sz w:val="20"/>
                <w:szCs w:val="20"/>
                <w:b w:val="1"/>
                <w:bCs w:val="1"/>
                <w:color w:val="auto"/>
              </w:rPr>
              <w:t>3</w:t>
            </w:r>
          </w:p>
        </w:tc>
      </w:tr>
      <w:tr>
        <w:trPr>
          <w:trHeight w:val="364"/>
        </w:trPr>
        <w:tc>
          <w:tcPr>
            <w:tcW w:w="9260" w:type="dxa"/>
            <w:vAlign w:val="bottom"/>
            <w:gridSpan w:val="2"/>
          </w:tcPr>
          <w:p>
            <w:pPr>
              <w:spacing w:after="0"/>
              <w:rPr>
                <w:rFonts w:ascii="Arial" w:cs="Arial" w:eastAsia="Arial" w:hAnsi="Arial"/>
                <w:sz w:val="20"/>
                <w:szCs w:val="20"/>
                <w:b w:val="1"/>
                <w:bCs w:val="1"/>
                <w:u w:val="single" w:color="auto"/>
                <w:color w:val="0000EE"/>
              </w:rPr>
            </w:pPr>
            <w:hyperlink w:anchor="page21">
              <w:r>
                <w:rPr>
                  <w:rFonts w:ascii="Arial" w:cs="Arial" w:eastAsia="Arial" w:hAnsi="Arial"/>
                  <w:sz w:val="20"/>
                  <w:szCs w:val="20"/>
                  <w:b w:val="1"/>
                  <w:bCs w:val="1"/>
                  <w:u w:val="single" w:color="auto"/>
                  <w:color w:val="0000EE"/>
                </w:rPr>
                <w:t>Interim Condensed Consolidated Statements of Operations</w:t>
              </w:r>
            </w:hyperlink>
          </w:p>
        </w:tc>
        <w:tc>
          <w:tcPr>
            <w:tcW w:w="1980" w:type="dxa"/>
            <w:vAlign w:val="bottom"/>
          </w:tcPr>
          <w:p>
            <w:pPr>
              <w:jc w:val="right"/>
              <w:spacing w:after="0"/>
              <w:rPr>
                <w:sz w:val="20"/>
                <w:szCs w:val="20"/>
                <w:color w:val="auto"/>
              </w:rPr>
            </w:pPr>
            <w:r>
              <w:rPr>
                <w:rFonts w:ascii="Arial" w:cs="Arial" w:eastAsia="Arial" w:hAnsi="Arial"/>
                <w:sz w:val="20"/>
                <w:szCs w:val="20"/>
                <w:b w:val="1"/>
                <w:bCs w:val="1"/>
                <w:color w:val="auto"/>
              </w:rPr>
              <w:t>4</w:t>
            </w:r>
          </w:p>
        </w:tc>
      </w:tr>
      <w:tr>
        <w:trPr>
          <w:trHeight w:val="364"/>
        </w:trPr>
        <w:tc>
          <w:tcPr>
            <w:tcW w:w="9260" w:type="dxa"/>
            <w:vAlign w:val="bottom"/>
            <w:gridSpan w:val="2"/>
          </w:tcPr>
          <w:p>
            <w:pPr>
              <w:spacing w:after="0"/>
              <w:rPr>
                <w:rFonts w:ascii="Arial" w:cs="Arial" w:eastAsia="Arial" w:hAnsi="Arial"/>
                <w:sz w:val="20"/>
                <w:szCs w:val="20"/>
                <w:b w:val="1"/>
                <w:bCs w:val="1"/>
                <w:u w:val="single" w:color="auto"/>
                <w:color w:val="0000EE"/>
              </w:rPr>
            </w:pPr>
            <w:hyperlink w:anchor="page22">
              <w:r>
                <w:rPr>
                  <w:rFonts w:ascii="Arial" w:cs="Arial" w:eastAsia="Arial" w:hAnsi="Arial"/>
                  <w:sz w:val="20"/>
                  <w:szCs w:val="20"/>
                  <w:b w:val="1"/>
                  <w:bCs w:val="1"/>
                  <w:u w:val="single" w:color="auto"/>
                  <w:color w:val="0000EE"/>
                </w:rPr>
                <w:t>Interim Condensed Consolidated Statements of Comprehensive Loss</w:t>
              </w:r>
            </w:hyperlink>
          </w:p>
        </w:tc>
        <w:tc>
          <w:tcPr>
            <w:tcW w:w="1980" w:type="dxa"/>
            <w:vAlign w:val="bottom"/>
          </w:tcPr>
          <w:p>
            <w:pPr>
              <w:jc w:val="right"/>
              <w:spacing w:after="0"/>
              <w:rPr>
                <w:sz w:val="20"/>
                <w:szCs w:val="20"/>
                <w:color w:val="auto"/>
              </w:rPr>
            </w:pPr>
            <w:r>
              <w:rPr>
                <w:rFonts w:ascii="Arial" w:cs="Arial" w:eastAsia="Arial" w:hAnsi="Arial"/>
                <w:sz w:val="20"/>
                <w:szCs w:val="20"/>
                <w:b w:val="1"/>
                <w:bCs w:val="1"/>
                <w:color w:val="auto"/>
              </w:rPr>
              <w:t>5</w:t>
            </w:r>
          </w:p>
        </w:tc>
      </w:tr>
      <w:tr>
        <w:trPr>
          <w:trHeight w:val="365"/>
        </w:trPr>
        <w:tc>
          <w:tcPr>
            <w:tcW w:w="9260" w:type="dxa"/>
            <w:vAlign w:val="bottom"/>
            <w:gridSpan w:val="2"/>
          </w:tcPr>
          <w:p>
            <w:pPr>
              <w:spacing w:after="0"/>
              <w:rPr>
                <w:rFonts w:ascii="Arial" w:cs="Arial" w:eastAsia="Arial" w:hAnsi="Arial"/>
                <w:sz w:val="20"/>
                <w:szCs w:val="20"/>
                <w:b w:val="1"/>
                <w:bCs w:val="1"/>
                <w:u w:val="single" w:color="auto"/>
                <w:color w:val="0000EE"/>
              </w:rPr>
            </w:pPr>
            <w:hyperlink w:anchor="page23">
              <w:r>
                <w:rPr>
                  <w:rFonts w:ascii="Arial" w:cs="Arial" w:eastAsia="Arial" w:hAnsi="Arial"/>
                  <w:sz w:val="20"/>
                  <w:szCs w:val="20"/>
                  <w:b w:val="1"/>
                  <w:bCs w:val="1"/>
                  <w:u w:val="single" w:color="auto"/>
                  <w:color w:val="0000EE"/>
                </w:rPr>
                <w:t>Interim Condensed Consolidated Statements of Changes in Stockholder’s Equity</w:t>
              </w:r>
            </w:hyperlink>
          </w:p>
        </w:tc>
        <w:tc>
          <w:tcPr>
            <w:tcW w:w="1980" w:type="dxa"/>
            <w:vAlign w:val="bottom"/>
          </w:tcPr>
          <w:p>
            <w:pPr>
              <w:jc w:val="right"/>
              <w:spacing w:after="0"/>
              <w:rPr>
                <w:sz w:val="20"/>
                <w:szCs w:val="20"/>
                <w:color w:val="auto"/>
              </w:rPr>
            </w:pPr>
            <w:r>
              <w:rPr>
                <w:rFonts w:ascii="Arial" w:cs="Arial" w:eastAsia="Arial" w:hAnsi="Arial"/>
                <w:sz w:val="20"/>
                <w:szCs w:val="20"/>
                <w:b w:val="1"/>
                <w:bCs w:val="1"/>
                <w:color w:val="auto"/>
              </w:rPr>
              <w:t>6</w:t>
            </w:r>
          </w:p>
        </w:tc>
      </w:tr>
      <w:tr>
        <w:trPr>
          <w:trHeight w:val="364"/>
        </w:trPr>
        <w:tc>
          <w:tcPr>
            <w:tcW w:w="9260" w:type="dxa"/>
            <w:vAlign w:val="bottom"/>
            <w:gridSpan w:val="2"/>
          </w:tcPr>
          <w:p>
            <w:pPr>
              <w:spacing w:after="0"/>
              <w:rPr>
                <w:rFonts w:ascii="Arial" w:cs="Arial" w:eastAsia="Arial" w:hAnsi="Arial"/>
                <w:sz w:val="20"/>
                <w:szCs w:val="20"/>
                <w:b w:val="1"/>
                <w:bCs w:val="1"/>
                <w:u w:val="single" w:color="auto"/>
                <w:color w:val="0000EE"/>
              </w:rPr>
            </w:pPr>
            <w:hyperlink w:anchor="page24">
              <w:r>
                <w:rPr>
                  <w:rFonts w:ascii="Arial" w:cs="Arial" w:eastAsia="Arial" w:hAnsi="Arial"/>
                  <w:sz w:val="20"/>
                  <w:szCs w:val="20"/>
                  <w:b w:val="1"/>
                  <w:bCs w:val="1"/>
                  <w:u w:val="single" w:color="auto"/>
                  <w:color w:val="0000EE"/>
                </w:rPr>
                <w:t>Interim Condensed Consolidated Statements of Cash Flows</w:t>
              </w:r>
            </w:hyperlink>
          </w:p>
        </w:tc>
        <w:tc>
          <w:tcPr>
            <w:tcW w:w="1980" w:type="dxa"/>
            <w:vAlign w:val="bottom"/>
          </w:tcPr>
          <w:p>
            <w:pPr>
              <w:jc w:val="right"/>
              <w:spacing w:after="0"/>
              <w:rPr>
                <w:sz w:val="20"/>
                <w:szCs w:val="20"/>
                <w:color w:val="auto"/>
              </w:rPr>
            </w:pPr>
            <w:r>
              <w:rPr>
                <w:rFonts w:ascii="Arial" w:cs="Arial" w:eastAsia="Arial" w:hAnsi="Arial"/>
                <w:sz w:val="20"/>
                <w:szCs w:val="20"/>
                <w:b w:val="1"/>
                <w:bCs w:val="1"/>
                <w:color w:val="auto"/>
              </w:rPr>
              <w:t>7</w:t>
            </w:r>
          </w:p>
        </w:tc>
      </w:tr>
      <w:tr>
        <w:trPr>
          <w:trHeight w:val="364"/>
        </w:trPr>
        <w:tc>
          <w:tcPr>
            <w:tcW w:w="9260" w:type="dxa"/>
            <w:vAlign w:val="bottom"/>
            <w:gridSpan w:val="2"/>
          </w:tcPr>
          <w:p>
            <w:pPr>
              <w:spacing w:after="0"/>
              <w:rPr>
                <w:rFonts w:ascii="Arial" w:cs="Arial" w:eastAsia="Arial" w:hAnsi="Arial"/>
                <w:sz w:val="20"/>
                <w:szCs w:val="20"/>
                <w:b w:val="1"/>
                <w:bCs w:val="1"/>
                <w:u w:val="single" w:color="auto"/>
                <w:color w:val="0000EE"/>
              </w:rPr>
            </w:pPr>
            <w:hyperlink w:anchor="page25">
              <w:r>
                <w:rPr>
                  <w:rFonts w:ascii="Arial" w:cs="Arial" w:eastAsia="Arial" w:hAnsi="Arial"/>
                  <w:sz w:val="20"/>
                  <w:szCs w:val="20"/>
                  <w:b w:val="1"/>
                  <w:bCs w:val="1"/>
                  <w:u w:val="single" w:color="auto"/>
                  <w:color w:val="0000EE"/>
                </w:rPr>
                <w:t>Selected Explanatory Notes to the Interim Condensed Consolidated Financial Statements</w:t>
              </w:r>
            </w:hyperlink>
          </w:p>
        </w:tc>
        <w:tc>
          <w:tcPr>
            <w:tcW w:w="1980" w:type="dxa"/>
            <w:vAlign w:val="bottom"/>
          </w:tcPr>
          <w:p>
            <w:pPr>
              <w:jc w:val="right"/>
              <w:spacing w:after="0"/>
              <w:rPr>
                <w:sz w:val="20"/>
                <w:szCs w:val="20"/>
                <w:color w:val="auto"/>
              </w:rPr>
            </w:pPr>
            <w:r>
              <w:rPr>
                <w:rFonts w:ascii="Arial" w:cs="Arial" w:eastAsia="Arial" w:hAnsi="Arial"/>
                <w:sz w:val="20"/>
                <w:szCs w:val="20"/>
                <w:b w:val="1"/>
                <w:bCs w:val="1"/>
                <w:color w:val="auto"/>
              </w:rPr>
              <w:t>8</w:t>
            </w:r>
          </w:p>
        </w:tc>
      </w:tr>
      <w:tr>
        <w:trPr>
          <w:trHeight w:val="365"/>
        </w:trPr>
        <w:tc>
          <w:tcPr>
            <w:tcW w:w="260" w:type="dxa"/>
            <w:vAlign w:val="bottom"/>
          </w:tcPr>
          <w:p>
            <w:pPr>
              <w:spacing w:after="0"/>
              <w:rPr>
                <w:sz w:val="20"/>
                <w:szCs w:val="20"/>
                <w:color w:val="auto"/>
              </w:rPr>
            </w:pPr>
            <w:r>
              <w:rPr>
                <w:rFonts w:ascii="Arial" w:cs="Arial" w:eastAsia="Arial" w:hAnsi="Arial"/>
                <w:sz w:val="20"/>
                <w:szCs w:val="20"/>
                <w:b w:val="1"/>
                <w:bCs w:val="1"/>
                <w:color w:val="auto"/>
              </w:rPr>
              <w:t>1</w:t>
            </w:r>
          </w:p>
        </w:tc>
        <w:tc>
          <w:tcPr>
            <w:tcW w:w="9000" w:type="dxa"/>
            <w:vAlign w:val="bottom"/>
          </w:tcPr>
          <w:p>
            <w:pPr>
              <w:ind w:left="60"/>
              <w:spacing w:after="0"/>
              <w:rPr>
                <w:rFonts w:ascii="Arial" w:cs="Arial" w:eastAsia="Arial" w:hAnsi="Arial"/>
                <w:sz w:val="20"/>
                <w:szCs w:val="20"/>
                <w:b w:val="1"/>
                <w:bCs w:val="1"/>
                <w:u w:val="single" w:color="auto"/>
                <w:color w:val="0000EE"/>
              </w:rPr>
            </w:pPr>
            <w:hyperlink w:anchor="page25">
              <w:r>
                <w:rPr>
                  <w:rFonts w:ascii="Arial" w:cs="Arial" w:eastAsia="Arial" w:hAnsi="Arial"/>
                  <w:sz w:val="20"/>
                  <w:szCs w:val="20"/>
                  <w:b w:val="1"/>
                  <w:bCs w:val="1"/>
                  <w:u w:val="single" w:color="auto"/>
                  <w:color w:val="0000EE"/>
                </w:rPr>
                <w:t>Corporate Information</w:t>
              </w:r>
            </w:hyperlink>
          </w:p>
        </w:tc>
        <w:tc>
          <w:tcPr>
            <w:tcW w:w="1980" w:type="dxa"/>
            <w:vAlign w:val="bottom"/>
          </w:tcPr>
          <w:p>
            <w:pPr>
              <w:jc w:val="right"/>
              <w:spacing w:after="0"/>
              <w:rPr>
                <w:sz w:val="20"/>
                <w:szCs w:val="20"/>
                <w:color w:val="auto"/>
              </w:rPr>
            </w:pPr>
            <w:r>
              <w:rPr>
                <w:rFonts w:ascii="Arial" w:cs="Arial" w:eastAsia="Arial" w:hAnsi="Arial"/>
                <w:sz w:val="20"/>
                <w:szCs w:val="20"/>
                <w:b w:val="1"/>
                <w:bCs w:val="1"/>
                <w:color w:val="auto"/>
              </w:rPr>
              <w:t>8</w:t>
            </w:r>
          </w:p>
        </w:tc>
      </w:tr>
      <w:tr>
        <w:trPr>
          <w:trHeight w:val="364"/>
        </w:trPr>
        <w:tc>
          <w:tcPr>
            <w:tcW w:w="260" w:type="dxa"/>
            <w:vAlign w:val="bottom"/>
          </w:tcPr>
          <w:p>
            <w:pPr>
              <w:spacing w:after="0"/>
              <w:rPr>
                <w:sz w:val="20"/>
                <w:szCs w:val="20"/>
                <w:color w:val="auto"/>
              </w:rPr>
            </w:pPr>
            <w:r>
              <w:rPr>
                <w:rFonts w:ascii="Arial" w:cs="Arial" w:eastAsia="Arial" w:hAnsi="Arial"/>
                <w:sz w:val="20"/>
                <w:szCs w:val="20"/>
                <w:b w:val="1"/>
                <w:bCs w:val="1"/>
                <w:color w:val="auto"/>
              </w:rPr>
              <w:t>2</w:t>
            </w:r>
          </w:p>
        </w:tc>
        <w:tc>
          <w:tcPr>
            <w:tcW w:w="9000" w:type="dxa"/>
            <w:vAlign w:val="bottom"/>
          </w:tcPr>
          <w:p>
            <w:pPr>
              <w:ind w:left="60"/>
              <w:spacing w:after="0"/>
              <w:rPr>
                <w:rFonts w:ascii="Arial" w:cs="Arial" w:eastAsia="Arial" w:hAnsi="Arial"/>
                <w:sz w:val="20"/>
                <w:szCs w:val="20"/>
                <w:b w:val="1"/>
                <w:bCs w:val="1"/>
                <w:color w:val="0000EE"/>
              </w:rPr>
            </w:pPr>
            <w:hyperlink w:anchor="page25">
              <w:r>
                <w:rPr>
                  <w:rFonts w:ascii="Arial" w:cs="Arial" w:eastAsia="Arial" w:hAnsi="Arial"/>
                  <w:sz w:val="20"/>
                  <w:szCs w:val="20"/>
                  <w:b w:val="1"/>
                  <w:bCs w:val="1"/>
                  <w:u w:val="single" w:color="auto"/>
                  <w:color w:val="0000EE"/>
                </w:rPr>
                <w:t>Basis of Preparation, Significant Accounting Policies</w:t>
              </w:r>
              <w:r>
                <w:rPr>
                  <w:rFonts w:ascii="Arial" w:cs="Arial" w:eastAsia="Arial" w:hAnsi="Arial"/>
                  <w:sz w:val="20"/>
                  <w:szCs w:val="20"/>
                  <w:b w:val="1"/>
                  <w:bCs w:val="1"/>
                  <w:color w:val="0000EE"/>
                </w:rPr>
                <w:t xml:space="preserve"> </w:t>
              </w:r>
            </w:hyperlink>
            <w:r>
              <w:rPr>
                <w:rFonts w:ascii="Arial" w:cs="Arial" w:eastAsia="Arial" w:hAnsi="Arial"/>
                <w:sz w:val="20"/>
                <w:szCs w:val="20"/>
                <w:b w:val="1"/>
                <w:bCs w:val="1"/>
                <w:color w:val="000000"/>
              </w:rPr>
              <w:t>and</w:t>
            </w:r>
            <w:r>
              <w:rPr>
                <w:rFonts w:ascii="Arial" w:cs="Arial" w:eastAsia="Arial" w:hAnsi="Arial"/>
                <w:sz w:val="20"/>
                <w:szCs w:val="20"/>
                <w:b w:val="1"/>
                <w:bCs w:val="1"/>
                <w:color w:val="0000EE"/>
              </w:rPr>
              <w:t xml:space="preserve"> </w:t>
            </w:r>
            <w:r>
              <w:rPr>
                <w:rFonts w:ascii="Arial" w:cs="Arial" w:eastAsia="Arial" w:hAnsi="Arial"/>
                <w:sz w:val="20"/>
                <w:szCs w:val="20"/>
                <w:b w:val="1"/>
                <w:bCs w:val="1"/>
                <w:color w:val="000000"/>
              </w:rPr>
              <w:t>further Accounting Topics</w:t>
            </w:r>
          </w:p>
        </w:tc>
        <w:tc>
          <w:tcPr>
            <w:tcW w:w="1980" w:type="dxa"/>
            <w:vAlign w:val="bottom"/>
          </w:tcPr>
          <w:p>
            <w:pPr>
              <w:jc w:val="right"/>
              <w:spacing w:after="0"/>
              <w:rPr>
                <w:sz w:val="20"/>
                <w:szCs w:val="20"/>
                <w:color w:val="auto"/>
              </w:rPr>
            </w:pPr>
            <w:r>
              <w:rPr>
                <w:rFonts w:ascii="Arial" w:cs="Arial" w:eastAsia="Arial" w:hAnsi="Arial"/>
                <w:sz w:val="20"/>
                <w:szCs w:val="20"/>
                <w:b w:val="1"/>
                <w:bCs w:val="1"/>
                <w:color w:val="auto"/>
              </w:rPr>
              <w:t>8</w:t>
            </w:r>
          </w:p>
        </w:tc>
      </w:tr>
      <w:tr>
        <w:trPr>
          <w:trHeight w:val="365"/>
        </w:trPr>
        <w:tc>
          <w:tcPr>
            <w:tcW w:w="260" w:type="dxa"/>
            <w:vAlign w:val="bottom"/>
          </w:tcPr>
          <w:p>
            <w:pPr>
              <w:spacing w:after="0"/>
              <w:rPr>
                <w:sz w:val="20"/>
                <w:szCs w:val="20"/>
                <w:color w:val="auto"/>
              </w:rPr>
            </w:pPr>
            <w:r>
              <w:rPr>
                <w:rFonts w:ascii="Arial" w:cs="Arial" w:eastAsia="Arial" w:hAnsi="Arial"/>
                <w:sz w:val="20"/>
                <w:szCs w:val="20"/>
                <w:b w:val="1"/>
                <w:bCs w:val="1"/>
                <w:color w:val="auto"/>
              </w:rPr>
              <w:t>3</w:t>
            </w:r>
          </w:p>
        </w:tc>
        <w:tc>
          <w:tcPr>
            <w:tcW w:w="9000" w:type="dxa"/>
            <w:vAlign w:val="bottom"/>
          </w:tcPr>
          <w:p>
            <w:pPr>
              <w:ind w:left="60"/>
              <w:spacing w:after="0"/>
              <w:rPr>
                <w:rFonts w:ascii="Arial" w:cs="Arial" w:eastAsia="Arial" w:hAnsi="Arial"/>
                <w:sz w:val="20"/>
                <w:szCs w:val="20"/>
                <w:b w:val="1"/>
                <w:bCs w:val="1"/>
                <w:u w:val="single" w:color="auto"/>
                <w:color w:val="0000EE"/>
              </w:rPr>
            </w:pPr>
            <w:hyperlink w:anchor="page27">
              <w:r>
                <w:rPr>
                  <w:rFonts w:ascii="Arial" w:cs="Arial" w:eastAsia="Arial" w:hAnsi="Arial"/>
                  <w:sz w:val="20"/>
                  <w:szCs w:val="20"/>
                  <w:b w:val="1"/>
                  <w:bCs w:val="1"/>
                  <w:u w:val="single" w:color="auto"/>
                  <w:color w:val="0000EE"/>
                </w:rPr>
                <w:t>Segment Information</w:t>
              </w:r>
            </w:hyperlink>
          </w:p>
        </w:tc>
        <w:tc>
          <w:tcPr>
            <w:tcW w:w="1980" w:type="dxa"/>
            <w:vAlign w:val="bottom"/>
          </w:tcPr>
          <w:p>
            <w:pPr>
              <w:jc w:val="right"/>
              <w:spacing w:after="0"/>
              <w:rPr>
                <w:sz w:val="20"/>
                <w:szCs w:val="20"/>
                <w:color w:val="auto"/>
              </w:rPr>
            </w:pPr>
            <w:r>
              <w:rPr>
                <w:rFonts w:ascii="Arial" w:cs="Arial" w:eastAsia="Arial" w:hAnsi="Arial"/>
                <w:sz w:val="20"/>
                <w:szCs w:val="20"/>
                <w:b w:val="1"/>
                <w:bCs w:val="1"/>
                <w:color w:val="auto"/>
              </w:rPr>
              <w:t>10</w:t>
            </w:r>
          </w:p>
        </w:tc>
      </w:tr>
      <w:tr>
        <w:trPr>
          <w:trHeight w:val="364"/>
        </w:trPr>
        <w:tc>
          <w:tcPr>
            <w:tcW w:w="260" w:type="dxa"/>
            <w:vAlign w:val="bottom"/>
          </w:tcPr>
          <w:p>
            <w:pPr>
              <w:spacing w:after="0"/>
              <w:rPr>
                <w:sz w:val="20"/>
                <w:szCs w:val="20"/>
                <w:color w:val="auto"/>
              </w:rPr>
            </w:pPr>
            <w:r>
              <w:rPr>
                <w:rFonts w:ascii="Arial" w:cs="Arial" w:eastAsia="Arial" w:hAnsi="Arial"/>
                <w:sz w:val="20"/>
                <w:szCs w:val="20"/>
                <w:b w:val="1"/>
                <w:bCs w:val="1"/>
                <w:color w:val="auto"/>
              </w:rPr>
              <w:t>4</w:t>
            </w:r>
          </w:p>
        </w:tc>
        <w:tc>
          <w:tcPr>
            <w:tcW w:w="9000" w:type="dxa"/>
            <w:vAlign w:val="bottom"/>
          </w:tcPr>
          <w:p>
            <w:pPr>
              <w:ind w:left="60"/>
              <w:spacing w:after="0"/>
              <w:rPr>
                <w:rFonts w:ascii="Arial" w:cs="Arial" w:eastAsia="Arial" w:hAnsi="Arial"/>
                <w:sz w:val="20"/>
                <w:szCs w:val="20"/>
                <w:b w:val="1"/>
                <w:bCs w:val="1"/>
                <w:u w:val="single" w:color="auto"/>
                <w:color w:val="0000EE"/>
              </w:rPr>
            </w:pPr>
            <w:hyperlink w:anchor="page29">
              <w:r>
                <w:rPr>
                  <w:rFonts w:ascii="Arial" w:cs="Arial" w:eastAsia="Arial" w:hAnsi="Arial"/>
                  <w:sz w:val="20"/>
                  <w:szCs w:val="20"/>
                  <w:b w:val="1"/>
                  <w:bCs w:val="1"/>
                  <w:u w:val="single" w:color="auto"/>
                  <w:color w:val="0000EE"/>
                </w:rPr>
                <w:t>Revenue from Contracts with Customers</w:t>
              </w:r>
            </w:hyperlink>
          </w:p>
        </w:tc>
        <w:tc>
          <w:tcPr>
            <w:tcW w:w="1980" w:type="dxa"/>
            <w:vAlign w:val="bottom"/>
          </w:tcPr>
          <w:p>
            <w:pPr>
              <w:jc w:val="right"/>
              <w:spacing w:after="0"/>
              <w:rPr>
                <w:sz w:val="20"/>
                <w:szCs w:val="20"/>
                <w:color w:val="auto"/>
              </w:rPr>
            </w:pPr>
            <w:r>
              <w:rPr>
                <w:rFonts w:ascii="Arial" w:cs="Arial" w:eastAsia="Arial" w:hAnsi="Arial"/>
                <w:sz w:val="20"/>
                <w:szCs w:val="20"/>
                <w:b w:val="1"/>
                <w:bCs w:val="1"/>
                <w:color w:val="auto"/>
              </w:rPr>
              <w:t>12</w:t>
            </w:r>
          </w:p>
        </w:tc>
      </w:tr>
      <w:tr>
        <w:trPr>
          <w:trHeight w:val="364"/>
        </w:trPr>
        <w:tc>
          <w:tcPr>
            <w:tcW w:w="260" w:type="dxa"/>
            <w:vAlign w:val="bottom"/>
          </w:tcPr>
          <w:p>
            <w:pPr>
              <w:spacing w:after="0"/>
              <w:rPr>
                <w:sz w:val="20"/>
                <w:szCs w:val="20"/>
                <w:color w:val="auto"/>
              </w:rPr>
            </w:pPr>
            <w:r>
              <w:rPr>
                <w:rFonts w:ascii="Arial" w:cs="Arial" w:eastAsia="Arial" w:hAnsi="Arial"/>
                <w:sz w:val="20"/>
                <w:szCs w:val="20"/>
                <w:b w:val="1"/>
                <w:bCs w:val="1"/>
                <w:color w:val="auto"/>
              </w:rPr>
              <w:t>5</w:t>
            </w:r>
          </w:p>
        </w:tc>
        <w:tc>
          <w:tcPr>
            <w:tcW w:w="9000" w:type="dxa"/>
            <w:vAlign w:val="bottom"/>
          </w:tcPr>
          <w:p>
            <w:pPr>
              <w:ind w:left="60"/>
              <w:spacing w:after="0"/>
              <w:rPr>
                <w:rFonts w:ascii="Arial" w:cs="Arial" w:eastAsia="Arial" w:hAnsi="Arial"/>
                <w:sz w:val="20"/>
                <w:szCs w:val="20"/>
                <w:b w:val="1"/>
                <w:bCs w:val="1"/>
                <w:u w:val="single" w:color="auto"/>
                <w:color w:val="0000EE"/>
              </w:rPr>
            </w:pPr>
            <w:hyperlink w:anchor="page30">
              <w:r>
                <w:rPr>
                  <w:rFonts w:ascii="Arial" w:cs="Arial" w:eastAsia="Arial" w:hAnsi="Arial"/>
                  <w:sz w:val="20"/>
                  <w:szCs w:val="20"/>
                  <w:b w:val="1"/>
                  <w:bCs w:val="1"/>
                  <w:u w:val="single" w:color="auto"/>
                  <w:color w:val="0000EE"/>
                </w:rPr>
                <w:t>Business Combinations</w:t>
              </w:r>
            </w:hyperlink>
          </w:p>
        </w:tc>
        <w:tc>
          <w:tcPr>
            <w:tcW w:w="1980" w:type="dxa"/>
            <w:vAlign w:val="bottom"/>
          </w:tcPr>
          <w:p>
            <w:pPr>
              <w:jc w:val="right"/>
              <w:spacing w:after="0"/>
              <w:rPr>
                <w:sz w:val="20"/>
                <w:szCs w:val="20"/>
                <w:color w:val="auto"/>
              </w:rPr>
            </w:pPr>
            <w:r>
              <w:rPr>
                <w:rFonts w:ascii="Arial" w:cs="Arial" w:eastAsia="Arial" w:hAnsi="Arial"/>
                <w:sz w:val="20"/>
                <w:szCs w:val="20"/>
                <w:b w:val="1"/>
                <w:bCs w:val="1"/>
                <w:color w:val="auto"/>
              </w:rPr>
              <w:t>13</w:t>
            </w:r>
          </w:p>
        </w:tc>
      </w:tr>
      <w:tr>
        <w:trPr>
          <w:trHeight w:val="365"/>
        </w:trPr>
        <w:tc>
          <w:tcPr>
            <w:tcW w:w="260" w:type="dxa"/>
            <w:vAlign w:val="bottom"/>
          </w:tcPr>
          <w:p>
            <w:pPr>
              <w:spacing w:after="0"/>
              <w:rPr>
                <w:sz w:val="20"/>
                <w:szCs w:val="20"/>
                <w:color w:val="auto"/>
              </w:rPr>
            </w:pPr>
            <w:r>
              <w:rPr>
                <w:rFonts w:ascii="Arial" w:cs="Arial" w:eastAsia="Arial" w:hAnsi="Arial"/>
                <w:sz w:val="20"/>
                <w:szCs w:val="20"/>
                <w:b w:val="1"/>
                <w:bCs w:val="1"/>
                <w:color w:val="auto"/>
              </w:rPr>
              <w:t>6</w:t>
            </w:r>
          </w:p>
        </w:tc>
        <w:tc>
          <w:tcPr>
            <w:tcW w:w="9000" w:type="dxa"/>
            <w:vAlign w:val="bottom"/>
          </w:tcPr>
          <w:p>
            <w:pPr>
              <w:ind w:left="60"/>
              <w:spacing w:after="0"/>
              <w:rPr>
                <w:rFonts w:ascii="Arial" w:cs="Arial" w:eastAsia="Arial" w:hAnsi="Arial"/>
                <w:sz w:val="20"/>
                <w:szCs w:val="20"/>
                <w:b w:val="1"/>
                <w:bCs w:val="1"/>
                <w:u w:val="single" w:color="auto"/>
                <w:color w:val="0000EE"/>
              </w:rPr>
            </w:pPr>
            <w:hyperlink w:anchor="page33">
              <w:r>
                <w:rPr>
                  <w:rFonts w:ascii="Arial" w:cs="Arial" w:eastAsia="Arial" w:hAnsi="Arial"/>
                  <w:sz w:val="20"/>
                  <w:szCs w:val="20"/>
                  <w:b w:val="1"/>
                  <w:bCs w:val="1"/>
                  <w:u w:val="single" w:color="auto"/>
                  <w:color w:val="0000EE"/>
                </w:rPr>
                <w:t>Income Tax</w:t>
              </w:r>
            </w:hyperlink>
          </w:p>
        </w:tc>
        <w:tc>
          <w:tcPr>
            <w:tcW w:w="1980" w:type="dxa"/>
            <w:vAlign w:val="bottom"/>
          </w:tcPr>
          <w:p>
            <w:pPr>
              <w:jc w:val="right"/>
              <w:spacing w:after="0"/>
              <w:rPr>
                <w:sz w:val="20"/>
                <w:szCs w:val="20"/>
                <w:color w:val="auto"/>
              </w:rPr>
            </w:pPr>
            <w:r>
              <w:rPr>
                <w:rFonts w:ascii="Arial" w:cs="Arial" w:eastAsia="Arial" w:hAnsi="Arial"/>
                <w:sz w:val="20"/>
                <w:szCs w:val="20"/>
                <w:b w:val="1"/>
                <w:bCs w:val="1"/>
                <w:color w:val="auto"/>
              </w:rPr>
              <w:t>16</w:t>
            </w:r>
          </w:p>
        </w:tc>
      </w:tr>
      <w:tr>
        <w:trPr>
          <w:trHeight w:val="365"/>
        </w:trPr>
        <w:tc>
          <w:tcPr>
            <w:tcW w:w="260" w:type="dxa"/>
            <w:vAlign w:val="bottom"/>
          </w:tcPr>
          <w:p>
            <w:pPr>
              <w:spacing w:after="0"/>
              <w:rPr>
                <w:sz w:val="20"/>
                <w:szCs w:val="20"/>
                <w:color w:val="auto"/>
              </w:rPr>
            </w:pPr>
            <w:r>
              <w:rPr>
                <w:rFonts w:ascii="Arial" w:cs="Arial" w:eastAsia="Arial" w:hAnsi="Arial"/>
                <w:sz w:val="20"/>
                <w:szCs w:val="20"/>
                <w:b w:val="1"/>
                <w:bCs w:val="1"/>
                <w:color w:val="auto"/>
              </w:rPr>
              <w:t>7</w:t>
            </w:r>
          </w:p>
        </w:tc>
        <w:tc>
          <w:tcPr>
            <w:tcW w:w="9000" w:type="dxa"/>
            <w:vAlign w:val="bottom"/>
          </w:tcPr>
          <w:p>
            <w:pPr>
              <w:ind w:left="60"/>
              <w:spacing w:after="0"/>
              <w:rPr>
                <w:rFonts w:ascii="Arial" w:cs="Arial" w:eastAsia="Arial" w:hAnsi="Arial"/>
                <w:sz w:val="20"/>
                <w:szCs w:val="20"/>
                <w:b w:val="1"/>
                <w:bCs w:val="1"/>
                <w:u w:val="single" w:color="auto"/>
                <w:color w:val="0000EE"/>
              </w:rPr>
            </w:pPr>
            <w:hyperlink w:anchor="page33">
              <w:r>
                <w:rPr>
                  <w:rFonts w:ascii="Arial" w:cs="Arial" w:eastAsia="Arial" w:hAnsi="Arial"/>
                  <w:sz w:val="20"/>
                  <w:szCs w:val="20"/>
                  <w:b w:val="1"/>
                  <w:bCs w:val="1"/>
                  <w:u w:val="single" w:color="auto"/>
                  <w:color w:val="0000EE"/>
                </w:rPr>
                <w:t>Intangible Assets</w:t>
              </w:r>
            </w:hyperlink>
          </w:p>
        </w:tc>
        <w:tc>
          <w:tcPr>
            <w:tcW w:w="1980" w:type="dxa"/>
            <w:vAlign w:val="bottom"/>
          </w:tcPr>
          <w:p>
            <w:pPr>
              <w:jc w:val="right"/>
              <w:spacing w:after="0"/>
              <w:rPr>
                <w:sz w:val="20"/>
                <w:szCs w:val="20"/>
                <w:color w:val="auto"/>
              </w:rPr>
            </w:pPr>
            <w:r>
              <w:rPr>
                <w:rFonts w:ascii="Arial" w:cs="Arial" w:eastAsia="Arial" w:hAnsi="Arial"/>
                <w:sz w:val="20"/>
                <w:szCs w:val="20"/>
                <w:b w:val="1"/>
                <w:bCs w:val="1"/>
                <w:color w:val="auto"/>
              </w:rPr>
              <w:t>16</w:t>
            </w:r>
          </w:p>
        </w:tc>
      </w:tr>
      <w:tr>
        <w:trPr>
          <w:trHeight w:val="365"/>
        </w:trPr>
        <w:tc>
          <w:tcPr>
            <w:tcW w:w="260" w:type="dxa"/>
            <w:vAlign w:val="bottom"/>
          </w:tcPr>
          <w:p>
            <w:pPr>
              <w:spacing w:after="0"/>
              <w:rPr>
                <w:sz w:val="20"/>
                <w:szCs w:val="20"/>
                <w:color w:val="auto"/>
              </w:rPr>
            </w:pPr>
            <w:r>
              <w:rPr>
                <w:rFonts w:ascii="Arial" w:cs="Arial" w:eastAsia="Arial" w:hAnsi="Arial"/>
                <w:sz w:val="20"/>
                <w:szCs w:val="20"/>
                <w:b w:val="1"/>
                <w:bCs w:val="1"/>
                <w:color w:val="auto"/>
              </w:rPr>
              <w:t>8</w:t>
            </w:r>
          </w:p>
        </w:tc>
        <w:tc>
          <w:tcPr>
            <w:tcW w:w="9000" w:type="dxa"/>
            <w:vAlign w:val="bottom"/>
          </w:tcPr>
          <w:p>
            <w:pPr>
              <w:ind w:left="60"/>
              <w:spacing w:after="0"/>
              <w:rPr>
                <w:rFonts w:ascii="Arial" w:cs="Arial" w:eastAsia="Arial" w:hAnsi="Arial"/>
                <w:sz w:val="20"/>
                <w:szCs w:val="20"/>
                <w:b w:val="1"/>
                <w:bCs w:val="1"/>
                <w:u w:val="single" w:color="auto"/>
                <w:color w:val="0000EE"/>
              </w:rPr>
            </w:pPr>
            <w:hyperlink w:anchor="page33">
              <w:r>
                <w:rPr>
                  <w:rFonts w:ascii="Arial" w:cs="Arial" w:eastAsia="Arial" w:hAnsi="Arial"/>
                  <w:sz w:val="20"/>
                  <w:szCs w:val="20"/>
                  <w:b w:val="1"/>
                  <w:bCs w:val="1"/>
                  <w:u w:val="single" w:color="auto"/>
                  <w:color w:val="0000EE"/>
                </w:rPr>
                <w:t>Property, Plant and Equipment</w:t>
              </w:r>
            </w:hyperlink>
          </w:p>
        </w:tc>
        <w:tc>
          <w:tcPr>
            <w:tcW w:w="1980" w:type="dxa"/>
            <w:vAlign w:val="bottom"/>
          </w:tcPr>
          <w:p>
            <w:pPr>
              <w:jc w:val="right"/>
              <w:spacing w:after="0"/>
              <w:rPr>
                <w:sz w:val="20"/>
                <w:szCs w:val="20"/>
                <w:color w:val="auto"/>
              </w:rPr>
            </w:pPr>
            <w:r>
              <w:rPr>
                <w:rFonts w:ascii="Arial" w:cs="Arial" w:eastAsia="Arial" w:hAnsi="Arial"/>
                <w:sz w:val="20"/>
                <w:szCs w:val="20"/>
                <w:b w:val="1"/>
                <w:bCs w:val="1"/>
                <w:color w:val="auto"/>
              </w:rPr>
              <w:t>16</w:t>
            </w:r>
          </w:p>
        </w:tc>
      </w:tr>
      <w:tr>
        <w:trPr>
          <w:trHeight w:val="364"/>
        </w:trPr>
        <w:tc>
          <w:tcPr>
            <w:tcW w:w="260" w:type="dxa"/>
            <w:vAlign w:val="bottom"/>
          </w:tcPr>
          <w:p>
            <w:pPr>
              <w:spacing w:after="0"/>
              <w:rPr>
                <w:sz w:val="20"/>
                <w:szCs w:val="20"/>
                <w:color w:val="auto"/>
              </w:rPr>
            </w:pPr>
            <w:r>
              <w:rPr>
                <w:rFonts w:ascii="Arial" w:cs="Arial" w:eastAsia="Arial" w:hAnsi="Arial"/>
                <w:sz w:val="20"/>
                <w:szCs w:val="20"/>
                <w:b w:val="1"/>
                <w:bCs w:val="1"/>
                <w:color w:val="auto"/>
              </w:rPr>
              <w:t>9</w:t>
            </w:r>
          </w:p>
        </w:tc>
        <w:tc>
          <w:tcPr>
            <w:tcW w:w="9000" w:type="dxa"/>
            <w:vAlign w:val="bottom"/>
          </w:tcPr>
          <w:p>
            <w:pPr>
              <w:ind w:left="60"/>
              <w:spacing w:after="0"/>
              <w:rPr>
                <w:rFonts w:ascii="Arial" w:cs="Arial" w:eastAsia="Arial" w:hAnsi="Arial"/>
                <w:sz w:val="20"/>
                <w:szCs w:val="20"/>
                <w:b w:val="1"/>
                <w:bCs w:val="1"/>
                <w:u w:val="single" w:color="auto"/>
                <w:color w:val="0000EE"/>
              </w:rPr>
            </w:pPr>
            <w:hyperlink w:anchor="page34">
              <w:r>
                <w:rPr>
                  <w:rFonts w:ascii="Arial" w:cs="Arial" w:eastAsia="Arial" w:hAnsi="Arial"/>
                  <w:sz w:val="20"/>
                  <w:szCs w:val="20"/>
                  <w:b w:val="1"/>
                  <w:bCs w:val="1"/>
                  <w:u w:val="single" w:color="auto"/>
                  <w:color w:val="0000EE"/>
                </w:rPr>
                <w:t>Financial Assets and Financial Liabilities</w:t>
              </w:r>
            </w:hyperlink>
          </w:p>
        </w:tc>
        <w:tc>
          <w:tcPr>
            <w:tcW w:w="1980" w:type="dxa"/>
            <w:vAlign w:val="bottom"/>
          </w:tcPr>
          <w:p>
            <w:pPr>
              <w:jc w:val="right"/>
              <w:spacing w:after="0"/>
              <w:rPr>
                <w:sz w:val="20"/>
                <w:szCs w:val="20"/>
                <w:color w:val="auto"/>
              </w:rPr>
            </w:pPr>
            <w:r>
              <w:rPr>
                <w:rFonts w:ascii="Arial" w:cs="Arial" w:eastAsia="Arial" w:hAnsi="Arial"/>
                <w:sz w:val="20"/>
                <w:szCs w:val="20"/>
                <w:b w:val="1"/>
                <w:bCs w:val="1"/>
                <w:color w:val="auto"/>
              </w:rPr>
              <w:t>17</w:t>
            </w:r>
          </w:p>
        </w:tc>
      </w:tr>
      <w:tr>
        <w:trPr>
          <w:trHeight w:val="365"/>
        </w:trPr>
        <w:tc>
          <w:tcPr>
            <w:tcW w:w="260" w:type="dxa"/>
            <w:vAlign w:val="bottom"/>
          </w:tcPr>
          <w:p>
            <w:pPr>
              <w:spacing w:after="0"/>
              <w:rPr>
                <w:sz w:val="20"/>
                <w:szCs w:val="20"/>
                <w:color w:val="auto"/>
              </w:rPr>
            </w:pPr>
            <w:r>
              <w:rPr>
                <w:rFonts w:ascii="Arial" w:cs="Arial" w:eastAsia="Arial" w:hAnsi="Arial"/>
                <w:sz w:val="20"/>
                <w:szCs w:val="20"/>
                <w:b w:val="1"/>
                <w:bCs w:val="1"/>
                <w:color w:val="auto"/>
              </w:rPr>
              <w:t>10</w:t>
            </w:r>
          </w:p>
        </w:tc>
        <w:tc>
          <w:tcPr>
            <w:tcW w:w="9000" w:type="dxa"/>
            <w:vAlign w:val="bottom"/>
          </w:tcPr>
          <w:p>
            <w:pPr>
              <w:ind w:left="60"/>
              <w:spacing w:after="0"/>
              <w:rPr>
                <w:rFonts w:ascii="Arial" w:cs="Arial" w:eastAsia="Arial" w:hAnsi="Arial"/>
                <w:sz w:val="20"/>
                <w:szCs w:val="20"/>
                <w:b w:val="1"/>
                <w:bCs w:val="1"/>
                <w:u w:val="single" w:color="auto"/>
                <w:color w:val="0000EE"/>
              </w:rPr>
            </w:pPr>
            <w:hyperlink w:anchor="page35">
              <w:r>
                <w:rPr>
                  <w:rFonts w:ascii="Arial" w:cs="Arial" w:eastAsia="Arial" w:hAnsi="Arial"/>
                  <w:sz w:val="20"/>
                  <w:szCs w:val="20"/>
                  <w:b w:val="1"/>
                  <w:bCs w:val="1"/>
                  <w:u w:val="single" w:color="auto"/>
                  <w:color w:val="0000EE"/>
                </w:rPr>
                <w:t>Issued Capital and Reserves</w:t>
              </w:r>
            </w:hyperlink>
          </w:p>
        </w:tc>
        <w:tc>
          <w:tcPr>
            <w:tcW w:w="1980" w:type="dxa"/>
            <w:vAlign w:val="bottom"/>
          </w:tcPr>
          <w:p>
            <w:pPr>
              <w:jc w:val="right"/>
              <w:spacing w:after="0"/>
              <w:rPr>
                <w:sz w:val="20"/>
                <w:szCs w:val="20"/>
                <w:color w:val="auto"/>
              </w:rPr>
            </w:pPr>
            <w:r>
              <w:rPr>
                <w:rFonts w:ascii="Arial" w:cs="Arial" w:eastAsia="Arial" w:hAnsi="Arial"/>
                <w:sz w:val="20"/>
                <w:szCs w:val="20"/>
                <w:b w:val="1"/>
                <w:bCs w:val="1"/>
                <w:color w:val="auto"/>
              </w:rPr>
              <w:t>18</w:t>
            </w:r>
          </w:p>
        </w:tc>
      </w:tr>
      <w:tr>
        <w:trPr>
          <w:trHeight w:val="365"/>
        </w:trPr>
        <w:tc>
          <w:tcPr>
            <w:tcW w:w="260" w:type="dxa"/>
            <w:vAlign w:val="bottom"/>
          </w:tcPr>
          <w:p>
            <w:pPr>
              <w:spacing w:after="0"/>
              <w:rPr>
                <w:sz w:val="20"/>
                <w:szCs w:val="20"/>
                <w:color w:val="auto"/>
              </w:rPr>
            </w:pPr>
            <w:r>
              <w:rPr>
                <w:rFonts w:ascii="Arial" w:cs="Arial" w:eastAsia="Arial" w:hAnsi="Arial"/>
                <w:sz w:val="20"/>
                <w:szCs w:val="20"/>
                <w:b w:val="1"/>
                <w:bCs w:val="1"/>
                <w:color w:val="auto"/>
              </w:rPr>
              <w:t>11</w:t>
            </w:r>
          </w:p>
        </w:tc>
        <w:tc>
          <w:tcPr>
            <w:tcW w:w="9000" w:type="dxa"/>
            <w:vAlign w:val="bottom"/>
          </w:tcPr>
          <w:p>
            <w:pPr>
              <w:ind w:left="60"/>
              <w:spacing w:after="0"/>
              <w:rPr>
                <w:rFonts w:ascii="Arial" w:cs="Arial" w:eastAsia="Arial" w:hAnsi="Arial"/>
                <w:sz w:val="20"/>
                <w:szCs w:val="20"/>
                <w:b w:val="1"/>
                <w:bCs w:val="1"/>
                <w:u w:val="single" w:color="auto"/>
                <w:color w:val="0000EE"/>
              </w:rPr>
            </w:pPr>
            <w:hyperlink w:anchor="page36">
              <w:r>
                <w:rPr>
                  <w:rFonts w:ascii="Arial" w:cs="Arial" w:eastAsia="Arial" w:hAnsi="Arial"/>
                  <w:sz w:val="20"/>
                  <w:szCs w:val="20"/>
                  <w:b w:val="1"/>
                  <w:bCs w:val="1"/>
                  <w:u w:val="single" w:color="auto"/>
                  <w:color w:val="0000EE"/>
                </w:rPr>
                <w:t>Share-Based Payments</w:t>
              </w:r>
            </w:hyperlink>
          </w:p>
        </w:tc>
        <w:tc>
          <w:tcPr>
            <w:tcW w:w="1980" w:type="dxa"/>
            <w:vAlign w:val="bottom"/>
          </w:tcPr>
          <w:p>
            <w:pPr>
              <w:jc w:val="right"/>
              <w:spacing w:after="0"/>
              <w:rPr>
                <w:sz w:val="20"/>
                <w:szCs w:val="20"/>
                <w:color w:val="auto"/>
              </w:rPr>
            </w:pPr>
            <w:r>
              <w:rPr>
                <w:rFonts w:ascii="Arial" w:cs="Arial" w:eastAsia="Arial" w:hAnsi="Arial"/>
                <w:sz w:val="20"/>
                <w:szCs w:val="20"/>
                <w:b w:val="1"/>
                <w:bCs w:val="1"/>
                <w:color w:val="auto"/>
              </w:rPr>
              <w:t>19</w:t>
            </w:r>
          </w:p>
        </w:tc>
      </w:tr>
      <w:tr>
        <w:trPr>
          <w:trHeight w:val="365"/>
        </w:trPr>
        <w:tc>
          <w:tcPr>
            <w:tcW w:w="260" w:type="dxa"/>
            <w:vAlign w:val="bottom"/>
          </w:tcPr>
          <w:p>
            <w:pPr>
              <w:spacing w:after="0"/>
              <w:rPr>
                <w:sz w:val="20"/>
                <w:szCs w:val="20"/>
                <w:color w:val="auto"/>
              </w:rPr>
            </w:pPr>
            <w:r>
              <w:rPr>
                <w:rFonts w:ascii="Arial" w:cs="Arial" w:eastAsia="Arial" w:hAnsi="Arial"/>
                <w:sz w:val="20"/>
                <w:szCs w:val="20"/>
                <w:b w:val="1"/>
                <w:bCs w:val="1"/>
                <w:color w:val="auto"/>
              </w:rPr>
              <w:t>12</w:t>
            </w:r>
          </w:p>
        </w:tc>
        <w:tc>
          <w:tcPr>
            <w:tcW w:w="9000" w:type="dxa"/>
            <w:vAlign w:val="bottom"/>
          </w:tcPr>
          <w:p>
            <w:pPr>
              <w:ind w:left="60"/>
              <w:spacing w:after="0"/>
              <w:rPr>
                <w:rFonts w:ascii="Arial" w:cs="Arial" w:eastAsia="Arial" w:hAnsi="Arial"/>
                <w:sz w:val="20"/>
                <w:szCs w:val="20"/>
                <w:b w:val="1"/>
                <w:bCs w:val="1"/>
                <w:u w:val="single" w:color="auto"/>
                <w:color w:val="0000EE"/>
              </w:rPr>
            </w:pPr>
            <w:hyperlink w:anchor="page40">
              <w:r>
                <w:rPr>
                  <w:rFonts w:ascii="Arial" w:cs="Arial" w:eastAsia="Arial" w:hAnsi="Arial"/>
                  <w:sz w:val="20"/>
                  <w:szCs w:val="20"/>
                  <w:b w:val="1"/>
                  <w:bCs w:val="1"/>
                  <w:u w:val="single" w:color="auto"/>
                  <w:color w:val="0000EE"/>
                </w:rPr>
                <w:t>Related Party Disclosures</w:t>
              </w:r>
            </w:hyperlink>
          </w:p>
        </w:tc>
        <w:tc>
          <w:tcPr>
            <w:tcW w:w="1980" w:type="dxa"/>
            <w:vAlign w:val="bottom"/>
          </w:tcPr>
          <w:p>
            <w:pPr>
              <w:jc w:val="right"/>
              <w:spacing w:after="0"/>
              <w:rPr>
                <w:sz w:val="20"/>
                <w:szCs w:val="20"/>
                <w:color w:val="auto"/>
              </w:rPr>
            </w:pPr>
            <w:r>
              <w:rPr>
                <w:rFonts w:ascii="Arial" w:cs="Arial" w:eastAsia="Arial" w:hAnsi="Arial"/>
                <w:sz w:val="20"/>
                <w:szCs w:val="20"/>
                <w:b w:val="1"/>
                <w:bCs w:val="1"/>
                <w:color w:val="auto"/>
              </w:rPr>
              <w:t>23</w:t>
            </w:r>
          </w:p>
        </w:tc>
      </w:tr>
      <w:tr>
        <w:trPr>
          <w:trHeight w:val="364"/>
        </w:trPr>
        <w:tc>
          <w:tcPr>
            <w:tcW w:w="260" w:type="dxa"/>
            <w:vAlign w:val="bottom"/>
          </w:tcPr>
          <w:p>
            <w:pPr>
              <w:spacing w:after="0"/>
              <w:rPr>
                <w:sz w:val="20"/>
                <w:szCs w:val="20"/>
                <w:color w:val="auto"/>
              </w:rPr>
            </w:pPr>
            <w:r>
              <w:rPr>
                <w:rFonts w:ascii="Arial" w:cs="Arial" w:eastAsia="Arial" w:hAnsi="Arial"/>
                <w:sz w:val="20"/>
                <w:szCs w:val="20"/>
                <w:b w:val="1"/>
                <w:bCs w:val="1"/>
                <w:color w:val="auto"/>
              </w:rPr>
              <w:t>13</w:t>
            </w:r>
          </w:p>
        </w:tc>
        <w:tc>
          <w:tcPr>
            <w:tcW w:w="9000" w:type="dxa"/>
            <w:vAlign w:val="bottom"/>
          </w:tcPr>
          <w:p>
            <w:pPr>
              <w:ind w:left="60"/>
              <w:spacing w:after="0"/>
              <w:rPr>
                <w:rFonts w:ascii="Arial" w:cs="Arial" w:eastAsia="Arial" w:hAnsi="Arial"/>
                <w:sz w:val="20"/>
                <w:szCs w:val="20"/>
                <w:b w:val="1"/>
                <w:bCs w:val="1"/>
                <w:u w:val="single" w:color="auto"/>
                <w:color w:val="0000EE"/>
              </w:rPr>
            </w:pPr>
            <w:hyperlink w:anchor="page41">
              <w:r>
                <w:rPr>
                  <w:rFonts w:ascii="Arial" w:cs="Arial" w:eastAsia="Arial" w:hAnsi="Arial"/>
                  <w:sz w:val="20"/>
                  <w:szCs w:val="20"/>
                  <w:b w:val="1"/>
                  <w:bCs w:val="1"/>
                  <w:u w:val="single" w:color="auto"/>
                  <w:color w:val="0000EE"/>
                </w:rPr>
                <w:t>Events after the Reporting Period</w:t>
              </w:r>
            </w:hyperlink>
          </w:p>
        </w:tc>
        <w:tc>
          <w:tcPr>
            <w:tcW w:w="1980" w:type="dxa"/>
            <w:vAlign w:val="bottom"/>
          </w:tcPr>
          <w:p>
            <w:pPr>
              <w:jc w:val="right"/>
              <w:spacing w:after="0"/>
              <w:rPr>
                <w:sz w:val="20"/>
                <w:szCs w:val="20"/>
                <w:color w:val="auto"/>
              </w:rPr>
            </w:pPr>
            <w:r>
              <w:rPr>
                <w:rFonts w:ascii="Arial" w:cs="Arial" w:eastAsia="Arial" w:hAnsi="Arial"/>
                <w:sz w:val="20"/>
                <w:szCs w:val="20"/>
                <w:b w:val="1"/>
                <w:bCs w:val="1"/>
                <w:color w:val="auto"/>
              </w:rPr>
              <w:t>24</w:t>
            </w:r>
          </w:p>
        </w:tc>
      </w:tr>
    </w:tbl>
    <w:p>
      <w:pPr>
        <w:spacing w:after="0" w:line="311" w:lineRule="exact"/>
        <w:rPr>
          <w:sz w:val="20"/>
          <w:szCs w:val="20"/>
          <w:color w:val="auto"/>
        </w:rPr>
      </w:pPr>
    </w:p>
    <w:p>
      <w:pPr>
        <w:spacing w:after="0"/>
        <w:rPr>
          <w:rFonts w:ascii="Arial" w:cs="Arial" w:eastAsia="Arial" w:hAnsi="Arial"/>
          <w:sz w:val="25"/>
          <w:szCs w:val="25"/>
          <w:b w:val="1"/>
          <w:bCs w:val="1"/>
          <w:u w:val="single" w:color="auto"/>
          <w:color w:val="0000EE"/>
        </w:rPr>
      </w:pPr>
      <w:hyperlink w:anchor="page43">
        <w:r>
          <w:rPr>
            <w:rFonts w:ascii="Arial" w:cs="Arial" w:eastAsia="Arial" w:hAnsi="Arial"/>
            <w:sz w:val="25"/>
            <w:szCs w:val="25"/>
            <w:b w:val="1"/>
            <w:bCs w:val="1"/>
            <w:u w:val="single" w:color="auto"/>
            <w:color w:val="0000EE"/>
          </w:rPr>
          <w:t>Operating and Financial Review and Prospects</w:t>
        </w:r>
      </w:hyperlink>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900" w:type="dxa"/>
            <w:vAlign w:val="bottom"/>
          </w:tcPr>
          <w:p>
            <w:pPr>
              <w:spacing w:after="0"/>
              <w:rPr>
                <w:rFonts w:ascii="Arial" w:cs="Arial" w:eastAsia="Arial" w:hAnsi="Arial"/>
                <w:sz w:val="20"/>
                <w:szCs w:val="20"/>
                <w:b w:val="1"/>
                <w:bCs w:val="1"/>
                <w:u w:val="single" w:color="auto"/>
                <w:color w:val="0000EE"/>
              </w:rPr>
            </w:pPr>
            <w:hyperlink w:anchor="page43">
              <w:r>
                <w:rPr>
                  <w:rFonts w:ascii="Arial" w:cs="Arial" w:eastAsia="Arial" w:hAnsi="Arial"/>
                  <w:sz w:val="20"/>
                  <w:szCs w:val="20"/>
                  <w:b w:val="1"/>
                  <w:bCs w:val="1"/>
                  <w:u w:val="single" w:color="auto"/>
                  <w:color w:val="0000EE"/>
                </w:rPr>
                <w:t>Operating Results</w:t>
              </w:r>
            </w:hyperlink>
          </w:p>
        </w:tc>
        <w:tc>
          <w:tcPr>
            <w:tcW w:w="4340" w:type="dxa"/>
            <w:vAlign w:val="bottom"/>
          </w:tcPr>
          <w:p>
            <w:pPr>
              <w:jc w:val="right"/>
              <w:spacing w:after="0"/>
              <w:rPr>
                <w:sz w:val="20"/>
                <w:szCs w:val="20"/>
                <w:color w:val="auto"/>
              </w:rPr>
            </w:pPr>
            <w:r>
              <w:rPr>
                <w:rFonts w:ascii="Arial" w:cs="Arial" w:eastAsia="Arial" w:hAnsi="Arial"/>
                <w:sz w:val="20"/>
                <w:szCs w:val="20"/>
                <w:b w:val="1"/>
                <w:bCs w:val="1"/>
                <w:color w:val="auto"/>
              </w:rPr>
              <w:t>26</w:t>
            </w:r>
          </w:p>
        </w:tc>
      </w:tr>
      <w:tr>
        <w:trPr>
          <w:trHeight w:val="365"/>
        </w:trPr>
        <w:tc>
          <w:tcPr>
            <w:tcW w:w="6900" w:type="dxa"/>
            <w:vAlign w:val="bottom"/>
          </w:tcPr>
          <w:p>
            <w:pPr>
              <w:spacing w:after="0"/>
              <w:rPr>
                <w:rFonts w:ascii="Arial" w:cs="Arial" w:eastAsia="Arial" w:hAnsi="Arial"/>
                <w:sz w:val="20"/>
                <w:szCs w:val="20"/>
                <w:b w:val="1"/>
                <w:bCs w:val="1"/>
                <w:u w:val="single" w:color="auto"/>
                <w:color w:val="0000EE"/>
              </w:rPr>
            </w:pPr>
            <w:hyperlink w:anchor="page57">
              <w:r>
                <w:rPr>
                  <w:rFonts w:ascii="Arial" w:cs="Arial" w:eastAsia="Arial" w:hAnsi="Arial"/>
                  <w:sz w:val="20"/>
                  <w:szCs w:val="20"/>
                  <w:b w:val="1"/>
                  <w:bCs w:val="1"/>
                  <w:u w:val="single" w:color="auto"/>
                  <w:color w:val="0000EE"/>
                </w:rPr>
                <w:t>Liquidity and Capital Resources</w:t>
              </w:r>
            </w:hyperlink>
          </w:p>
        </w:tc>
        <w:tc>
          <w:tcPr>
            <w:tcW w:w="4340" w:type="dxa"/>
            <w:vAlign w:val="bottom"/>
          </w:tcPr>
          <w:p>
            <w:pPr>
              <w:jc w:val="right"/>
              <w:spacing w:after="0"/>
              <w:rPr>
                <w:sz w:val="20"/>
                <w:szCs w:val="20"/>
                <w:color w:val="auto"/>
              </w:rPr>
            </w:pPr>
            <w:r>
              <w:rPr>
                <w:rFonts w:ascii="Arial" w:cs="Arial" w:eastAsia="Arial" w:hAnsi="Arial"/>
                <w:sz w:val="20"/>
                <w:szCs w:val="20"/>
                <w:b w:val="1"/>
                <w:bCs w:val="1"/>
                <w:color w:val="auto"/>
              </w:rPr>
              <w:t>40</w:t>
            </w:r>
          </w:p>
        </w:tc>
      </w:tr>
      <w:tr>
        <w:trPr>
          <w:trHeight w:val="365"/>
        </w:trPr>
        <w:tc>
          <w:tcPr>
            <w:tcW w:w="6900" w:type="dxa"/>
            <w:vAlign w:val="bottom"/>
          </w:tcPr>
          <w:p>
            <w:pPr>
              <w:spacing w:after="0"/>
              <w:rPr>
                <w:rFonts w:ascii="Arial" w:cs="Arial" w:eastAsia="Arial" w:hAnsi="Arial"/>
                <w:sz w:val="20"/>
                <w:szCs w:val="20"/>
                <w:b w:val="1"/>
                <w:bCs w:val="1"/>
                <w:u w:val="single" w:color="auto"/>
                <w:color w:val="0000EE"/>
              </w:rPr>
            </w:pPr>
            <w:hyperlink w:anchor="page62">
              <w:r>
                <w:rPr>
                  <w:rFonts w:ascii="Arial" w:cs="Arial" w:eastAsia="Arial" w:hAnsi="Arial"/>
                  <w:sz w:val="20"/>
                  <w:szCs w:val="20"/>
                  <w:b w:val="1"/>
                  <w:bCs w:val="1"/>
                  <w:u w:val="single" w:color="auto"/>
                  <w:color w:val="0000EE"/>
                </w:rPr>
                <w:t>Risk Factors</w:t>
              </w:r>
            </w:hyperlink>
          </w:p>
        </w:tc>
        <w:tc>
          <w:tcPr>
            <w:tcW w:w="4340" w:type="dxa"/>
            <w:vAlign w:val="bottom"/>
          </w:tcPr>
          <w:p>
            <w:pPr>
              <w:jc w:val="right"/>
              <w:spacing w:after="0"/>
              <w:rPr>
                <w:sz w:val="20"/>
                <w:szCs w:val="20"/>
                <w:color w:val="auto"/>
              </w:rPr>
            </w:pPr>
            <w:r>
              <w:rPr>
                <w:rFonts w:ascii="Arial" w:cs="Arial" w:eastAsia="Arial" w:hAnsi="Arial"/>
                <w:sz w:val="20"/>
                <w:szCs w:val="20"/>
                <w:b w:val="1"/>
                <w:bCs w:val="1"/>
                <w:color w:val="auto"/>
              </w:rPr>
              <w:t>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9" w:name="page20"/>
    <w:bookmarkEnd w:id="19"/>
    <w:p>
      <w:pPr>
        <w:ind w:left="20" w:right="4580"/>
        <w:spacing w:after="0" w:line="459"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 xml:space="preserve">Interim Condensed Consolidated Financial Statements </w:t>
      </w:r>
      <w:r>
        <w:rPr>
          <w:rFonts w:ascii="Arial" w:cs="Arial" w:eastAsia="Arial" w:hAnsi="Arial"/>
          <w:sz w:val="22"/>
          <w:szCs w:val="22"/>
          <w:color w:val="auto"/>
        </w:rPr>
        <w:t>Interim Condensed Consolidated Statements of Financial Position</w:t>
      </w: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p>
        </w:tc>
        <w:tc>
          <w:tcPr>
            <w:tcW w:w="3620" w:type="dxa"/>
            <w:vAlign w:val="bottom"/>
            <w:tcBorders>
              <w:right w:val="single" w:sz="8" w:color="70AD47"/>
            </w:tcBorders>
          </w:tcPr>
          <w:p>
            <w:pPr>
              <w:spacing w:after="0"/>
              <w:rPr>
                <w:sz w:val="20"/>
                <w:szCs w:val="20"/>
                <w:color w:val="auto"/>
              </w:rPr>
            </w:pP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6"/>
                <w:szCs w:val="16"/>
                <w:b w:val="1"/>
                <w:bCs w:val="1"/>
                <w:color w:val="auto"/>
              </w:rPr>
              <w:t>June 30,</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50"/>
        </w:trPr>
        <w:tc>
          <w:tcPr>
            <w:tcW w:w="496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3620" w:type="dxa"/>
            <w:vAlign w:val="bottom"/>
            <w:tcBorders>
              <w:right w:val="single" w:sz="8" w:color="70AD47"/>
            </w:tcBorders>
          </w:tcPr>
          <w:p>
            <w:pPr>
              <w:spacing w:after="0"/>
              <w:rPr>
                <w:sz w:val="21"/>
                <w:szCs w:val="21"/>
                <w:color w:val="auto"/>
              </w:rPr>
            </w:pP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6"/>
                <w:szCs w:val="16"/>
                <w:b w:val="1"/>
                <w:bCs w:val="1"/>
                <w:color w:val="auto"/>
              </w:rPr>
              <w:t>2020</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43"/>
        </w:trPr>
        <w:tc>
          <w:tcPr>
            <w:tcW w:w="4960" w:type="dxa"/>
            <w:vAlign w:val="bottom"/>
            <w:tcBorders>
              <w:bottom w:val="single" w:sz="8" w:color="70AD47"/>
            </w:tcBorders>
          </w:tcPr>
          <w:p>
            <w:pPr>
              <w:spacing w:after="0"/>
              <w:rPr>
                <w:sz w:val="20"/>
                <w:szCs w:val="20"/>
                <w:color w:val="auto"/>
              </w:rPr>
            </w:pPr>
            <w:r>
              <w:rPr>
                <w:rFonts w:ascii="Arial" w:cs="Arial" w:eastAsia="Arial" w:hAnsi="Arial"/>
                <w:sz w:val="16"/>
                <w:szCs w:val="16"/>
                <w:b w:val="1"/>
                <w:bCs w:val="1"/>
                <w:color w:val="auto"/>
              </w:rPr>
              <w:t>Assets</w:t>
            </w:r>
          </w:p>
        </w:tc>
        <w:tc>
          <w:tcPr>
            <w:tcW w:w="3620" w:type="dxa"/>
            <w:vAlign w:val="bottom"/>
            <w:tcBorders>
              <w:bottom w:val="single" w:sz="8" w:color="70AD47"/>
              <w:right w:val="single" w:sz="8" w:color="70AD47"/>
            </w:tcBorders>
          </w:tcPr>
          <w:p>
            <w:pPr>
              <w:ind w:left="3000"/>
              <w:spacing w:after="0"/>
              <w:rPr>
                <w:sz w:val="20"/>
                <w:szCs w:val="20"/>
                <w:color w:val="auto"/>
              </w:rPr>
            </w:pPr>
            <w:r>
              <w:rPr>
                <w:rFonts w:ascii="Arial" w:cs="Arial" w:eastAsia="Arial" w:hAnsi="Arial"/>
                <w:sz w:val="16"/>
                <w:szCs w:val="16"/>
                <w:b w:val="1"/>
                <w:bCs w:val="1"/>
                <w:color w:val="auto"/>
              </w:rPr>
              <w:t>Note</w:t>
            </w: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6"/>
                <w:szCs w:val="16"/>
                <w:i w:val="1"/>
                <w:iCs w:val="1"/>
                <w:color w:val="auto"/>
              </w:rPr>
              <w:t>(unaudited)</w:t>
            </w:r>
          </w:p>
        </w:tc>
        <w:tc>
          <w:tcPr>
            <w:tcW w:w="1340" w:type="dxa"/>
            <w:vAlign w:val="bottom"/>
            <w:tcBorders>
              <w:bottom w:val="single" w:sz="8" w:color="70AD47"/>
              <w:right w:val="single" w:sz="8" w:color="70AD47"/>
            </w:tcBorders>
          </w:tcPr>
          <w:p>
            <w:pPr>
              <w:spacing w:after="0"/>
              <w:rPr>
                <w:sz w:val="21"/>
                <w:szCs w:val="2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3620" w:type="dxa"/>
            <w:vAlign w:val="bottom"/>
            <w:tcBorders>
              <w:right w:val="single" w:sz="8" w:color="70AD47"/>
            </w:tcBorders>
          </w:tcPr>
          <w:p>
            <w:pPr>
              <w:spacing w:after="0"/>
              <w:rPr>
                <w:sz w:val="19"/>
                <w:szCs w:val="19"/>
                <w:color w:val="auto"/>
              </w:rPr>
            </w:pPr>
          </w:p>
        </w:tc>
        <w:tc>
          <w:tcPr>
            <w:tcW w:w="1320" w:type="dxa"/>
            <w:vAlign w:val="bottom"/>
            <w:tcBorders>
              <w:right w:val="single" w:sz="8" w:color="70AD47"/>
            </w:tcBorders>
            <w:shd w:val="clear" w:color="auto" w:fill="C6E0B4"/>
          </w:tcPr>
          <w:p>
            <w:pPr>
              <w:spacing w:after="0"/>
              <w:rPr>
                <w:sz w:val="19"/>
                <w:szCs w:val="19"/>
                <w:color w:val="auto"/>
              </w:rPr>
            </w:pPr>
          </w:p>
        </w:tc>
        <w:tc>
          <w:tcPr>
            <w:tcW w:w="1340" w:type="dxa"/>
            <w:vAlign w:val="bottom"/>
            <w:tcBorders>
              <w:right w:val="single" w:sz="8" w:color="70AD47"/>
            </w:tcBorders>
          </w:tcPr>
          <w:p>
            <w:pPr>
              <w:spacing w:after="0"/>
              <w:rPr>
                <w:sz w:val="19"/>
                <w:szCs w:val="19"/>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Intangible assets</w:t>
            </w:r>
          </w:p>
        </w:tc>
        <w:tc>
          <w:tcPr>
            <w:tcW w:w="3620" w:type="dxa"/>
            <w:vAlign w:val="bottom"/>
            <w:tcBorders>
              <w:right w:val="single" w:sz="8" w:color="70AD47"/>
            </w:tcBorders>
          </w:tcPr>
          <w:p>
            <w:pPr>
              <w:jc w:val="center"/>
              <w:ind w:left="2619"/>
              <w:spacing w:after="0"/>
              <w:rPr>
                <w:sz w:val="20"/>
                <w:szCs w:val="20"/>
                <w:color w:val="auto"/>
              </w:rPr>
            </w:pPr>
            <w:r>
              <w:rPr>
                <w:rFonts w:ascii="Arial" w:cs="Arial" w:eastAsia="Arial" w:hAnsi="Arial"/>
                <w:sz w:val="16"/>
                <w:szCs w:val="16"/>
                <w:color w:val="auto"/>
                <w:w w:val="89"/>
              </w:rPr>
              <w:t>7</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€183,281</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6"/>
                <w:szCs w:val="16"/>
                <w:color w:val="auto"/>
              </w:rPr>
              <w:t>€89,434</w:t>
            </w: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3620" w:type="dxa"/>
            <w:vAlign w:val="bottom"/>
            <w:tcBorders>
              <w:right w:val="single" w:sz="8" w:color="70AD47"/>
            </w:tcBorders>
          </w:tcPr>
          <w:p>
            <w:pPr>
              <w:jc w:val="center"/>
              <w:ind w:left="2619"/>
              <w:spacing w:after="0"/>
              <w:rPr>
                <w:sz w:val="20"/>
                <w:szCs w:val="20"/>
                <w:color w:val="auto"/>
              </w:rPr>
            </w:pPr>
            <w:r>
              <w:rPr>
                <w:rFonts w:ascii="Arial" w:cs="Arial" w:eastAsia="Arial" w:hAnsi="Arial"/>
                <w:sz w:val="16"/>
                <w:szCs w:val="16"/>
                <w:color w:val="auto"/>
                <w:w w:val="89"/>
              </w:rPr>
              <w:t>8</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112,829</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6"/>
                <w:szCs w:val="16"/>
                <w:color w:val="auto"/>
              </w:rPr>
              <w:t>93,044</w:t>
            </w: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Right-of-use assets</w:t>
            </w:r>
          </w:p>
        </w:tc>
        <w:tc>
          <w:tcPr>
            <w:tcW w:w="3620" w:type="dxa"/>
            <w:vAlign w:val="bottom"/>
            <w:tcBorders>
              <w:right w:val="single" w:sz="8" w:color="70AD47"/>
            </w:tcBorders>
          </w:tcPr>
          <w:p>
            <w:pPr>
              <w:spacing w:after="0"/>
              <w:rPr>
                <w:sz w:val="21"/>
                <w:szCs w:val="21"/>
                <w:color w:val="auto"/>
              </w:rPr>
            </w:pP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54,905</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6"/>
                <w:szCs w:val="16"/>
                <w:color w:val="auto"/>
              </w:rPr>
              <w:t>55,018</w:t>
            </w:r>
          </w:p>
        </w:tc>
      </w:tr>
      <w:tr>
        <w:trPr>
          <w:trHeight w:val="256"/>
        </w:trPr>
        <w:tc>
          <w:tcPr>
            <w:tcW w:w="4960" w:type="dxa"/>
            <w:vAlign w:val="bottom"/>
            <w:tcBorders>
              <w:bottom w:val="single" w:sz="8" w:color="70AD47"/>
            </w:tcBorders>
          </w:tcPr>
          <w:p>
            <w:pPr>
              <w:spacing w:after="0"/>
              <w:rPr>
                <w:sz w:val="20"/>
                <w:szCs w:val="20"/>
                <w:color w:val="auto"/>
              </w:rPr>
            </w:pPr>
            <w:r>
              <w:rPr>
                <w:rFonts w:ascii="Arial" w:cs="Arial" w:eastAsia="Arial" w:hAnsi="Arial"/>
                <w:sz w:val="16"/>
                <w:szCs w:val="16"/>
                <w:color w:val="auto"/>
              </w:rPr>
              <w:t>Other assets</w:t>
            </w:r>
          </w:p>
        </w:tc>
        <w:tc>
          <w:tcPr>
            <w:tcW w:w="3620" w:type="dxa"/>
            <w:vAlign w:val="bottom"/>
            <w:tcBorders>
              <w:bottom w:val="single" w:sz="8" w:color="70AD47"/>
              <w:right w:val="single" w:sz="8" w:color="70AD47"/>
            </w:tcBorders>
          </w:tcPr>
          <w:p>
            <w:pPr>
              <w:spacing w:after="0"/>
              <w:rPr>
                <w:sz w:val="22"/>
                <w:szCs w:val="22"/>
                <w:color w:val="auto"/>
              </w:rPr>
            </w:pP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1,316</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960" w:type="dxa"/>
            <w:vAlign w:val="bottom"/>
            <w:tcBorders>
              <w:bottom w:val="single" w:sz="8" w:color="70AD47"/>
            </w:tcBorders>
          </w:tcPr>
          <w:p>
            <w:pPr>
              <w:spacing w:after="0"/>
              <w:rPr>
                <w:sz w:val="20"/>
                <w:szCs w:val="20"/>
                <w:color w:val="auto"/>
              </w:rPr>
            </w:pPr>
            <w:r>
              <w:rPr>
                <w:rFonts w:ascii="Arial" w:cs="Arial" w:eastAsia="Arial" w:hAnsi="Arial"/>
                <w:sz w:val="16"/>
                <w:szCs w:val="16"/>
                <w:b w:val="1"/>
                <w:bCs w:val="1"/>
                <w:color w:val="auto"/>
              </w:rPr>
              <w:t>Total non-current assets</w:t>
            </w:r>
          </w:p>
        </w:tc>
        <w:tc>
          <w:tcPr>
            <w:tcW w:w="3620" w:type="dxa"/>
            <w:vAlign w:val="bottom"/>
            <w:tcBorders>
              <w:bottom w:val="single" w:sz="8" w:color="70AD47"/>
              <w:right w:val="single" w:sz="8" w:color="70AD47"/>
            </w:tcBorders>
          </w:tcPr>
          <w:p>
            <w:pPr>
              <w:spacing w:after="0"/>
              <w:rPr>
                <w:sz w:val="20"/>
                <w:szCs w:val="20"/>
                <w:color w:val="auto"/>
              </w:rPr>
            </w:pP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6"/>
                <w:szCs w:val="16"/>
                <w:b w:val="1"/>
                <w:bCs w:val="1"/>
                <w:color w:val="auto"/>
              </w:rPr>
              <w:t>€352,331</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6"/>
                <w:szCs w:val="16"/>
                <w:b w:val="1"/>
                <w:bCs w:val="1"/>
                <w:color w:val="auto"/>
              </w:rPr>
              <w:t>€237,496</w:t>
            </w:r>
          </w:p>
        </w:tc>
      </w:tr>
      <w:tr>
        <w:trPr>
          <w:trHeight w:val="223"/>
        </w:trPr>
        <w:tc>
          <w:tcPr>
            <w:tcW w:w="496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3620" w:type="dxa"/>
            <w:vAlign w:val="bottom"/>
            <w:tcBorders>
              <w:right w:val="single" w:sz="8" w:color="70AD47"/>
            </w:tcBorders>
          </w:tcPr>
          <w:p>
            <w:pPr>
              <w:spacing w:after="0"/>
              <w:rPr>
                <w:sz w:val="19"/>
                <w:szCs w:val="19"/>
                <w:color w:val="auto"/>
              </w:rPr>
            </w:pPr>
          </w:p>
        </w:tc>
        <w:tc>
          <w:tcPr>
            <w:tcW w:w="1320" w:type="dxa"/>
            <w:vAlign w:val="bottom"/>
            <w:tcBorders>
              <w:right w:val="single" w:sz="8" w:color="70AD47"/>
            </w:tcBorders>
            <w:shd w:val="clear" w:color="auto" w:fill="C6E0B4"/>
          </w:tcPr>
          <w:p>
            <w:pPr>
              <w:spacing w:after="0"/>
              <w:rPr>
                <w:sz w:val="19"/>
                <w:szCs w:val="19"/>
                <w:color w:val="auto"/>
              </w:rPr>
            </w:pPr>
          </w:p>
        </w:tc>
        <w:tc>
          <w:tcPr>
            <w:tcW w:w="1340" w:type="dxa"/>
            <w:vAlign w:val="bottom"/>
            <w:tcBorders>
              <w:right w:val="single" w:sz="8" w:color="70AD47"/>
            </w:tcBorders>
          </w:tcPr>
          <w:p>
            <w:pPr>
              <w:spacing w:after="0"/>
              <w:rPr>
                <w:sz w:val="19"/>
                <w:szCs w:val="19"/>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Inventories</w:t>
            </w:r>
          </w:p>
        </w:tc>
        <w:tc>
          <w:tcPr>
            <w:tcW w:w="3620" w:type="dxa"/>
            <w:vAlign w:val="bottom"/>
            <w:tcBorders>
              <w:right w:val="single" w:sz="8" w:color="70AD47"/>
            </w:tcBorders>
          </w:tcPr>
          <w:p>
            <w:pPr>
              <w:spacing w:after="0"/>
              <w:rPr>
                <w:sz w:val="21"/>
                <w:szCs w:val="21"/>
                <w:color w:val="auto"/>
              </w:rPr>
            </w:pP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8,615</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6"/>
                <w:szCs w:val="16"/>
                <w:color w:val="auto"/>
              </w:rPr>
              <w:t>11,722</w:t>
            </w: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Trade receivables</w:t>
            </w:r>
          </w:p>
        </w:tc>
        <w:tc>
          <w:tcPr>
            <w:tcW w:w="3620" w:type="dxa"/>
            <w:vAlign w:val="bottom"/>
            <w:tcBorders>
              <w:right w:val="single" w:sz="8" w:color="70AD47"/>
            </w:tcBorders>
          </w:tcPr>
          <w:p>
            <w:pPr>
              <w:jc w:val="center"/>
              <w:ind w:left="2619"/>
              <w:spacing w:after="0"/>
              <w:rPr>
                <w:sz w:val="20"/>
                <w:szCs w:val="20"/>
                <w:color w:val="auto"/>
              </w:rPr>
            </w:pPr>
            <w:r>
              <w:rPr>
                <w:rFonts w:ascii="Arial" w:cs="Arial" w:eastAsia="Arial" w:hAnsi="Arial"/>
                <w:sz w:val="16"/>
                <w:szCs w:val="16"/>
                <w:color w:val="auto"/>
                <w:w w:val="89"/>
              </w:rPr>
              <w:t>9</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7,679</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6"/>
                <w:szCs w:val="16"/>
                <w:color w:val="auto"/>
              </w:rPr>
              <w:t>11,913</w:t>
            </w: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Contract assets</w:t>
            </w:r>
          </w:p>
        </w:tc>
        <w:tc>
          <w:tcPr>
            <w:tcW w:w="3620" w:type="dxa"/>
            <w:vAlign w:val="bottom"/>
            <w:tcBorders>
              <w:right w:val="single" w:sz="8" w:color="70AD47"/>
            </w:tcBorders>
          </w:tcPr>
          <w:p>
            <w:pPr>
              <w:spacing w:after="0"/>
              <w:rPr>
                <w:sz w:val="21"/>
                <w:szCs w:val="21"/>
                <w:color w:val="auto"/>
              </w:rPr>
            </w:pP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1,621</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Other financial assets</w:t>
            </w:r>
          </w:p>
        </w:tc>
        <w:tc>
          <w:tcPr>
            <w:tcW w:w="3620" w:type="dxa"/>
            <w:vAlign w:val="bottom"/>
            <w:tcBorders>
              <w:right w:val="single" w:sz="8" w:color="70AD47"/>
            </w:tcBorders>
          </w:tcPr>
          <w:p>
            <w:pPr>
              <w:jc w:val="center"/>
              <w:ind w:left="2619"/>
              <w:spacing w:after="0"/>
              <w:rPr>
                <w:sz w:val="20"/>
                <w:szCs w:val="20"/>
                <w:color w:val="auto"/>
              </w:rPr>
            </w:pPr>
            <w:r>
              <w:rPr>
                <w:rFonts w:ascii="Arial" w:cs="Arial" w:eastAsia="Arial" w:hAnsi="Arial"/>
                <w:sz w:val="16"/>
                <w:szCs w:val="16"/>
                <w:color w:val="auto"/>
                <w:w w:val="89"/>
              </w:rPr>
              <w:t>9</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1,953</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6"/>
                <w:szCs w:val="16"/>
                <w:color w:val="auto"/>
              </w:rPr>
              <w:t>1,680</w:t>
            </w: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Other assets</w:t>
            </w:r>
          </w:p>
        </w:tc>
        <w:tc>
          <w:tcPr>
            <w:tcW w:w="3620" w:type="dxa"/>
            <w:vAlign w:val="bottom"/>
            <w:tcBorders>
              <w:right w:val="single" w:sz="8" w:color="70AD47"/>
            </w:tcBorders>
          </w:tcPr>
          <w:p>
            <w:pPr>
              <w:spacing w:after="0"/>
              <w:rPr>
                <w:sz w:val="21"/>
                <w:szCs w:val="21"/>
                <w:color w:val="auto"/>
              </w:rPr>
            </w:pP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16,329</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6"/>
                <w:szCs w:val="16"/>
                <w:color w:val="auto"/>
              </w:rPr>
              <w:t>9,069</w:t>
            </w: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Income tax assets</w:t>
            </w:r>
          </w:p>
        </w:tc>
        <w:tc>
          <w:tcPr>
            <w:tcW w:w="3620" w:type="dxa"/>
            <w:vAlign w:val="bottom"/>
            <w:tcBorders>
              <w:right w:val="single" w:sz="8" w:color="70AD47"/>
            </w:tcBorders>
          </w:tcPr>
          <w:p>
            <w:pPr>
              <w:spacing w:after="0"/>
              <w:rPr>
                <w:sz w:val="21"/>
                <w:szCs w:val="21"/>
                <w:color w:val="auto"/>
              </w:rPr>
            </w:pP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1,012</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6"/>
                <w:szCs w:val="16"/>
                <w:color w:val="auto"/>
              </w:rPr>
              <w:t>756</w:t>
            </w: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Deferred expense</w:t>
            </w:r>
          </w:p>
        </w:tc>
        <w:tc>
          <w:tcPr>
            <w:tcW w:w="3620" w:type="dxa"/>
            <w:vAlign w:val="bottom"/>
            <w:tcBorders>
              <w:right w:val="single" w:sz="8" w:color="70AD47"/>
            </w:tcBorders>
          </w:tcPr>
          <w:p>
            <w:pPr>
              <w:spacing w:after="0"/>
              <w:rPr>
                <w:sz w:val="21"/>
                <w:szCs w:val="21"/>
                <w:color w:val="auto"/>
              </w:rPr>
            </w:pP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10,896</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6"/>
                <w:szCs w:val="16"/>
                <w:color w:val="auto"/>
              </w:rPr>
              <w:t>5,862</w:t>
            </w:r>
          </w:p>
        </w:tc>
      </w:tr>
      <w:tr>
        <w:trPr>
          <w:trHeight w:val="233"/>
        </w:trPr>
        <w:tc>
          <w:tcPr>
            <w:tcW w:w="4960" w:type="dxa"/>
            <w:vAlign w:val="bottom"/>
            <w:tcBorders>
              <w:bottom w:val="single" w:sz="8" w:color="70AD47"/>
            </w:tcBorders>
          </w:tcPr>
          <w:p>
            <w:pPr>
              <w:spacing w:after="0"/>
              <w:rPr>
                <w:sz w:val="20"/>
                <w:szCs w:val="20"/>
                <w:color w:val="auto"/>
              </w:rPr>
            </w:pPr>
            <w:r>
              <w:rPr>
                <w:rFonts w:ascii="Arial" w:cs="Arial" w:eastAsia="Arial" w:hAnsi="Arial"/>
                <w:sz w:val="16"/>
                <w:szCs w:val="16"/>
                <w:color w:val="auto"/>
              </w:rPr>
              <w:t>Cash and cash equivalents</w:t>
            </w:r>
          </w:p>
        </w:tc>
        <w:tc>
          <w:tcPr>
            <w:tcW w:w="3620" w:type="dxa"/>
            <w:vAlign w:val="bottom"/>
            <w:tcBorders>
              <w:bottom w:val="single" w:sz="8" w:color="70AD47"/>
              <w:right w:val="single" w:sz="8" w:color="70AD47"/>
            </w:tcBorders>
          </w:tcPr>
          <w:p>
            <w:pPr>
              <w:spacing w:after="0"/>
              <w:rPr>
                <w:sz w:val="20"/>
                <w:szCs w:val="20"/>
                <w:color w:val="auto"/>
              </w:rPr>
            </w:pP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573,011</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6"/>
                <w:szCs w:val="16"/>
                <w:color w:val="auto"/>
              </w:rPr>
              <w:t>519,149</w:t>
            </w:r>
          </w:p>
        </w:tc>
      </w:tr>
      <w:tr>
        <w:trPr>
          <w:trHeight w:val="210"/>
        </w:trPr>
        <w:tc>
          <w:tcPr>
            <w:tcW w:w="4960" w:type="dxa"/>
            <w:vAlign w:val="bottom"/>
            <w:tcBorders>
              <w:bottom w:val="single" w:sz="8" w:color="70AD47"/>
            </w:tcBorders>
          </w:tcPr>
          <w:p>
            <w:pPr>
              <w:spacing w:after="0"/>
              <w:rPr>
                <w:sz w:val="20"/>
                <w:szCs w:val="20"/>
                <w:color w:val="auto"/>
              </w:rPr>
            </w:pPr>
            <w:r>
              <w:rPr>
                <w:rFonts w:ascii="Arial" w:cs="Arial" w:eastAsia="Arial" w:hAnsi="Arial"/>
                <w:sz w:val="16"/>
                <w:szCs w:val="16"/>
                <w:b w:val="1"/>
                <w:bCs w:val="1"/>
                <w:color w:val="auto"/>
              </w:rPr>
              <w:t>Total current assets</w:t>
            </w:r>
          </w:p>
        </w:tc>
        <w:tc>
          <w:tcPr>
            <w:tcW w:w="3620" w:type="dxa"/>
            <w:vAlign w:val="bottom"/>
            <w:tcBorders>
              <w:bottom w:val="single" w:sz="8" w:color="70AD47"/>
              <w:right w:val="single" w:sz="8" w:color="70AD47"/>
            </w:tcBorders>
          </w:tcPr>
          <w:p>
            <w:pPr>
              <w:spacing w:after="0"/>
              <w:rPr>
                <w:sz w:val="18"/>
                <w:szCs w:val="18"/>
                <w:color w:val="auto"/>
              </w:rPr>
            </w:pP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6"/>
                <w:szCs w:val="16"/>
                <w:b w:val="1"/>
                <w:bCs w:val="1"/>
                <w:color w:val="auto"/>
              </w:rPr>
              <w:t>€621,116</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6"/>
                <w:szCs w:val="16"/>
                <w:b w:val="1"/>
                <w:bCs w:val="1"/>
                <w:color w:val="auto"/>
              </w:rPr>
              <w:t>€560,151</w:t>
            </w:r>
          </w:p>
        </w:tc>
      </w:tr>
      <w:tr>
        <w:trPr>
          <w:trHeight w:val="233"/>
        </w:trPr>
        <w:tc>
          <w:tcPr>
            <w:tcW w:w="4960" w:type="dxa"/>
            <w:vAlign w:val="bottom"/>
            <w:tcBorders>
              <w:bottom w:val="single" w:sz="8" w:color="70AD47"/>
            </w:tcBorders>
          </w:tcPr>
          <w:p>
            <w:pPr>
              <w:spacing w:after="0"/>
              <w:rPr>
                <w:sz w:val="20"/>
                <w:szCs w:val="20"/>
                <w:color w:val="auto"/>
              </w:rPr>
            </w:pPr>
            <w:r>
              <w:rPr>
                <w:rFonts w:ascii="Arial" w:cs="Arial" w:eastAsia="Arial" w:hAnsi="Arial"/>
                <w:sz w:val="16"/>
                <w:szCs w:val="16"/>
                <w:b w:val="1"/>
                <w:bCs w:val="1"/>
                <w:color w:val="auto"/>
              </w:rPr>
              <w:t>Total assets</w:t>
            </w:r>
          </w:p>
        </w:tc>
        <w:tc>
          <w:tcPr>
            <w:tcW w:w="3620" w:type="dxa"/>
            <w:vAlign w:val="bottom"/>
            <w:tcBorders>
              <w:bottom w:val="single" w:sz="8" w:color="70AD47"/>
              <w:right w:val="single" w:sz="8" w:color="70AD47"/>
            </w:tcBorders>
          </w:tcPr>
          <w:p>
            <w:pPr>
              <w:spacing w:after="0"/>
              <w:rPr>
                <w:sz w:val="20"/>
                <w:szCs w:val="20"/>
                <w:color w:val="auto"/>
              </w:rPr>
            </w:pP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6"/>
                <w:szCs w:val="16"/>
                <w:b w:val="1"/>
                <w:bCs w:val="1"/>
                <w:color w:val="auto"/>
              </w:rPr>
              <w:t>€973,447</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6"/>
                <w:szCs w:val="16"/>
                <w:b w:val="1"/>
                <w:bCs w:val="1"/>
                <w:color w:val="auto"/>
              </w:rPr>
              <w:t>€797,647</w:t>
            </w:r>
          </w:p>
        </w:tc>
      </w:tr>
      <w:tr>
        <w:trPr>
          <w:trHeight w:val="479"/>
        </w:trPr>
        <w:tc>
          <w:tcPr>
            <w:tcW w:w="4960" w:type="dxa"/>
            <w:vAlign w:val="bottom"/>
            <w:tcBorders>
              <w:bottom w:val="single" w:sz="8" w:color="70AD47"/>
            </w:tcBorders>
          </w:tcPr>
          <w:p>
            <w:pPr>
              <w:spacing w:after="0"/>
              <w:rPr>
                <w:sz w:val="20"/>
                <w:szCs w:val="20"/>
                <w:color w:val="auto"/>
              </w:rPr>
            </w:pPr>
            <w:r>
              <w:rPr>
                <w:rFonts w:ascii="Arial" w:cs="Arial" w:eastAsia="Arial" w:hAnsi="Arial"/>
                <w:sz w:val="16"/>
                <w:szCs w:val="16"/>
                <w:b w:val="1"/>
                <w:bCs w:val="1"/>
                <w:color w:val="auto"/>
              </w:rPr>
              <w:t>Equity and liabilities</w:t>
            </w:r>
          </w:p>
        </w:tc>
        <w:tc>
          <w:tcPr>
            <w:tcW w:w="3620" w:type="dxa"/>
            <w:vAlign w:val="bottom"/>
            <w:tcBorders>
              <w:bottom w:val="single" w:sz="8" w:color="70AD47"/>
              <w:right w:val="single" w:sz="8" w:color="70AD47"/>
            </w:tcBorders>
          </w:tcPr>
          <w:p>
            <w:pPr>
              <w:spacing w:after="0"/>
              <w:rPr>
                <w:sz w:val="24"/>
                <w:szCs w:val="24"/>
                <w:color w:val="auto"/>
              </w:rPr>
            </w:pPr>
          </w:p>
        </w:tc>
        <w:tc>
          <w:tcPr>
            <w:tcW w:w="1320" w:type="dxa"/>
            <w:vAlign w:val="bottom"/>
            <w:tcBorders>
              <w:bottom w:val="single" w:sz="8" w:color="70AD47"/>
              <w:right w:val="single" w:sz="8" w:color="70AD47"/>
            </w:tcBorders>
            <w:shd w:val="clear" w:color="auto" w:fill="C6E0B4"/>
          </w:tcPr>
          <w:p>
            <w:pPr>
              <w:spacing w:after="0"/>
              <w:rPr>
                <w:sz w:val="24"/>
                <w:szCs w:val="24"/>
                <w:color w:val="auto"/>
              </w:rPr>
            </w:pPr>
          </w:p>
        </w:tc>
        <w:tc>
          <w:tcPr>
            <w:tcW w:w="1340" w:type="dxa"/>
            <w:vAlign w:val="bottom"/>
            <w:tcBorders>
              <w:bottom w:val="single" w:sz="8" w:color="70AD47"/>
              <w:right w:val="single" w:sz="8" w:color="70AD47"/>
            </w:tcBorders>
          </w:tcPr>
          <w:p>
            <w:pPr>
              <w:spacing w:after="0"/>
              <w:rPr>
                <w:sz w:val="24"/>
                <w:szCs w:val="24"/>
                <w:color w:val="auto"/>
              </w:rPr>
            </w:pPr>
          </w:p>
        </w:tc>
      </w:tr>
      <w:tr>
        <w:trPr>
          <w:trHeight w:val="224"/>
        </w:trPr>
        <w:tc>
          <w:tcPr>
            <w:tcW w:w="496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3620" w:type="dxa"/>
            <w:vAlign w:val="bottom"/>
            <w:tcBorders>
              <w:right w:val="single" w:sz="8" w:color="70AD47"/>
            </w:tcBorders>
          </w:tcPr>
          <w:p>
            <w:pPr>
              <w:spacing w:after="0"/>
              <w:rPr>
                <w:sz w:val="19"/>
                <w:szCs w:val="19"/>
                <w:color w:val="auto"/>
              </w:rPr>
            </w:pPr>
          </w:p>
        </w:tc>
        <w:tc>
          <w:tcPr>
            <w:tcW w:w="1320" w:type="dxa"/>
            <w:vAlign w:val="bottom"/>
            <w:tcBorders>
              <w:right w:val="single" w:sz="8" w:color="70AD47"/>
            </w:tcBorders>
            <w:shd w:val="clear" w:color="auto" w:fill="C6E0B4"/>
          </w:tcPr>
          <w:p>
            <w:pPr>
              <w:spacing w:after="0"/>
              <w:rPr>
                <w:sz w:val="19"/>
                <w:szCs w:val="19"/>
                <w:color w:val="auto"/>
              </w:rPr>
            </w:pPr>
          </w:p>
        </w:tc>
        <w:tc>
          <w:tcPr>
            <w:tcW w:w="1340" w:type="dxa"/>
            <w:vAlign w:val="bottom"/>
            <w:tcBorders>
              <w:right w:val="single" w:sz="8" w:color="70AD47"/>
            </w:tcBorders>
          </w:tcPr>
          <w:p>
            <w:pPr>
              <w:spacing w:after="0"/>
              <w:rPr>
                <w:sz w:val="19"/>
                <w:szCs w:val="19"/>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Share capital</w:t>
            </w:r>
          </w:p>
        </w:tc>
        <w:tc>
          <w:tcPr>
            <w:tcW w:w="3620" w:type="dxa"/>
            <w:vAlign w:val="bottom"/>
            <w:tcBorders>
              <w:right w:val="single" w:sz="8" w:color="70AD47"/>
            </w:tcBorders>
          </w:tcPr>
          <w:p>
            <w:pPr>
              <w:jc w:val="center"/>
              <w:ind w:left="2619"/>
              <w:spacing w:after="0"/>
              <w:rPr>
                <w:sz w:val="20"/>
                <w:szCs w:val="20"/>
                <w:color w:val="auto"/>
              </w:rPr>
            </w:pPr>
            <w:r>
              <w:rPr>
                <w:rFonts w:ascii="Arial" w:cs="Arial" w:eastAsia="Arial" w:hAnsi="Arial"/>
                <w:sz w:val="16"/>
                <w:szCs w:val="16"/>
                <w:color w:val="auto"/>
                <w:w w:val="89"/>
              </w:rPr>
              <w:t>10</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238,198</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6"/>
                <w:szCs w:val="16"/>
                <w:color w:val="auto"/>
              </w:rPr>
              <w:t>232,304</w:t>
            </w: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Capital reserve</w:t>
            </w:r>
          </w:p>
        </w:tc>
        <w:tc>
          <w:tcPr>
            <w:tcW w:w="3620" w:type="dxa"/>
            <w:vAlign w:val="bottom"/>
            <w:tcBorders>
              <w:right w:val="single" w:sz="8" w:color="70AD47"/>
            </w:tcBorders>
          </w:tcPr>
          <w:p>
            <w:pPr>
              <w:jc w:val="center"/>
              <w:ind w:left="2619"/>
              <w:spacing w:after="0"/>
              <w:rPr>
                <w:sz w:val="20"/>
                <w:szCs w:val="20"/>
                <w:color w:val="auto"/>
              </w:rPr>
            </w:pPr>
            <w:r>
              <w:rPr>
                <w:rFonts w:ascii="Arial" w:cs="Arial" w:eastAsia="Arial" w:hAnsi="Arial"/>
                <w:sz w:val="16"/>
                <w:szCs w:val="16"/>
                <w:color w:val="auto"/>
                <w:w w:val="89"/>
              </w:rPr>
              <w:t>10</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918,174</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6"/>
                <w:szCs w:val="16"/>
                <w:color w:val="auto"/>
              </w:rPr>
              <w:t>686,714</w:t>
            </w: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Treasury shares</w:t>
            </w:r>
          </w:p>
        </w:tc>
        <w:tc>
          <w:tcPr>
            <w:tcW w:w="3620" w:type="dxa"/>
            <w:vAlign w:val="bottom"/>
            <w:tcBorders>
              <w:right w:val="single" w:sz="8" w:color="70AD47"/>
            </w:tcBorders>
          </w:tcPr>
          <w:p>
            <w:pPr>
              <w:jc w:val="center"/>
              <w:ind w:left="2619"/>
              <w:spacing w:after="0"/>
              <w:rPr>
                <w:sz w:val="20"/>
                <w:szCs w:val="20"/>
                <w:color w:val="auto"/>
              </w:rPr>
            </w:pPr>
            <w:r>
              <w:rPr>
                <w:rFonts w:ascii="Arial" w:cs="Arial" w:eastAsia="Arial" w:hAnsi="Arial"/>
                <w:sz w:val="16"/>
                <w:szCs w:val="16"/>
                <w:color w:val="auto"/>
                <w:w w:val="89"/>
              </w:rPr>
              <w:t>10</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(5,525)</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6"/>
                <w:szCs w:val="16"/>
                <w:color w:val="auto"/>
              </w:rPr>
              <w:t>(5,525)</w:t>
            </w: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Accumulated losses</w:t>
            </w:r>
          </w:p>
        </w:tc>
        <w:tc>
          <w:tcPr>
            <w:tcW w:w="3620" w:type="dxa"/>
            <w:vAlign w:val="bottom"/>
            <w:tcBorders>
              <w:right w:val="single" w:sz="8" w:color="70AD47"/>
            </w:tcBorders>
          </w:tcPr>
          <w:p>
            <w:pPr>
              <w:spacing w:after="0"/>
              <w:rPr>
                <w:sz w:val="21"/>
                <w:szCs w:val="21"/>
                <w:color w:val="auto"/>
              </w:rPr>
            </w:pP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(566,509)</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6"/>
                <w:szCs w:val="16"/>
                <w:color w:val="auto"/>
              </w:rPr>
              <w:t>(424,827)</w:t>
            </w:r>
          </w:p>
        </w:tc>
      </w:tr>
      <w:tr>
        <w:trPr>
          <w:trHeight w:val="256"/>
        </w:trPr>
        <w:tc>
          <w:tcPr>
            <w:tcW w:w="4960" w:type="dxa"/>
            <w:vAlign w:val="bottom"/>
            <w:tcBorders>
              <w:bottom w:val="single" w:sz="8" w:color="70AD47"/>
            </w:tcBorders>
          </w:tcPr>
          <w:p>
            <w:pPr>
              <w:spacing w:after="0"/>
              <w:rPr>
                <w:sz w:val="20"/>
                <w:szCs w:val="20"/>
                <w:color w:val="auto"/>
              </w:rPr>
            </w:pPr>
            <w:r>
              <w:rPr>
                <w:rFonts w:ascii="Arial" w:cs="Arial" w:eastAsia="Arial" w:hAnsi="Arial"/>
                <w:sz w:val="16"/>
                <w:szCs w:val="16"/>
                <w:color w:val="auto"/>
              </w:rPr>
              <w:t>Other reserves</w:t>
            </w:r>
          </w:p>
        </w:tc>
        <w:tc>
          <w:tcPr>
            <w:tcW w:w="3620" w:type="dxa"/>
            <w:vAlign w:val="bottom"/>
            <w:tcBorders>
              <w:bottom w:val="single" w:sz="8" w:color="70AD47"/>
              <w:right w:val="single" w:sz="8" w:color="70AD47"/>
            </w:tcBorders>
          </w:tcPr>
          <w:p>
            <w:pPr>
              <w:jc w:val="center"/>
              <w:ind w:left="2619"/>
              <w:spacing w:after="0"/>
              <w:rPr>
                <w:sz w:val="20"/>
                <w:szCs w:val="20"/>
                <w:color w:val="auto"/>
              </w:rPr>
            </w:pPr>
            <w:r>
              <w:rPr>
                <w:rFonts w:ascii="Arial" w:cs="Arial" w:eastAsia="Arial" w:hAnsi="Arial"/>
                <w:sz w:val="16"/>
                <w:szCs w:val="16"/>
                <w:color w:val="auto"/>
                <w:w w:val="89"/>
              </w:rPr>
              <w:t>11</w:t>
            </w: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17,596</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6"/>
                <w:szCs w:val="16"/>
                <w:color w:val="auto"/>
              </w:rPr>
              <w:t>4,826</w:t>
            </w:r>
          </w:p>
        </w:tc>
      </w:tr>
      <w:tr>
        <w:trPr>
          <w:trHeight w:val="236"/>
        </w:trPr>
        <w:tc>
          <w:tcPr>
            <w:tcW w:w="4960" w:type="dxa"/>
            <w:vAlign w:val="bottom"/>
            <w:tcBorders>
              <w:bottom w:val="single" w:sz="8" w:color="70AD47"/>
            </w:tcBorders>
          </w:tcPr>
          <w:p>
            <w:pPr>
              <w:spacing w:after="0"/>
              <w:rPr>
                <w:sz w:val="20"/>
                <w:szCs w:val="20"/>
                <w:color w:val="auto"/>
              </w:rPr>
            </w:pPr>
            <w:r>
              <w:rPr>
                <w:rFonts w:ascii="Arial" w:cs="Arial" w:eastAsia="Arial" w:hAnsi="Arial"/>
                <w:sz w:val="16"/>
                <w:szCs w:val="16"/>
                <w:b w:val="1"/>
                <w:bCs w:val="1"/>
                <w:color w:val="auto"/>
              </w:rPr>
              <w:t>Total equity</w:t>
            </w:r>
          </w:p>
        </w:tc>
        <w:tc>
          <w:tcPr>
            <w:tcW w:w="3620" w:type="dxa"/>
            <w:vAlign w:val="bottom"/>
            <w:tcBorders>
              <w:bottom w:val="single" w:sz="8" w:color="70AD47"/>
              <w:right w:val="single" w:sz="8" w:color="70AD47"/>
            </w:tcBorders>
          </w:tcPr>
          <w:p>
            <w:pPr>
              <w:spacing w:after="0"/>
              <w:rPr>
                <w:sz w:val="20"/>
                <w:szCs w:val="20"/>
                <w:color w:val="auto"/>
              </w:rPr>
            </w:pP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6"/>
                <w:szCs w:val="16"/>
                <w:b w:val="1"/>
                <w:bCs w:val="1"/>
                <w:color w:val="auto"/>
              </w:rPr>
              <w:t>€601,934</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6"/>
                <w:szCs w:val="16"/>
                <w:b w:val="1"/>
                <w:bCs w:val="1"/>
                <w:color w:val="auto"/>
              </w:rPr>
              <w:t>€493,492</w:t>
            </w:r>
          </w:p>
        </w:tc>
      </w:tr>
      <w:tr>
        <w:trPr>
          <w:trHeight w:val="223"/>
        </w:trPr>
        <w:tc>
          <w:tcPr>
            <w:tcW w:w="496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3620" w:type="dxa"/>
            <w:vAlign w:val="bottom"/>
            <w:tcBorders>
              <w:right w:val="single" w:sz="8" w:color="70AD47"/>
            </w:tcBorders>
          </w:tcPr>
          <w:p>
            <w:pPr>
              <w:spacing w:after="0"/>
              <w:rPr>
                <w:sz w:val="19"/>
                <w:szCs w:val="19"/>
                <w:color w:val="auto"/>
              </w:rPr>
            </w:pPr>
          </w:p>
        </w:tc>
        <w:tc>
          <w:tcPr>
            <w:tcW w:w="1320" w:type="dxa"/>
            <w:vAlign w:val="bottom"/>
            <w:tcBorders>
              <w:right w:val="single" w:sz="8" w:color="70AD47"/>
            </w:tcBorders>
            <w:shd w:val="clear" w:color="auto" w:fill="C6E0B4"/>
          </w:tcPr>
          <w:p>
            <w:pPr>
              <w:spacing w:after="0"/>
              <w:rPr>
                <w:sz w:val="19"/>
                <w:szCs w:val="19"/>
                <w:color w:val="auto"/>
              </w:rPr>
            </w:pPr>
          </w:p>
        </w:tc>
        <w:tc>
          <w:tcPr>
            <w:tcW w:w="1340" w:type="dxa"/>
            <w:vAlign w:val="bottom"/>
            <w:tcBorders>
              <w:right w:val="single" w:sz="8" w:color="70AD47"/>
            </w:tcBorders>
          </w:tcPr>
          <w:p>
            <w:pPr>
              <w:spacing w:after="0"/>
              <w:rPr>
                <w:sz w:val="19"/>
                <w:szCs w:val="19"/>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Financial liabilities</w:t>
            </w:r>
          </w:p>
        </w:tc>
        <w:tc>
          <w:tcPr>
            <w:tcW w:w="3620" w:type="dxa"/>
            <w:vAlign w:val="bottom"/>
            <w:tcBorders>
              <w:right w:val="single" w:sz="8" w:color="70AD47"/>
            </w:tcBorders>
          </w:tcPr>
          <w:p>
            <w:pPr>
              <w:jc w:val="center"/>
              <w:ind w:left="2619"/>
              <w:spacing w:after="0"/>
              <w:rPr>
                <w:sz w:val="20"/>
                <w:szCs w:val="20"/>
                <w:color w:val="auto"/>
              </w:rPr>
            </w:pPr>
            <w:r>
              <w:rPr>
                <w:rFonts w:ascii="Arial" w:cs="Arial" w:eastAsia="Arial" w:hAnsi="Arial"/>
                <w:sz w:val="16"/>
                <w:szCs w:val="16"/>
                <w:color w:val="auto"/>
                <w:w w:val="89"/>
              </w:rPr>
              <w:t>9</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70,289</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6"/>
                <w:szCs w:val="16"/>
                <w:color w:val="auto"/>
              </w:rPr>
              <w:t>68,904</w:t>
            </w: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Other liabilities</w:t>
            </w:r>
          </w:p>
        </w:tc>
        <w:tc>
          <w:tcPr>
            <w:tcW w:w="3620" w:type="dxa"/>
            <w:vAlign w:val="bottom"/>
            <w:tcBorders>
              <w:right w:val="single" w:sz="8" w:color="70AD47"/>
            </w:tcBorders>
          </w:tcPr>
          <w:p>
            <w:pPr>
              <w:spacing w:after="0"/>
              <w:rPr>
                <w:sz w:val="21"/>
                <w:szCs w:val="21"/>
                <w:color w:val="auto"/>
              </w:rPr>
            </w:pP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431</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Contract liabilities</w:t>
            </w:r>
          </w:p>
        </w:tc>
        <w:tc>
          <w:tcPr>
            <w:tcW w:w="3620" w:type="dxa"/>
            <w:vAlign w:val="bottom"/>
            <w:tcBorders>
              <w:right w:val="single" w:sz="8" w:color="70AD47"/>
            </w:tcBorders>
          </w:tcPr>
          <w:p>
            <w:pPr>
              <w:spacing w:after="0"/>
              <w:rPr>
                <w:sz w:val="21"/>
                <w:szCs w:val="21"/>
                <w:color w:val="auto"/>
              </w:rPr>
            </w:pP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86,793</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6"/>
                <w:szCs w:val="16"/>
                <w:color w:val="auto"/>
              </w:rPr>
              <w:t>97,109</w:t>
            </w:r>
          </w:p>
        </w:tc>
      </w:tr>
      <w:tr>
        <w:trPr>
          <w:trHeight w:val="256"/>
        </w:trPr>
        <w:tc>
          <w:tcPr>
            <w:tcW w:w="4960" w:type="dxa"/>
            <w:vAlign w:val="bottom"/>
            <w:tcBorders>
              <w:bottom w:val="single" w:sz="8" w:color="70AD47"/>
            </w:tcBorders>
          </w:tcPr>
          <w:p>
            <w:pPr>
              <w:spacing w:after="0"/>
              <w:rPr>
                <w:sz w:val="20"/>
                <w:szCs w:val="20"/>
                <w:color w:val="auto"/>
              </w:rPr>
            </w:pPr>
            <w:r>
              <w:rPr>
                <w:rFonts w:ascii="Arial" w:cs="Arial" w:eastAsia="Arial" w:hAnsi="Arial"/>
                <w:sz w:val="16"/>
                <w:szCs w:val="16"/>
                <w:color w:val="auto"/>
              </w:rPr>
              <w:t>Deferred tax liabilities</w:t>
            </w:r>
          </w:p>
        </w:tc>
        <w:tc>
          <w:tcPr>
            <w:tcW w:w="3620" w:type="dxa"/>
            <w:vAlign w:val="bottom"/>
            <w:tcBorders>
              <w:bottom w:val="single" w:sz="8" w:color="70AD47"/>
              <w:right w:val="single" w:sz="8" w:color="70AD47"/>
            </w:tcBorders>
          </w:tcPr>
          <w:p>
            <w:pPr>
              <w:spacing w:after="0"/>
              <w:rPr>
                <w:sz w:val="22"/>
                <w:szCs w:val="22"/>
                <w:color w:val="auto"/>
              </w:rPr>
            </w:pP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5,434</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960" w:type="dxa"/>
            <w:vAlign w:val="bottom"/>
            <w:tcBorders>
              <w:bottom w:val="single" w:sz="8" w:color="70AD47"/>
            </w:tcBorders>
          </w:tcPr>
          <w:p>
            <w:pPr>
              <w:spacing w:after="0"/>
              <w:rPr>
                <w:sz w:val="20"/>
                <w:szCs w:val="20"/>
                <w:color w:val="auto"/>
              </w:rPr>
            </w:pPr>
            <w:r>
              <w:rPr>
                <w:rFonts w:ascii="Arial" w:cs="Arial" w:eastAsia="Arial" w:hAnsi="Arial"/>
                <w:sz w:val="16"/>
                <w:szCs w:val="16"/>
                <w:b w:val="1"/>
                <w:bCs w:val="1"/>
                <w:color w:val="auto"/>
              </w:rPr>
              <w:t>Total non-current liabilities</w:t>
            </w:r>
          </w:p>
        </w:tc>
        <w:tc>
          <w:tcPr>
            <w:tcW w:w="3620" w:type="dxa"/>
            <w:vAlign w:val="bottom"/>
            <w:tcBorders>
              <w:bottom w:val="single" w:sz="8" w:color="70AD47"/>
              <w:right w:val="single" w:sz="8" w:color="70AD47"/>
            </w:tcBorders>
          </w:tcPr>
          <w:p>
            <w:pPr>
              <w:spacing w:after="0"/>
              <w:rPr>
                <w:sz w:val="20"/>
                <w:szCs w:val="20"/>
                <w:color w:val="auto"/>
              </w:rPr>
            </w:pP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6"/>
                <w:szCs w:val="16"/>
                <w:b w:val="1"/>
                <w:bCs w:val="1"/>
                <w:color w:val="auto"/>
              </w:rPr>
              <w:t>€162,947</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6"/>
                <w:szCs w:val="16"/>
                <w:b w:val="1"/>
                <w:bCs w:val="1"/>
                <w:color w:val="auto"/>
              </w:rPr>
              <w:t>€166,013</w:t>
            </w:r>
          </w:p>
        </w:tc>
      </w:tr>
      <w:tr>
        <w:trPr>
          <w:trHeight w:val="223"/>
        </w:trPr>
        <w:tc>
          <w:tcPr>
            <w:tcW w:w="496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3620" w:type="dxa"/>
            <w:vAlign w:val="bottom"/>
            <w:tcBorders>
              <w:right w:val="single" w:sz="8" w:color="70AD47"/>
            </w:tcBorders>
          </w:tcPr>
          <w:p>
            <w:pPr>
              <w:spacing w:after="0"/>
              <w:rPr>
                <w:sz w:val="19"/>
                <w:szCs w:val="19"/>
                <w:color w:val="auto"/>
              </w:rPr>
            </w:pPr>
          </w:p>
        </w:tc>
        <w:tc>
          <w:tcPr>
            <w:tcW w:w="1320" w:type="dxa"/>
            <w:vAlign w:val="bottom"/>
            <w:tcBorders>
              <w:right w:val="single" w:sz="8" w:color="70AD47"/>
            </w:tcBorders>
            <w:shd w:val="clear" w:color="auto" w:fill="C6E0B4"/>
          </w:tcPr>
          <w:p>
            <w:pPr>
              <w:spacing w:after="0"/>
              <w:rPr>
                <w:sz w:val="19"/>
                <w:szCs w:val="19"/>
                <w:color w:val="auto"/>
              </w:rPr>
            </w:pPr>
          </w:p>
        </w:tc>
        <w:tc>
          <w:tcPr>
            <w:tcW w:w="1340" w:type="dxa"/>
            <w:vAlign w:val="bottom"/>
            <w:tcBorders>
              <w:right w:val="single" w:sz="8" w:color="70AD47"/>
            </w:tcBorders>
          </w:tcPr>
          <w:p>
            <w:pPr>
              <w:spacing w:after="0"/>
              <w:rPr>
                <w:sz w:val="19"/>
                <w:szCs w:val="19"/>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Tax provisions</w:t>
            </w:r>
          </w:p>
        </w:tc>
        <w:tc>
          <w:tcPr>
            <w:tcW w:w="3620" w:type="dxa"/>
            <w:vAlign w:val="bottom"/>
            <w:tcBorders>
              <w:right w:val="single" w:sz="8" w:color="70AD47"/>
            </w:tcBorders>
          </w:tcPr>
          <w:p>
            <w:pPr>
              <w:spacing w:after="0"/>
              <w:rPr>
                <w:sz w:val="21"/>
                <w:szCs w:val="21"/>
                <w:color w:val="auto"/>
              </w:rPr>
            </w:pP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150</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6"/>
                <w:szCs w:val="16"/>
                <w:color w:val="auto"/>
              </w:rPr>
              <w:t>150</w:t>
            </w: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Provisions</w:t>
            </w:r>
          </w:p>
        </w:tc>
        <w:tc>
          <w:tcPr>
            <w:tcW w:w="3620" w:type="dxa"/>
            <w:vAlign w:val="bottom"/>
            <w:tcBorders>
              <w:right w:val="single" w:sz="8" w:color="70AD47"/>
            </w:tcBorders>
          </w:tcPr>
          <w:p>
            <w:pPr>
              <w:spacing w:after="0"/>
              <w:rPr>
                <w:sz w:val="21"/>
                <w:szCs w:val="21"/>
                <w:color w:val="auto"/>
              </w:rPr>
            </w:pP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833</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6"/>
                <w:szCs w:val="16"/>
                <w:color w:val="auto"/>
              </w:rPr>
              <w:t>762</w:t>
            </w: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Financial liabilities</w:t>
            </w:r>
          </w:p>
        </w:tc>
        <w:tc>
          <w:tcPr>
            <w:tcW w:w="3620" w:type="dxa"/>
            <w:vAlign w:val="bottom"/>
            <w:tcBorders>
              <w:right w:val="single" w:sz="8" w:color="70AD47"/>
            </w:tcBorders>
          </w:tcPr>
          <w:p>
            <w:pPr>
              <w:jc w:val="center"/>
              <w:ind w:left="2619"/>
              <w:spacing w:after="0"/>
              <w:rPr>
                <w:sz w:val="20"/>
                <w:szCs w:val="20"/>
                <w:color w:val="auto"/>
              </w:rPr>
            </w:pPr>
            <w:r>
              <w:rPr>
                <w:rFonts w:ascii="Arial" w:cs="Arial" w:eastAsia="Arial" w:hAnsi="Arial"/>
                <w:sz w:val="16"/>
                <w:szCs w:val="16"/>
                <w:color w:val="auto"/>
                <w:w w:val="89"/>
              </w:rPr>
              <w:t>9</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2,591</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6"/>
                <w:szCs w:val="16"/>
                <w:color w:val="auto"/>
              </w:rPr>
              <w:t>1,823</w:t>
            </w: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Trade payables</w:t>
            </w:r>
          </w:p>
        </w:tc>
        <w:tc>
          <w:tcPr>
            <w:tcW w:w="3620" w:type="dxa"/>
            <w:vAlign w:val="bottom"/>
            <w:tcBorders>
              <w:right w:val="single" w:sz="8" w:color="70AD47"/>
            </w:tcBorders>
          </w:tcPr>
          <w:p>
            <w:pPr>
              <w:jc w:val="center"/>
              <w:ind w:left="2619"/>
              <w:spacing w:after="0"/>
              <w:rPr>
                <w:sz w:val="20"/>
                <w:szCs w:val="20"/>
                <w:color w:val="auto"/>
              </w:rPr>
            </w:pPr>
            <w:r>
              <w:rPr>
                <w:rFonts w:ascii="Arial" w:cs="Arial" w:eastAsia="Arial" w:hAnsi="Arial"/>
                <w:sz w:val="16"/>
                <w:szCs w:val="16"/>
                <w:color w:val="auto"/>
                <w:w w:val="89"/>
              </w:rPr>
              <w:t>9</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35,690</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6"/>
                <w:szCs w:val="16"/>
                <w:color w:val="auto"/>
              </w:rPr>
              <w:t>20,498</w:t>
            </w: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Contract liabilities</w:t>
            </w:r>
          </w:p>
        </w:tc>
        <w:tc>
          <w:tcPr>
            <w:tcW w:w="3620" w:type="dxa"/>
            <w:vAlign w:val="bottom"/>
            <w:tcBorders>
              <w:right w:val="single" w:sz="8" w:color="70AD47"/>
            </w:tcBorders>
          </w:tcPr>
          <w:p>
            <w:pPr>
              <w:spacing w:after="0"/>
              <w:rPr>
                <w:sz w:val="21"/>
                <w:szCs w:val="21"/>
                <w:color w:val="auto"/>
              </w:rPr>
            </w:pP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117,661</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6"/>
                <w:szCs w:val="16"/>
                <w:color w:val="auto"/>
              </w:rPr>
              <w:t>93,583</w:t>
            </w: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Other financial liabilities</w:t>
            </w:r>
          </w:p>
        </w:tc>
        <w:tc>
          <w:tcPr>
            <w:tcW w:w="3620" w:type="dxa"/>
            <w:vAlign w:val="bottom"/>
            <w:tcBorders>
              <w:right w:val="single" w:sz="8" w:color="70AD47"/>
            </w:tcBorders>
          </w:tcPr>
          <w:p>
            <w:pPr>
              <w:jc w:val="center"/>
              <w:ind w:left="2619"/>
              <w:spacing w:after="0"/>
              <w:rPr>
                <w:sz w:val="20"/>
                <w:szCs w:val="20"/>
                <w:color w:val="auto"/>
              </w:rPr>
            </w:pPr>
            <w:r>
              <w:rPr>
                <w:rFonts w:ascii="Arial" w:cs="Arial" w:eastAsia="Arial" w:hAnsi="Arial"/>
                <w:sz w:val="16"/>
                <w:szCs w:val="16"/>
                <w:color w:val="auto"/>
                <w:w w:val="89"/>
              </w:rPr>
              <w:t>9</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33,763</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6"/>
                <w:szCs w:val="16"/>
                <w:color w:val="auto"/>
              </w:rPr>
              <w:t>13,836</w:t>
            </w:r>
          </w:p>
        </w:tc>
      </w:tr>
      <w:tr>
        <w:trPr>
          <w:trHeight w:val="256"/>
        </w:trPr>
        <w:tc>
          <w:tcPr>
            <w:tcW w:w="4960" w:type="dxa"/>
            <w:vAlign w:val="bottom"/>
            <w:tcBorders>
              <w:bottom w:val="single" w:sz="8" w:color="70AD47"/>
            </w:tcBorders>
          </w:tcPr>
          <w:p>
            <w:pPr>
              <w:spacing w:after="0"/>
              <w:rPr>
                <w:sz w:val="20"/>
                <w:szCs w:val="20"/>
                <w:color w:val="auto"/>
              </w:rPr>
            </w:pPr>
            <w:r>
              <w:rPr>
                <w:rFonts w:ascii="Arial" w:cs="Arial" w:eastAsia="Arial" w:hAnsi="Arial"/>
                <w:sz w:val="16"/>
                <w:szCs w:val="16"/>
                <w:color w:val="auto"/>
              </w:rPr>
              <w:t>Other liabilities</w:t>
            </w:r>
          </w:p>
        </w:tc>
        <w:tc>
          <w:tcPr>
            <w:tcW w:w="3620" w:type="dxa"/>
            <w:vAlign w:val="bottom"/>
            <w:tcBorders>
              <w:bottom w:val="single" w:sz="8" w:color="70AD47"/>
              <w:right w:val="single" w:sz="8" w:color="70AD47"/>
            </w:tcBorders>
          </w:tcPr>
          <w:p>
            <w:pPr>
              <w:spacing w:after="0"/>
              <w:rPr>
                <w:sz w:val="22"/>
                <w:szCs w:val="22"/>
                <w:color w:val="auto"/>
              </w:rPr>
            </w:pP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6"/>
                <w:szCs w:val="16"/>
                <w:color w:val="auto"/>
              </w:rPr>
              <w:t>17,878</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6"/>
                <w:szCs w:val="16"/>
                <w:color w:val="auto"/>
              </w:rPr>
              <w:t>7,490</w:t>
            </w:r>
          </w:p>
        </w:tc>
      </w:tr>
      <w:tr>
        <w:trPr>
          <w:trHeight w:val="236"/>
        </w:trPr>
        <w:tc>
          <w:tcPr>
            <w:tcW w:w="4960" w:type="dxa"/>
            <w:vAlign w:val="bottom"/>
            <w:tcBorders>
              <w:bottom w:val="single" w:sz="8" w:color="70AD47"/>
            </w:tcBorders>
          </w:tcPr>
          <w:p>
            <w:pPr>
              <w:spacing w:after="0"/>
              <w:rPr>
                <w:sz w:val="20"/>
                <w:szCs w:val="20"/>
                <w:color w:val="auto"/>
              </w:rPr>
            </w:pPr>
            <w:r>
              <w:rPr>
                <w:rFonts w:ascii="Arial" w:cs="Arial" w:eastAsia="Arial" w:hAnsi="Arial"/>
                <w:sz w:val="16"/>
                <w:szCs w:val="16"/>
                <w:b w:val="1"/>
                <w:bCs w:val="1"/>
                <w:color w:val="auto"/>
              </w:rPr>
              <w:t>Total current liabilities</w:t>
            </w:r>
          </w:p>
        </w:tc>
        <w:tc>
          <w:tcPr>
            <w:tcW w:w="3620" w:type="dxa"/>
            <w:vAlign w:val="bottom"/>
            <w:tcBorders>
              <w:bottom w:val="single" w:sz="8" w:color="70AD47"/>
              <w:right w:val="single" w:sz="8" w:color="70AD47"/>
            </w:tcBorders>
          </w:tcPr>
          <w:p>
            <w:pPr>
              <w:spacing w:after="0"/>
              <w:rPr>
                <w:sz w:val="20"/>
                <w:szCs w:val="20"/>
                <w:color w:val="auto"/>
              </w:rPr>
            </w:pP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6"/>
                <w:szCs w:val="16"/>
                <w:b w:val="1"/>
                <w:bCs w:val="1"/>
                <w:color w:val="auto"/>
              </w:rPr>
              <w:t>€208,566</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6"/>
                <w:szCs w:val="16"/>
                <w:b w:val="1"/>
                <w:bCs w:val="1"/>
                <w:color w:val="auto"/>
              </w:rPr>
              <w:t>€138,142</w:t>
            </w:r>
          </w:p>
        </w:tc>
      </w:tr>
      <w:tr>
        <w:trPr>
          <w:trHeight w:val="237"/>
        </w:trPr>
        <w:tc>
          <w:tcPr>
            <w:tcW w:w="4960" w:type="dxa"/>
            <w:vAlign w:val="bottom"/>
            <w:tcBorders>
              <w:bottom w:val="single" w:sz="8" w:color="70AD47"/>
            </w:tcBorders>
          </w:tcPr>
          <w:p>
            <w:pPr>
              <w:spacing w:after="0"/>
              <w:rPr>
                <w:sz w:val="20"/>
                <w:szCs w:val="20"/>
                <w:color w:val="auto"/>
              </w:rPr>
            </w:pPr>
            <w:r>
              <w:rPr>
                <w:rFonts w:ascii="Arial" w:cs="Arial" w:eastAsia="Arial" w:hAnsi="Arial"/>
                <w:sz w:val="16"/>
                <w:szCs w:val="16"/>
                <w:b w:val="1"/>
                <w:bCs w:val="1"/>
                <w:color w:val="auto"/>
              </w:rPr>
              <w:t>Total liabilities</w:t>
            </w:r>
          </w:p>
        </w:tc>
        <w:tc>
          <w:tcPr>
            <w:tcW w:w="3620" w:type="dxa"/>
            <w:vAlign w:val="bottom"/>
            <w:tcBorders>
              <w:bottom w:val="single" w:sz="8" w:color="70AD47"/>
              <w:right w:val="single" w:sz="8" w:color="70AD47"/>
            </w:tcBorders>
          </w:tcPr>
          <w:p>
            <w:pPr>
              <w:spacing w:after="0"/>
              <w:rPr>
                <w:sz w:val="20"/>
                <w:szCs w:val="20"/>
                <w:color w:val="auto"/>
              </w:rPr>
            </w:pP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6"/>
                <w:szCs w:val="16"/>
                <w:b w:val="1"/>
                <w:bCs w:val="1"/>
                <w:color w:val="auto"/>
              </w:rPr>
              <w:t>€371,513</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6"/>
                <w:szCs w:val="16"/>
                <w:b w:val="1"/>
                <w:bCs w:val="1"/>
                <w:color w:val="auto"/>
              </w:rPr>
              <w:t>€304,155</w:t>
            </w:r>
          </w:p>
        </w:tc>
      </w:tr>
      <w:tr>
        <w:trPr>
          <w:trHeight w:val="213"/>
        </w:trPr>
        <w:tc>
          <w:tcPr>
            <w:tcW w:w="4960" w:type="dxa"/>
            <w:vAlign w:val="bottom"/>
            <w:tcBorders>
              <w:bottom w:val="single" w:sz="8" w:color="70AD47"/>
            </w:tcBorders>
          </w:tcPr>
          <w:p>
            <w:pPr>
              <w:spacing w:after="0"/>
              <w:rPr>
                <w:sz w:val="20"/>
                <w:szCs w:val="20"/>
                <w:color w:val="auto"/>
              </w:rPr>
            </w:pPr>
            <w:r>
              <w:rPr>
                <w:rFonts w:ascii="Arial" w:cs="Arial" w:eastAsia="Arial" w:hAnsi="Arial"/>
                <w:sz w:val="16"/>
                <w:szCs w:val="16"/>
                <w:b w:val="1"/>
                <w:bCs w:val="1"/>
                <w:color w:val="auto"/>
              </w:rPr>
              <w:t>Total equity and liabilities</w:t>
            </w:r>
          </w:p>
        </w:tc>
        <w:tc>
          <w:tcPr>
            <w:tcW w:w="3620" w:type="dxa"/>
            <w:vAlign w:val="bottom"/>
            <w:tcBorders>
              <w:bottom w:val="single" w:sz="8" w:color="70AD47"/>
              <w:right w:val="single" w:sz="8" w:color="70AD47"/>
            </w:tcBorders>
          </w:tcPr>
          <w:p>
            <w:pPr>
              <w:spacing w:after="0"/>
              <w:rPr>
                <w:sz w:val="18"/>
                <w:szCs w:val="18"/>
                <w:color w:val="auto"/>
              </w:rPr>
            </w:pP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6"/>
                <w:szCs w:val="16"/>
                <w:b w:val="1"/>
                <w:bCs w:val="1"/>
                <w:color w:val="auto"/>
              </w:rPr>
              <w:t>€973,447</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6"/>
                <w:szCs w:val="16"/>
                <w:b w:val="1"/>
                <w:bCs w:val="1"/>
                <w:color w:val="auto"/>
              </w:rPr>
              <w:t>€797,647</w:t>
            </w: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interim condensed consolidated financial statements.</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20" w:name="page21"/>
    <w:bookmarkEnd w:id="20"/>
    <w:p>
      <w:pP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Interim Condensed Consolidated Statements of Operations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40" w:type="dxa"/>
            <w:vAlign w:val="bottom"/>
            <w:gridSpan w:val="2"/>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Pr>
          <w:p>
            <w:pPr>
              <w:spacing w:after="0"/>
              <w:rPr>
                <w:sz w:val="20"/>
                <w:szCs w:val="20"/>
                <w:color w:val="auto"/>
              </w:rPr>
            </w:pPr>
          </w:p>
        </w:tc>
        <w:tc>
          <w:tcPr>
            <w:tcW w:w="1840" w:type="dxa"/>
            <w:vAlign w:val="bottom"/>
            <w:gridSpan w:val="2"/>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060" w:type="dxa"/>
            <w:vAlign w:val="bottom"/>
          </w:tcPr>
          <w:p>
            <w:pPr>
              <w:spacing w:after="0"/>
              <w:rPr>
                <w:sz w:val="22"/>
                <w:szCs w:val="22"/>
                <w:color w:val="auto"/>
              </w:rPr>
            </w:pPr>
          </w:p>
        </w:tc>
        <w:tc>
          <w:tcPr>
            <w:tcW w:w="840" w:type="dxa"/>
            <w:vAlign w:val="bottom"/>
            <w:tcBorders>
              <w:right w:val="single" w:sz="8" w:color="70AD47"/>
            </w:tcBorders>
          </w:tcPr>
          <w:p>
            <w:pPr>
              <w:spacing w:after="0"/>
              <w:rPr>
                <w:sz w:val="22"/>
                <w:szCs w:val="22"/>
                <w:color w:val="auto"/>
              </w:rPr>
            </w:pPr>
          </w:p>
        </w:tc>
        <w:tc>
          <w:tcPr>
            <w:tcW w:w="13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22"/>
                <w:szCs w:val="22"/>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b w:val="1"/>
                <w:bCs w:val="1"/>
                <w:color w:val="auto"/>
              </w:rPr>
              <w:t>2019</w:t>
            </w:r>
          </w:p>
        </w:tc>
        <w:tc>
          <w:tcPr>
            <w:tcW w:w="13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2"/>
                <w:szCs w:val="22"/>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840" w:type="dxa"/>
            <w:vAlign w:val="bottom"/>
            <w:tcBorders>
              <w:right w:val="single" w:sz="8" w:color="70AD47"/>
            </w:tcBorders>
          </w:tcPr>
          <w:p>
            <w:pPr>
              <w:jc w:val="center"/>
              <w:spacing w:after="0"/>
              <w:rPr>
                <w:sz w:val="20"/>
                <w:szCs w:val="20"/>
                <w:color w:val="auto"/>
              </w:rPr>
            </w:pPr>
            <w:r>
              <w:rPr>
                <w:rFonts w:ascii="Arial" w:cs="Arial" w:eastAsia="Arial" w:hAnsi="Arial"/>
                <w:sz w:val="18"/>
                <w:szCs w:val="18"/>
                <w:b w:val="1"/>
                <w:bCs w:val="1"/>
                <w:color w:val="auto"/>
                <w:w w:val="89"/>
              </w:rPr>
              <w:t>Note</w:t>
            </w:r>
          </w:p>
        </w:tc>
        <w:tc>
          <w:tcPr>
            <w:tcW w:w="1840" w:type="dxa"/>
            <w:vAlign w:val="bottom"/>
            <w:gridSpan w:val="2"/>
          </w:tcPr>
          <w:p>
            <w:pPr>
              <w:jc w:val="center"/>
              <w:ind w:left="710"/>
              <w:spacing w:after="0"/>
              <w:rPr>
                <w:sz w:val="20"/>
                <w:szCs w:val="20"/>
                <w:color w:val="auto"/>
              </w:rPr>
            </w:pPr>
            <w:r>
              <w:rPr>
                <w:rFonts w:ascii="Arial" w:cs="Arial" w:eastAsia="Arial" w:hAnsi="Arial"/>
                <w:sz w:val="18"/>
                <w:szCs w:val="18"/>
                <w:i w:val="1"/>
                <w:iCs w:val="1"/>
                <w:color w:val="auto"/>
                <w:w w:val="92"/>
              </w:rPr>
              <w:t>(unaudited)</w:t>
            </w:r>
          </w:p>
        </w:tc>
        <w:tc>
          <w:tcPr>
            <w:tcW w:w="840" w:type="dxa"/>
            <w:vAlign w:val="bottom"/>
            <w:tcBorders>
              <w:right w:val="single" w:sz="8" w:color="70AD47"/>
            </w:tcBorders>
          </w:tcPr>
          <w:p>
            <w:pPr>
              <w:spacing w:after="0"/>
              <w:rPr>
                <w:sz w:val="22"/>
                <w:szCs w:val="22"/>
                <w:color w:val="auto"/>
              </w:rPr>
            </w:pPr>
          </w:p>
        </w:tc>
        <w:tc>
          <w:tcPr>
            <w:tcW w:w="1840" w:type="dxa"/>
            <w:vAlign w:val="bottom"/>
            <w:gridSpan w:val="2"/>
          </w:tcPr>
          <w:p>
            <w:pPr>
              <w:jc w:val="center"/>
              <w:ind w:left="710"/>
              <w:spacing w:after="0"/>
              <w:rPr>
                <w:sz w:val="20"/>
                <w:szCs w:val="20"/>
                <w:color w:val="auto"/>
              </w:rPr>
            </w:pPr>
            <w:r>
              <w:rPr>
                <w:rFonts w:ascii="Arial" w:cs="Arial" w:eastAsia="Arial" w:hAnsi="Arial"/>
                <w:sz w:val="18"/>
                <w:szCs w:val="18"/>
                <w:i w:val="1"/>
                <w:iCs w:val="1"/>
                <w:color w:val="auto"/>
                <w:w w:val="92"/>
              </w:rPr>
              <w:t>(unaudited)</w:t>
            </w:r>
          </w:p>
        </w:tc>
        <w:tc>
          <w:tcPr>
            <w:tcW w:w="840" w:type="dxa"/>
            <w:vAlign w:val="bottom"/>
            <w:tcBorders>
              <w:right w:val="single" w:sz="8" w:color="70AD47"/>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060" w:type="dxa"/>
            <w:vAlign w:val="bottom"/>
            <w:tcBorders>
              <w:bottom w:val="single" w:sz="8" w:color="70AD47"/>
            </w:tcBorders>
          </w:tcPr>
          <w:p>
            <w:pPr>
              <w:spacing w:after="0"/>
              <w:rPr>
                <w:sz w:val="2"/>
                <w:szCs w:val="2"/>
                <w:color w:val="auto"/>
              </w:rPr>
            </w:pPr>
          </w:p>
        </w:tc>
        <w:tc>
          <w:tcPr>
            <w:tcW w:w="840" w:type="dxa"/>
            <w:vAlign w:val="bottom"/>
            <w:tcBorders>
              <w:bottom w:val="single" w:sz="8" w:color="70AD47"/>
              <w:right w:val="single" w:sz="8" w:color="70AD47"/>
            </w:tcBorders>
          </w:tcPr>
          <w:p>
            <w:pPr>
              <w:spacing w:after="0"/>
              <w:rPr>
                <w:sz w:val="2"/>
                <w:szCs w:val="2"/>
                <w:color w:val="auto"/>
              </w:rPr>
            </w:pPr>
          </w:p>
        </w:tc>
        <w:tc>
          <w:tcPr>
            <w:tcW w:w="1360" w:type="dxa"/>
            <w:vAlign w:val="bottom"/>
            <w:tcBorders>
              <w:bottom w:val="single" w:sz="8" w:color="70AD47"/>
            </w:tcBorders>
          </w:tcPr>
          <w:p>
            <w:pPr>
              <w:spacing w:after="0"/>
              <w:rPr>
                <w:sz w:val="2"/>
                <w:szCs w:val="2"/>
                <w:color w:val="auto"/>
              </w:rPr>
            </w:pPr>
          </w:p>
        </w:tc>
        <w:tc>
          <w:tcPr>
            <w:tcW w:w="480" w:type="dxa"/>
            <w:vAlign w:val="bottom"/>
            <w:tcBorders>
              <w:bottom w:val="single" w:sz="8" w:color="70AD47"/>
            </w:tcBorders>
          </w:tcPr>
          <w:p>
            <w:pPr>
              <w:spacing w:after="0"/>
              <w:rPr>
                <w:sz w:val="2"/>
                <w:szCs w:val="2"/>
                <w:color w:val="auto"/>
              </w:rPr>
            </w:pPr>
          </w:p>
        </w:tc>
        <w:tc>
          <w:tcPr>
            <w:tcW w:w="840" w:type="dxa"/>
            <w:vAlign w:val="bottom"/>
            <w:tcBorders>
              <w:bottom w:val="single" w:sz="8" w:color="70AD47"/>
              <w:right w:val="single" w:sz="8" w:color="70AD47"/>
            </w:tcBorders>
          </w:tcPr>
          <w:p>
            <w:pPr>
              <w:spacing w:after="0"/>
              <w:rPr>
                <w:sz w:val="2"/>
                <w:szCs w:val="2"/>
                <w:color w:val="auto"/>
              </w:rPr>
            </w:pPr>
          </w:p>
        </w:tc>
        <w:tc>
          <w:tcPr>
            <w:tcW w:w="1340" w:type="dxa"/>
            <w:vAlign w:val="bottom"/>
            <w:tcBorders>
              <w:bottom w:val="single" w:sz="8" w:color="70AD47"/>
            </w:tcBorders>
          </w:tcPr>
          <w:p>
            <w:pPr>
              <w:spacing w:after="0"/>
              <w:rPr>
                <w:sz w:val="2"/>
                <w:szCs w:val="2"/>
                <w:color w:val="auto"/>
              </w:rPr>
            </w:pPr>
          </w:p>
        </w:tc>
        <w:tc>
          <w:tcPr>
            <w:tcW w:w="500" w:type="dxa"/>
            <w:vAlign w:val="bottom"/>
            <w:tcBorders>
              <w:bottom w:val="single" w:sz="8" w:color="70AD47"/>
            </w:tcBorders>
          </w:tcPr>
          <w:p>
            <w:pPr>
              <w:spacing w:after="0"/>
              <w:rPr>
                <w:sz w:val="2"/>
                <w:szCs w:val="2"/>
                <w:color w:val="auto"/>
              </w:rPr>
            </w:pPr>
          </w:p>
        </w:tc>
        <w:tc>
          <w:tcPr>
            <w:tcW w:w="840" w:type="dxa"/>
            <w:vAlign w:val="bottom"/>
            <w:tcBorders>
              <w:bottom w:val="single" w:sz="8" w:color="70AD47"/>
              <w:right w:val="single" w:sz="8" w:color="70AD47"/>
            </w:tcBorders>
          </w:tcPr>
          <w:p>
            <w:pPr>
              <w:spacing w:after="0"/>
              <w:rPr>
                <w:sz w:val="2"/>
                <w:szCs w:val="2"/>
                <w:color w:val="auto"/>
              </w:rPr>
            </w:pPr>
          </w:p>
        </w:tc>
        <w:tc>
          <w:tcPr>
            <w:tcW w:w="0" w:type="dxa"/>
            <w:vAlign w:val="bottom"/>
          </w:tcPr>
          <w:p>
            <w:pPr>
              <w:spacing w:after="0"/>
              <w:rPr>
                <w:sz w:val="1"/>
                <w:szCs w:val="1"/>
                <w:color w:val="auto"/>
              </w:rPr>
            </w:pPr>
          </w:p>
        </w:tc>
      </w:tr>
      <w:tr>
        <w:trPr>
          <w:trHeight w:val="533"/>
        </w:trPr>
        <w:tc>
          <w:tcPr>
            <w:tcW w:w="5060" w:type="dxa"/>
            <w:vAlign w:val="bottom"/>
          </w:tcPr>
          <w:p>
            <w:pPr>
              <w:spacing w:after="0"/>
              <w:rPr>
                <w:sz w:val="20"/>
                <w:szCs w:val="20"/>
                <w:color w:val="auto"/>
              </w:rPr>
            </w:pPr>
            <w:r>
              <w:rPr>
                <w:rFonts w:ascii="Arial" w:cs="Arial" w:eastAsia="Arial" w:hAnsi="Arial"/>
                <w:sz w:val="18"/>
                <w:szCs w:val="18"/>
                <w:color w:val="auto"/>
              </w:rPr>
              <w:t>Revenues from contracts with customers</w:t>
            </w:r>
          </w:p>
        </w:tc>
        <w:tc>
          <w:tcPr>
            <w:tcW w:w="840" w:type="dxa"/>
            <w:vAlign w:val="bottom"/>
            <w:tcBorders>
              <w:right w:val="single" w:sz="8" w:color="70AD47"/>
            </w:tcBorders>
          </w:tcPr>
          <w:p>
            <w:pPr>
              <w:jc w:val="center"/>
              <w:spacing w:after="0"/>
              <w:rPr>
                <w:sz w:val="20"/>
                <w:szCs w:val="20"/>
                <w:color w:val="auto"/>
              </w:rPr>
            </w:pPr>
            <w:r>
              <w:rPr>
                <w:rFonts w:ascii="Arial" w:cs="Arial" w:eastAsia="Arial" w:hAnsi="Arial"/>
                <w:sz w:val="18"/>
                <w:szCs w:val="18"/>
                <w:color w:val="auto"/>
                <w:w w:val="79"/>
              </w:rPr>
              <w:t>4</w:t>
            </w:r>
          </w:p>
        </w:tc>
        <w:tc>
          <w:tcPr>
            <w:tcW w:w="13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€41,762</w:t>
            </w:r>
          </w:p>
        </w:tc>
        <w:tc>
          <w:tcPr>
            <w:tcW w:w="48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€25,785</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€69,425</w:t>
            </w:r>
          </w:p>
        </w:tc>
        <w:tc>
          <w:tcPr>
            <w:tcW w:w="50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€51,939</w:t>
            </w:r>
          </w:p>
        </w:tc>
        <w:tc>
          <w:tcPr>
            <w:tcW w:w="0" w:type="dxa"/>
            <w:vAlign w:val="bottom"/>
          </w:tcPr>
          <w:p>
            <w:pPr>
              <w:spacing w:after="0"/>
              <w:rPr>
                <w:sz w:val="1"/>
                <w:szCs w:val="1"/>
                <w:color w:val="auto"/>
              </w:rPr>
            </w:pPr>
          </w:p>
        </w:tc>
      </w:tr>
      <w:tr>
        <w:trPr>
          <w:trHeight w:val="311"/>
        </w:trPr>
        <w:tc>
          <w:tcPr>
            <w:tcW w:w="5060" w:type="dxa"/>
            <w:vAlign w:val="bottom"/>
          </w:tcPr>
          <w:p>
            <w:pPr>
              <w:spacing w:after="0"/>
              <w:rPr>
                <w:sz w:val="20"/>
                <w:szCs w:val="20"/>
                <w:color w:val="auto"/>
              </w:rPr>
            </w:pPr>
            <w:r>
              <w:rPr>
                <w:rFonts w:ascii="Arial" w:cs="Arial" w:eastAsia="Arial" w:hAnsi="Arial"/>
                <w:sz w:val="18"/>
                <w:szCs w:val="18"/>
                <w:color w:val="auto"/>
              </w:rPr>
              <w:t>Cost of sales</w:t>
            </w:r>
          </w:p>
        </w:tc>
        <w:tc>
          <w:tcPr>
            <w:tcW w:w="840" w:type="dxa"/>
            <w:vAlign w:val="bottom"/>
            <w:tcBorders>
              <w:right w:val="single" w:sz="8" w:color="70AD47"/>
            </w:tcBorders>
          </w:tcPr>
          <w:p>
            <w:pPr>
              <w:spacing w:after="0"/>
              <w:rPr>
                <w:sz w:val="24"/>
                <w:szCs w:val="24"/>
                <w:color w:val="auto"/>
              </w:rPr>
            </w:pPr>
          </w:p>
        </w:tc>
        <w:tc>
          <w:tcPr>
            <w:tcW w:w="13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(5,662)</w:t>
            </w:r>
          </w:p>
        </w:tc>
        <w:tc>
          <w:tcPr>
            <w:tcW w:w="48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(5,489)</w:t>
            </w:r>
          </w:p>
        </w:tc>
        <w:tc>
          <w:tcPr>
            <w:tcW w:w="13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(11,504)</w:t>
            </w:r>
          </w:p>
        </w:tc>
        <w:tc>
          <w:tcPr>
            <w:tcW w:w="50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(8,694)</w:t>
            </w:r>
          </w:p>
        </w:tc>
        <w:tc>
          <w:tcPr>
            <w:tcW w:w="0" w:type="dxa"/>
            <w:vAlign w:val="bottom"/>
          </w:tcPr>
          <w:p>
            <w:pPr>
              <w:spacing w:after="0"/>
              <w:rPr>
                <w:sz w:val="1"/>
                <w:szCs w:val="1"/>
                <w:color w:val="auto"/>
              </w:rPr>
            </w:pPr>
          </w:p>
        </w:tc>
      </w:tr>
      <w:tr>
        <w:trPr>
          <w:trHeight w:val="277"/>
        </w:trPr>
        <w:tc>
          <w:tcPr>
            <w:tcW w:w="5060" w:type="dxa"/>
            <w:vAlign w:val="bottom"/>
            <w:tcBorders>
              <w:top w:val="single" w:sz="8" w:color="70AD47"/>
            </w:tcBorders>
          </w:tcPr>
          <w:p>
            <w:pPr>
              <w:spacing w:after="0"/>
              <w:rPr>
                <w:sz w:val="20"/>
                <w:szCs w:val="20"/>
                <w:color w:val="auto"/>
              </w:rPr>
            </w:pPr>
            <w:r>
              <w:rPr>
                <w:rFonts w:ascii="Arial" w:cs="Arial" w:eastAsia="Arial" w:hAnsi="Arial"/>
                <w:sz w:val="18"/>
                <w:szCs w:val="18"/>
                <w:b w:val="1"/>
                <w:bCs w:val="1"/>
                <w:color w:val="auto"/>
              </w:rPr>
              <w:t>Gross profit</w:t>
            </w:r>
          </w:p>
        </w:tc>
        <w:tc>
          <w:tcPr>
            <w:tcW w:w="840" w:type="dxa"/>
            <w:vAlign w:val="bottom"/>
            <w:tcBorders>
              <w:top w:val="single" w:sz="8" w:color="70AD47"/>
              <w:right w:val="single" w:sz="8" w:color="70AD47"/>
            </w:tcBorders>
          </w:tcPr>
          <w:p>
            <w:pPr>
              <w:spacing w:after="0"/>
              <w:rPr>
                <w:sz w:val="24"/>
                <w:szCs w:val="24"/>
                <w:color w:val="auto"/>
              </w:rPr>
            </w:pPr>
          </w:p>
        </w:tc>
        <w:tc>
          <w:tcPr>
            <w:tcW w:w="13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€36,100</w:t>
            </w:r>
          </w:p>
        </w:tc>
        <w:tc>
          <w:tcPr>
            <w:tcW w:w="48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8"/>
                <w:szCs w:val="18"/>
                <w:b w:val="1"/>
                <w:bCs w:val="1"/>
                <w:color w:val="auto"/>
              </w:rPr>
              <w:t>€20,296</w:t>
            </w:r>
          </w:p>
        </w:tc>
        <w:tc>
          <w:tcPr>
            <w:tcW w:w="134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€57,921</w:t>
            </w:r>
          </w:p>
        </w:tc>
        <w:tc>
          <w:tcPr>
            <w:tcW w:w="50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8"/>
                <w:szCs w:val="18"/>
                <w:b w:val="1"/>
                <w:bCs w:val="1"/>
                <w:color w:val="auto"/>
              </w:rPr>
              <w:t>€43,245</w:t>
            </w:r>
          </w:p>
        </w:tc>
        <w:tc>
          <w:tcPr>
            <w:tcW w:w="0" w:type="dxa"/>
            <w:vAlign w:val="bottom"/>
          </w:tcPr>
          <w:p>
            <w:pPr>
              <w:spacing w:after="0"/>
              <w:rPr>
                <w:sz w:val="1"/>
                <w:szCs w:val="1"/>
                <w:color w:val="auto"/>
              </w:rPr>
            </w:pPr>
          </w:p>
        </w:tc>
      </w:tr>
      <w:tr>
        <w:trPr>
          <w:trHeight w:val="534"/>
        </w:trPr>
        <w:tc>
          <w:tcPr>
            <w:tcW w:w="5060" w:type="dxa"/>
            <w:vAlign w:val="bottom"/>
            <w:tcBorders>
              <w:top w:val="single" w:sz="8" w:color="70AD47"/>
            </w:tcBorders>
          </w:tcPr>
          <w:p>
            <w:pPr>
              <w:spacing w:after="0"/>
              <w:rPr>
                <w:sz w:val="20"/>
                <w:szCs w:val="20"/>
                <w:color w:val="auto"/>
              </w:rPr>
            </w:pPr>
            <w:r>
              <w:rPr>
                <w:rFonts w:ascii="Arial" w:cs="Arial" w:eastAsia="Arial" w:hAnsi="Arial"/>
                <w:sz w:val="18"/>
                <w:szCs w:val="18"/>
                <w:color w:val="auto"/>
              </w:rPr>
              <w:t>Research and development expenses</w:t>
            </w:r>
          </w:p>
        </w:tc>
        <w:tc>
          <w:tcPr>
            <w:tcW w:w="840" w:type="dxa"/>
            <w:vAlign w:val="bottom"/>
            <w:tcBorders>
              <w:top w:val="single" w:sz="8" w:color="70AD47"/>
              <w:right w:val="single" w:sz="8" w:color="70AD47"/>
            </w:tcBorders>
          </w:tcPr>
          <w:p>
            <w:pPr>
              <w:spacing w:after="0"/>
              <w:rPr>
                <w:sz w:val="24"/>
                <w:szCs w:val="24"/>
                <w:color w:val="auto"/>
              </w:rPr>
            </w:pPr>
          </w:p>
        </w:tc>
        <w:tc>
          <w:tcPr>
            <w:tcW w:w="136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(95,189)</w:t>
            </w:r>
          </w:p>
        </w:tc>
        <w:tc>
          <w:tcPr>
            <w:tcW w:w="48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8"/>
                <w:szCs w:val="18"/>
                <w:color w:val="auto"/>
              </w:rPr>
              <w:t>(53,402)</w:t>
            </w:r>
          </w:p>
        </w:tc>
        <w:tc>
          <w:tcPr>
            <w:tcW w:w="134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(160,311)</w:t>
            </w:r>
          </w:p>
        </w:tc>
        <w:tc>
          <w:tcPr>
            <w:tcW w:w="50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8"/>
                <w:szCs w:val="18"/>
                <w:color w:val="auto"/>
              </w:rPr>
              <w:t>(110,643)</w:t>
            </w:r>
          </w:p>
        </w:tc>
        <w:tc>
          <w:tcPr>
            <w:tcW w:w="0" w:type="dxa"/>
            <w:vAlign w:val="bottom"/>
          </w:tcPr>
          <w:p>
            <w:pPr>
              <w:spacing w:after="0"/>
              <w:rPr>
                <w:sz w:val="1"/>
                <w:szCs w:val="1"/>
                <w:color w:val="auto"/>
              </w:rPr>
            </w:pPr>
          </w:p>
        </w:tc>
      </w:tr>
      <w:tr>
        <w:trPr>
          <w:trHeight w:val="283"/>
        </w:trPr>
        <w:tc>
          <w:tcPr>
            <w:tcW w:w="50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840" w:type="dxa"/>
            <w:vAlign w:val="bottom"/>
            <w:tcBorders>
              <w:right w:val="single" w:sz="8" w:color="70AD47"/>
            </w:tcBorders>
          </w:tcPr>
          <w:p>
            <w:pPr>
              <w:spacing w:after="0"/>
              <w:rPr>
                <w:sz w:val="24"/>
                <w:szCs w:val="24"/>
                <w:color w:val="auto"/>
              </w:rPr>
            </w:pPr>
          </w:p>
        </w:tc>
        <w:tc>
          <w:tcPr>
            <w:tcW w:w="13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(3,054)</w:t>
            </w:r>
          </w:p>
        </w:tc>
        <w:tc>
          <w:tcPr>
            <w:tcW w:w="48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(678)</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(3,540)</w:t>
            </w:r>
          </w:p>
        </w:tc>
        <w:tc>
          <w:tcPr>
            <w:tcW w:w="50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83"/>
        </w:trPr>
        <w:tc>
          <w:tcPr>
            <w:tcW w:w="50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tcBorders>
              <w:right w:val="single" w:sz="8" w:color="70AD47"/>
            </w:tcBorders>
          </w:tcPr>
          <w:p>
            <w:pPr>
              <w:spacing w:after="0"/>
              <w:rPr>
                <w:sz w:val="24"/>
                <w:szCs w:val="24"/>
                <w:color w:val="auto"/>
              </w:rPr>
            </w:pPr>
          </w:p>
        </w:tc>
        <w:tc>
          <w:tcPr>
            <w:tcW w:w="13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(18,813)</w:t>
            </w:r>
          </w:p>
        </w:tc>
        <w:tc>
          <w:tcPr>
            <w:tcW w:w="48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(14,623)</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(34,628)</w:t>
            </w:r>
          </w:p>
        </w:tc>
        <w:tc>
          <w:tcPr>
            <w:tcW w:w="50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(23,899)</w:t>
            </w:r>
          </w:p>
        </w:tc>
        <w:tc>
          <w:tcPr>
            <w:tcW w:w="0" w:type="dxa"/>
            <w:vAlign w:val="bottom"/>
          </w:tcPr>
          <w:p>
            <w:pPr>
              <w:spacing w:after="0"/>
              <w:rPr>
                <w:sz w:val="1"/>
                <w:szCs w:val="1"/>
                <w:color w:val="auto"/>
              </w:rPr>
            </w:pPr>
          </w:p>
        </w:tc>
      </w:tr>
      <w:tr>
        <w:trPr>
          <w:trHeight w:val="283"/>
        </w:trPr>
        <w:tc>
          <w:tcPr>
            <w:tcW w:w="5060" w:type="dxa"/>
            <w:vAlign w:val="bottom"/>
          </w:tcPr>
          <w:p>
            <w:pPr>
              <w:spacing w:after="0"/>
              <w:rPr>
                <w:sz w:val="20"/>
                <w:szCs w:val="20"/>
                <w:color w:val="auto"/>
              </w:rPr>
            </w:pPr>
            <w:r>
              <w:rPr>
                <w:rFonts w:ascii="Arial" w:cs="Arial" w:eastAsia="Arial" w:hAnsi="Arial"/>
                <w:sz w:val="18"/>
                <w:szCs w:val="18"/>
                <w:color w:val="auto"/>
              </w:rPr>
              <w:t>Other operating income</w:t>
            </w:r>
          </w:p>
        </w:tc>
        <w:tc>
          <w:tcPr>
            <w:tcW w:w="840" w:type="dxa"/>
            <w:vAlign w:val="bottom"/>
            <w:tcBorders>
              <w:right w:val="single" w:sz="8" w:color="70AD47"/>
            </w:tcBorders>
          </w:tcPr>
          <w:p>
            <w:pPr>
              <w:spacing w:after="0"/>
              <w:rPr>
                <w:sz w:val="24"/>
                <w:szCs w:val="24"/>
                <w:color w:val="auto"/>
              </w:rPr>
            </w:pPr>
          </w:p>
        </w:tc>
        <w:tc>
          <w:tcPr>
            <w:tcW w:w="13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773</w:t>
            </w:r>
          </w:p>
        </w:tc>
        <w:tc>
          <w:tcPr>
            <w:tcW w:w="48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660</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1,198</w:t>
            </w:r>
          </w:p>
        </w:tc>
        <w:tc>
          <w:tcPr>
            <w:tcW w:w="50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310"/>
        </w:trPr>
        <w:tc>
          <w:tcPr>
            <w:tcW w:w="506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840" w:type="dxa"/>
            <w:vAlign w:val="bottom"/>
            <w:tcBorders>
              <w:right w:val="single" w:sz="8" w:color="70AD47"/>
            </w:tcBorders>
          </w:tcPr>
          <w:p>
            <w:pPr>
              <w:spacing w:after="0"/>
              <w:rPr>
                <w:sz w:val="24"/>
                <w:szCs w:val="24"/>
                <w:color w:val="auto"/>
              </w:rPr>
            </w:pPr>
          </w:p>
        </w:tc>
        <w:tc>
          <w:tcPr>
            <w:tcW w:w="13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(759)</w:t>
            </w:r>
          </w:p>
        </w:tc>
        <w:tc>
          <w:tcPr>
            <w:tcW w:w="48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(120)</w:t>
            </w:r>
          </w:p>
        </w:tc>
        <w:tc>
          <w:tcPr>
            <w:tcW w:w="13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(859)</w:t>
            </w:r>
          </w:p>
        </w:tc>
        <w:tc>
          <w:tcPr>
            <w:tcW w:w="50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7"/>
        </w:trPr>
        <w:tc>
          <w:tcPr>
            <w:tcW w:w="5060" w:type="dxa"/>
            <w:vAlign w:val="bottom"/>
            <w:tcBorders>
              <w:top w:val="single" w:sz="8" w:color="70AD47"/>
            </w:tcBorders>
          </w:tcPr>
          <w:p>
            <w:pPr>
              <w:spacing w:after="0"/>
              <w:rPr>
                <w:sz w:val="20"/>
                <w:szCs w:val="20"/>
                <w:color w:val="auto"/>
              </w:rPr>
            </w:pPr>
            <w:r>
              <w:rPr>
                <w:rFonts w:ascii="Arial" w:cs="Arial" w:eastAsia="Arial" w:hAnsi="Arial"/>
                <w:sz w:val="18"/>
                <w:szCs w:val="18"/>
                <w:b w:val="1"/>
                <w:bCs w:val="1"/>
                <w:color w:val="auto"/>
              </w:rPr>
              <w:t>Operating loss</w:t>
            </w:r>
          </w:p>
        </w:tc>
        <w:tc>
          <w:tcPr>
            <w:tcW w:w="840" w:type="dxa"/>
            <w:vAlign w:val="bottom"/>
            <w:tcBorders>
              <w:top w:val="single" w:sz="8" w:color="70AD47"/>
              <w:right w:val="single" w:sz="8" w:color="70AD47"/>
            </w:tcBorders>
          </w:tcPr>
          <w:p>
            <w:pPr>
              <w:spacing w:after="0"/>
              <w:rPr>
                <w:sz w:val="24"/>
                <w:szCs w:val="24"/>
                <w:color w:val="auto"/>
              </w:rPr>
            </w:pPr>
          </w:p>
        </w:tc>
        <w:tc>
          <w:tcPr>
            <w:tcW w:w="13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€(80,942)</w:t>
            </w:r>
          </w:p>
        </w:tc>
        <w:tc>
          <w:tcPr>
            <w:tcW w:w="48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8"/>
                <w:szCs w:val="18"/>
                <w:b w:val="1"/>
                <w:bCs w:val="1"/>
                <w:color w:val="auto"/>
              </w:rPr>
              <w:t>€(47,867)</w:t>
            </w:r>
          </w:p>
        </w:tc>
        <w:tc>
          <w:tcPr>
            <w:tcW w:w="134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€(140,219)</w:t>
            </w:r>
          </w:p>
        </w:tc>
        <w:tc>
          <w:tcPr>
            <w:tcW w:w="50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8"/>
                <w:szCs w:val="18"/>
                <w:b w:val="1"/>
                <w:bCs w:val="1"/>
                <w:color w:val="auto"/>
              </w:rPr>
              <w:t>€(91,702)</w:t>
            </w:r>
          </w:p>
        </w:tc>
        <w:tc>
          <w:tcPr>
            <w:tcW w:w="0" w:type="dxa"/>
            <w:vAlign w:val="bottom"/>
          </w:tcPr>
          <w:p>
            <w:pPr>
              <w:spacing w:after="0"/>
              <w:rPr>
                <w:sz w:val="1"/>
                <w:szCs w:val="1"/>
                <w:color w:val="auto"/>
              </w:rPr>
            </w:pPr>
          </w:p>
        </w:tc>
      </w:tr>
      <w:tr>
        <w:trPr>
          <w:trHeight w:val="533"/>
        </w:trPr>
        <w:tc>
          <w:tcPr>
            <w:tcW w:w="5060" w:type="dxa"/>
            <w:vAlign w:val="bottom"/>
            <w:tcBorders>
              <w:top w:val="single" w:sz="8" w:color="70AD47"/>
            </w:tcBorders>
          </w:tcPr>
          <w:p>
            <w:pPr>
              <w:spacing w:after="0"/>
              <w:rPr>
                <w:sz w:val="20"/>
                <w:szCs w:val="20"/>
                <w:color w:val="auto"/>
              </w:rPr>
            </w:pPr>
            <w:r>
              <w:rPr>
                <w:rFonts w:ascii="Arial" w:cs="Arial" w:eastAsia="Arial" w:hAnsi="Arial"/>
                <w:sz w:val="18"/>
                <w:szCs w:val="18"/>
                <w:color w:val="auto"/>
              </w:rPr>
              <w:t>Finance income*</w:t>
            </w:r>
          </w:p>
        </w:tc>
        <w:tc>
          <w:tcPr>
            <w:tcW w:w="840" w:type="dxa"/>
            <w:vAlign w:val="bottom"/>
            <w:tcBorders>
              <w:top w:val="single" w:sz="8" w:color="70AD47"/>
              <w:right w:val="single" w:sz="8" w:color="70AD47"/>
            </w:tcBorders>
          </w:tcPr>
          <w:p>
            <w:pPr>
              <w:spacing w:after="0"/>
              <w:rPr>
                <w:sz w:val="24"/>
                <w:szCs w:val="24"/>
                <w:color w:val="auto"/>
              </w:rPr>
            </w:pPr>
          </w:p>
        </w:tc>
        <w:tc>
          <w:tcPr>
            <w:tcW w:w="136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205</w:t>
            </w:r>
          </w:p>
        </w:tc>
        <w:tc>
          <w:tcPr>
            <w:tcW w:w="48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8"/>
                <w:szCs w:val="18"/>
                <w:color w:val="auto"/>
              </w:rPr>
              <w:t>425</w:t>
            </w:r>
          </w:p>
        </w:tc>
        <w:tc>
          <w:tcPr>
            <w:tcW w:w="134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593</w:t>
            </w:r>
          </w:p>
        </w:tc>
        <w:tc>
          <w:tcPr>
            <w:tcW w:w="50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83"/>
        </w:trPr>
        <w:tc>
          <w:tcPr>
            <w:tcW w:w="5060" w:type="dxa"/>
            <w:vAlign w:val="bottom"/>
          </w:tcPr>
          <w:p>
            <w:pPr>
              <w:spacing w:after="0"/>
              <w:rPr>
                <w:sz w:val="20"/>
                <w:szCs w:val="20"/>
                <w:color w:val="auto"/>
              </w:rPr>
            </w:pPr>
            <w:r>
              <w:rPr>
                <w:rFonts w:ascii="Arial" w:cs="Arial" w:eastAsia="Arial" w:hAnsi="Arial"/>
                <w:sz w:val="18"/>
                <w:szCs w:val="18"/>
                <w:color w:val="auto"/>
              </w:rPr>
              <w:t>Finance expenses*</w:t>
            </w:r>
          </w:p>
        </w:tc>
        <w:tc>
          <w:tcPr>
            <w:tcW w:w="840" w:type="dxa"/>
            <w:vAlign w:val="bottom"/>
            <w:tcBorders>
              <w:right w:val="single" w:sz="8" w:color="70AD47"/>
            </w:tcBorders>
          </w:tcPr>
          <w:p>
            <w:pPr>
              <w:spacing w:after="0"/>
              <w:rPr>
                <w:sz w:val="24"/>
                <w:szCs w:val="24"/>
                <w:color w:val="auto"/>
              </w:rPr>
            </w:pPr>
          </w:p>
        </w:tc>
        <w:tc>
          <w:tcPr>
            <w:tcW w:w="13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(9,300)</w:t>
            </w:r>
          </w:p>
        </w:tc>
        <w:tc>
          <w:tcPr>
            <w:tcW w:w="48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(2,204)</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(3,374)</w:t>
            </w:r>
          </w:p>
        </w:tc>
        <w:tc>
          <w:tcPr>
            <w:tcW w:w="50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310"/>
        </w:trPr>
        <w:tc>
          <w:tcPr>
            <w:tcW w:w="5060" w:type="dxa"/>
            <w:vAlign w:val="bottom"/>
          </w:tcPr>
          <w:p>
            <w:pPr>
              <w:spacing w:after="0"/>
              <w:rPr>
                <w:sz w:val="20"/>
                <w:szCs w:val="20"/>
                <w:color w:val="auto"/>
              </w:rPr>
            </w:pPr>
            <w:r>
              <w:rPr>
                <w:rFonts w:ascii="Arial" w:cs="Arial" w:eastAsia="Arial" w:hAnsi="Arial"/>
                <w:sz w:val="18"/>
                <w:szCs w:val="18"/>
                <w:color w:val="auto"/>
              </w:rPr>
              <w:t>Interest expense related to lease liability</w:t>
            </w:r>
          </w:p>
        </w:tc>
        <w:tc>
          <w:tcPr>
            <w:tcW w:w="840" w:type="dxa"/>
            <w:vAlign w:val="bottom"/>
            <w:tcBorders>
              <w:right w:val="single" w:sz="8" w:color="70AD47"/>
            </w:tcBorders>
          </w:tcPr>
          <w:p>
            <w:pPr>
              <w:spacing w:after="0"/>
              <w:rPr>
                <w:sz w:val="24"/>
                <w:szCs w:val="24"/>
                <w:color w:val="auto"/>
              </w:rPr>
            </w:pPr>
          </w:p>
        </w:tc>
        <w:tc>
          <w:tcPr>
            <w:tcW w:w="13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(465)</w:t>
            </w:r>
          </w:p>
        </w:tc>
        <w:tc>
          <w:tcPr>
            <w:tcW w:w="48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(425)</w:t>
            </w:r>
          </w:p>
        </w:tc>
        <w:tc>
          <w:tcPr>
            <w:tcW w:w="13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(880)</w:t>
            </w:r>
          </w:p>
        </w:tc>
        <w:tc>
          <w:tcPr>
            <w:tcW w:w="50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7"/>
        </w:trPr>
        <w:tc>
          <w:tcPr>
            <w:tcW w:w="5060" w:type="dxa"/>
            <w:vAlign w:val="bottom"/>
            <w:tcBorders>
              <w:top w:val="single" w:sz="8" w:color="70AD47"/>
            </w:tcBorders>
          </w:tcPr>
          <w:p>
            <w:pPr>
              <w:spacing w:after="0"/>
              <w:rPr>
                <w:sz w:val="20"/>
                <w:szCs w:val="20"/>
                <w:color w:val="auto"/>
              </w:rPr>
            </w:pPr>
            <w:r>
              <w:rPr>
                <w:rFonts w:ascii="Arial" w:cs="Arial" w:eastAsia="Arial" w:hAnsi="Arial"/>
                <w:sz w:val="18"/>
                <w:szCs w:val="18"/>
                <w:b w:val="1"/>
                <w:bCs w:val="1"/>
                <w:color w:val="auto"/>
              </w:rPr>
              <w:t>Loss before tax</w:t>
            </w:r>
          </w:p>
        </w:tc>
        <w:tc>
          <w:tcPr>
            <w:tcW w:w="840" w:type="dxa"/>
            <w:vAlign w:val="bottom"/>
            <w:tcBorders>
              <w:top w:val="single" w:sz="8" w:color="70AD47"/>
              <w:right w:val="single" w:sz="8" w:color="70AD47"/>
            </w:tcBorders>
          </w:tcPr>
          <w:p>
            <w:pPr>
              <w:spacing w:after="0"/>
              <w:rPr>
                <w:sz w:val="24"/>
                <w:szCs w:val="24"/>
                <w:color w:val="auto"/>
              </w:rPr>
            </w:pPr>
          </w:p>
        </w:tc>
        <w:tc>
          <w:tcPr>
            <w:tcW w:w="13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€(90,502)</w:t>
            </w:r>
          </w:p>
        </w:tc>
        <w:tc>
          <w:tcPr>
            <w:tcW w:w="48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8"/>
                <w:szCs w:val="18"/>
                <w:b w:val="1"/>
                <w:bCs w:val="1"/>
                <w:color w:val="auto"/>
              </w:rPr>
              <w:t>€(50,071)</w:t>
            </w:r>
          </w:p>
        </w:tc>
        <w:tc>
          <w:tcPr>
            <w:tcW w:w="134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€(143,880)</w:t>
            </w:r>
          </w:p>
        </w:tc>
        <w:tc>
          <w:tcPr>
            <w:tcW w:w="50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8"/>
                <w:szCs w:val="18"/>
                <w:b w:val="1"/>
                <w:bCs w:val="1"/>
                <w:color w:val="auto"/>
              </w:rPr>
              <w:t>€(90,827)</w:t>
            </w:r>
          </w:p>
        </w:tc>
        <w:tc>
          <w:tcPr>
            <w:tcW w:w="0" w:type="dxa"/>
            <w:vAlign w:val="bottom"/>
          </w:tcPr>
          <w:p>
            <w:pPr>
              <w:spacing w:after="0"/>
              <w:rPr>
                <w:sz w:val="1"/>
                <w:szCs w:val="1"/>
                <w:color w:val="auto"/>
              </w:rPr>
            </w:pPr>
          </w:p>
        </w:tc>
      </w:tr>
      <w:tr>
        <w:trPr>
          <w:trHeight w:val="560"/>
        </w:trPr>
        <w:tc>
          <w:tcPr>
            <w:tcW w:w="5060" w:type="dxa"/>
            <w:vAlign w:val="bottom"/>
            <w:tcBorders>
              <w:top w:val="single" w:sz="8" w:color="70AD47"/>
            </w:tcBorders>
          </w:tcPr>
          <w:p>
            <w:pPr>
              <w:spacing w:after="0"/>
              <w:rPr>
                <w:sz w:val="20"/>
                <w:szCs w:val="20"/>
                <w:color w:val="auto"/>
              </w:rPr>
            </w:pPr>
            <w:r>
              <w:rPr>
                <w:rFonts w:ascii="Arial" w:cs="Arial" w:eastAsia="Arial" w:hAnsi="Arial"/>
                <w:sz w:val="18"/>
                <w:szCs w:val="18"/>
                <w:color w:val="auto"/>
              </w:rPr>
              <w:t>Income taxes</w:t>
            </w:r>
          </w:p>
        </w:tc>
        <w:tc>
          <w:tcPr>
            <w:tcW w:w="840" w:type="dxa"/>
            <w:vAlign w:val="bottom"/>
            <w:tcBorders>
              <w:top w:val="single" w:sz="8" w:color="70AD47"/>
              <w:right w:val="single" w:sz="8" w:color="70AD47"/>
            </w:tcBorders>
          </w:tcPr>
          <w:p>
            <w:pPr>
              <w:jc w:val="center"/>
              <w:spacing w:after="0"/>
              <w:rPr>
                <w:sz w:val="20"/>
                <w:szCs w:val="20"/>
                <w:color w:val="auto"/>
              </w:rPr>
            </w:pPr>
            <w:r>
              <w:rPr>
                <w:rFonts w:ascii="Arial" w:cs="Arial" w:eastAsia="Arial" w:hAnsi="Arial"/>
                <w:sz w:val="18"/>
                <w:szCs w:val="18"/>
                <w:color w:val="auto"/>
                <w:w w:val="79"/>
              </w:rPr>
              <w:t>6</w:t>
            </w:r>
          </w:p>
        </w:tc>
        <w:tc>
          <w:tcPr>
            <w:tcW w:w="13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2,206</w:t>
            </w:r>
          </w:p>
        </w:tc>
        <w:tc>
          <w:tcPr>
            <w:tcW w:w="48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8"/>
                <w:szCs w:val="18"/>
                <w:color w:val="auto"/>
              </w:rPr>
              <w:t>(13)</w:t>
            </w:r>
          </w:p>
        </w:tc>
        <w:tc>
          <w:tcPr>
            <w:tcW w:w="134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2,198</w:t>
            </w:r>
          </w:p>
        </w:tc>
        <w:tc>
          <w:tcPr>
            <w:tcW w:w="50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7"/>
        </w:trPr>
        <w:tc>
          <w:tcPr>
            <w:tcW w:w="5060" w:type="dxa"/>
            <w:vAlign w:val="bottom"/>
            <w:tcBorders>
              <w:top w:val="single" w:sz="8" w:color="70AD47"/>
            </w:tcBorders>
          </w:tcPr>
          <w:p>
            <w:pPr>
              <w:spacing w:after="0"/>
              <w:rPr>
                <w:sz w:val="20"/>
                <w:szCs w:val="20"/>
                <w:color w:val="auto"/>
              </w:rPr>
            </w:pPr>
            <w:r>
              <w:rPr>
                <w:rFonts w:ascii="Arial" w:cs="Arial" w:eastAsia="Arial" w:hAnsi="Arial"/>
                <w:sz w:val="18"/>
                <w:szCs w:val="18"/>
                <w:b w:val="1"/>
                <w:bCs w:val="1"/>
                <w:color w:val="auto"/>
              </w:rPr>
              <w:t>Loss for the period</w:t>
            </w:r>
          </w:p>
        </w:tc>
        <w:tc>
          <w:tcPr>
            <w:tcW w:w="840" w:type="dxa"/>
            <w:vAlign w:val="bottom"/>
            <w:tcBorders>
              <w:top w:val="single" w:sz="8" w:color="70AD47"/>
              <w:right w:val="single" w:sz="8" w:color="70AD47"/>
            </w:tcBorders>
          </w:tcPr>
          <w:p>
            <w:pPr>
              <w:spacing w:after="0"/>
              <w:rPr>
                <w:sz w:val="24"/>
                <w:szCs w:val="24"/>
                <w:color w:val="auto"/>
              </w:rPr>
            </w:pPr>
          </w:p>
        </w:tc>
        <w:tc>
          <w:tcPr>
            <w:tcW w:w="13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€(88,296)</w:t>
            </w:r>
          </w:p>
        </w:tc>
        <w:tc>
          <w:tcPr>
            <w:tcW w:w="48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8"/>
                <w:szCs w:val="18"/>
                <w:b w:val="1"/>
                <w:bCs w:val="1"/>
                <w:color w:val="auto"/>
              </w:rPr>
              <w:t>€(50,084)</w:t>
            </w:r>
          </w:p>
        </w:tc>
        <w:tc>
          <w:tcPr>
            <w:tcW w:w="134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€(141,682)</w:t>
            </w:r>
          </w:p>
        </w:tc>
        <w:tc>
          <w:tcPr>
            <w:tcW w:w="50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8"/>
                <w:szCs w:val="18"/>
                <w:b w:val="1"/>
                <w:bCs w:val="1"/>
                <w:color w:val="auto"/>
              </w:rPr>
              <w:t>€(90,846)</w:t>
            </w:r>
          </w:p>
        </w:tc>
        <w:tc>
          <w:tcPr>
            <w:tcW w:w="0" w:type="dxa"/>
            <w:vAlign w:val="bottom"/>
          </w:tcPr>
          <w:p>
            <w:pPr>
              <w:spacing w:after="0"/>
              <w:rPr>
                <w:sz w:val="1"/>
                <w:szCs w:val="1"/>
                <w:color w:val="auto"/>
              </w:rPr>
            </w:pPr>
          </w:p>
        </w:tc>
      </w:tr>
      <w:tr>
        <w:trPr>
          <w:trHeight w:val="534"/>
        </w:trPr>
        <w:tc>
          <w:tcPr>
            <w:tcW w:w="5060" w:type="dxa"/>
            <w:vAlign w:val="bottom"/>
            <w:tcBorders>
              <w:top w:val="single" w:sz="8" w:color="70AD47"/>
            </w:tcBorders>
          </w:tcPr>
          <w:p>
            <w:pPr>
              <w:spacing w:after="0"/>
              <w:rPr>
                <w:sz w:val="20"/>
                <w:szCs w:val="20"/>
                <w:color w:val="auto"/>
              </w:rPr>
            </w:pPr>
            <w:r>
              <w:rPr>
                <w:rFonts w:ascii="Arial" w:cs="Arial" w:eastAsia="Arial" w:hAnsi="Arial"/>
                <w:sz w:val="18"/>
                <w:szCs w:val="18"/>
                <w:color w:val="auto"/>
              </w:rPr>
              <w:t>Attributable to:</w:t>
            </w:r>
          </w:p>
        </w:tc>
        <w:tc>
          <w:tcPr>
            <w:tcW w:w="840" w:type="dxa"/>
            <w:vAlign w:val="bottom"/>
            <w:tcBorders>
              <w:top w:val="single" w:sz="8" w:color="70AD47"/>
              <w:right w:val="single" w:sz="8" w:color="70AD47"/>
            </w:tcBorders>
          </w:tcPr>
          <w:p>
            <w:pPr>
              <w:spacing w:after="0"/>
              <w:rPr>
                <w:sz w:val="24"/>
                <w:szCs w:val="24"/>
                <w:color w:val="auto"/>
              </w:rPr>
            </w:pPr>
          </w:p>
        </w:tc>
        <w:tc>
          <w:tcPr>
            <w:tcW w:w="1360" w:type="dxa"/>
            <w:vAlign w:val="bottom"/>
            <w:tcBorders>
              <w:top w:val="single" w:sz="8" w:color="70AD47"/>
              <w:right w:val="single" w:sz="8" w:color="70AD47"/>
            </w:tcBorders>
            <w:shd w:val="clear" w:color="auto" w:fill="C6E0B4"/>
          </w:tcPr>
          <w:p>
            <w:pPr>
              <w:spacing w:after="0"/>
              <w:rPr>
                <w:sz w:val="24"/>
                <w:szCs w:val="24"/>
                <w:color w:val="auto"/>
              </w:rPr>
            </w:pPr>
          </w:p>
        </w:tc>
        <w:tc>
          <w:tcPr>
            <w:tcW w:w="48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spacing w:after="0"/>
              <w:rPr>
                <w:sz w:val="24"/>
                <w:szCs w:val="24"/>
                <w:color w:val="auto"/>
              </w:rPr>
            </w:pPr>
          </w:p>
        </w:tc>
        <w:tc>
          <w:tcPr>
            <w:tcW w:w="1340" w:type="dxa"/>
            <w:vAlign w:val="bottom"/>
            <w:tcBorders>
              <w:top w:val="single" w:sz="8" w:color="70AD47"/>
              <w:right w:val="single" w:sz="8" w:color="70AD47"/>
            </w:tcBorders>
            <w:shd w:val="clear" w:color="auto" w:fill="C6E0B4"/>
          </w:tcPr>
          <w:p>
            <w:pPr>
              <w:spacing w:after="0"/>
              <w:rPr>
                <w:sz w:val="24"/>
                <w:szCs w:val="24"/>
                <w:color w:val="auto"/>
              </w:rPr>
            </w:pPr>
          </w:p>
        </w:tc>
        <w:tc>
          <w:tcPr>
            <w:tcW w:w="50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60" w:type="dxa"/>
            <w:vAlign w:val="bottom"/>
          </w:tcPr>
          <w:p>
            <w:pPr>
              <w:spacing w:after="0"/>
              <w:rPr>
                <w:sz w:val="20"/>
                <w:szCs w:val="20"/>
                <w:color w:val="auto"/>
              </w:rPr>
            </w:pPr>
            <w:r>
              <w:rPr>
                <w:rFonts w:ascii="Arial" w:cs="Arial" w:eastAsia="Arial" w:hAnsi="Arial"/>
                <w:sz w:val="18"/>
                <w:szCs w:val="18"/>
                <w:color w:val="auto"/>
              </w:rPr>
              <w:t>Equity holders of the parent</w:t>
            </w:r>
          </w:p>
        </w:tc>
        <w:tc>
          <w:tcPr>
            <w:tcW w:w="840" w:type="dxa"/>
            <w:vAlign w:val="bottom"/>
            <w:tcBorders>
              <w:right w:val="single" w:sz="8" w:color="70AD47"/>
            </w:tcBorders>
          </w:tcPr>
          <w:p>
            <w:pPr>
              <w:spacing w:after="0"/>
              <w:rPr>
                <w:sz w:val="24"/>
                <w:szCs w:val="24"/>
                <w:color w:val="auto"/>
              </w:rPr>
            </w:pPr>
          </w:p>
        </w:tc>
        <w:tc>
          <w:tcPr>
            <w:tcW w:w="13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(88,296)</w:t>
            </w:r>
          </w:p>
        </w:tc>
        <w:tc>
          <w:tcPr>
            <w:tcW w:w="48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(50,084)</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(141,682)</w:t>
            </w:r>
          </w:p>
        </w:tc>
        <w:tc>
          <w:tcPr>
            <w:tcW w:w="50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(90,730)</w:t>
            </w:r>
          </w:p>
        </w:tc>
        <w:tc>
          <w:tcPr>
            <w:tcW w:w="0" w:type="dxa"/>
            <w:vAlign w:val="bottom"/>
          </w:tcPr>
          <w:p>
            <w:pPr>
              <w:spacing w:after="0"/>
              <w:rPr>
                <w:sz w:val="1"/>
                <w:szCs w:val="1"/>
                <w:color w:val="auto"/>
              </w:rPr>
            </w:pPr>
          </w:p>
        </w:tc>
      </w:tr>
      <w:tr>
        <w:trPr>
          <w:trHeight w:val="310"/>
        </w:trPr>
        <w:tc>
          <w:tcPr>
            <w:tcW w:w="50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840" w:type="dxa"/>
            <w:vAlign w:val="bottom"/>
            <w:tcBorders>
              <w:right w:val="single" w:sz="8" w:color="70AD47"/>
            </w:tcBorders>
          </w:tcPr>
          <w:p>
            <w:pPr>
              <w:spacing w:after="0"/>
              <w:rPr>
                <w:sz w:val="24"/>
                <w:szCs w:val="24"/>
                <w:color w:val="auto"/>
              </w:rPr>
            </w:pPr>
          </w:p>
        </w:tc>
        <w:tc>
          <w:tcPr>
            <w:tcW w:w="13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50"/>
        </w:trPr>
        <w:tc>
          <w:tcPr>
            <w:tcW w:w="5060" w:type="dxa"/>
            <w:vAlign w:val="bottom"/>
            <w:tcBorders>
              <w:top w:val="single" w:sz="8" w:color="70AD47"/>
            </w:tcBorders>
          </w:tcPr>
          <w:p>
            <w:pPr>
              <w:spacing w:after="0"/>
              <w:rPr>
                <w:sz w:val="21"/>
                <w:szCs w:val="21"/>
                <w:color w:val="auto"/>
              </w:rPr>
            </w:pPr>
          </w:p>
        </w:tc>
        <w:tc>
          <w:tcPr>
            <w:tcW w:w="840" w:type="dxa"/>
            <w:vAlign w:val="bottom"/>
            <w:tcBorders>
              <w:top w:val="single" w:sz="8" w:color="70AD47"/>
              <w:right w:val="single" w:sz="8" w:color="70AD47"/>
            </w:tcBorders>
          </w:tcPr>
          <w:p>
            <w:pPr>
              <w:spacing w:after="0"/>
              <w:rPr>
                <w:sz w:val="21"/>
                <w:szCs w:val="21"/>
                <w:color w:val="auto"/>
              </w:rPr>
            </w:pPr>
          </w:p>
        </w:tc>
        <w:tc>
          <w:tcPr>
            <w:tcW w:w="136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€(88,296)</w:t>
            </w:r>
          </w:p>
        </w:tc>
        <w:tc>
          <w:tcPr>
            <w:tcW w:w="480" w:type="dxa"/>
            <w:vAlign w:val="bottom"/>
            <w:tcBorders>
              <w:top w:val="single" w:sz="8" w:color="70AD47"/>
            </w:tcBorders>
          </w:tcPr>
          <w:p>
            <w:pPr>
              <w:spacing w:after="0"/>
              <w:rPr>
                <w:sz w:val="21"/>
                <w:szCs w:val="21"/>
                <w:color w:val="auto"/>
              </w:rPr>
            </w:pPr>
          </w:p>
        </w:tc>
        <w:tc>
          <w:tcPr>
            <w:tcW w:w="84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8"/>
                <w:szCs w:val="18"/>
                <w:b w:val="1"/>
                <w:bCs w:val="1"/>
                <w:color w:val="auto"/>
              </w:rPr>
              <w:t>€(50,084)</w:t>
            </w:r>
          </w:p>
        </w:tc>
        <w:tc>
          <w:tcPr>
            <w:tcW w:w="134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€(141,682)</w:t>
            </w:r>
          </w:p>
        </w:tc>
        <w:tc>
          <w:tcPr>
            <w:tcW w:w="500" w:type="dxa"/>
            <w:vAlign w:val="bottom"/>
            <w:tcBorders>
              <w:top w:val="single" w:sz="8" w:color="70AD47"/>
            </w:tcBorders>
          </w:tcPr>
          <w:p>
            <w:pPr>
              <w:spacing w:after="0"/>
              <w:rPr>
                <w:sz w:val="21"/>
                <w:szCs w:val="21"/>
                <w:color w:val="auto"/>
              </w:rPr>
            </w:pPr>
          </w:p>
        </w:tc>
        <w:tc>
          <w:tcPr>
            <w:tcW w:w="84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8"/>
                <w:szCs w:val="18"/>
                <w:b w:val="1"/>
                <w:bCs w:val="1"/>
                <w:color w:val="auto"/>
              </w:rPr>
              <w:t>€(90,846)</w:t>
            </w:r>
          </w:p>
        </w:tc>
        <w:tc>
          <w:tcPr>
            <w:tcW w:w="0" w:type="dxa"/>
            <w:vAlign w:val="bottom"/>
          </w:tcPr>
          <w:p>
            <w:pPr>
              <w:spacing w:after="0"/>
              <w:rPr>
                <w:sz w:val="1"/>
                <w:szCs w:val="1"/>
                <w:color w:val="auto"/>
              </w:rPr>
            </w:pPr>
          </w:p>
        </w:tc>
      </w:tr>
      <w:tr>
        <w:trPr>
          <w:trHeight w:val="567"/>
        </w:trPr>
        <w:tc>
          <w:tcPr>
            <w:tcW w:w="506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840" w:type="dxa"/>
            <w:vAlign w:val="bottom"/>
            <w:tcBorders>
              <w:right w:val="single" w:sz="8" w:color="70AD47"/>
            </w:tcBorders>
          </w:tcPr>
          <w:p>
            <w:pPr>
              <w:spacing w:after="0"/>
              <w:rPr>
                <w:sz w:val="24"/>
                <w:szCs w:val="24"/>
                <w:color w:val="auto"/>
              </w:rPr>
            </w:pPr>
          </w:p>
        </w:tc>
        <w:tc>
          <w:tcPr>
            <w:tcW w:w="1360" w:type="dxa"/>
            <w:vAlign w:val="bottom"/>
            <w:tcBorders>
              <w:right w:val="single" w:sz="8" w:color="70AD47"/>
            </w:tcBorders>
            <w:shd w:val="clear" w:color="auto" w:fill="C6E0B4"/>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Borders>
              <w:right w:val="single" w:sz="8" w:color="70AD47"/>
            </w:tcBorders>
          </w:tcPr>
          <w:p>
            <w:pPr>
              <w:spacing w:after="0"/>
              <w:rPr>
                <w:sz w:val="24"/>
                <w:szCs w:val="24"/>
                <w:color w:val="auto"/>
              </w:rPr>
            </w:pPr>
          </w:p>
        </w:tc>
        <w:tc>
          <w:tcPr>
            <w:tcW w:w="1340" w:type="dxa"/>
            <w:vAlign w:val="bottom"/>
            <w:tcBorders>
              <w:right w:val="single" w:sz="8" w:color="70AD47"/>
            </w:tcBorders>
            <w:shd w:val="clear" w:color="auto" w:fill="C6E0B4"/>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Borders>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60" w:type="dxa"/>
            <w:vAlign w:val="bottom"/>
          </w:tcPr>
          <w:p>
            <w:pPr>
              <w:spacing w:after="0"/>
              <w:rPr>
                <w:sz w:val="20"/>
                <w:szCs w:val="20"/>
                <w:color w:val="auto"/>
              </w:rPr>
            </w:pPr>
            <w:r>
              <w:rPr>
                <w:rFonts w:ascii="Arial" w:cs="Arial" w:eastAsia="Arial" w:hAnsi="Arial"/>
                <w:sz w:val="18"/>
                <w:szCs w:val="18"/>
                <w:i w:val="1"/>
                <w:iCs w:val="1"/>
                <w:color w:val="auto"/>
              </w:rPr>
              <w:t>in EUR</w:t>
            </w:r>
          </w:p>
        </w:tc>
        <w:tc>
          <w:tcPr>
            <w:tcW w:w="840" w:type="dxa"/>
            <w:vAlign w:val="bottom"/>
            <w:tcBorders>
              <w:right w:val="single" w:sz="8" w:color="70AD47"/>
            </w:tcBorders>
          </w:tcPr>
          <w:p>
            <w:pPr>
              <w:spacing w:after="0"/>
              <w:rPr>
                <w:sz w:val="24"/>
                <w:szCs w:val="24"/>
                <w:color w:val="auto"/>
              </w:rPr>
            </w:pPr>
          </w:p>
        </w:tc>
        <w:tc>
          <w:tcPr>
            <w:tcW w:w="1360" w:type="dxa"/>
            <w:vAlign w:val="bottom"/>
            <w:tcBorders>
              <w:right w:val="single" w:sz="8" w:color="70AD47"/>
            </w:tcBorders>
            <w:shd w:val="clear" w:color="auto" w:fill="C6E0B4"/>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Borders>
              <w:right w:val="single" w:sz="8" w:color="70AD47"/>
            </w:tcBorders>
          </w:tcPr>
          <w:p>
            <w:pPr>
              <w:spacing w:after="0"/>
              <w:rPr>
                <w:sz w:val="24"/>
                <w:szCs w:val="24"/>
                <w:color w:val="auto"/>
              </w:rPr>
            </w:pPr>
          </w:p>
        </w:tc>
        <w:tc>
          <w:tcPr>
            <w:tcW w:w="1340" w:type="dxa"/>
            <w:vAlign w:val="bottom"/>
            <w:tcBorders>
              <w:right w:val="single" w:sz="8" w:color="70AD47"/>
            </w:tcBorders>
            <w:shd w:val="clear" w:color="auto" w:fill="C6E0B4"/>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Borders>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060" w:type="dxa"/>
            <w:vAlign w:val="bottom"/>
          </w:tcPr>
          <w:p>
            <w:pPr>
              <w:spacing w:after="0"/>
              <w:rPr>
                <w:sz w:val="20"/>
                <w:szCs w:val="20"/>
                <w:color w:val="auto"/>
              </w:rPr>
            </w:pPr>
            <w:r>
              <w:rPr>
                <w:rFonts w:ascii="Arial" w:cs="Arial" w:eastAsia="Arial" w:hAnsi="Arial"/>
                <w:sz w:val="18"/>
                <w:szCs w:val="18"/>
                <w:color w:val="auto"/>
                <w:w w:val="96"/>
              </w:rPr>
              <w:t>Basic &amp; diluted, loss per share for the period attributable to equity</w:t>
            </w:r>
          </w:p>
        </w:tc>
        <w:tc>
          <w:tcPr>
            <w:tcW w:w="840" w:type="dxa"/>
            <w:vAlign w:val="bottom"/>
            <w:tcBorders>
              <w:right w:val="single" w:sz="8" w:color="70AD47"/>
            </w:tcBorders>
          </w:tcPr>
          <w:p>
            <w:pPr>
              <w:spacing w:after="0"/>
              <w:rPr>
                <w:sz w:val="21"/>
                <w:szCs w:val="21"/>
                <w:color w:val="auto"/>
              </w:rPr>
            </w:pPr>
          </w:p>
        </w:tc>
        <w:tc>
          <w:tcPr>
            <w:tcW w:w="136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8"/>
                <w:szCs w:val="18"/>
                <w:color w:val="auto"/>
              </w:rPr>
              <w:t>€(0.38)</w:t>
            </w:r>
          </w:p>
        </w:tc>
        <w:tc>
          <w:tcPr>
            <w:tcW w:w="480" w:type="dxa"/>
            <w:vAlign w:val="bottom"/>
          </w:tcPr>
          <w:p>
            <w:pPr>
              <w:spacing w:after="0"/>
              <w:rPr>
                <w:sz w:val="21"/>
                <w:szCs w:val="21"/>
                <w:color w:val="auto"/>
              </w:rPr>
            </w:pPr>
          </w:p>
        </w:tc>
        <w:tc>
          <w:tcPr>
            <w:tcW w:w="840" w:type="dxa"/>
            <w:vAlign w:val="bottom"/>
            <w:tcBorders>
              <w:right w:val="single" w:sz="8" w:color="70AD47"/>
            </w:tcBorders>
            <w:vMerge w:val="restart"/>
          </w:tcPr>
          <w:p>
            <w:pPr>
              <w:jc w:val="right"/>
              <w:spacing w:after="0"/>
              <w:rPr>
                <w:sz w:val="20"/>
                <w:szCs w:val="20"/>
                <w:color w:val="auto"/>
              </w:rPr>
            </w:pPr>
            <w:r>
              <w:rPr>
                <w:rFonts w:ascii="Arial" w:cs="Arial" w:eastAsia="Arial" w:hAnsi="Arial"/>
                <w:sz w:val="18"/>
                <w:szCs w:val="18"/>
                <w:color w:val="auto"/>
              </w:rPr>
              <w:t>€(0.24)</w:t>
            </w:r>
          </w:p>
        </w:tc>
        <w:tc>
          <w:tcPr>
            <w:tcW w:w="134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8"/>
                <w:szCs w:val="18"/>
                <w:color w:val="auto"/>
              </w:rPr>
              <w:t>€(0.62)</w:t>
            </w:r>
          </w:p>
        </w:tc>
        <w:tc>
          <w:tcPr>
            <w:tcW w:w="500" w:type="dxa"/>
            <w:vAlign w:val="bottom"/>
          </w:tcPr>
          <w:p>
            <w:pPr>
              <w:spacing w:after="0"/>
              <w:rPr>
                <w:sz w:val="21"/>
                <w:szCs w:val="21"/>
                <w:color w:val="auto"/>
              </w:rPr>
            </w:pPr>
          </w:p>
        </w:tc>
        <w:tc>
          <w:tcPr>
            <w:tcW w:w="840" w:type="dxa"/>
            <w:vAlign w:val="bottom"/>
            <w:tcBorders>
              <w:right w:val="single" w:sz="8" w:color="70AD47"/>
            </w:tcBorders>
            <w:vMerge w:val="restart"/>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122"/>
        </w:trPr>
        <w:tc>
          <w:tcPr>
            <w:tcW w:w="5060" w:type="dxa"/>
            <w:vAlign w:val="bottom"/>
            <w:vMerge w:val="restart"/>
          </w:tcPr>
          <w:p>
            <w:pPr>
              <w:spacing w:after="0"/>
              <w:rPr>
                <w:sz w:val="20"/>
                <w:szCs w:val="20"/>
                <w:color w:val="auto"/>
              </w:rPr>
            </w:pPr>
            <w:r>
              <w:rPr>
                <w:rFonts w:ascii="Arial" w:cs="Arial" w:eastAsia="Arial" w:hAnsi="Arial"/>
                <w:sz w:val="18"/>
                <w:szCs w:val="18"/>
                <w:color w:val="auto"/>
              </w:rPr>
              <w:t>holders of the parent**</w:t>
            </w:r>
          </w:p>
        </w:tc>
        <w:tc>
          <w:tcPr>
            <w:tcW w:w="840" w:type="dxa"/>
            <w:vAlign w:val="bottom"/>
            <w:tcBorders>
              <w:right w:val="single" w:sz="8" w:color="70AD47"/>
            </w:tcBorders>
          </w:tcPr>
          <w:p>
            <w:pPr>
              <w:spacing w:after="0"/>
              <w:rPr>
                <w:sz w:val="10"/>
                <w:szCs w:val="10"/>
                <w:color w:val="auto"/>
              </w:rPr>
            </w:pPr>
          </w:p>
        </w:tc>
        <w:tc>
          <w:tcPr>
            <w:tcW w:w="1360" w:type="dxa"/>
            <w:vAlign w:val="bottom"/>
            <w:tcBorders>
              <w:right w:val="single" w:sz="8" w:color="70AD47"/>
            </w:tcBorders>
            <w:vMerge w:val="continue"/>
            <w:shd w:val="clear" w:color="auto" w:fill="C6E0B4"/>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Borders>
              <w:right w:val="single" w:sz="8" w:color="70AD47"/>
            </w:tcBorders>
            <w:vMerge w:val="continue"/>
          </w:tcPr>
          <w:p>
            <w:pPr>
              <w:spacing w:after="0"/>
              <w:rPr>
                <w:sz w:val="10"/>
                <w:szCs w:val="10"/>
                <w:color w:val="auto"/>
              </w:rPr>
            </w:pPr>
          </w:p>
        </w:tc>
        <w:tc>
          <w:tcPr>
            <w:tcW w:w="1340" w:type="dxa"/>
            <w:vAlign w:val="bottom"/>
            <w:tcBorders>
              <w:right w:val="single" w:sz="8" w:color="70AD47"/>
            </w:tcBorders>
            <w:vMerge w:val="continue"/>
            <w:shd w:val="clear" w:color="auto" w:fill="C6E0B4"/>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Borders>
              <w:right w:val="single" w:sz="8" w:color="70AD47"/>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60" w:type="dxa"/>
            <w:vAlign w:val="bottom"/>
            <w:vMerge w:val="continue"/>
          </w:tcPr>
          <w:p>
            <w:pPr>
              <w:spacing w:after="0"/>
              <w:rPr>
                <w:sz w:val="9"/>
                <w:szCs w:val="9"/>
                <w:color w:val="auto"/>
              </w:rPr>
            </w:pPr>
          </w:p>
        </w:tc>
        <w:tc>
          <w:tcPr>
            <w:tcW w:w="840" w:type="dxa"/>
            <w:vAlign w:val="bottom"/>
            <w:tcBorders>
              <w:right w:val="single" w:sz="8" w:color="70AD47"/>
            </w:tcBorders>
          </w:tcPr>
          <w:p>
            <w:pPr>
              <w:spacing w:after="0"/>
              <w:rPr>
                <w:sz w:val="9"/>
                <w:szCs w:val="9"/>
                <w:color w:val="auto"/>
              </w:rPr>
            </w:pPr>
          </w:p>
        </w:tc>
        <w:tc>
          <w:tcPr>
            <w:tcW w:w="1360" w:type="dxa"/>
            <w:vAlign w:val="bottom"/>
            <w:tcBorders>
              <w:right w:val="single" w:sz="8" w:color="70AD47"/>
            </w:tcBorders>
            <w:shd w:val="clear" w:color="auto" w:fill="C6E0B4"/>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Borders>
              <w:right w:val="single" w:sz="8" w:color="70AD47"/>
            </w:tcBorders>
          </w:tcPr>
          <w:p>
            <w:pPr>
              <w:spacing w:after="0"/>
              <w:rPr>
                <w:sz w:val="9"/>
                <w:szCs w:val="9"/>
                <w:color w:val="auto"/>
              </w:rPr>
            </w:pPr>
          </w:p>
        </w:tc>
        <w:tc>
          <w:tcPr>
            <w:tcW w:w="1340" w:type="dxa"/>
            <w:vAlign w:val="bottom"/>
            <w:tcBorders>
              <w:right w:val="single" w:sz="8" w:color="70AD47"/>
            </w:tcBorders>
            <w:shd w:val="clear" w:color="auto" w:fill="C6E0B4"/>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Borders>
              <w:right w:val="single" w:sz="8" w:color="70AD47"/>
            </w:tcBorders>
          </w:tcPr>
          <w:p>
            <w:pPr>
              <w:spacing w:after="0"/>
              <w:rPr>
                <w:sz w:val="9"/>
                <w:szCs w:val="9"/>
                <w:color w:val="auto"/>
              </w:rPr>
            </w:pPr>
          </w:p>
        </w:tc>
        <w:tc>
          <w:tcPr>
            <w:tcW w:w="0" w:type="dxa"/>
            <w:vAlign w:val="bottom"/>
          </w:tcPr>
          <w:p>
            <w:pPr>
              <w:spacing w:after="0"/>
              <w:rPr>
                <w:sz w:val="1"/>
                <w:szCs w:val="1"/>
                <w:color w:val="auto"/>
              </w:rPr>
            </w:pPr>
          </w:p>
        </w:tc>
      </w:tr>
    </w:tbl>
    <w:p>
      <w:pPr>
        <w:ind w:right="20" w:firstLine="8"/>
        <w:spacing w:after="0" w:line="260" w:lineRule="auto"/>
        <w:tabs>
          <w:tab w:leader="none" w:pos="125"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Foreign exchange differences on a cumulative basis are either shown as finance income or expenses and might switch between those two positions during the year-to-date reporting periods.</w:t>
      </w:r>
    </w:p>
    <w:p>
      <w:pPr>
        <w:ind w:right="80"/>
        <w:spacing w:after="0" w:line="288" w:lineRule="auto"/>
        <w:rPr>
          <w:rFonts w:ascii="Arial" w:cs="Arial" w:eastAsia="Arial" w:hAnsi="Arial"/>
          <w:sz w:val="16"/>
          <w:szCs w:val="16"/>
          <w:color w:val="auto"/>
        </w:rPr>
      </w:pPr>
      <w:r>
        <w:rPr>
          <w:rFonts w:ascii="Arial" w:cs="Arial" w:eastAsia="Arial" w:hAnsi="Arial"/>
          <w:sz w:val="16"/>
          <w:szCs w:val="16"/>
          <w:color w:val="auto"/>
        </w:rPr>
        <w:t>** Numbers of shares for calculating the earnings per share for the three and six months ended June 30, 2019 have been adjusted to reflect capital increase due to 1:18 share split which occurred on September 18, 2019.</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form an integral part of these interim consolidated financial statements.</w:t>
      </w:r>
    </w:p>
    <w:p>
      <w:pPr>
        <w:spacing w:after="0" w:line="230" w:lineRule="exact"/>
        <w:rPr>
          <w:sz w:val="20"/>
          <w:szCs w:val="20"/>
          <w:color w:val="auto"/>
        </w:rPr>
      </w:pPr>
    </w:p>
    <w:p>
      <w:pPr>
        <w:ind w:left="1116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973" w:right="319" w:bottom="1440" w:gutter="0" w:footer="0" w:header="0"/>
        </w:sectPr>
      </w:pPr>
    </w:p>
    <w:bookmarkStart w:id="21" w:name="page22"/>
    <w:bookmarkEnd w:id="21"/>
    <w:p>
      <w:pP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Interim Condensed Consolidated Statements of Comprehensive Loss</w:t>
      </w:r>
    </w:p>
    <w:p>
      <w:pPr>
        <w:spacing w:after="0" w:line="265"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6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4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85"/>
              </w:rPr>
              <w:t>June 30,</w:t>
            </w:r>
          </w:p>
        </w:tc>
        <w:tc>
          <w:tcPr>
            <w:tcW w:w="820" w:type="dxa"/>
            <w:vAlign w:val="bottom"/>
          </w:tcPr>
          <w:p>
            <w:pPr>
              <w:spacing w:after="0"/>
              <w:rPr>
                <w:sz w:val="20"/>
                <w:szCs w:val="20"/>
                <w:color w:val="auto"/>
              </w:rPr>
            </w:pPr>
          </w:p>
        </w:tc>
        <w:tc>
          <w:tcPr>
            <w:tcW w:w="182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980" w:type="dxa"/>
            <w:vAlign w:val="bottom"/>
          </w:tcPr>
          <w:p>
            <w:pPr>
              <w:spacing w:after="0"/>
              <w:rPr>
                <w:sz w:val="22"/>
                <w:szCs w:val="22"/>
                <w:color w:val="auto"/>
              </w:rPr>
            </w:pPr>
          </w:p>
        </w:tc>
        <w:tc>
          <w:tcPr>
            <w:tcW w:w="820" w:type="dxa"/>
            <w:vAlign w:val="bottom"/>
            <w:tcBorders>
              <w:right w:val="single" w:sz="8" w:color="70AD47"/>
            </w:tcBorders>
          </w:tcPr>
          <w:p>
            <w:pPr>
              <w:spacing w:after="0"/>
              <w:rPr>
                <w:sz w:val="22"/>
                <w:szCs w:val="22"/>
                <w:color w:val="auto"/>
              </w:rPr>
            </w:pPr>
          </w:p>
        </w:tc>
        <w:tc>
          <w:tcPr>
            <w:tcW w:w="13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2"/>
                <w:szCs w:val="22"/>
                <w:color w:val="auto"/>
              </w:rPr>
            </w:pPr>
          </w:p>
        </w:tc>
        <w:tc>
          <w:tcPr>
            <w:tcW w:w="820" w:type="dxa"/>
            <w:vAlign w:val="bottom"/>
            <w:tcBorders>
              <w:right w:val="single" w:sz="8" w:color="70AD47"/>
            </w:tcBorders>
          </w:tcPr>
          <w:p>
            <w:pPr>
              <w:jc w:val="right"/>
              <w:spacing w:after="0"/>
              <w:rPr>
                <w:sz w:val="20"/>
                <w:szCs w:val="20"/>
                <w:color w:val="auto"/>
              </w:rPr>
            </w:pPr>
            <w:r>
              <w:rPr>
                <w:rFonts w:ascii="Arial" w:cs="Arial" w:eastAsia="Arial" w:hAnsi="Arial"/>
                <w:sz w:val="18"/>
                <w:szCs w:val="18"/>
                <w:b w:val="1"/>
                <w:bCs w:val="1"/>
                <w:color w:val="auto"/>
              </w:rPr>
              <w:t>2019</w:t>
            </w:r>
          </w:p>
        </w:tc>
        <w:tc>
          <w:tcPr>
            <w:tcW w:w="132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2"/>
                <w:szCs w:val="22"/>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820" w:type="dxa"/>
            <w:vAlign w:val="bottom"/>
            <w:tcBorders>
              <w:right w:val="single" w:sz="8" w:color="70AD47"/>
            </w:tcBorders>
          </w:tcPr>
          <w:p>
            <w:pPr>
              <w:ind w:left="200"/>
              <w:spacing w:after="0"/>
              <w:rPr>
                <w:sz w:val="20"/>
                <w:szCs w:val="20"/>
                <w:color w:val="auto"/>
              </w:rPr>
            </w:pPr>
            <w:r>
              <w:rPr>
                <w:rFonts w:ascii="Arial" w:cs="Arial" w:eastAsia="Arial" w:hAnsi="Arial"/>
                <w:sz w:val="18"/>
                <w:szCs w:val="18"/>
                <w:b w:val="1"/>
                <w:bCs w:val="1"/>
                <w:color w:val="auto"/>
              </w:rPr>
              <w:t>Note</w:t>
            </w:r>
          </w:p>
        </w:tc>
        <w:tc>
          <w:tcPr>
            <w:tcW w:w="1840" w:type="dxa"/>
            <w:vAlign w:val="bottom"/>
            <w:gridSpan w:val="2"/>
          </w:tcPr>
          <w:p>
            <w:pPr>
              <w:jc w:val="center"/>
              <w:ind w:left="710"/>
              <w:spacing w:after="0"/>
              <w:rPr>
                <w:sz w:val="20"/>
                <w:szCs w:val="20"/>
                <w:color w:val="auto"/>
              </w:rPr>
            </w:pPr>
            <w:r>
              <w:rPr>
                <w:rFonts w:ascii="Arial" w:cs="Arial" w:eastAsia="Arial" w:hAnsi="Arial"/>
                <w:sz w:val="18"/>
                <w:szCs w:val="18"/>
                <w:i w:val="1"/>
                <w:iCs w:val="1"/>
                <w:color w:val="auto"/>
                <w:w w:val="92"/>
              </w:rPr>
              <w:t>(unaudited)</w:t>
            </w:r>
          </w:p>
        </w:tc>
        <w:tc>
          <w:tcPr>
            <w:tcW w:w="820" w:type="dxa"/>
            <w:vAlign w:val="bottom"/>
            <w:tcBorders>
              <w:right w:val="single" w:sz="8" w:color="70AD47"/>
            </w:tcBorders>
          </w:tcPr>
          <w:p>
            <w:pPr>
              <w:spacing w:after="0"/>
              <w:rPr>
                <w:sz w:val="22"/>
                <w:szCs w:val="22"/>
                <w:color w:val="auto"/>
              </w:rPr>
            </w:pPr>
          </w:p>
        </w:tc>
        <w:tc>
          <w:tcPr>
            <w:tcW w:w="1820" w:type="dxa"/>
            <w:vAlign w:val="bottom"/>
            <w:gridSpan w:val="2"/>
          </w:tcPr>
          <w:p>
            <w:pPr>
              <w:jc w:val="center"/>
              <w:ind w:left="690"/>
              <w:spacing w:after="0"/>
              <w:rPr>
                <w:sz w:val="20"/>
                <w:szCs w:val="20"/>
                <w:color w:val="auto"/>
              </w:rPr>
            </w:pPr>
            <w:r>
              <w:rPr>
                <w:rFonts w:ascii="Arial" w:cs="Arial" w:eastAsia="Arial" w:hAnsi="Arial"/>
                <w:sz w:val="18"/>
                <w:szCs w:val="18"/>
                <w:i w:val="1"/>
                <w:iCs w:val="1"/>
                <w:color w:val="auto"/>
                <w:w w:val="92"/>
              </w:rPr>
              <w:t>(unaudited)</w:t>
            </w:r>
          </w:p>
        </w:tc>
        <w:tc>
          <w:tcPr>
            <w:tcW w:w="840" w:type="dxa"/>
            <w:vAlign w:val="bottom"/>
            <w:tcBorders>
              <w:right w:val="single" w:sz="8" w:color="70AD47"/>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980" w:type="dxa"/>
            <w:vAlign w:val="bottom"/>
            <w:tcBorders>
              <w:bottom w:val="single" w:sz="8" w:color="70AD47"/>
            </w:tcBorders>
          </w:tcPr>
          <w:p>
            <w:pPr>
              <w:spacing w:after="0"/>
              <w:rPr>
                <w:sz w:val="2"/>
                <w:szCs w:val="2"/>
                <w:color w:val="auto"/>
              </w:rPr>
            </w:pPr>
          </w:p>
        </w:tc>
        <w:tc>
          <w:tcPr>
            <w:tcW w:w="820" w:type="dxa"/>
            <w:vAlign w:val="bottom"/>
            <w:tcBorders>
              <w:bottom w:val="single" w:sz="8" w:color="70AD47"/>
              <w:right w:val="single" w:sz="8" w:color="70AD47"/>
            </w:tcBorders>
          </w:tcPr>
          <w:p>
            <w:pPr>
              <w:spacing w:after="0"/>
              <w:rPr>
                <w:sz w:val="2"/>
                <w:szCs w:val="2"/>
                <w:color w:val="auto"/>
              </w:rPr>
            </w:pPr>
          </w:p>
        </w:tc>
        <w:tc>
          <w:tcPr>
            <w:tcW w:w="1340" w:type="dxa"/>
            <w:vAlign w:val="bottom"/>
            <w:tcBorders>
              <w:bottom w:val="single" w:sz="8" w:color="70AD47"/>
            </w:tcBorders>
          </w:tcPr>
          <w:p>
            <w:pPr>
              <w:spacing w:after="0"/>
              <w:rPr>
                <w:sz w:val="2"/>
                <w:szCs w:val="2"/>
                <w:color w:val="auto"/>
              </w:rPr>
            </w:pPr>
          </w:p>
        </w:tc>
        <w:tc>
          <w:tcPr>
            <w:tcW w:w="500" w:type="dxa"/>
            <w:vAlign w:val="bottom"/>
            <w:tcBorders>
              <w:bottom w:val="single" w:sz="8" w:color="70AD47"/>
            </w:tcBorders>
          </w:tcPr>
          <w:p>
            <w:pPr>
              <w:spacing w:after="0"/>
              <w:rPr>
                <w:sz w:val="2"/>
                <w:szCs w:val="2"/>
                <w:color w:val="auto"/>
              </w:rPr>
            </w:pPr>
          </w:p>
        </w:tc>
        <w:tc>
          <w:tcPr>
            <w:tcW w:w="820" w:type="dxa"/>
            <w:vAlign w:val="bottom"/>
            <w:tcBorders>
              <w:bottom w:val="single" w:sz="8" w:color="70AD47"/>
              <w:right w:val="single" w:sz="8" w:color="70AD47"/>
            </w:tcBorders>
          </w:tcPr>
          <w:p>
            <w:pPr>
              <w:spacing w:after="0"/>
              <w:rPr>
                <w:sz w:val="2"/>
                <w:szCs w:val="2"/>
                <w:color w:val="auto"/>
              </w:rPr>
            </w:pPr>
          </w:p>
        </w:tc>
        <w:tc>
          <w:tcPr>
            <w:tcW w:w="1320" w:type="dxa"/>
            <w:vAlign w:val="bottom"/>
            <w:tcBorders>
              <w:bottom w:val="single" w:sz="8" w:color="70AD47"/>
            </w:tcBorders>
          </w:tcPr>
          <w:p>
            <w:pPr>
              <w:spacing w:after="0"/>
              <w:rPr>
                <w:sz w:val="2"/>
                <w:szCs w:val="2"/>
                <w:color w:val="auto"/>
              </w:rPr>
            </w:pPr>
          </w:p>
        </w:tc>
        <w:tc>
          <w:tcPr>
            <w:tcW w:w="500" w:type="dxa"/>
            <w:vAlign w:val="bottom"/>
            <w:tcBorders>
              <w:bottom w:val="single" w:sz="8" w:color="70AD47"/>
            </w:tcBorders>
          </w:tcPr>
          <w:p>
            <w:pPr>
              <w:spacing w:after="0"/>
              <w:rPr>
                <w:sz w:val="2"/>
                <w:szCs w:val="2"/>
                <w:color w:val="auto"/>
              </w:rPr>
            </w:pPr>
          </w:p>
        </w:tc>
        <w:tc>
          <w:tcPr>
            <w:tcW w:w="840" w:type="dxa"/>
            <w:vAlign w:val="bottom"/>
            <w:tcBorders>
              <w:bottom w:val="single" w:sz="8" w:color="70AD47"/>
              <w:right w:val="single" w:sz="8" w:color="70AD47"/>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980" w:type="dxa"/>
            <w:vAlign w:val="bottom"/>
          </w:tcPr>
          <w:p>
            <w:pPr>
              <w:spacing w:after="0"/>
              <w:rPr>
                <w:sz w:val="20"/>
                <w:szCs w:val="20"/>
                <w:color w:val="auto"/>
              </w:rPr>
            </w:pPr>
            <w:r>
              <w:rPr>
                <w:rFonts w:ascii="Arial" w:cs="Arial" w:eastAsia="Arial" w:hAnsi="Arial"/>
                <w:sz w:val="18"/>
                <w:szCs w:val="18"/>
                <w:b w:val="1"/>
                <w:bCs w:val="1"/>
                <w:color w:val="auto"/>
              </w:rPr>
              <w:t>Loss for the period</w:t>
            </w:r>
          </w:p>
        </w:tc>
        <w:tc>
          <w:tcPr>
            <w:tcW w:w="820" w:type="dxa"/>
            <w:vAlign w:val="bottom"/>
            <w:tcBorders>
              <w:right w:val="single" w:sz="8" w:color="70AD47"/>
            </w:tcBorders>
          </w:tcPr>
          <w:p>
            <w:pPr>
              <w:spacing w:after="0"/>
              <w:rPr>
                <w:sz w:val="24"/>
                <w:szCs w:val="24"/>
                <w:color w:val="auto"/>
              </w:rPr>
            </w:pPr>
          </w:p>
        </w:tc>
        <w:tc>
          <w:tcPr>
            <w:tcW w:w="13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€(88,296)</w:t>
            </w:r>
          </w:p>
        </w:tc>
        <w:tc>
          <w:tcPr>
            <w:tcW w:w="500" w:type="dxa"/>
            <w:vAlign w:val="bottom"/>
          </w:tcPr>
          <w:p>
            <w:pPr>
              <w:spacing w:after="0"/>
              <w:rPr>
                <w:sz w:val="24"/>
                <w:szCs w:val="24"/>
                <w:color w:val="auto"/>
              </w:rPr>
            </w:pPr>
          </w:p>
        </w:tc>
        <w:tc>
          <w:tcPr>
            <w:tcW w:w="820" w:type="dxa"/>
            <w:vAlign w:val="bottom"/>
            <w:tcBorders>
              <w:right w:val="single" w:sz="8" w:color="70AD47"/>
            </w:tcBorders>
          </w:tcPr>
          <w:p>
            <w:pPr>
              <w:jc w:val="right"/>
              <w:spacing w:after="0"/>
              <w:rPr>
                <w:sz w:val="20"/>
                <w:szCs w:val="20"/>
                <w:color w:val="auto"/>
              </w:rPr>
            </w:pPr>
            <w:r>
              <w:rPr>
                <w:rFonts w:ascii="Arial" w:cs="Arial" w:eastAsia="Arial" w:hAnsi="Arial"/>
                <w:sz w:val="18"/>
                <w:szCs w:val="18"/>
                <w:b w:val="1"/>
                <w:bCs w:val="1"/>
                <w:color w:val="auto"/>
              </w:rPr>
              <w:t>€(50,084)</w:t>
            </w:r>
          </w:p>
        </w:tc>
        <w:tc>
          <w:tcPr>
            <w:tcW w:w="132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€(141,682)</w:t>
            </w:r>
          </w:p>
        </w:tc>
        <w:tc>
          <w:tcPr>
            <w:tcW w:w="50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b w:val="1"/>
                <w:bCs w:val="1"/>
                <w:color w:val="auto"/>
              </w:rPr>
              <w:t>€(90,846)</w:t>
            </w:r>
          </w:p>
        </w:tc>
        <w:tc>
          <w:tcPr>
            <w:tcW w:w="0" w:type="dxa"/>
            <w:vAlign w:val="bottom"/>
          </w:tcPr>
          <w:p>
            <w:pPr>
              <w:spacing w:after="0"/>
              <w:rPr>
                <w:sz w:val="1"/>
                <w:szCs w:val="1"/>
                <w:color w:val="auto"/>
              </w:rPr>
            </w:pPr>
          </w:p>
        </w:tc>
      </w:tr>
      <w:tr>
        <w:trPr>
          <w:trHeight w:val="560"/>
        </w:trPr>
        <w:tc>
          <w:tcPr>
            <w:tcW w:w="4980" w:type="dxa"/>
            <w:vAlign w:val="bottom"/>
            <w:tcBorders>
              <w:top w:val="single" w:sz="8" w:color="70AD47"/>
            </w:tcBorders>
          </w:tcPr>
          <w:p>
            <w:pPr>
              <w:spacing w:after="0"/>
              <w:rPr>
                <w:sz w:val="20"/>
                <w:szCs w:val="20"/>
                <w:color w:val="auto"/>
              </w:rPr>
            </w:pPr>
            <w:r>
              <w:rPr>
                <w:rFonts w:ascii="Arial" w:cs="Arial" w:eastAsia="Arial" w:hAnsi="Arial"/>
                <w:sz w:val="18"/>
                <w:szCs w:val="18"/>
                <w:b w:val="1"/>
                <w:bCs w:val="1"/>
                <w:color w:val="auto"/>
              </w:rPr>
              <w:t>Other comprehensive income</w:t>
            </w:r>
          </w:p>
        </w:tc>
        <w:tc>
          <w:tcPr>
            <w:tcW w:w="820" w:type="dxa"/>
            <w:vAlign w:val="bottom"/>
            <w:tcBorders>
              <w:top w:val="single" w:sz="8" w:color="70AD47"/>
              <w:right w:val="single" w:sz="8" w:color="70AD47"/>
            </w:tcBorders>
          </w:tcPr>
          <w:p>
            <w:pPr>
              <w:spacing w:after="0"/>
              <w:rPr>
                <w:sz w:val="24"/>
                <w:szCs w:val="24"/>
                <w:color w:val="auto"/>
              </w:rPr>
            </w:pPr>
          </w:p>
        </w:tc>
        <w:tc>
          <w:tcPr>
            <w:tcW w:w="1340" w:type="dxa"/>
            <w:vAlign w:val="bottom"/>
            <w:tcBorders>
              <w:top w:val="single" w:sz="8" w:color="70AD47"/>
              <w:right w:val="single" w:sz="8" w:color="70AD47"/>
            </w:tcBorders>
            <w:shd w:val="clear" w:color="auto" w:fill="C6E0B4"/>
          </w:tcPr>
          <w:p>
            <w:pPr>
              <w:spacing w:after="0"/>
              <w:rPr>
                <w:sz w:val="24"/>
                <w:szCs w:val="24"/>
                <w:color w:val="auto"/>
              </w:rPr>
            </w:pPr>
          </w:p>
        </w:tc>
        <w:tc>
          <w:tcPr>
            <w:tcW w:w="500" w:type="dxa"/>
            <w:vAlign w:val="bottom"/>
            <w:tcBorders>
              <w:top w:val="single" w:sz="8" w:color="70AD47"/>
            </w:tcBorders>
          </w:tcPr>
          <w:p>
            <w:pPr>
              <w:spacing w:after="0"/>
              <w:rPr>
                <w:sz w:val="24"/>
                <w:szCs w:val="24"/>
                <w:color w:val="auto"/>
              </w:rPr>
            </w:pPr>
          </w:p>
        </w:tc>
        <w:tc>
          <w:tcPr>
            <w:tcW w:w="820" w:type="dxa"/>
            <w:vAlign w:val="bottom"/>
            <w:tcBorders>
              <w:top w:val="single" w:sz="8" w:color="70AD47"/>
              <w:right w:val="single" w:sz="8" w:color="70AD47"/>
            </w:tcBorders>
          </w:tcPr>
          <w:p>
            <w:pPr>
              <w:spacing w:after="0"/>
              <w:rPr>
                <w:sz w:val="24"/>
                <w:szCs w:val="24"/>
                <w:color w:val="auto"/>
              </w:rPr>
            </w:pPr>
          </w:p>
        </w:tc>
        <w:tc>
          <w:tcPr>
            <w:tcW w:w="1320" w:type="dxa"/>
            <w:vAlign w:val="bottom"/>
            <w:tcBorders>
              <w:top w:val="single" w:sz="8" w:color="70AD47"/>
              <w:right w:val="single" w:sz="8" w:color="70AD47"/>
            </w:tcBorders>
            <w:shd w:val="clear" w:color="auto" w:fill="C6E0B4"/>
          </w:tcPr>
          <w:p>
            <w:pPr>
              <w:spacing w:after="0"/>
              <w:rPr>
                <w:sz w:val="24"/>
                <w:szCs w:val="24"/>
                <w:color w:val="auto"/>
              </w:rPr>
            </w:pPr>
          </w:p>
        </w:tc>
        <w:tc>
          <w:tcPr>
            <w:tcW w:w="50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i w:val="1"/>
                <w:iCs w:val="1"/>
                <w:color w:val="auto"/>
                <w:w w:val="96"/>
              </w:rPr>
              <w:t>Other comprehensive income that may be reclassified to profit or</w:t>
            </w:r>
          </w:p>
        </w:tc>
        <w:tc>
          <w:tcPr>
            <w:tcW w:w="820" w:type="dxa"/>
            <w:vAlign w:val="bottom"/>
            <w:tcBorders>
              <w:right w:val="single" w:sz="8" w:color="70AD47"/>
            </w:tcBorders>
          </w:tcPr>
          <w:p>
            <w:pPr>
              <w:spacing w:after="0"/>
              <w:rPr>
                <w:sz w:val="18"/>
                <w:szCs w:val="18"/>
                <w:color w:val="auto"/>
              </w:rPr>
            </w:pPr>
          </w:p>
        </w:tc>
        <w:tc>
          <w:tcPr>
            <w:tcW w:w="1340" w:type="dxa"/>
            <w:vAlign w:val="bottom"/>
            <w:tcBorders>
              <w:right w:val="single" w:sz="8" w:color="70AD47"/>
            </w:tcBorders>
            <w:shd w:val="clear" w:color="auto" w:fill="C6E0B4"/>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Borders>
              <w:right w:val="single" w:sz="8" w:color="70AD47"/>
            </w:tcBorders>
          </w:tcPr>
          <w:p>
            <w:pPr>
              <w:spacing w:after="0"/>
              <w:rPr>
                <w:sz w:val="18"/>
                <w:szCs w:val="18"/>
                <w:color w:val="auto"/>
              </w:rPr>
            </w:pPr>
          </w:p>
        </w:tc>
        <w:tc>
          <w:tcPr>
            <w:tcW w:w="1320" w:type="dxa"/>
            <w:vAlign w:val="bottom"/>
            <w:tcBorders>
              <w:right w:val="single" w:sz="8" w:color="70AD47"/>
            </w:tcBorders>
            <w:shd w:val="clear" w:color="auto" w:fill="C6E0B4"/>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i w:val="1"/>
                <w:iCs w:val="1"/>
                <w:color w:val="auto"/>
              </w:rPr>
              <w:t>loss in subsequent periods (net of tax)</w:t>
            </w:r>
          </w:p>
        </w:tc>
        <w:tc>
          <w:tcPr>
            <w:tcW w:w="820" w:type="dxa"/>
            <w:vAlign w:val="bottom"/>
            <w:tcBorders>
              <w:right w:val="single" w:sz="8" w:color="70AD47"/>
            </w:tcBorders>
          </w:tcPr>
          <w:p>
            <w:pPr>
              <w:spacing w:after="0"/>
              <w:rPr>
                <w:sz w:val="20"/>
                <w:szCs w:val="20"/>
                <w:color w:val="auto"/>
              </w:rPr>
            </w:pPr>
          </w:p>
        </w:tc>
        <w:tc>
          <w:tcPr>
            <w:tcW w:w="1340" w:type="dxa"/>
            <w:vAlign w:val="bottom"/>
            <w:tcBorders>
              <w:right w:val="single" w:sz="8" w:color="70AD47"/>
            </w:tcBorders>
            <w:shd w:val="clear" w:color="auto" w:fill="C6E0B4"/>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Borders>
              <w:right w:val="single" w:sz="8" w:color="70AD47"/>
            </w:tcBorders>
          </w:tcPr>
          <w:p>
            <w:pPr>
              <w:spacing w:after="0"/>
              <w:rPr>
                <w:sz w:val="20"/>
                <w:szCs w:val="20"/>
                <w:color w:val="auto"/>
              </w:rPr>
            </w:pPr>
          </w:p>
        </w:tc>
        <w:tc>
          <w:tcPr>
            <w:tcW w:w="1320" w:type="dxa"/>
            <w:vAlign w:val="bottom"/>
            <w:tcBorders>
              <w:right w:val="single" w:sz="8" w:color="70AD47"/>
            </w:tcBorders>
            <w:shd w:val="clear" w:color="auto" w:fill="C6E0B4"/>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Borders>
              <w:right w:val="single" w:sz="8" w:color="70AD47"/>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980" w:type="dxa"/>
            <w:vAlign w:val="bottom"/>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820" w:type="dxa"/>
            <w:vAlign w:val="bottom"/>
            <w:tcBorders>
              <w:right w:val="single" w:sz="8" w:color="70AD47"/>
            </w:tcBorders>
          </w:tcPr>
          <w:p>
            <w:pPr>
              <w:spacing w:after="0"/>
              <w:rPr>
                <w:sz w:val="24"/>
                <w:szCs w:val="24"/>
                <w:color w:val="auto"/>
              </w:rPr>
            </w:pPr>
          </w:p>
        </w:tc>
        <w:tc>
          <w:tcPr>
            <w:tcW w:w="13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(3,367)</w:t>
            </w:r>
          </w:p>
        </w:tc>
        <w:tc>
          <w:tcPr>
            <w:tcW w:w="500" w:type="dxa"/>
            <w:vAlign w:val="bottom"/>
          </w:tcPr>
          <w:p>
            <w:pPr>
              <w:spacing w:after="0"/>
              <w:rPr>
                <w:sz w:val="24"/>
                <w:szCs w:val="24"/>
                <w:color w:val="auto"/>
              </w:rPr>
            </w:pPr>
          </w:p>
        </w:tc>
        <w:tc>
          <w:tcPr>
            <w:tcW w:w="82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2</w:t>
            </w:r>
          </w:p>
        </w:tc>
        <w:tc>
          <w:tcPr>
            <w:tcW w:w="132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(3,493)</w:t>
            </w:r>
          </w:p>
        </w:tc>
        <w:tc>
          <w:tcPr>
            <w:tcW w:w="50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5"/>
        </w:trPr>
        <w:tc>
          <w:tcPr>
            <w:tcW w:w="4980" w:type="dxa"/>
            <w:vAlign w:val="bottom"/>
            <w:tcBorders>
              <w:top w:val="single" w:sz="8" w:color="70AD47"/>
            </w:tcBorders>
          </w:tcPr>
          <w:p>
            <w:pPr>
              <w:spacing w:after="0" w:line="205" w:lineRule="exact"/>
              <w:rPr>
                <w:sz w:val="20"/>
                <w:szCs w:val="20"/>
                <w:color w:val="auto"/>
              </w:rPr>
            </w:pPr>
            <w:r>
              <w:rPr>
                <w:rFonts w:ascii="Arial" w:cs="Arial" w:eastAsia="Arial" w:hAnsi="Arial"/>
                <w:sz w:val="18"/>
                <w:szCs w:val="18"/>
                <w:b w:val="1"/>
                <w:bCs w:val="1"/>
                <w:color w:val="auto"/>
                <w:w w:val="96"/>
              </w:rPr>
              <w:t>Net other comprehensive income that may be reclassified to</w:t>
            </w:r>
          </w:p>
        </w:tc>
        <w:tc>
          <w:tcPr>
            <w:tcW w:w="820" w:type="dxa"/>
            <w:vAlign w:val="bottom"/>
            <w:tcBorders>
              <w:top w:val="single" w:sz="8" w:color="70AD47"/>
              <w:right w:val="single" w:sz="8" w:color="70AD47"/>
            </w:tcBorders>
          </w:tcPr>
          <w:p>
            <w:pPr>
              <w:spacing w:after="0"/>
              <w:rPr>
                <w:sz w:val="17"/>
                <w:szCs w:val="17"/>
                <w:color w:val="auto"/>
              </w:rPr>
            </w:pPr>
          </w:p>
        </w:tc>
        <w:tc>
          <w:tcPr>
            <w:tcW w:w="1340" w:type="dxa"/>
            <w:vAlign w:val="bottom"/>
            <w:tcBorders>
              <w:top w:val="single" w:sz="8" w:color="70AD47"/>
              <w:right w:val="single" w:sz="8" w:color="70AD47"/>
            </w:tcBorders>
            <w:vMerge w:val="restart"/>
            <w:shd w:val="clear" w:color="auto" w:fill="C6E0B4"/>
          </w:tcPr>
          <w:p>
            <w:pPr>
              <w:jc w:val="right"/>
              <w:spacing w:after="0"/>
              <w:rPr>
                <w:sz w:val="20"/>
                <w:szCs w:val="20"/>
                <w:color w:val="auto"/>
              </w:rPr>
            </w:pPr>
            <w:r>
              <w:rPr>
                <w:rFonts w:ascii="Arial" w:cs="Arial" w:eastAsia="Arial" w:hAnsi="Arial"/>
                <w:sz w:val="18"/>
                <w:szCs w:val="18"/>
                <w:b w:val="1"/>
                <w:bCs w:val="1"/>
                <w:color w:val="auto"/>
              </w:rPr>
              <w:t>(3,367)</w:t>
            </w:r>
          </w:p>
        </w:tc>
        <w:tc>
          <w:tcPr>
            <w:tcW w:w="500" w:type="dxa"/>
            <w:vAlign w:val="bottom"/>
            <w:tcBorders>
              <w:top w:val="single" w:sz="8" w:color="70AD47"/>
            </w:tcBorders>
          </w:tcPr>
          <w:p>
            <w:pPr>
              <w:spacing w:after="0"/>
              <w:rPr>
                <w:sz w:val="17"/>
                <w:szCs w:val="17"/>
                <w:color w:val="auto"/>
              </w:rPr>
            </w:pPr>
          </w:p>
        </w:tc>
        <w:tc>
          <w:tcPr>
            <w:tcW w:w="820" w:type="dxa"/>
            <w:vAlign w:val="bottom"/>
            <w:tcBorders>
              <w:top w:val="single" w:sz="8" w:color="70AD47"/>
              <w:right w:val="single" w:sz="8" w:color="70AD47"/>
            </w:tcBorders>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320" w:type="dxa"/>
            <w:vAlign w:val="bottom"/>
            <w:tcBorders>
              <w:top w:val="single" w:sz="8" w:color="70AD47"/>
              <w:right w:val="single" w:sz="8" w:color="70AD47"/>
            </w:tcBorders>
            <w:vMerge w:val="restart"/>
            <w:shd w:val="clear" w:color="auto" w:fill="C6E0B4"/>
          </w:tcPr>
          <w:p>
            <w:pPr>
              <w:jc w:val="right"/>
              <w:spacing w:after="0"/>
              <w:rPr>
                <w:sz w:val="20"/>
                <w:szCs w:val="20"/>
                <w:color w:val="auto"/>
              </w:rPr>
            </w:pPr>
            <w:r>
              <w:rPr>
                <w:rFonts w:ascii="Arial" w:cs="Arial" w:eastAsia="Arial" w:hAnsi="Arial"/>
                <w:sz w:val="18"/>
                <w:szCs w:val="18"/>
                <w:b w:val="1"/>
                <w:bCs w:val="1"/>
                <w:color w:val="auto"/>
              </w:rPr>
              <w:t>(3,493)</w:t>
            </w:r>
          </w:p>
        </w:tc>
        <w:tc>
          <w:tcPr>
            <w:tcW w:w="500" w:type="dxa"/>
            <w:vAlign w:val="bottom"/>
            <w:tcBorders>
              <w:top w:val="single" w:sz="8" w:color="70AD47"/>
            </w:tcBorders>
          </w:tcPr>
          <w:p>
            <w:pPr>
              <w:spacing w:after="0"/>
              <w:rPr>
                <w:sz w:val="17"/>
                <w:szCs w:val="17"/>
                <w:color w:val="auto"/>
              </w:rPr>
            </w:pPr>
          </w:p>
        </w:tc>
        <w:tc>
          <w:tcPr>
            <w:tcW w:w="840" w:type="dxa"/>
            <w:vAlign w:val="bottom"/>
            <w:tcBorders>
              <w:top w:val="single" w:sz="8" w:color="70AD47"/>
              <w:right w:val="single" w:sz="8" w:color="70AD47"/>
            </w:tcBorders>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126"/>
        </w:trPr>
        <w:tc>
          <w:tcPr>
            <w:tcW w:w="4980" w:type="dxa"/>
            <w:vAlign w:val="bottom"/>
            <w:vMerge w:val="restart"/>
          </w:tcPr>
          <w:p>
            <w:pPr>
              <w:spacing w:after="0"/>
              <w:rPr>
                <w:sz w:val="20"/>
                <w:szCs w:val="20"/>
                <w:color w:val="auto"/>
              </w:rPr>
            </w:pPr>
            <w:r>
              <w:rPr>
                <w:rFonts w:ascii="Arial" w:cs="Arial" w:eastAsia="Arial" w:hAnsi="Arial"/>
                <w:sz w:val="18"/>
                <w:szCs w:val="18"/>
                <w:b w:val="1"/>
                <w:bCs w:val="1"/>
                <w:color w:val="auto"/>
              </w:rPr>
              <w:t>profit or loss in subsequent periods</w:t>
            </w:r>
          </w:p>
        </w:tc>
        <w:tc>
          <w:tcPr>
            <w:tcW w:w="820" w:type="dxa"/>
            <w:vAlign w:val="bottom"/>
            <w:tcBorders>
              <w:right w:val="single" w:sz="8" w:color="70AD47"/>
            </w:tcBorders>
          </w:tcPr>
          <w:p>
            <w:pPr>
              <w:spacing w:after="0"/>
              <w:rPr>
                <w:sz w:val="10"/>
                <w:szCs w:val="10"/>
                <w:color w:val="auto"/>
              </w:rPr>
            </w:pPr>
          </w:p>
        </w:tc>
        <w:tc>
          <w:tcPr>
            <w:tcW w:w="1340" w:type="dxa"/>
            <w:vAlign w:val="bottom"/>
            <w:tcBorders>
              <w:right w:val="single" w:sz="8" w:color="70AD47"/>
            </w:tcBorders>
            <w:vMerge w:val="continue"/>
            <w:shd w:val="clear" w:color="auto" w:fill="C6E0B4"/>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Borders>
              <w:right w:val="single" w:sz="8" w:color="70AD47"/>
            </w:tcBorders>
            <w:vMerge w:val="continue"/>
          </w:tcPr>
          <w:p>
            <w:pPr>
              <w:spacing w:after="0"/>
              <w:rPr>
                <w:sz w:val="10"/>
                <w:szCs w:val="10"/>
                <w:color w:val="auto"/>
              </w:rPr>
            </w:pPr>
          </w:p>
        </w:tc>
        <w:tc>
          <w:tcPr>
            <w:tcW w:w="1320" w:type="dxa"/>
            <w:vAlign w:val="bottom"/>
            <w:tcBorders>
              <w:right w:val="single" w:sz="8" w:color="70AD47"/>
            </w:tcBorders>
            <w:vMerge w:val="continue"/>
            <w:shd w:val="clear" w:color="auto" w:fill="C6E0B4"/>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Borders>
              <w:right w:val="single" w:sz="8" w:color="70AD47"/>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80" w:type="dxa"/>
            <w:vAlign w:val="bottom"/>
            <w:tcBorders>
              <w:bottom w:val="single" w:sz="8" w:color="70AD47"/>
            </w:tcBorders>
            <w:vMerge w:val="continue"/>
          </w:tcPr>
          <w:p>
            <w:pPr>
              <w:spacing w:after="0"/>
              <w:rPr>
                <w:sz w:val="9"/>
                <w:szCs w:val="9"/>
                <w:color w:val="auto"/>
              </w:rPr>
            </w:pPr>
          </w:p>
        </w:tc>
        <w:tc>
          <w:tcPr>
            <w:tcW w:w="820" w:type="dxa"/>
            <w:vAlign w:val="bottom"/>
            <w:tcBorders>
              <w:bottom w:val="single" w:sz="8" w:color="70AD47"/>
              <w:right w:val="single" w:sz="8" w:color="70AD47"/>
            </w:tcBorders>
          </w:tcPr>
          <w:p>
            <w:pPr>
              <w:spacing w:after="0"/>
              <w:rPr>
                <w:sz w:val="9"/>
                <w:szCs w:val="9"/>
                <w:color w:val="auto"/>
              </w:rPr>
            </w:pPr>
          </w:p>
        </w:tc>
        <w:tc>
          <w:tcPr>
            <w:tcW w:w="1340" w:type="dxa"/>
            <w:vAlign w:val="bottom"/>
            <w:tcBorders>
              <w:bottom w:val="single" w:sz="8" w:color="70AD47"/>
              <w:right w:val="single" w:sz="8" w:color="70AD47"/>
            </w:tcBorders>
            <w:shd w:val="clear" w:color="auto" w:fill="C6E0B4"/>
          </w:tcPr>
          <w:p>
            <w:pPr>
              <w:spacing w:after="0"/>
              <w:rPr>
                <w:sz w:val="9"/>
                <w:szCs w:val="9"/>
                <w:color w:val="auto"/>
              </w:rPr>
            </w:pPr>
          </w:p>
        </w:tc>
        <w:tc>
          <w:tcPr>
            <w:tcW w:w="500" w:type="dxa"/>
            <w:vAlign w:val="bottom"/>
            <w:tcBorders>
              <w:bottom w:val="single" w:sz="8" w:color="70AD47"/>
            </w:tcBorders>
          </w:tcPr>
          <w:p>
            <w:pPr>
              <w:spacing w:after="0"/>
              <w:rPr>
                <w:sz w:val="9"/>
                <w:szCs w:val="9"/>
                <w:color w:val="auto"/>
              </w:rPr>
            </w:pPr>
          </w:p>
        </w:tc>
        <w:tc>
          <w:tcPr>
            <w:tcW w:w="820" w:type="dxa"/>
            <w:vAlign w:val="bottom"/>
            <w:tcBorders>
              <w:bottom w:val="single" w:sz="8" w:color="70AD47"/>
              <w:right w:val="single" w:sz="8" w:color="70AD47"/>
            </w:tcBorders>
          </w:tcPr>
          <w:p>
            <w:pPr>
              <w:spacing w:after="0"/>
              <w:rPr>
                <w:sz w:val="9"/>
                <w:szCs w:val="9"/>
                <w:color w:val="auto"/>
              </w:rPr>
            </w:pPr>
          </w:p>
        </w:tc>
        <w:tc>
          <w:tcPr>
            <w:tcW w:w="1320" w:type="dxa"/>
            <w:vAlign w:val="bottom"/>
            <w:tcBorders>
              <w:bottom w:val="single" w:sz="8" w:color="70AD47"/>
              <w:right w:val="single" w:sz="8" w:color="70AD47"/>
            </w:tcBorders>
            <w:shd w:val="clear" w:color="auto" w:fill="C6E0B4"/>
          </w:tcPr>
          <w:p>
            <w:pPr>
              <w:spacing w:after="0"/>
              <w:rPr>
                <w:sz w:val="9"/>
                <w:szCs w:val="9"/>
                <w:color w:val="auto"/>
              </w:rPr>
            </w:pPr>
          </w:p>
        </w:tc>
        <w:tc>
          <w:tcPr>
            <w:tcW w:w="500" w:type="dxa"/>
            <w:vAlign w:val="bottom"/>
            <w:tcBorders>
              <w:bottom w:val="single" w:sz="8" w:color="70AD47"/>
            </w:tcBorders>
          </w:tcPr>
          <w:p>
            <w:pPr>
              <w:spacing w:after="0"/>
              <w:rPr>
                <w:sz w:val="9"/>
                <w:szCs w:val="9"/>
                <w:color w:val="auto"/>
              </w:rPr>
            </w:pPr>
          </w:p>
        </w:tc>
        <w:tc>
          <w:tcPr>
            <w:tcW w:w="840" w:type="dxa"/>
            <w:vAlign w:val="bottom"/>
            <w:tcBorders>
              <w:bottom w:val="single" w:sz="8" w:color="70AD47"/>
              <w:right w:val="single" w:sz="8" w:color="70AD47"/>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4980" w:type="dxa"/>
            <w:vAlign w:val="bottom"/>
            <w:tcBorders>
              <w:bottom w:val="single" w:sz="8" w:color="70AD47"/>
            </w:tcBorders>
          </w:tcPr>
          <w:p>
            <w:pPr>
              <w:spacing w:after="0"/>
              <w:rPr>
                <w:sz w:val="24"/>
                <w:szCs w:val="24"/>
                <w:color w:val="auto"/>
              </w:rPr>
            </w:pPr>
          </w:p>
        </w:tc>
        <w:tc>
          <w:tcPr>
            <w:tcW w:w="820" w:type="dxa"/>
            <w:vAlign w:val="bottom"/>
            <w:tcBorders>
              <w:bottom w:val="single" w:sz="8" w:color="70AD47"/>
              <w:right w:val="single" w:sz="8" w:color="70AD47"/>
            </w:tcBorders>
          </w:tcPr>
          <w:p>
            <w:pPr>
              <w:spacing w:after="0"/>
              <w:rPr>
                <w:sz w:val="24"/>
                <w:szCs w:val="24"/>
                <w:color w:val="auto"/>
              </w:rPr>
            </w:pPr>
          </w:p>
        </w:tc>
        <w:tc>
          <w:tcPr>
            <w:tcW w:w="1340" w:type="dxa"/>
            <w:vAlign w:val="bottom"/>
            <w:tcBorders>
              <w:bottom w:val="single" w:sz="8" w:color="70AD47"/>
              <w:right w:val="single" w:sz="8" w:color="70AD47"/>
            </w:tcBorders>
            <w:shd w:val="clear" w:color="auto" w:fill="C6E0B4"/>
          </w:tcPr>
          <w:p>
            <w:pPr>
              <w:spacing w:after="0"/>
              <w:rPr>
                <w:sz w:val="24"/>
                <w:szCs w:val="24"/>
                <w:color w:val="auto"/>
              </w:rPr>
            </w:pPr>
          </w:p>
        </w:tc>
        <w:tc>
          <w:tcPr>
            <w:tcW w:w="500" w:type="dxa"/>
            <w:vAlign w:val="bottom"/>
            <w:tcBorders>
              <w:bottom w:val="single" w:sz="8" w:color="70AD47"/>
            </w:tcBorders>
          </w:tcPr>
          <w:p>
            <w:pPr>
              <w:spacing w:after="0"/>
              <w:rPr>
                <w:sz w:val="24"/>
                <w:szCs w:val="24"/>
                <w:color w:val="auto"/>
              </w:rPr>
            </w:pPr>
          </w:p>
        </w:tc>
        <w:tc>
          <w:tcPr>
            <w:tcW w:w="820" w:type="dxa"/>
            <w:vAlign w:val="bottom"/>
            <w:tcBorders>
              <w:bottom w:val="single" w:sz="8" w:color="70AD47"/>
              <w:right w:val="single" w:sz="8" w:color="70AD47"/>
            </w:tcBorders>
          </w:tcPr>
          <w:p>
            <w:pPr>
              <w:spacing w:after="0"/>
              <w:rPr>
                <w:sz w:val="24"/>
                <w:szCs w:val="24"/>
                <w:color w:val="auto"/>
              </w:rPr>
            </w:pPr>
          </w:p>
        </w:tc>
        <w:tc>
          <w:tcPr>
            <w:tcW w:w="1320" w:type="dxa"/>
            <w:vAlign w:val="bottom"/>
            <w:tcBorders>
              <w:bottom w:val="single" w:sz="8" w:color="70AD47"/>
              <w:right w:val="single" w:sz="8" w:color="70AD47"/>
            </w:tcBorders>
            <w:shd w:val="clear" w:color="auto" w:fill="C6E0B4"/>
          </w:tcPr>
          <w:p>
            <w:pPr>
              <w:spacing w:after="0"/>
              <w:rPr>
                <w:sz w:val="24"/>
                <w:szCs w:val="24"/>
                <w:color w:val="auto"/>
              </w:rPr>
            </w:pPr>
          </w:p>
        </w:tc>
        <w:tc>
          <w:tcPr>
            <w:tcW w:w="500" w:type="dxa"/>
            <w:vAlign w:val="bottom"/>
            <w:tcBorders>
              <w:bottom w:val="single" w:sz="8" w:color="70AD47"/>
            </w:tcBorders>
          </w:tcPr>
          <w:p>
            <w:pPr>
              <w:spacing w:after="0"/>
              <w:rPr>
                <w:sz w:val="24"/>
                <w:szCs w:val="24"/>
                <w:color w:val="auto"/>
              </w:rPr>
            </w:pPr>
          </w:p>
        </w:tc>
        <w:tc>
          <w:tcPr>
            <w:tcW w:w="840" w:type="dxa"/>
            <w:vAlign w:val="bottom"/>
            <w:tcBorders>
              <w:bottom w:val="single" w:sz="8" w:color="70AD47"/>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980" w:type="dxa"/>
            <w:vAlign w:val="bottom"/>
          </w:tcPr>
          <w:p>
            <w:pPr>
              <w:spacing w:after="0"/>
              <w:rPr>
                <w:sz w:val="20"/>
                <w:szCs w:val="20"/>
                <w:color w:val="auto"/>
              </w:rPr>
            </w:pPr>
            <w:r>
              <w:rPr>
                <w:rFonts w:ascii="Arial" w:cs="Arial" w:eastAsia="Arial" w:hAnsi="Arial"/>
                <w:sz w:val="18"/>
                <w:szCs w:val="18"/>
                <w:b w:val="1"/>
                <w:bCs w:val="1"/>
                <w:color w:val="auto"/>
              </w:rPr>
              <w:t>Other comprehensive income for the period, net of tax</w:t>
            </w:r>
          </w:p>
        </w:tc>
        <w:tc>
          <w:tcPr>
            <w:tcW w:w="820" w:type="dxa"/>
            <w:vAlign w:val="bottom"/>
            <w:tcBorders>
              <w:right w:val="single" w:sz="8" w:color="70AD47"/>
            </w:tcBorders>
          </w:tcPr>
          <w:p>
            <w:pPr>
              <w:spacing w:after="0"/>
              <w:rPr>
                <w:sz w:val="24"/>
                <w:szCs w:val="24"/>
                <w:color w:val="auto"/>
              </w:rPr>
            </w:pPr>
          </w:p>
        </w:tc>
        <w:tc>
          <w:tcPr>
            <w:tcW w:w="13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(3,367)</w:t>
            </w:r>
          </w:p>
        </w:tc>
        <w:tc>
          <w:tcPr>
            <w:tcW w:w="500" w:type="dxa"/>
            <w:vAlign w:val="bottom"/>
          </w:tcPr>
          <w:p>
            <w:pPr>
              <w:spacing w:after="0"/>
              <w:rPr>
                <w:sz w:val="24"/>
                <w:szCs w:val="24"/>
                <w:color w:val="auto"/>
              </w:rPr>
            </w:pPr>
          </w:p>
        </w:tc>
        <w:tc>
          <w:tcPr>
            <w:tcW w:w="820" w:type="dxa"/>
            <w:vAlign w:val="bottom"/>
            <w:tcBorders>
              <w:right w:val="single" w:sz="8" w:color="70AD47"/>
            </w:tcBorders>
          </w:tcPr>
          <w:p>
            <w:pPr>
              <w:jc w:val="right"/>
              <w:spacing w:after="0"/>
              <w:rPr>
                <w:sz w:val="20"/>
                <w:szCs w:val="20"/>
                <w:color w:val="auto"/>
              </w:rPr>
            </w:pPr>
            <w:r>
              <w:rPr>
                <w:rFonts w:ascii="Arial" w:cs="Arial" w:eastAsia="Arial" w:hAnsi="Arial"/>
                <w:sz w:val="18"/>
                <w:szCs w:val="18"/>
                <w:b w:val="1"/>
                <w:bCs w:val="1"/>
                <w:color w:val="auto"/>
              </w:rPr>
              <w:t>2</w:t>
            </w:r>
          </w:p>
        </w:tc>
        <w:tc>
          <w:tcPr>
            <w:tcW w:w="132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(3,493)</w:t>
            </w:r>
          </w:p>
        </w:tc>
        <w:tc>
          <w:tcPr>
            <w:tcW w:w="50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77"/>
        </w:trPr>
        <w:tc>
          <w:tcPr>
            <w:tcW w:w="4980" w:type="dxa"/>
            <w:vAlign w:val="bottom"/>
            <w:tcBorders>
              <w:top w:val="single" w:sz="8" w:color="70AD47"/>
              <w:bottom w:val="single" w:sz="8" w:color="70AD47"/>
            </w:tcBorders>
          </w:tcPr>
          <w:p>
            <w:pPr>
              <w:spacing w:after="0"/>
              <w:rPr>
                <w:sz w:val="24"/>
                <w:szCs w:val="24"/>
                <w:color w:val="auto"/>
              </w:rPr>
            </w:pPr>
          </w:p>
        </w:tc>
        <w:tc>
          <w:tcPr>
            <w:tcW w:w="820" w:type="dxa"/>
            <w:vAlign w:val="bottom"/>
            <w:tcBorders>
              <w:top w:val="single" w:sz="8" w:color="70AD47"/>
              <w:bottom w:val="single" w:sz="8" w:color="70AD47"/>
              <w:right w:val="single" w:sz="8" w:color="70AD47"/>
            </w:tcBorders>
          </w:tcPr>
          <w:p>
            <w:pPr>
              <w:spacing w:after="0"/>
              <w:rPr>
                <w:sz w:val="24"/>
                <w:szCs w:val="24"/>
                <w:color w:val="auto"/>
              </w:rPr>
            </w:pPr>
          </w:p>
        </w:tc>
        <w:tc>
          <w:tcPr>
            <w:tcW w:w="1340" w:type="dxa"/>
            <w:vAlign w:val="bottom"/>
            <w:tcBorders>
              <w:top w:val="single" w:sz="8" w:color="70AD47"/>
              <w:bottom w:val="single" w:sz="8" w:color="70AD47"/>
              <w:right w:val="single" w:sz="8" w:color="70AD47"/>
            </w:tcBorders>
            <w:shd w:val="clear" w:color="auto" w:fill="C6E0B4"/>
          </w:tcPr>
          <w:p>
            <w:pPr>
              <w:spacing w:after="0"/>
              <w:rPr>
                <w:sz w:val="24"/>
                <w:szCs w:val="24"/>
                <w:color w:val="auto"/>
              </w:rPr>
            </w:pPr>
          </w:p>
        </w:tc>
        <w:tc>
          <w:tcPr>
            <w:tcW w:w="500" w:type="dxa"/>
            <w:vAlign w:val="bottom"/>
            <w:tcBorders>
              <w:top w:val="single" w:sz="8" w:color="70AD47"/>
              <w:bottom w:val="single" w:sz="8" w:color="70AD47"/>
            </w:tcBorders>
          </w:tcPr>
          <w:p>
            <w:pPr>
              <w:spacing w:after="0"/>
              <w:rPr>
                <w:sz w:val="24"/>
                <w:szCs w:val="24"/>
                <w:color w:val="auto"/>
              </w:rPr>
            </w:pPr>
          </w:p>
        </w:tc>
        <w:tc>
          <w:tcPr>
            <w:tcW w:w="820" w:type="dxa"/>
            <w:vAlign w:val="bottom"/>
            <w:tcBorders>
              <w:top w:val="single" w:sz="8" w:color="70AD47"/>
              <w:bottom w:val="single" w:sz="8" w:color="70AD47"/>
              <w:right w:val="single" w:sz="8" w:color="70AD47"/>
            </w:tcBorders>
          </w:tcPr>
          <w:p>
            <w:pPr>
              <w:spacing w:after="0"/>
              <w:rPr>
                <w:sz w:val="24"/>
                <w:szCs w:val="24"/>
                <w:color w:val="auto"/>
              </w:rPr>
            </w:pPr>
          </w:p>
        </w:tc>
        <w:tc>
          <w:tcPr>
            <w:tcW w:w="1320" w:type="dxa"/>
            <w:vAlign w:val="bottom"/>
            <w:tcBorders>
              <w:top w:val="single" w:sz="8" w:color="70AD47"/>
              <w:bottom w:val="single" w:sz="8" w:color="70AD47"/>
              <w:right w:val="single" w:sz="8" w:color="70AD47"/>
            </w:tcBorders>
            <w:shd w:val="clear" w:color="auto" w:fill="C6E0B4"/>
          </w:tcPr>
          <w:p>
            <w:pPr>
              <w:spacing w:after="0"/>
              <w:rPr>
                <w:sz w:val="24"/>
                <w:szCs w:val="24"/>
                <w:color w:val="auto"/>
              </w:rPr>
            </w:pPr>
          </w:p>
        </w:tc>
        <w:tc>
          <w:tcPr>
            <w:tcW w:w="500" w:type="dxa"/>
            <w:vAlign w:val="bottom"/>
            <w:tcBorders>
              <w:top w:val="single" w:sz="8" w:color="70AD47"/>
              <w:bottom w:val="single" w:sz="8" w:color="70AD47"/>
            </w:tcBorders>
          </w:tcPr>
          <w:p>
            <w:pPr>
              <w:spacing w:after="0"/>
              <w:rPr>
                <w:sz w:val="24"/>
                <w:szCs w:val="24"/>
                <w:color w:val="auto"/>
              </w:rPr>
            </w:pPr>
          </w:p>
        </w:tc>
        <w:tc>
          <w:tcPr>
            <w:tcW w:w="840" w:type="dxa"/>
            <w:vAlign w:val="bottom"/>
            <w:tcBorders>
              <w:top w:val="single" w:sz="8" w:color="70AD47"/>
              <w:bottom w:val="single" w:sz="8" w:color="70AD47"/>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980" w:type="dxa"/>
            <w:vAlign w:val="bottom"/>
          </w:tcPr>
          <w:p>
            <w:pPr>
              <w:spacing w:after="0"/>
              <w:rPr>
                <w:sz w:val="20"/>
                <w:szCs w:val="20"/>
                <w:color w:val="auto"/>
              </w:rPr>
            </w:pPr>
            <w:r>
              <w:rPr>
                <w:rFonts w:ascii="Arial" w:cs="Arial" w:eastAsia="Arial" w:hAnsi="Arial"/>
                <w:sz w:val="18"/>
                <w:szCs w:val="18"/>
                <w:b w:val="1"/>
                <w:bCs w:val="1"/>
                <w:color w:val="auto"/>
              </w:rPr>
              <w:t>Comprehensive loss for the period, net of tax</w:t>
            </w:r>
          </w:p>
        </w:tc>
        <w:tc>
          <w:tcPr>
            <w:tcW w:w="820" w:type="dxa"/>
            <w:vAlign w:val="bottom"/>
            <w:tcBorders>
              <w:right w:val="single" w:sz="8" w:color="70AD47"/>
            </w:tcBorders>
          </w:tcPr>
          <w:p>
            <w:pPr>
              <w:spacing w:after="0"/>
              <w:rPr>
                <w:sz w:val="24"/>
                <w:szCs w:val="24"/>
                <w:color w:val="auto"/>
              </w:rPr>
            </w:pPr>
          </w:p>
        </w:tc>
        <w:tc>
          <w:tcPr>
            <w:tcW w:w="13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€(91,663)</w:t>
            </w:r>
          </w:p>
        </w:tc>
        <w:tc>
          <w:tcPr>
            <w:tcW w:w="500" w:type="dxa"/>
            <w:vAlign w:val="bottom"/>
          </w:tcPr>
          <w:p>
            <w:pPr>
              <w:spacing w:after="0"/>
              <w:rPr>
                <w:sz w:val="24"/>
                <w:szCs w:val="24"/>
                <w:color w:val="auto"/>
              </w:rPr>
            </w:pPr>
          </w:p>
        </w:tc>
        <w:tc>
          <w:tcPr>
            <w:tcW w:w="820" w:type="dxa"/>
            <w:vAlign w:val="bottom"/>
            <w:tcBorders>
              <w:right w:val="single" w:sz="8" w:color="70AD47"/>
            </w:tcBorders>
          </w:tcPr>
          <w:p>
            <w:pPr>
              <w:jc w:val="right"/>
              <w:spacing w:after="0"/>
              <w:rPr>
                <w:sz w:val="20"/>
                <w:szCs w:val="20"/>
                <w:color w:val="auto"/>
              </w:rPr>
            </w:pPr>
            <w:r>
              <w:rPr>
                <w:rFonts w:ascii="Arial" w:cs="Arial" w:eastAsia="Arial" w:hAnsi="Arial"/>
                <w:sz w:val="18"/>
                <w:szCs w:val="18"/>
                <w:b w:val="1"/>
                <w:bCs w:val="1"/>
                <w:color w:val="auto"/>
              </w:rPr>
              <w:t>€(50,082)</w:t>
            </w:r>
          </w:p>
        </w:tc>
        <w:tc>
          <w:tcPr>
            <w:tcW w:w="132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€(145,175)</w:t>
            </w:r>
          </w:p>
        </w:tc>
        <w:tc>
          <w:tcPr>
            <w:tcW w:w="50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b w:val="1"/>
                <w:bCs w:val="1"/>
                <w:color w:val="auto"/>
              </w:rPr>
              <w:t>€(90,840)</w:t>
            </w:r>
          </w:p>
        </w:tc>
        <w:tc>
          <w:tcPr>
            <w:tcW w:w="0" w:type="dxa"/>
            <w:vAlign w:val="bottom"/>
          </w:tcPr>
          <w:p>
            <w:pPr>
              <w:spacing w:after="0"/>
              <w:rPr>
                <w:sz w:val="1"/>
                <w:szCs w:val="1"/>
                <w:color w:val="auto"/>
              </w:rPr>
            </w:pPr>
          </w:p>
        </w:tc>
      </w:tr>
      <w:tr>
        <w:trPr>
          <w:trHeight w:val="561"/>
        </w:trPr>
        <w:tc>
          <w:tcPr>
            <w:tcW w:w="4980" w:type="dxa"/>
            <w:vAlign w:val="bottom"/>
            <w:tcBorders>
              <w:top w:val="single" w:sz="8" w:color="70AD47"/>
            </w:tcBorders>
          </w:tcPr>
          <w:p>
            <w:pPr>
              <w:spacing w:after="0"/>
              <w:rPr>
                <w:sz w:val="20"/>
                <w:szCs w:val="20"/>
                <w:color w:val="auto"/>
              </w:rPr>
            </w:pPr>
            <w:r>
              <w:rPr>
                <w:rFonts w:ascii="Arial" w:cs="Arial" w:eastAsia="Arial" w:hAnsi="Arial"/>
                <w:sz w:val="18"/>
                <w:szCs w:val="18"/>
                <w:color w:val="auto"/>
              </w:rPr>
              <w:t>Attributable to:</w:t>
            </w:r>
          </w:p>
        </w:tc>
        <w:tc>
          <w:tcPr>
            <w:tcW w:w="820" w:type="dxa"/>
            <w:vAlign w:val="bottom"/>
            <w:tcBorders>
              <w:top w:val="single" w:sz="8" w:color="70AD47"/>
              <w:right w:val="single" w:sz="8" w:color="70AD47"/>
            </w:tcBorders>
          </w:tcPr>
          <w:p>
            <w:pPr>
              <w:spacing w:after="0"/>
              <w:rPr>
                <w:sz w:val="24"/>
                <w:szCs w:val="24"/>
                <w:color w:val="auto"/>
              </w:rPr>
            </w:pPr>
          </w:p>
        </w:tc>
        <w:tc>
          <w:tcPr>
            <w:tcW w:w="1340" w:type="dxa"/>
            <w:vAlign w:val="bottom"/>
            <w:tcBorders>
              <w:top w:val="single" w:sz="8" w:color="70AD47"/>
              <w:right w:val="single" w:sz="8" w:color="70AD47"/>
            </w:tcBorders>
            <w:shd w:val="clear" w:color="auto" w:fill="C6E0B4"/>
          </w:tcPr>
          <w:p>
            <w:pPr>
              <w:spacing w:after="0"/>
              <w:rPr>
                <w:sz w:val="24"/>
                <w:szCs w:val="24"/>
                <w:color w:val="auto"/>
              </w:rPr>
            </w:pPr>
          </w:p>
        </w:tc>
        <w:tc>
          <w:tcPr>
            <w:tcW w:w="500" w:type="dxa"/>
            <w:vAlign w:val="bottom"/>
            <w:tcBorders>
              <w:top w:val="single" w:sz="8" w:color="70AD47"/>
            </w:tcBorders>
          </w:tcPr>
          <w:p>
            <w:pPr>
              <w:spacing w:after="0"/>
              <w:rPr>
                <w:sz w:val="24"/>
                <w:szCs w:val="24"/>
                <w:color w:val="auto"/>
              </w:rPr>
            </w:pPr>
          </w:p>
        </w:tc>
        <w:tc>
          <w:tcPr>
            <w:tcW w:w="820" w:type="dxa"/>
            <w:vAlign w:val="bottom"/>
            <w:tcBorders>
              <w:top w:val="single" w:sz="8" w:color="70AD47"/>
              <w:right w:val="single" w:sz="8" w:color="70AD47"/>
            </w:tcBorders>
          </w:tcPr>
          <w:p>
            <w:pPr>
              <w:spacing w:after="0"/>
              <w:rPr>
                <w:sz w:val="24"/>
                <w:szCs w:val="24"/>
                <w:color w:val="auto"/>
              </w:rPr>
            </w:pPr>
          </w:p>
        </w:tc>
        <w:tc>
          <w:tcPr>
            <w:tcW w:w="1320" w:type="dxa"/>
            <w:vAlign w:val="bottom"/>
            <w:tcBorders>
              <w:top w:val="single" w:sz="8" w:color="70AD47"/>
              <w:right w:val="single" w:sz="8" w:color="70AD47"/>
            </w:tcBorders>
            <w:shd w:val="clear" w:color="auto" w:fill="C6E0B4"/>
          </w:tcPr>
          <w:p>
            <w:pPr>
              <w:spacing w:after="0"/>
              <w:rPr>
                <w:sz w:val="24"/>
                <w:szCs w:val="24"/>
                <w:color w:val="auto"/>
              </w:rPr>
            </w:pPr>
          </w:p>
        </w:tc>
        <w:tc>
          <w:tcPr>
            <w:tcW w:w="50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0"/>
                <w:szCs w:val="20"/>
                <w:color w:val="auto"/>
              </w:rPr>
            </w:pPr>
            <w:r>
              <w:rPr>
                <w:rFonts w:ascii="Arial" w:cs="Arial" w:eastAsia="Arial" w:hAnsi="Arial"/>
                <w:sz w:val="18"/>
                <w:szCs w:val="18"/>
                <w:color w:val="auto"/>
              </w:rPr>
              <w:t>Equity holders of the parent</w:t>
            </w:r>
          </w:p>
        </w:tc>
        <w:tc>
          <w:tcPr>
            <w:tcW w:w="820" w:type="dxa"/>
            <w:vAlign w:val="bottom"/>
            <w:tcBorders>
              <w:right w:val="single" w:sz="8" w:color="70AD47"/>
            </w:tcBorders>
          </w:tcPr>
          <w:p>
            <w:pPr>
              <w:spacing w:after="0"/>
              <w:rPr>
                <w:sz w:val="22"/>
                <w:szCs w:val="22"/>
                <w:color w:val="auto"/>
              </w:rPr>
            </w:pP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(91,663)</w:t>
            </w:r>
          </w:p>
        </w:tc>
        <w:tc>
          <w:tcPr>
            <w:tcW w:w="500" w:type="dxa"/>
            <w:vAlign w:val="bottom"/>
          </w:tcPr>
          <w:p>
            <w:pPr>
              <w:spacing w:after="0"/>
              <w:rPr>
                <w:sz w:val="22"/>
                <w:szCs w:val="22"/>
                <w:color w:val="auto"/>
              </w:rPr>
            </w:pPr>
          </w:p>
        </w:tc>
        <w:tc>
          <w:tcPr>
            <w:tcW w:w="82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(50,082)</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(145,175)</w:t>
            </w:r>
          </w:p>
        </w:tc>
        <w:tc>
          <w:tcPr>
            <w:tcW w:w="500" w:type="dxa"/>
            <w:vAlign w:val="bottom"/>
          </w:tcPr>
          <w:p>
            <w:pPr>
              <w:spacing w:after="0"/>
              <w:rPr>
                <w:sz w:val="22"/>
                <w:szCs w:val="22"/>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(90,724)</w:t>
            </w:r>
          </w:p>
        </w:tc>
        <w:tc>
          <w:tcPr>
            <w:tcW w:w="0" w:type="dxa"/>
            <w:vAlign w:val="bottom"/>
          </w:tcPr>
          <w:p>
            <w:pPr>
              <w:spacing w:after="0"/>
              <w:rPr>
                <w:sz w:val="1"/>
                <w:szCs w:val="1"/>
                <w:color w:val="auto"/>
              </w:rPr>
            </w:pPr>
          </w:p>
        </w:tc>
      </w:tr>
      <w:tr>
        <w:trPr>
          <w:trHeight w:val="310"/>
        </w:trPr>
        <w:tc>
          <w:tcPr>
            <w:tcW w:w="49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820" w:type="dxa"/>
            <w:vAlign w:val="bottom"/>
            <w:tcBorders>
              <w:right w:val="single" w:sz="8" w:color="70AD47"/>
            </w:tcBorders>
          </w:tcPr>
          <w:p>
            <w:pPr>
              <w:spacing w:after="0"/>
              <w:rPr>
                <w:sz w:val="24"/>
                <w:szCs w:val="24"/>
                <w:color w:val="auto"/>
              </w:rPr>
            </w:pPr>
          </w:p>
        </w:tc>
        <w:tc>
          <w:tcPr>
            <w:tcW w:w="13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82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57"/>
        </w:trPr>
        <w:tc>
          <w:tcPr>
            <w:tcW w:w="4980" w:type="dxa"/>
            <w:vAlign w:val="bottom"/>
            <w:tcBorders>
              <w:top w:val="single" w:sz="8" w:color="70AD47"/>
            </w:tcBorders>
          </w:tcPr>
          <w:p>
            <w:pPr>
              <w:spacing w:after="0"/>
              <w:rPr>
                <w:sz w:val="20"/>
                <w:szCs w:val="20"/>
                <w:color w:val="auto"/>
              </w:rPr>
            </w:pPr>
            <w:r>
              <w:rPr>
                <w:rFonts w:ascii="Arial" w:cs="Arial" w:eastAsia="Arial" w:hAnsi="Arial"/>
                <w:sz w:val="18"/>
                <w:szCs w:val="18"/>
                <w:b w:val="1"/>
                <w:bCs w:val="1"/>
                <w:color w:val="auto"/>
              </w:rPr>
              <w:t>Comprehensive loss for the period, net of tax</w:t>
            </w:r>
          </w:p>
        </w:tc>
        <w:tc>
          <w:tcPr>
            <w:tcW w:w="820" w:type="dxa"/>
            <w:vAlign w:val="bottom"/>
            <w:tcBorders>
              <w:top w:val="single" w:sz="8" w:color="70AD47"/>
              <w:right w:val="single" w:sz="8" w:color="70AD47"/>
            </w:tcBorders>
          </w:tcPr>
          <w:p>
            <w:pPr>
              <w:spacing w:after="0"/>
              <w:rPr>
                <w:sz w:val="22"/>
                <w:szCs w:val="22"/>
                <w:color w:val="auto"/>
              </w:rPr>
            </w:pPr>
          </w:p>
        </w:tc>
        <w:tc>
          <w:tcPr>
            <w:tcW w:w="134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€(91,663)</w:t>
            </w:r>
          </w:p>
        </w:tc>
        <w:tc>
          <w:tcPr>
            <w:tcW w:w="500" w:type="dxa"/>
            <w:vAlign w:val="bottom"/>
            <w:tcBorders>
              <w:top w:val="single" w:sz="8" w:color="70AD47"/>
            </w:tcBorders>
          </w:tcPr>
          <w:p>
            <w:pPr>
              <w:spacing w:after="0"/>
              <w:rPr>
                <w:sz w:val="22"/>
                <w:szCs w:val="22"/>
                <w:color w:val="auto"/>
              </w:rPr>
            </w:pPr>
          </w:p>
        </w:tc>
        <w:tc>
          <w:tcPr>
            <w:tcW w:w="82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8"/>
                <w:szCs w:val="18"/>
                <w:b w:val="1"/>
                <w:bCs w:val="1"/>
                <w:color w:val="auto"/>
              </w:rPr>
              <w:t>€(50,082)</w:t>
            </w:r>
          </w:p>
        </w:tc>
        <w:tc>
          <w:tcPr>
            <w:tcW w:w="132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€(145,175)</w:t>
            </w:r>
          </w:p>
        </w:tc>
        <w:tc>
          <w:tcPr>
            <w:tcW w:w="500" w:type="dxa"/>
            <w:vAlign w:val="bottom"/>
            <w:tcBorders>
              <w:top w:val="single" w:sz="8" w:color="70AD47"/>
            </w:tcBorders>
          </w:tcPr>
          <w:p>
            <w:pPr>
              <w:spacing w:after="0"/>
              <w:rPr>
                <w:sz w:val="22"/>
                <w:szCs w:val="22"/>
                <w:color w:val="auto"/>
              </w:rPr>
            </w:pPr>
          </w:p>
        </w:tc>
        <w:tc>
          <w:tcPr>
            <w:tcW w:w="84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8"/>
                <w:szCs w:val="18"/>
                <w:b w:val="1"/>
                <w:bCs w:val="1"/>
                <w:color w:val="auto"/>
              </w:rPr>
              <w:t>€(90,840)</w:t>
            </w:r>
          </w:p>
        </w:tc>
        <w:tc>
          <w:tcPr>
            <w:tcW w:w="0" w:type="dxa"/>
            <w:vAlign w:val="bottom"/>
          </w:tcPr>
          <w:p>
            <w:pPr>
              <w:spacing w:after="0"/>
              <w:rPr>
                <w:sz w:val="1"/>
                <w:szCs w:val="1"/>
                <w:color w:val="auto"/>
              </w:rPr>
            </w:pPr>
          </w:p>
        </w:tc>
      </w:tr>
      <w:tr>
        <w:trPr>
          <w:trHeight w:val="20"/>
        </w:trPr>
        <w:tc>
          <w:tcPr>
            <w:tcW w:w="4980" w:type="dxa"/>
            <w:vAlign w:val="bottom"/>
            <w:shd w:val="clear" w:color="auto" w:fill="70AD47"/>
          </w:tcPr>
          <w:p>
            <w:pPr>
              <w:spacing w:after="0" w:line="20" w:lineRule="exact"/>
              <w:rPr>
                <w:sz w:val="1"/>
                <w:szCs w:val="1"/>
                <w:color w:val="auto"/>
              </w:rPr>
            </w:pPr>
          </w:p>
        </w:tc>
        <w:tc>
          <w:tcPr>
            <w:tcW w:w="820" w:type="dxa"/>
            <w:vAlign w:val="bottom"/>
            <w:tcBorders>
              <w:right w:val="single" w:sz="8" w:color="70AD47"/>
            </w:tcBorders>
            <w:shd w:val="clear" w:color="auto" w:fill="70AD47"/>
          </w:tcPr>
          <w:p>
            <w:pPr>
              <w:spacing w:after="0" w:line="20" w:lineRule="exact"/>
              <w:rPr>
                <w:sz w:val="1"/>
                <w:szCs w:val="1"/>
                <w:color w:val="auto"/>
              </w:rPr>
            </w:pPr>
          </w:p>
        </w:tc>
        <w:tc>
          <w:tcPr>
            <w:tcW w:w="1340" w:type="dxa"/>
            <w:vAlign w:val="bottom"/>
            <w:tcBorders>
              <w:right w:val="single" w:sz="8" w:color="70AD47"/>
            </w:tcBorders>
            <w:shd w:val="clear" w:color="auto" w:fill="70AD47"/>
          </w:tcPr>
          <w:p>
            <w:pPr>
              <w:spacing w:after="0" w:line="20" w:lineRule="exact"/>
              <w:rPr>
                <w:sz w:val="1"/>
                <w:szCs w:val="1"/>
                <w:color w:val="auto"/>
              </w:rPr>
            </w:pPr>
          </w:p>
        </w:tc>
        <w:tc>
          <w:tcPr>
            <w:tcW w:w="500" w:type="dxa"/>
            <w:vAlign w:val="bottom"/>
            <w:shd w:val="clear" w:color="auto" w:fill="70AD47"/>
          </w:tcPr>
          <w:p>
            <w:pPr>
              <w:spacing w:after="0" w:line="20" w:lineRule="exact"/>
              <w:rPr>
                <w:sz w:val="1"/>
                <w:szCs w:val="1"/>
                <w:color w:val="auto"/>
              </w:rPr>
            </w:pPr>
          </w:p>
        </w:tc>
        <w:tc>
          <w:tcPr>
            <w:tcW w:w="820" w:type="dxa"/>
            <w:vAlign w:val="bottom"/>
            <w:tcBorders>
              <w:right w:val="single" w:sz="8" w:color="70AD47"/>
            </w:tcBorders>
            <w:shd w:val="clear" w:color="auto" w:fill="70AD47"/>
          </w:tcPr>
          <w:p>
            <w:pPr>
              <w:spacing w:after="0" w:line="20" w:lineRule="exact"/>
              <w:rPr>
                <w:sz w:val="1"/>
                <w:szCs w:val="1"/>
                <w:color w:val="auto"/>
              </w:rPr>
            </w:pPr>
          </w:p>
        </w:tc>
        <w:tc>
          <w:tcPr>
            <w:tcW w:w="1320" w:type="dxa"/>
            <w:vAlign w:val="bottom"/>
            <w:tcBorders>
              <w:right w:val="single" w:sz="8" w:color="70AD47"/>
            </w:tcBorders>
            <w:shd w:val="clear" w:color="auto" w:fill="70AD47"/>
          </w:tcPr>
          <w:p>
            <w:pPr>
              <w:spacing w:after="0" w:line="20" w:lineRule="exact"/>
              <w:rPr>
                <w:sz w:val="1"/>
                <w:szCs w:val="1"/>
                <w:color w:val="auto"/>
              </w:rPr>
            </w:pPr>
          </w:p>
        </w:tc>
        <w:tc>
          <w:tcPr>
            <w:tcW w:w="500" w:type="dxa"/>
            <w:vAlign w:val="bottom"/>
            <w:shd w:val="clear" w:color="auto" w:fill="70AD47"/>
          </w:tcPr>
          <w:p>
            <w:pPr>
              <w:spacing w:after="0" w:line="20" w:lineRule="exact"/>
              <w:rPr>
                <w:sz w:val="1"/>
                <w:szCs w:val="1"/>
                <w:color w:val="auto"/>
              </w:rPr>
            </w:pPr>
          </w:p>
        </w:tc>
        <w:tc>
          <w:tcPr>
            <w:tcW w:w="840" w:type="dxa"/>
            <w:vAlign w:val="bottom"/>
            <w:tcBorders>
              <w:right w:val="single" w:sz="8" w:color="70AD47"/>
            </w:tcBorders>
            <w:shd w:val="clear" w:color="auto" w:fill="70AD4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22" w:name="page23"/>
    <w:bookmarkEnd w:id="22"/>
    <w:p>
      <w:pP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Interim Condensed Consolidated Statements of Changes in Stockholders’ Equity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0" w:type="dxa"/>
            <w:vAlign w:val="bottom"/>
            <w:gridSpan w:val="3"/>
          </w:tcPr>
          <w:p>
            <w:pPr>
              <w:jc w:val="right"/>
              <w:ind w:right="517"/>
              <w:spacing w:after="0"/>
              <w:rPr>
                <w:sz w:val="20"/>
                <w:szCs w:val="20"/>
                <w:color w:val="auto"/>
              </w:rPr>
            </w:pPr>
            <w:r>
              <w:rPr>
                <w:rFonts w:ascii="Arial" w:cs="Arial" w:eastAsia="Arial" w:hAnsi="Arial"/>
                <w:sz w:val="13"/>
                <w:szCs w:val="13"/>
                <w:b w:val="1"/>
                <w:bCs w:val="1"/>
                <w:color w:val="auto"/>
              </w:rPr>
              <w:t>Six months ended June 30, 2020</w:t>
            </w: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Borders>
              <w:bottom w:val="single" w:sz="8" w:color="70AD47"/>
            </w:tcBorders>
          </w:tcPr>
          <w:p>
            <w:pPr>
              <w:spacing w:after="0"/>
              <w:rPr>
                <w:sz w:val="13"/>
                <w:szCs w:val="13"/>
                <w:color w:val="auto"/>
              </w:rPr>
            </w:pPr>
          </w:p>
        </w:tc>
        <w:tc>
          <w:tcPr>
            <w:tcW w:w="3740" w:type="dxa"/>
            <w:vAlign w:val="bottom"/>
            <w:tcBorders>
              <w:bottom w:val="single" w:sz="8" w:color="70AD47"/>
            </w:tcBorders>
            <w:gridSpan w:val="4"/>
          </w:tcPr>
          <w:p>
            <w:pPr>
              <w:jc w:val="right"/>
              <w:ind w:right="457"/>
              <w:spacing w:after="0"/>
              <w:rPr>
                <w:sz w:val="20"/>
                <w:szCs w:val="20"/>
                <w:color w:val="auto"/>
              </w:rPr>
            </w:pPr>
            <w:r>
              <w:rPr>
                <w:rFonts w:ascii="Arial" w:cs="Arial" w:eastAsia="Arial" w:hAnsi="Arial"/>
                <w:sz w:val="13"/>
                <w:szCs w:val="13"/>
                <w:b w:val="1"/>
                <w:bCs w:val="1"/>
                <w:color w:val="auto"/>
              </w:rPr>
              <w:t>Equity attributable to equity holders of the parent</w:t>
            </w:r>
          </w:p>
        </w:tc>
        <w:tc>
          <w:tcPr>
            <w:tcW w:w="940" w:type="dxa"/>
            <w:vAlign w:val="bottom"/>
            <w:tcBorders>
              <w:bottom w:val="single" w:sz="8" w:color="70AD47"/>
            </w:tcBorders>
          </w:tcPr>
          <w:p>
            <w:pPr>
              <w:spacing w:after="0"/>
              <w:rPr>
                <w:sz w:val="13"/>
                <w:szCs w:val="13"/>
                <w:color w:val="auto"/>
              </w:rPr>
            </w:pPr>
          </w:p>
        </w:tc>
        <w:tc>
          <w:tcPr>
            <w:tcW w:w="920" w:type="dxa"/>
            <w:vAlign w:val="bottom"/>
            <w:tcBorders>
              <w:bottom w:val="single" w:sz="8" w:color="70AD47"/>
            </w:tcBorders>
          </w:tcPr>
          <w:p>
            <w:pPr>
              <w:spacing w:after="0"/>
              <w:rPr>
                <w:sz w:val="13"/>
                <w:szCs w:val="13"/>
                <w:color w:val="auto"/>
              </w:rPr>
            </w:pPr>
          </w:p>
        </w:tc>
        <w:tc>
          <w:tcPr>
            <w:tcW w:w="920" w:type="dxa"/>
            <w:vAlign w:val="bottom"/>
            <w:tcBorders>
              <w:bottom w:val="single" w:sz="8" w:color="70AD47"/>
            </w:tcBorders>
          </w:tcPr>
          <w:p>
            <w:pPr>
              <w:spacing w:after="0"/>
              <w:rPr>
                <w:sz w:val="13"/>
                <w:szCs w:val="13"/>
                <w:color w:val="auto"/>
              </w:rPr>
            </w:pPr>
          </w:p>
        </w:tc>
        <w:tc>
          <w:tcPr>
            <w:tcW w:w="920" w:type="dxa"/>
            <w:vAlign w:val="bottom"/>
            <w:tcBorders>
              <w:bottom w:val="single" w:sz="8" w:color="70AD47"/>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200" w:type="dxa"/>
            <w:vAlign w:val="bottom"/>
          </w:tcPr>
          <w:p>
            <w:pPr>
              <w:spacing w:after="0"/>
              <w:rPr>
                <w:sz w:val="10"/>
                <w:szCs w:val="10"/>
                <w:color w:val="auto"/>
              </w:rPr>
            </w:pPr>
          </w:p>
        </w:tc>
        <w:tc>
          <w:tcPr>
            <w:tcW w:w="720" w:type="dxa"/>
            <w:vAlign w:val="bottom"/>
            <w:tcBorders>
              <w:right w:val="single" w:sz="8" w:color="70AD47"/>
            </w:tcBorders>
          </w:tcPr>
          <w:p>
            <w:pPr>
              <w:spacing w:after="0"/>
              <w:rPr>
                <w:sz w:val="10"/>
                <w:szCs w:val="10"/>
                <w:color w:val="auto"/>
              </w:rPr>
            </w:pPr>
          </w:p>
        </w:tc>
        <w:tc>
          <w:tcPr>
            <w:tcW w:w="9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Borders>
              <w:right w:val="single" w:sz="8" w:color="70AD47"/>
            </w:tcBorders>
          </w:tcPr>
          <w:p>
            <w:pPr>
              <w:jc w:val="center"/>
              <w:spacing w:after="0" w:line="124" w:lineRule="exact"/>
              <w:rPr>
                <w:sz w:val="20"/>
                <w:szCs w:val="20"/>
                <w:color w:val="auto"/>
              </w:rPr>
            </w:pPr>
            <w:r>
              <w:rPr>
                <w:rFonts w:ascii="Arial" w:cs="Arial" w:eastAsia="Arial" w:hAnsi="Arial"/>
                <w:sz w:val="13"/>
                <w:szCs w:val="13"/>
                <w:b w:val="1"/>
                <w:bCs w:val="1"/>
                <w:color w:val="auto"/>
                <w:w w:val="88"/>
              </w:rPr>
              <w:t>Foreign</w:t>
            </w:r>
          </w:p>
        </w:tc>
        <w:tc>
          <w:tcPr>
            <w:tcW w:w="920" w:type="dxa"/>
            <w:vAlign w:val="bottom"/>
            <w:tcBorders>
              <w:right w:val="single" w:sz="8" w:color="70AD47"/>
            </w:tcBorders>
          </w:tcPr>
          <w:p>
            <w:pPr>
              <w:spacing w:after="0"/>
              <w:rPr>
                <w:sz w:val="10"/>
                <w:szCs w:val="10"/>
                <w:color w:val="auto"/>
              </w:rPr>
            </w:pPr>
          </w:p>
        </w:tc>
        <w:tc>
          <w:tcPr>
            <w:tcW w:w="920" w:type="dxa"/>
            <w:vAlign w:val="bottom"/>
            <w:tcBorders>
              <w:right w:val="single" w:sz="8" w:color="70AD47"/>
            </w:tcBorders>
          </w:tcPr>
          <w:p>
            <w:pPr>
              <w:spacing w:after="0"/>
              <w:rPr>
                <w:sz w:val="10"/>
                <w:szCs w:val="10"/>
                <w:color w:val="auto"/>
              </w:rPr>
            </w:pPr>
          </w:p>
        </w:tc>
        <w:tc>
          <w:tcPr>
            <w:tcW w:w="920" w:type="dxa"/>
            <w:vAlign w:val="bottom"/>
            <w:tcBorders>
              <w:right w:val="single" w:sz="8" w:color="70AD47"/>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72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13"/>
                <w:szCs w:val="13"/>
                <w:b w:val="1"/>
                <w:bCs w:val="1"/>
                <w:color w:val="auto"/>
                <w:w w:val="89"/>
              </w:rPr>
              <w:t>Note</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Share</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3"/>
              </w:rPr>
              <w:t>Treasury shares</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Accumulated</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c>
          <w:tcPr>
            <w:tcW w:w="940" w:type="dxa"/>
            <w:vAlign w:val="bottom"/>
            <w:tcBorders>
              <w:right w:val="single" w:sz="8" w:color="70AD47"/>
            </w:tcBorders>
          </w:tcPr>
          <w:p>
            <w:pPr>
              <w:jc w:val="center"/>
              <w:spacing w:after="0" w:line="135" w:lineRule="exact"/>
              <w:rPr>
                <w:sz w:val="20"/>
                <w:szCs w:val="20"/>
                <w:color w:val="auto"/>
              </w:rPr>
            </w:pPr>
            <w:r>
              <w:rPr>
                <w:rFonts w:ascii="Arial" w:cs="Arial" w:eastAsia="Arial" w:hAnsi="Arial"/>
                <w:sz w:val="13"/>
                <w:szCs w:val="13"/>
                <w:b w:val="1"/>
                <w:bCs w:val="1"/>
                <w:color w:val="auto"/>
                <w:w w:val="87"/>
              </w:rPr>
              <w:t>currency</w:t>
            </w:r>
          </w:p>
        </w:tc>
        <w:tc>
          <w:tcPr>
            <w:tcW w:w="920" w:type="dxa"/>
            <w:vAlign w:val="bottom"/>
            <w:tcBorders>
              <w:right w:val="single" w:sz="8" w:color="70AD47"/>
            </w:tcBorders>
            <w:vMerge w:val="restart"/>
          </w:tcPr>
          <w:p>
            <w:pPr>
              <w:jc w:val="right"/>
              <w:ind w:right="277"/>
              <w:spacing w:after="0"/>
              <w:rPr>
                <w:sz w:val="20"/>
                <w:szCs w:val="20"/>
                <w:color w:val="auto"/>
              </w:rPr>
            </w:pPr>
            <w:r>
              <w:rPr>
                <w:rFonts w:ascii="Arial" w:cs="Arial" w:eastAsia="Arial" w:hAnsi="Arial"/>
                <w:sz w:val="13"/>
                <w:szCs w:val="13"/>
                <w:b w:val="1"/>
                <w:bCs w:val="1"/>
                <w:color w:val="auto"/>
              </w:rPr>
              <w:t>Total</w:t>
            </w:r>
          </w:p>
        </w:tc>
        <w:tc>
          <w:tcPr>
            <w:tcW w:w="920" w:type="dxa"/>
            <w:vAlign w:val="bottom"/>
            <w:tcBorders>
              <w:right w:val="single" w:sz="8" w:color="70AD47"/>
            </w:tcBorders>
          </w:tcPr>
          <w:p>
            <w:pPr>
              <w:jc w:val="center"/>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920" w:type="dxa"/>
            <w:vAlign w:val="bottom"/>
            <w:tcBorders>
              <w:right w:val="single" w:sz="8" w:color="70AD47"/>
            </w:tcBorders>
          </w:tcPr>
          <w:p>
            <w:pPr>
              <w:jc w:val="center"/>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97"/>
        </w:trPr>
        <w:tc>
          <w:tcPr>
            <w:tcW w:w="2200" w:type="dxa"/>
            <w:vAlign w:val="bottom"/>
            <w:vMerge w:val="continue"/>
          </w:tcPr>
          <w:p>
            <w:pPr>
              <w:spacing w:after="0"/>
              <w:rPr>
                <w:sz w:val="8"/>
                <w:szCs w:val="8"/>
                <w:color w:val="auto"/>
              </w:rPr>
            </w:pPr>
          </w:p>
        </w:tc>
        <w:tc>
          <w:tcPr>
            <w:tcW w:w="720" w:type="dxa"/>
            <w:vAlign w:val="bottom"/>
            <w:tcBorders>
              <w:right w:val="single" w:sz="8" w:color="70AD47"/>
            </w:tcBorders>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capital</w:t>
            </w:r>
          </w:p>
        </w:tc>
        <w:tc>
          <w:tcPr>
            <w:tcW w:w="9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2"/>
              </w:rPr>
              <w:t>reserve</w:t>
            </w:r>
          </w:p>
        </w:tc>
        <w:tc>
          <w:tcPr>
            <w:tcW w:w="940" w:type="dxa"/>
            <w:vAlign w:val="bottom"/>
            <w:vMerge w:val="continue"/>
          </w:tcPr>
          <w:p>
            <w:pPr>
              <w:spacing w:after="0"/>
              <w:rPr>
                <w:sz w:val="8"/>
                <w:szCs w:val="8"/>
                <w:color w:val="auto"/>
              </w:rPr>
            </w:pPr>
          </w:p>
        </w:tc>
        <w:tc>
          <w:tcPr>
            <w:tcW w:w="9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74"/>
              </w:rPr>
              <w:t>losses</w:t>
            </w:r>
          </w:p>
        </w:tc>
        <w:tc>
          <w:tcPr>
            <w:tcW w:w="9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2"/>
              </w:rPr>
              <w:t>reserves</w:t>
            </w:r>
          </w:p>
        </w:tc>
        <w:tc>
          <w:tcPr>
            <w:tcW w:w="940" w:type="dxa"/>
            <w:vAlign w:val="bottom"/>
            <w:tcBorders>
              <w:right w:val="single" w:sz="8" w:color="70AD47"/>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translation</w:t>
            </w:r>
          </w:p>
        </w:tc>
        <w:tc>
          <w:tcPr>
            <w:tcW w:w="920" w:type="dxa"/>
            <w:vAlign w:val="bottom"/>
            <w:tcBorders>
              <w:right w:val="single" w:sz="8" w:color="70AD47"/>
            </w:tcBorders>
            <w:vMerge w:val="continue"/>
          </w:tcPr>
          <w:p>
            <w:pPr>
              <w:spacing w:after="0"/>
              <w:rPr>
                <w:sz w:val="8"/>
                <w:szCs w:val="8"/>
                <w:color w:val="auto"/>
              </w:rPr>
            </w:pPr>
          </w:p>
        </w:tc>
        <w:tc>
          <w:tcPr>
            <w:tcW w:w="920" w:type="dxa"/>
            <w:vAlign w:val="bottom"/>
            <w:tcBorders>
              <w:right w:val="single" w:sz="8" w:color="70AD47"/>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interest</w:t>
            </w:r>
          </w:p>
        </w:tc>
        <w:tc>
          <w:tcPr>
            <w:tcW w:w="920" w:type="dxa"/>
            <w:vAlign w:val="bottom"/>
            <w:tcBorders>
              <w:right w:val="single" w:sz="8" w:color="70AD47"/>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equity</w:t>
            </w:r>
          </w:p>
        </w:tc>
        <w:tc>
          <w:tcPr>
            <w:tcW w:w="0" w:type="dxa"/>
            <w:vAlign w:val="bottom"/>
          </w:tcPr>
          <w:p>
            <w:pPr>
              <w:spacing w:after="0"/>
              <w:rPr>
                <w:sz w:val="1"/>
                <w:szCs w:val="1"/>
                <w:color w:val="auto"/>
              </w:rPr>
            </w:pPr>
          </w:p>
        </w:tc>
      </w:tr>
      <w:tr>
        <w:trPr>
          <w:trHeight w:val="38"/>
        </w:trPr>
        <w:tc>
          <w:tcPr>
            <w:tcW w:w="2200" w:type="dxa"/>
            <w:vAlign w:val="bottom"/>
          </w:tcPr>
          <w:p>
            <w:pPr>
              <w:spacing w:after="0"/>
              <w:rPr>
                <w:sz w:val="3"/>
                <w:szCs w:val="3"/>
                <w:color w:val="auto"/>
              </w:rPr>
            </w:pPr>
          </w:p>
        </w:tc>
        <w:tc>
          <w:tcPr>
            <w:tcW w:w="720" w:type="dxa"/>
            <w:vAlign w:val="bottom"/>
            <w:tcBorders>
              <w:right w:val="single" w:sz="8" w:color="70AD47"/>
            </w:tcBorders>
          </w:tcPr>
          <w:p>
            <w:pPr>
              <w:spacing w:after="0"/>
              <w:rPr>
                <w:sz w:val="3"/>
                <w:szCs w:val="3"/>
                <w:color w:val="auto"/>
              </w:rPr>
            </w:pPr>
          </w:p>
        </w:tc>
        <w:tc>
          <w:tcPr>
            <w:tcW w:w="9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40" w:type="dxa"/>
            <w:vAlign w:val="bottom"/>
            <w:tcBorders>
              <w:right w:val="single" w:sz="8" w:color="70AD47"/>
            </w:tcBorders>
            <w:vMerge w:val="continue"/>
          </w:tcPr>
          <w:p>
            <w:pPr>
              <w:spacing w:after="0"/>
              <w:rPr>
                <w:sz w:val="3"/>
                <w:szCs w:val="3"/>
                <w:color w:val="auto"/>
              </w:rPr>
            </w:pPr>
          </w:p>
        </w:tc>
        <w:tc>
          <w:tcPr>
            <w:tcW w:w="920" w:type="dxa"/>
            <w:vAlign w:val="bottom"/>
            <w:tcBorders>
              <w:right w:val="single" w:sz="8" w:color="70AD47"/>
            </w:tcBorders>
          </w:tcPr>
          <w:p>
            <w:pPr>
              <w:spacing w:after="0"/>
              <w:rPr>
                <w:sz w:val="3"/>
                <w:szCs w:val="3"/>
                <w:color w:val="auto"/>
              </w:rPr>
            </w:pPr>
          </w:p>
        </w:tc>
        <w:tc>
          <w:tcPr>
            <w:tcW w:w="920" w:type="dxa"/>
            <w:vAlign w:val="bottom"/>
            <w:tcBorders>
              <w:right w:val="single" w:sz="8" w:color="70AD47"/>
            </w:tcBorders>
            <w:vMerge w:val="continue"/>
          </w:tcPr>
          <w:p>
            <w:pPr>
              <w:spacing w:after="0"/>
              <w:rPr>
                <w:sz w:val="3"/>
                <w:szCs w:val="3"/>
                <w:color w:val="auto"/>
              </w:rPr>
            </w:pPr>
          </w:p>
        </w:tc>
        <w:tc>
          <w:tcPr>
            <w:tcW w:w="920" w:type="dxa"/>
            <w:vAlign w:val="bottom"/>
            <w:tcBorders>
              <w:right w:val="single" w:sz="8" w:color="70AD47"/>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200" w:type="dxa"/>
            <w:vAlign w:val="bottom"/>
            <w:tcBorders>
              <w:bottom w:val="single" w:sz="8" w:color="70AD47"/>
            </w:tcBorders>
          </w:tcPr>
          <w:p>
            <w:pPr>
              <w:spacing w:after="0"/>
              <w:rPr>
                <w:sz w:val="13"/>
                <w:szCs w:val="13"/>
                <w:color w:val="auto"/>
              </w:rPr>
            </w:pPr>
          </w:p>
        </w:tc>
        <w:tc>
          <w:tcPr>
            <w:tcW w:w="720" w:type="dxa"/>
            <w:vAlign w:val="bottom"/>
            <w:tcBorders>
              <w:bottom w:val="single" w:sz="8" w:color="70AD47"/>
              <w:right w:val="single" w:sz="8" w:color="70AD47"/>
            </w:tcBorders>
          </w:tcPr>
          <w:p>
            <w:pPr>
              <w:spacing w:after="0"/>
              <w:rPr>
                <w:sz w:val="13"/>
                <w:szCs w:val="13"/>
                <w:color w:val="auto"/>
              </w:rPr>
            </w:pPr>
          </w:p>
        </w:tc>
        <w:tc>
          <w:tcPr>
            <w:tcW w:w="900" w:type="dxa"/>
            <w:vAlign w:val="bottom"/>
            <w:tcBorders>
              <w:bottom w:val="single" w:sz="8" w:color="70AD47"/>
            </w:tcBorders>
          </w:tcPr>
          <w:p>
            <w:pPr>
              <w:spacing w:after="0"/>
              <w:rPr>
                <w:sz w:val="13"/>
                <w:szCs w:val="13"/>
                <w:color w:val="auto"/>
              </w:rPr>
            </w:pPr>
          </w:p>
        </w:tc>
        <w:tc>
          <w:tcPr>
            <w:tcW w:w="940" w:type="dxa"/>
            <w:vAlign w:val="bottom"/>
            <w:tcBorders>
              <w:bottom w:val="single" w:sz="8" w:color="70AD47"/>
            </w:tcBorders>
          </w:tcPr>
          <w:p>
            <w:pPr>
              <w:spacing w:after="0"/>
              <w:rPr>
                <w:sz w:val="13"/>
                <w:szCs w:val="13"/>
                <w:color w:val="auto"/>
              </w:rPr>
            </w:pPr>
          </w:p>
        </w:tc>
        <w:tc>
          <w:tcPr>
            <w:tcW w:w="940" w:type="dxa"/>
            <w:vAlign w:val="bottom"/>
            <w:tcBorders>
              <w:bottom w:val="single" w:sz="8" w:color="70AD47"/>
            </w:tcBorders>
          </w:tcPr>
          <w:p>
            <w:pPr>
              <w:spacing w:after="0"/>
              <w:rPr>
                <w:sz w:val="13"/>
                <w:szCs w:val="13"/>
                <w:color w:val="auto"/>
              </w:rPr>
            </w:pPr>
          </w:p>
        </w:tc>
        <w:tc>
          <w:tcPr>
            <w:tcW w:w="920" w:type="dxa"/>
            <w:vAlign w:val="bottom"/>
            <w:tcBorders>
              <w:bottom w:val="single" w:sz="8" w:color="70AD47"/>
            </w:tcBorders>
          </w:tcPr>
          <w:p>
            <w:pPr>
              <w:spacing w:after="0"/>
              <w:rPr>
                <w:sz w:val="13"/>
                <w:szCs w:val="13"/>
                <w:color w:val="auto"/>
              </w:rPr>
            </w:pPr>
          </w:p>
        </w:tc>
        <w:tc>
          <w:tcPr>
            <w:tcW w:w="940" w:type="dxa"/>
            <w:vAlign w:val="bottom"/>
            <w:tcBorders>
              <w:bottom w:val="single" w:sz="8" w:color="70AD47"/>
            </w:tcBorders>
          </w:tcPr>
          <w:p>
            <w:pPr>
              <w:spacing w:after="0"/>
              <w:rPr>
                <w:sz w:val="13"/>
                <w:szCs w:val="13"/>
                <w:color w:val="auto"/>
              </w:rPr>
            </w:pPr>
          </w:p>
        </w:tc>
        <w:tc>
          <w:tcPr>
            <w:tcW w:w="94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13"/>
                <w:szCs w:val="13"/>
                <w:b w:val="1"/>
                <w:bCs w:val="1"/>
                <w:color w:val="auto"/>
                <w:w w:val="82"/>
              </w:rPr>
              <w:t>reserve</w:t>
            </w:r>
          </w:p>
        </w:tc>
        <w:tc>
          <w:tcPr>
            <w:tcW w:w="920" w:type="dxa"/>
            <w:vAlign w:val="bottom"/>
            <w:tcBorders>
              <w:bottom w:val="single" w:sz="8" w:color="70AD47"/>
              <w:right w:val="single" w:sz="8" w:color="70AD47"/>
            </w:tcBorders>
          </w:tcPr>
          <w:p>
            <w:pPr>
              <w:spacing w:after="0"/>
              <w:rPr>
                <w:sz w:val="13"/>
                <w:szCs w:val="13"/>
                <w:color w:val="auto"/>
              </w:rPr>
            </w:pPr>
          </w:p>
        </w:tc>
        <w:tc>
          <w:tcPr>
            <w:tcW w:w="920" w:type="dxa"/>
            <w:vAlign w:val="bottom"/>
            <w:tcBorders>
              <w:bottom w:val="single" w:sz="8" w:color="70AD47"/>
              <w:right w:val="single" w:sz="8" w:color="70AD47"/>
            </w:tcBorders>
          </w:tcPr>
          <w:p>
            <w:pPr>
              <w:spacing w:after="0"/>
              <w:rPr>
                <w:sz w:val="13"/>
                <w:szCs w:val="13"/>
                <w:color w:val="auto"/>
              </w:rPr>
            </w:pPr>
          </w:p>
        </w:tc>
        <w:tc>
          <w:tcPr>
            <w:tcW w:w="920" w:type="dxa"/>
            <w:vAlign w:val="bottom"/>
            <w:tcBorders>
              <w:bottom w:val="single" w:sz="8" w:color="70AD47"/>
              <w:right w:val="single" w:sz="8" w:color="70AD47"/>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00" w:type="dxa"/>
            <w:vAlign w:val="bottom"/>
            <w:vMerge w:val="restart"/>
          </w:tcPr>
          <w:p>
            <w:pPr>
              <w:spacing w:after="0"/>
              <w:rPr>
                <w:sz w:val="20"/>
                <w:szCs w:val="20"/>
                <w:color w:val="auto"/>
              </w:rPr>
            </w:pPr>
            <w:r>
              <w:rPr>
                <w:rFonts w:ascii="Arial" w:cs="Arial" w:eastAsia="Arial" w:hAnsi="Arial"/>
                <w:sz w:val="13"/>
                <w:szCs w:val="13"/>
                <w:b w:val="1"/>
                <w:bCs w:val="1"/>
                <w:color w:val="auto"/>
              </w:rPr>
              <w:t>As of January 1, 2020</w:t>
            </w:r>
          </w:p>
        </w:tc>
        <w:tc>
          <w:tcPr>
            <w:tcW w:w="720" w:type="dxa"/>
            <w:vAlign w:val="bottom"/>
            <w:tcBorders>
              <w:right w:val="single" w:sz="8" w:color="70AD47"/>
            </w:tcBorders>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Borders>
              <w:right w:val="single" w:sz="8" w:color="70AD47"/>
            </w:tcBorders>
          </w:tcPr>
          <w:p>
            <w:pPr>
              <w:spacing w:after="0"/>
              <w:rPr>
                <w:sz w:val="12"/>
                <w:szCs w:val="12"/>
                <w:color w:val="auto"/>
              </w:rPr>
            </w:pPr>
          </w:p>
        </w:tc>
        <w:tc>
          <w:tcPr>
            <w:tcW w:w="920" w:type="dxa"/>
            <w:vAlign w:val="bottom"/>
            <w:tcBorders>
              <w:right w:val="single" w:sz="8" w:color="70AD47"/>
            </w:tcBorders>
          </w:tcPr>
          <w:p>
            <w:pPr>
              <w:spacing w:after="0"/>
              <w:rPr>
                <w:sz w:val="12"/>
                <w:szCs w:val="12"/>
                <w:color w:val="auto"/>
              </w:rPr>
            </w:pPr>
          </w:p>
        </w:tc>
        <w:tc>
          <w:tcPr>
            <w:tcW w:w="920" w:type="dxa"/>
            <w:vAlign w:val="bottom"/>
            <w:tcBorders>
              <w:right w:val="single" w:sz="8" w:color="70AD47"/>
            </w:tcBorders>
          </w:tcPr>
          <w:p>
            <w:pPr>
              <w:spacing w:after="0"/>
              <w:rPr>
                <w:sz w:val="12"/>
                <w:szCs w:val="12"/>
                <w:color w:val="auto"/>
              </w:rPr>
            </w:pPr>
          </w:p>
        </w:tc>
        <w:tc>
          <w:tcPr>
            <w:tcW w:w="920" w:type="dxa"/>
            <w:vAlign w:val="bottom"/>
            <w:tcBorders>
              <w:right w:val="single" w:sz="8" w:color="70AD47"/>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Borders>
              <w:bottom w:val="single" w:sz="8" w:color="70AD47"/>
            </w:tcBorders>
            <w:vMerge w:val="continue"/>
          </w:tcPr>
          <w:p>
            <w:pPr>
              <w:spacing w:after="0"/>
              <w:rPr>
                <w:sz w:val="12"/>
                <w:szCs w:val="12"/>
                <w:color w:val="auto"/>
              </w:rPr>
            </w:pPr>
          </w:p>
        </w:tc>
        <w:tc>
          <w:tcPr>
            <w:tcW w:w="720" w:type="dxa"/>
            <w:vAlign w:val="bottom"/>
            <w:tcBorders>
              <w:bottom w:val="single" w:sz="8" w:color="70AD47"/>
              <w:right w:val="single" w:sz="8" w:color="70AD47"/>
            </w:tcBorders>
          </w:tcPr>
          <w:p>
            <w:pPr>
              <w:spacing w:after="0"/>
              <w:rPr>
                <w:sz w:val="12"/>
                <w:szCs w:val="12"/>
                <w:color w:val="auto"/>
              </w:rPr>
            </w:pPr>
          </w:p>
        </w:tc>
        <w:tc>
          <w:tcPr>
            <w:tcW w:w="90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€232,304</w:t>
            </w:r>
          </w:p>
        </w:tc>
        <w:tc>
          <w:tcPr>
            <w:tcW w:w="94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686,714</w:t>
            </w:r>
          </w:p>
        </w:tc>
        <w:tc>
          <w:tcPr>
            <w:tcW w:w="94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(5,525)</w:t>
            </w:r>
          </w:p>
        </w:tc>
        <w:tc>
          <w:tcPr>
            <w:tcW w:w="92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(424,827)</w:t>
            </w:r>
          </w:p>
        </w:tc>
        <w:tc>
          <w:tcPr>
            <w:tcW w:w="94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4,762</w:t>
            </w:r>
          </w:p>
        </w:tc>
        <w:tc>
          <w:tcPr>
            <w:tcW w:w="9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64</w:t>
            </w:r>
          </w:p>
        </w:tc>
        <w:tc>
          <w:tcPr>
            <w:tcW w:w="9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493,492</w:t>
            </w:r>
          </w:p>
        </w:tc>
        <w:tc>
          <w:tcPr>
            <w:tcW w:w="9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493,492</w:t>
            </w:r>
          </w:p>
        </w:tc>
        <w:tc>
          <w:tcPr>
            <w:tcW w:w="0" w:type="dxa"/>
            <w:vAlign w:val="bottom"/>
          </w:tcPr>
          <w:p>
            <w:pPr>
              <w:spacing w:after="0"/>
              <w:rPr>
                <w:sz w:val="1"/>
                <w:szCs w:val="1"/>
                <w:color w:val="auto"/>
              </w:rPr>
            </w:pPr>
          </w:p>
        </w:tc>
      </w:tr>
      <w:tr>
        <w:trPr>
          <w:trHeight w:val="291"/>
        </w:trPr>
        <w:tc>
          <w:tcPr>
            <w:tcW w:w="2200" w:type="dxa"/>
            <w:vAlign w:val="bottom"/>
          </w:tcPr>
          <w:p>
            <w:pPr>
              <w:spacing w:after="0"/>
              <w:rPr>
                <w:sz w:val="20"/>
                <w:szCs w:val="20"/>
                <w:color w:val="auto"/>
              </w:rPr>
            </w:pPr>
            <w:r>
              <w:rPr>
                <w:rFonts w:ascii="Arial" w:cs="Arial" w:eastAsia="Arial" w:hAnsi="Arial"/>
                <w:sz w:val="13"/>
                <w:szCs w:val="13"/>
                <w:color w:val="auto"/>
              </w:rPr>
              <w:t>Loss for the period</w:t>
            </w:r>
          </w:p>
        </w:tc>
        <w:tc>
          <w:tcPr>
            <w:tcW w:w="720" w:type="dxa"/>
            <w:vAlign w:val="bottom"/>
            <w:tcBorders>
              <w:right w:val="single" w:sz="8" w:color="70AD47"/>
            </w:tcBorders>
          </w:tcPr>
          <w:p>
            <w:pPr>
              <w:spacing w:after="0"/>
              <w:rPr>
                <w:sz w:val="24"/>
                <w:szCs w:val="24"/>
                <w:color w:val="auto"/>
              </w:rPr>
            </w:pPr>
          </w:p>
        </w:tc>
        <w:tc>
          <w:tcPr>
            <w:tcW w:w="90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6E0B4"/>
          </w:tcPr>
          <w:p>
            <w:pPr>
              <w:jc w:val="right"/>
              <w:spacing w:after="0"/>
              <w:rPr>
                <w:sz w:val="20"/>
                <w:szCs w:val="20"/>
                <w:color w:val="auto"/>
              </w:rPr>
            </w:pPr>
            <w:r>
              <w:rPr>
                <w:rFonts w:ascii="Arial" w:cs="Arial" w:eastAsia="Arial" w:hAnsi="Arial"/>
                <w:sz w:val="13"/>
                <w:szCs w:val="13"/>
                <w:color w:val="auto"/>
              </w:rPr>
              <w:t>(141,682)</w:t>
            </w:r>
          </w:p>
        </w:tc>
        <w:tc>
          <w:tcPr>
            <w:tcW w:w="94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(141,682)</w:t>
            </w:r>
          </w:p>
        </w:tc>
        <w:tc>
          <w:tcPr>
            <w:tcW w:w="9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(141,682)</w:t>
            </w:r>
          </w:p>
        </w:tc>
        <w:tc>
          <w:tcPr>
            <w:tcW w:w="0" w:type="dxa"/>
            <w:vAlign w:val="bottom"/>
          </w:tcPr>
          <w:p>
            <w:pPr>
              <w:spacing w:after="0"/>
              <w:rPr>
                <w:sz w:val="1"/>
                <w:szCs w:val="1"/>
                <w:color w:val="auto"/>
              </w:rPr>
            </w:pPr>
          </w:p>
        </w:tc>
      </w:tr>
      <w:tr>
        <w:trPr>
          <w:trHeight w:val="148"/>
        </w:trPr>
        <w:tc>
          <w:tcPr>
            <w:tcW w:w="220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Other comprehensive loss</w:t>
            </w:r>
          </w:p>
        </w:tc>
        <w:tc>
          <w:tcPr>
            <w:tcW w:w="720" w:type="dxa"/>
            <w:vAlign w:val="bottom"/>
            <w:tcBorders>
              <w:bottom w:val="single" w:sz="8" w:color="70AD47"/>
              <w:right w:val="single" w:sz="8" w:color="70AD47"/>
            </w:tcBorders>
          </w:tcPr>
          <w:p>
            <w:pPr>
              <w:spacing w:after="0"/>
              <w:rPr>
                <w:sz w:val="12"/>
                <w:szCs w:val="12"/>
                <w:color w:val="auto"/>
              </w:rPr>
            </w:pPr>
          </w:p>
        </w:tc>
        <w:tc>
          <w:tcPr>
            <w:tcW w:w="90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(3,493)</w:t>
            </w:r>
          </w:p>
        </w:tc>
        <w:tc>
          <w:tcPr>
            <w:tcW w:w="9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(3,493)</w:t>
            </w:r>
          </w:p>
        </w:tc>
        <w:tc>
          <w:tcPr>
            <w:tcW w:w="9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(3,493)</w:t>
            </w:r>
          </w:p>
        </w:tc>
        <w:tc>
          <w:tcPr>
            <w:tcW w:w="0" w:type="dxa"/>
            <w:vAlign w:val="bottom"/>
          </w:tcPr>
          <w:p>
            <w:pPr>
              <w:spacing w:after="0"/>
              <w:rPr>
                <w:sz w:val="1"/>
                <w:szCs w:val="1"/>
                <w:color w:val="auto"/>
              </w:rPr>
            </w:pPr>
          </w:p>
        </w:tc>
      </w:tr>
      <w:tr>
        <w:trPr>
          <w:trHeight w:val="142"/>
        </w:trPr>
        <w:tc>
          <w:tcPr>
            <w:tcW w:w="2200" w:type="dxa"/>
            <w:vAlign w:val="bottom"/>
            <w:tcBorders>
              <w:bottom w:val="single" w:sz="8" w:color="70AD47"/>
            </w:tcBorders>
          </w:tcPr>
          <w:p>
            <w:pPr>
              <w:spacing w:after="0" w:line="142" w:lineRule="exact"/>
              <w:rPr>
                <w:sz w:val="20"/>
                <w:szCs w:val="20"/>
                <w:color w:val="auto"/>
              </w:rPr>
            </w:pPr>
            <w:r>
              <w:rPr>
                <w:rFonts w:ascii="Arial" w:cs="Arial" w:eastAsia="Arial" w:hAnsi="Arial"/>
                <w:sz w:val="13"/>
                <w:szCs w:val="13"/>
                <w:b w:val="1"/>
                <w:bCs w:val="1"/>
                <w:color w:val="auto"/>
              </w:rPr>
              <w:t>Total comprehensive loss</w:t>
            </w:r>
          </w:p>
        </w:tc>
        <w:tc>
          <w:tcPr>
            <w:tcW w:w="720" w:type="dxa"/>
            <w:vAlign w:val="bottom"/>
            <w:tcBorders>
              <w:bottom w:val="single" w:sz="8" w:color="70AD47"/>
              <w:right w:val="single" w:sz="8" w:color="70AD47"/>
            </w:tcBorders>
          </w:tcPr>
          <w:p>
            <w:pPr>
              <w:spacing w:after="0"/>
              <w:rPr>
                <w:sz w:val="12"/>
                <w:szCs w:val="12"/>
                <w:color w:val="auto"/>
              </w:rPr>
            </w:pPr>
          </w:p>
        </w:tc>
        <w:tc>
          <w:tcPr>
            <w:tcW w:w="900" w:type="dxa"/>
            <w:vAlign w:val="bottom"/>
            <w:tcBorders>
              <w:bottom w:val="single" w:sz="8" w:color="70AD47"/>
            </w:tcBorders>
            <w:shd w:val="clear" w:color="auto" w:fill="C6E0B4"/>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70AD47"/>
            </w:tcBorders>
            <w:shd w:val="clear" w:color="auto" w:fill="C6E0B4"/>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70AD47"/>
            </w:tcBorders>
            <w:shd w:val="clear" w:color="auto" w:fill="C6E0B4"/>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70AD47"/>
            </w:tcBorders>
            <w:shd w:val="clear" w:color="auto" w:fill="C6E0B4"/>
          </w:tcPr>
          <w:p>
            <w:pPr>
              <w:jc w:val="right"/>
              <w:spacing w:after="0" w:line="142" w:lineRule="exact"/>
              <w:rPr>
                <w:sz w:val="20"/>
                <w:szCs w:val="20"/>
                <w:color w:val="auto"/>
              </w:rPr>
            </w:pPr>
            <w:r>
              <w:rPr>
                <w:rFonts w:ascii="Arial" w:cs="Arial" w:eastAsia="Arial" w:hAnsi="Arial"/>
                <w:sz w:val="13"/>
                <w:szCs w:val="13"/>
                <w:b w:val="1"/>
                <w:bCs w:val="1"/>
                <w:color w:val="auto"/>
              </w:rPr>
              <w:t>(141,682)</w:t>
            </w:r>
          </w:p>
        </w:tc>
        <w:tc>
          <w:tcPr>
            <w:tcW w:w="940" w:type="dxa"/>
            <w:vAlign w:val="bottom"/>
            <w:tcBorders>
              <w:bottom w:val="single" w:sz="8" w:color="70AD47"/>
            </w:tcBorders>
            <w:shd w:val="clear" w:color="auto" w:fill="C6E0B4"/>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70AD47"/>
              <w:right w:val="single" w:sz="8" w:color="70AD47"/>
            </w:tcBorders>
            <w:shd w:val="clear" w:color="auto" w:fill="C6E0B4"/>
          </w:tcPr>
          <w:p>
            <w:pPr>
              <w:jc w:val="right"/>
              <w:spacing w:after="0" w:line="142" w:lineRule="exact"/>
              <w:rPr>
                <w:sz w:val="20"/>
                <w:szCs w:val="20"/>
                <w:color w:val="auto"/>
              </w:rPr>
            </w:pPr>
            <w:r>
              <w:rPr>
                <w:rFonts w:ascii="Arial" w:cs="Arial" w:eastAsia="Arial" w:hAnsi="Arial"/>
                <w:sz w:val="13"/>
                <w:szCs w:val="13"/>
                <w:b w:val="1"/>
                <w:bCs w:val="1"/>
                <w:color w:val="auto"/>
              </w:rPr>
              <w:t>(3,493)</w:t>
            </w:r>
          </w:p>
        </w:tc>
        <w:tc>
          <w:tcPr>
            <w:tcW w:w="920" w:type="dxa"/>
            <w:vAlign w:val="bottom"/>
            <w:tcBorders>
              <w:bottom w:val="single" w:sz="8" w:color="70AD47"/>
              <w:right w:val="single" w:sz="8" w:color="70AD47"/>
            </w:tcBorders>
            <w:shd w:val="clear" w:color="auto" w:fill="C6E0B4"/>
          </w:tcPr>
          <w:p>
            <w:pPr>
              <w:jc w:val="right"/>
              <w:spacing w:after="0" w:line="142" w:lineRule="exact"/>
              <w:rPr>
                <w:sz w:val="20"/>
                <w:szCs w:val="20"/>
                <w:color w:val="auto"/>
              </w:rPr>
            </w:pPr>
            <w:r>
              <w:rPr>
                <w:rFonts w:ascii="Arial" w:cs="Arial" w:eastAsia="Arial" w:hAnsi="Arial"/>
                <w:sz w:val="13"/>
                <w:szCs w:val="13"/>
                <w:b w:val="1"/>
                <w:bCs w:val="1"/>
                <w:color w:val="auto"/>
              </w:rPr>
              <w:t>(145,175)</w:t>
            </w:r>
          </w:p>
        </w:tc>
        <w:tc>
          <w:tcPr>
            <w:tcW w:w="920" w:type="dxa"/>
            <w:vAlign w:val="bottom"/>
            <w:tcBorders>
              <w:bottom w:val="single" w:sz="8" w:color="70AD47"/>
              <w:right w:val="single" w:sz="8" w:color="70AD47"/>
            </w:tcBorders>
            <w:shd w:val="clear" w:color="auto" w:fill="C6E0B4"/>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70AD47"/>
              <w:right w:val="single" w:sz="8" w:color="70AD47"/>
            </w:tcBorders>
            <w:shd w:val="clear" w:color="auto" w:fill="C6E0B4"/>
          </w:tcPr>
          <w:p>
            <w:pPr>
              <w:jc w:val="right"/>
              <w:spacing w:after="0" w:line="142" w:lineRule="exact"/>
              <w:rPr>
                <w:sz w:val="20"/>
                <w:szCs w:val="20"/>
                <w:color w:val="auto"/>
              </w:rPr>
            </w:pPr>
            <w:r>
              <w:rPr>
                <w:rFonts w:ascii="Arial" w:cs="Arial" w:eastAsia="Arial" w:hAnsi="Arial"/>
                <w:sz w:val="13"/>
                <w:szCs w:val="13"/>
                <w:b w:val="1"/>
                <w:bCs w:val="1"/>
                <w:color w:val="auto"/>
              </w:rPr>
              <w:t>(145,175)</w:t>
            </w:r>
          </w:p>
        </w:tc>
        <w:tc>
          <w:tcPr>
            <w:tcW w:w="0" w:type="dxa"/>
            <w:vAlign w:val="bottom"/>
          </w:tcPr>
          <w:p>
            <w:pPr>
              <w:spacing w:after="0"/>
              <w:rPr>
                <w:sz w:val="1"/>
                <w:szCs w:val="1"/>
                <w:color w:val="auto"/>
              </w:rPr>
            </w:pPr>
          </w:p>
        </w:tc>
      </w:tr>
      <w:tr>
        <w:trPr>
          <w:trHeight w:val="291"/>
        </w:trPr>
        <w:tc>
          <w:tcPr>
            <w:tcW w:w="2200" w:type="dxa"/>
            <w:vAlign w:val="bottom"/>
          </w:tcPr>
          <w:p>
            <w:pPr>
              <w:spacing w:after="0"/>
              <w:rPr>
                <w:sz w:val="20"/>
                <w:szCs w:val="20"/>
                <w:color w:val="auto"/>
              </w:rPr>
            </w:pPr>
            <w:r>
              <w:rPr>
                <w:rFonts w:ascii="Arial" w:cs="Arial" w:eastAsia="Arial" w:hAnsi="Arial"/>
                <w:sz w:val="13"/>
                <w:szCs w:val="13"/>
                <w:color w:val="auto"/>
              </w:rPr>
              <w:t>Issuance of share capital</w:t>
            </w:r>
          </w:p>
        </w:tc>
        <w:tc>
          <w:tcPr>
            <w:tcW w:w="720" w:type="dxa"/>
            <w:vAlign w:val="bottom"/>
            <w:tcBorders>
              <w:right w:val="single" w:sz="8" w:color="70AD47"/>
            </w:tcBorders>
          </w:tcPr>
          <w:p>
            <w:pPr>
              <w:jc w:val="center"/>
              <w:spacing w:after="0"/>
              <w:rPr>
                <w:sz w:val="20"/>
                <w:szCs w:val="20"/>
                <w:color w:val="auto"/>
              </w:rPr>
            </w:pPr>
            <w:r>
              <w:rPr>
                <w:rFonts w:ascii="Arial" w:cs="Arial" w:eastAsia="Arial" w:hAnsi="Arial"/>
                <w:sz w:val="13"/>
                <w:szCs w:val="13"/>
                <w:color w:val="auto"/>
                <w:w w:val="82"/>
              </w:rPr>
              <w:t>10</w:t>
            </w:r>
          </w:p>
        </w:tc>
        <w:tc>
          <w:tcPr>
            <w:tcW w:w="900" w:type="dxa"/>
            <w:vAlign w:val="bottom"/>
            <w:shd w:val="clear" w:color="auto" w:fill="C6E0B4"/>
          </w:tcPr>
          <w:p>
            <w:pPr>
              <w:jc w:val="right"/>
              <w:spacing w:after="0"/>
              <w:rPr>
                <w:sz w:val="20"/>
                <w:szCs w:val="20"/>
                <w:color w:val="auto"/>
              </w:rPr>
            </w:pPr>
            <w:r>
              <w:rPr>
                <w:rFonts w:ascii="Arial" w:cs="Arial" w:eastAsia="Arial" w:hAnsi="Arial"/>
                <w:sz w:val="13"/>
                <w:szCs w:val="13"/>
                <w:color w:val="auto"/>
              </w:rPr>
              <w:t>5,894</w:t>
            </w:r>
          </w:p>
        </w:tc>
        <w:tc>
          <w:tcPr>
            <w:tcW w:w="940" w:type="dxa"/>
            <w:vAlign w:val="bottom"/>
            <w:shd w:val="clear" w:color="auto" w:fill="C6E0B4"/>
          </w:tcPr>
          <w:p>
            <w:pPr>
              <w:jc w:val="right"/>
              <w:spacing w:after="0"/>
              <w:rPr>
                <w:sz w:val="20"/>
                <w:szCs w:val="20"/>
                <w:color w:val="auto"/>
              </w:rPr>
            </w:pPr>
            <w:r>
              <w:rPr>
                <w:rFonts w:ascii="Arial" w:cs="Arial" w:eastAsia="Arial" w:hAnsi="Arial"/>
                <w:sz w:val="13"/>
                <w:szCs w:val="13"/>
                <w:color w:val="auto"/>
              </w:rPr>
              <w:t>233,113</w:t>
            </w:r>
          </w:p>
        </w:tc>
        <w:tc>
          <w:tcPr>
            <w:tcW w:w="94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239,007</w:t>
            </w:r>
          </w:p>
        </w:tc>
        <w:tc>
          <w:tcPr>
            <w:tcW w:w="9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239,007</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20"/>
                <w:szCs w:val="20"/>
                <w:color w:val="auto"/>
              </w:rPr>
            </w:pPr>
            <w:r>
              <w:rPr>
                <w:rFonts w:ascii="Arial" w:cs="Arial" w:eastAsia="Arial" w:hAnsi="Arial"/>
                <w:sz w:val="13"/>
                <w:szCs w:val="13"/>
                <w:color w:val="auto"/>
              </w:rPr>
              <w:t>Transaction costs</w:t>
            </w:r>
          </w:p>
        </w:tc>
        <w:tc>
          <w:tcPr>
            <w:tcW w:w="720" w:type="dxa"/>
            <w:vAlign w:val="bottom"/>
            <w:tcBorders>
              <w:right w:val="single" w:sz="8" w:color="70AD47"/>
            </w:tcBorders>
          </w:tcPr>
          <w:p>
            <w:pPr>
              <w:jc w:val="center"/>
              <w:spacing w:after="0"/>
              <w:rPr>
                <w:sz w:val="20"/>
                <w:szCs w:val="20"/>
                <w:color w:val="auto"/>
              </w:rPr>
            </w:pPr>
            <w:r>
              <w:rPr>
                <w:rFonts w:ascii="Arial" w:cs="Arial" w:eastAsia="Arial" w:hAnsi="Arial"/>
                <w:sz w:val="13"/>
                <w:szCs w:val="13"/>
                <w:color w:val="auto"/>
                <w:w w:val="82"/>
              </w:rPr>
              <w:t>10</w:t>
            </w:r>
          </w:p>
        </w:tc>
        <w:tc>
          <w:tcPr>
            <w:tcW w:w="90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6E0B4"/>
          </w:tcPr>
          <w:p>
            <w:pPr>
              <w:jc w:val="right"/>
              <w:spacing w:after="0"/>
              <w:rPr>
                <w:sz w:val="20"/>
                <w:szCs w:val="20"/>
                <w:color w:val="auto"/>
              </w:rPr>
            </w:pPr>
            <w:r>
              <w:rPr>
                <w:rFonts w:ascii="Arial" w:cs="Arial" w:eastAsia="Arial" w:hAnsi="Arial"/>
                <w:sz w:val="13"/>
                <w:szCs w:val="13"/>
                <w:color w:val="auto"/>
              </w:rPr>
              <w:t>(1,653)</w:t>
            </w:r>
          </w:p>
        </w:tc>
        <w:tc>
          <w:tcPr>
            <w:tcW w:w="94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(1,653)</w:t>
            </w:r>
          </w:p>
        </w:tc>
        <w:tc>
          <w:tcPr>
            <w:tcW w:w="9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(1,653)</w:t>
            </w:r>
          </w:p>
        </w:tc>
        <w:tc>
          <w:tcPr>
            <w:tcW w:w="0" w:type="dxa"/>
            <w:vAlign w:val="bottom"/>
          </w:tcPr>
          <w:p>
            <w:pPr>
              <w:spacing w:after="0"/>
              <w:rPr>
                <w:sz w:val="1"/>
                <w:szCs w:val="1"/>
                <w:color w:val="auto"/>
              </w:rPr>
            </w:pPr>
          </w:p>
        </w:tc>
      </w:tr>
      <w:tr>
        <w:trPr>
          <w:trHeight w:val="164"/>
        </w:trPr>
        <w:tc>
          <w:tcPr>
            <w:tcW w:w="2200" w:type="dxa"/>
            <w:vAlign w:val="bottom"/>
          </w:tcPr>
          <w:p>
            <w:pPr>
              <w:spacing w:after="0"/>
              <w:rPr>
                <w:sz w:val="20"/>
                <w:szCs w:val="20"/>
                <w:color w:val="auto"/>
              </w:rPr>
            </w:pPr>
            <w:r>
              <w:rPr>
                <w:rFonts w:ascii="Arial" w:cs="Arial" w:eastAsia="Arial" w:hAnsi="Arial"/>
                <w:sz w:val="13"/>
                <w:szCs w:val="13"/>
                <w:color w:val="auto"/>
              </w:rPr>
              <w:t>Share-based payments</w:t>
            </w:r>
          </w:p>
        </w:tc>
        <w:tc>
          <w:tcPr>
            <w:tcW w:w="720" w:type="dxa"/>
            <w:vAlign w:val="bottom"/>
            <w:tcBorders>
              <w:right w:val="single" w:sz="8" w:color="70AD47"/>
            </w:tcBorders>
          </w:tcPr>
          <w:p>
            <w:pPr>
              <w:jc w:val="center"/>
              <w:spacing w:after="0"/>
              <w:rPr>
                <w:sz w:val="20"/>
                <w:szCs w:val="20"/>
                <w:color w:val="auto"/>
              </w:rPr>
            </w:pPr>
            <w:r>
              <w:rPr>
                <w:rFonts w:ascii="Arial" w:cs="Arial" w:eastAsia="Arial" w:hAnsi="Arial"/>
                <w:sz w:val="13"/>
                <w:szCs w:val="13"/>
                <w:color w:val="auto"/>
                <w:w w:val="82"/>
              </w:rPr>
              <w:t>11</w:t>
            </w:r>
          </w:p>
        </w:tc>
        <w:tc>
          <w:tcPr>
            <w:tcW w:w="90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6E0B4"/>
          </w:tcPr>
          <w:p>
            <w:pPr>
              <w:jc w:val="right"/>
              <w:spacing w:after="0"/>
              <w:rPr>
                <w:sz w:val="20"/>
                <w:szCs w:val="20"/>
                <w:color w:val="auto"/>
              </w:rPr>
            </w:pPr>
            <w:r>
              <w:rPr>
                <w:rFonts w:ascii="Arial" w:cs="Arial" w:eastAsia="Arial" w:hAnsi="Arial"/>
                <w:sz w:val="13"/>
                <w:szCs w:val="13"/>
                <w:color w:val="auto"/>
              </w:rPr>
              <w:t>16,263</w:t>
            </w:r>
          </w:p>
        </w:tc>
        <w:tc>
          <w:tcPr>
            <w:tcW w:w="9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16,263</w:t>
            </w:r>
          </w:p>
        </w:tc>
        <w:tc>
          <w:tcPr>
            <w:tcW w:w="9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16,263</w:t>
            </w:r>
          </w:p>
        </w:tc>
        <w:tc>
          <w:tcPr>
            <w:tcW w:w="0" w:type="dxa"/>
            <w:vAlign w:val="bottom"/>
          </w:tcPr>
          <w:p>
            <w:pPr>
              <w:spacing w:after="0"/>
              <w:rPr>
                <w:sz w:val="1"/>
                <w:szCs w:val="1"/>
                <w:color w:val="auto"/>
              </w:rPr>
            </w:pPr>
          </w:p>
        </w:tc>
      </w:tr>
      <w:tr>
        <w:trPr>
          <w:trHeight w:val="133"/>
        </w:trPr>
        <w:tc>
          <w:tcPr>
            <w:tcW w:w="2200" w:type="dxa"/>
            <w:vAlign w:val="bottom"/>
            <w:tcBorders>
              <w:bottom w:val="single" w:sz="8" w:color="70AD47"/>
            </w:tcBorders>
          </w:tcPr>
          <w:p>
            <w:pPr>
              <w:spacing w:after="0"/>
              <w:rPr>
                <w:sz w:val="11"/>
                <w:szCs w:val="11"/>
                <w:color w:val="auto"/>
              </w:rPr>
            </w:pPr>
          </w:p>
        </w:tc>
        <w:tc>
          <w:tcPr>
            <w:tcW w:w="720" w:type="dxa"/>
            <w:vAlign w:val="bottom"/>
            <w:tcBorders>
              <w:bottom w:val="single" w:sz="8" w:color="70AD47"/>
              <w:right w:val="single" w:sz="8" w:color="70AD47"/>
            </w:tcBorders>
          </w:tcPr>
          <w:p>
            <w:pPr>
              <w:spacing w:after="0"/>
              <w:rPr>
                <w:sz w:val="11"/>
                <w:szCs w:val="11"/>
                <w:color w:val="auto"/>
              </w:rPr>
            </w:pPr>
          </w:p>
        </w:tc>
        <w:tc>
          <w:tcPr>
            <w:tcW w:w="900" w:type="dxa"/>
            <w:vAlign w:val="bottom"/>
            <w:tcBorders>
              <w:bottom w:val="single" w:sz="8" w:color="70AD47"/>
            </w:tcBorders>
            <w:shd w:val="clear" w:color="auto" w:fill="C6E0B4"/>
          </w:tcPr>
          <w:p>
            <w:pPr>
              <w:spacing w:after="0"/>
              <w:rPr>
                <w:sz w:val="11"/>
                <w:szCs w:val="11"/>
                <w:color w:val="auto"/>
              </w:rPr>
            </w:pPr>
          </w:p>
        </w:tc>
        <w:tc>
          <w:tcPr>
            <w:tcW w:w="940" w:type="dxa"/>
            <w:vAlign w:val="bottom"/>
            <w:tcBorders>
              <w:bottom w:val="single" w:sz="8" w:color="70AD47"/>
            </w:tcBorders>
            <w:shd w:val="clear" w:color="auto" w:fill="C6E0B4"/>
          </w:tcPr>
          <w:p>
            <w:pPr>
              <w:spacing w:after="0"/>
              <w:rPr>
                <w:sz w:val="11"/>
                <w:szCs w:val="11"/>
                <w:color w:val="auto"/>
              </w:rPr>
            </w:pPr>
          </w:p>
        </w:tc>
        <w:tc>
          <w:tcPr>
            <w:tcW w:w="940" w:type="dxa"/>
            <w:vAlign w:val="bottom"/>
            <w:tcBorders>
              <w:bottom w:val="single" w:sz="8" w:color="70AD47"/>
            </w:tcBorders>
            <w:shd w:val="clear" w:color="auto" w:fill="C6E0B4"/>
          </w:tcPr>
          <w:p>
            <w:pPr>
              <w:spacing w:after="0"/>
              <w:rPr>
                <w:sz w:val="11"/>
                <w:szCs w:val="11"/>
                <w:color w:val="auto"/>
              </w:rPr>
            </w:pPr>
          </w:p>
        </w:tc>
        <w:tc>
          <w:tcPr>
            <w:tcW w:w="920" w:type="dxa"/>
            <w:vAlign w:val="bottom"/>
            <w:tcBorders>
              <w:bottom w:val="single" w:sz="8" w:color="70AD47"/>
            </w:tcBorders>
            <w:shd w:val="clear" w:color="auto" w:fill="C6E0B4"/>
          </w:tcPr>
          <w:p>
            <w:pPr>
              <w:spacing w:after="0"/>
              <w:rPr>
                <w:sz w:val="11"/>
                <w:szCs w:val="11"/>
                <w:color w:val="auto"/>
              </w:rPr>
            </w:pPr>
          </w:p>
        </w:tc>
        <w:tc>
          <w:tcPr>
            <w:tcW w:w="940" w:type="dxa"/>
            <w:vAlign w:val="bottom"/>
            <w:tcBorders>
              <w:bottom w:val="single" w:sz="8" w:color="70AD47"/>
            </w:tcBorders>
            <w:shd w:val="clear" w:color="auto" w:fill="C6E0B4"/>
          </w:tcPr>
          <w:p>
            <w:pPr>
              <w:spacing w:after="0"/>
              <w:rPr>
                <w:sz w:val="11"/>
                <w:szCs w:val="11"/>
                <w:color w:val="auto"/>
              </w:rPr>
            </w:pPr>
          </w:p>
        </w:tc>
        <w:tc>
          <w:tcPr>
            <w:tcW w:w="940" w:type="dxa"/>
            <w:vAlign w:val="bottom"/>
            <w:tcBorders>
              <w:bottom w:val="single" w:sz="8" w:color="70AD47"/>
              <w:right w:val="single" w:sz="8" w:color="70AD47"/>
            </w:tcBorders>
            <w:shd w:val="clear" w:color="auto" w:fill="C6E0B4"/>
          </w:tcPr>
          <w:p>
            <w:pPr>
              <w:spacing w:after="0"/>
              <w:rPr>
                <w:sz w:val="11"/>
                <w:szCs w:val="11"/>
                <w:color w:val="auto"/>
              </w:rPr>
            </w:pPr>
          </w:p>
        </w:tc>
        <w:tc>
          <w:tcPr>
            <w:tcW w:w="920" w:type="dxa"/>
            <w:vAlign w:val="bottom"/>
            <w:tcBorders>
              <w:bottom w:val="single" w:sz="8" w:color="70AD47"/>
              <w:right w:val="single" w:sz="8" w:color="70AD47"/>
            </w:tcBorders>
            <w:shd w:val="clear" w:color="auto" w:fill="C6E0B4"/>
          </w:tcPr>
          <w:p>
            <w:pPr>
              <w:spacing w:after="0"/>
              <w:rPr>
                <w:sz w:val="11"/>
                <w:szCs w:val="11"/>
                <w:color w:val="auto"/>
              </w:rPr>
            </w:pPr>
          </w:p>
        </w:tc>
        <w:tc>
          <w:tcPr>
            <w:tcW w:w="920" w:type="dxa"/>
            <w:vAlign w:val="bottom"/>
            <w:tcBorders>
              <w:bottom w:val="single" w:sz="8" w:color="70AD47"/>
              <w:right w:val="single" w:sz="8" w:color="70AD47"/>
            </w:tcBorders>
            <w:shd w:val="clear" w:color="auto" w:fill="C6E0B4"/>
          </w:tcPr>
          <w:p>
            <w:pPr>
              <w:spacing w:after="0"/>
              <w:rPr>
                <w:sz w:val="11"/>
                <w:szCs w:val="11"/>
                <w:color w:val="auto"/>
              </w:rPr>
            </w:pPr>
          </w:p>
        </w:tc>
        <w:tc>
          <w:tcPr>
            <w:tcW w:w="920" w:type="dxa"/>
            <w:vAlign w:val="bottom"/>
            <w:tcBorders>
              <w:bottom w:val="single" w:sz="8" w:color="70AD47"/>
              <w:right w:val="single" w:sz="8" w:color="70AD47"/>
            </w:tcBorders>
            <w:shd w:val="clear" w:color="auto" w:fill="C6E0B4"/>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200" w:type="dxa"/>
            <w:vAlign w:val="bottom"/>
          </w:tcPr>
          <w:p>
            <w:pPr>
              <w:spacing w:after="0" w:line="141" w:lineRule="exact"/>
              <w:rPr>
                <w:sz w:val="20"/>
                <w:szCs w:val="20"/>
                <w:color w:val="auto"/>
              </w:rPr>
            </w:pPr>
            <w:r>
              <w:rPr>
                <w:rFonts w:ascii="Arial" w:cs="Arial" w:eastAsia="Arial" w:hAnsi="Arial"/>
                <w:sz w:val="13"/>
                <w:szCs w:val="13"/>
                <w:b w:val="1"/>
                <w:bCs w:val="1"/>
                <w:color w:val="auto"/>
              </w:rPr>
              <w:t>June 30, 2020</w:t>
            </w:r>
          </w:p>
        </w:tc>
        <w:tc>
          <w:tcPr>
            <w:tcW w:w="720" w:type="dxa"/>
            <w:vAlign w:val="bottom"/>
            <w:tcBorders>
              <w:right w:val="single" w:sz="8" w:color="70AD47"/>
            </w:tcBorders>
          </w:tcPr>
          <w:p>
            <w:pPr>
              <w:spacing w:after="0"/>
              <w:rPr>
                <w:sz w:val="12"/>
                <w:szCs w:val="12"/>
                <w:color w:val="auto"/>
              </w:rPr>
            </w:pPr>
          </w:p>
        </w:tc>
        <w:tc>
          <w:tcPr>
            <w:tcW w:w="900" w:type="dxa"/>
            <w:vAlign w:val="bottom"/>
            <w:shd w:val="clear" w:color="auto" w:fill="C6E0B4"/>
          </w:tcPr>
          <w:p>
            <w:pPr>
              <w:jc w:val="right"/>
              <w:spacing w:after="0" w:line="141" w:lineRule="exact"/>
              <w:rPr>
                <w:sz w:val="20"/>
                <w:szCs w:val="20"/>
                <w:color w:val="auto"/>
              </w:rPr>
            </w:pPr>
            <w:r>
              <w:rPr>
                <w:rFonts w:ascii="Arial" w:cs="Arial" w:eastAsia="Arial" w:hAnsi="Arial"/>
                <w:sz w:val="13"/>
                <w:szCs w:val="13"/>
                <w:b w:val="1"/>
                <w:bCs w:val="1"/>
                <w:color w:val="auto"/>
              </w:rPr>
              <w:t>€238,198</w:t>
            </w:r>
          </w:p>
        </w:tc>
        <w:tc>
          <w:tcPr>
            <w:tcW w:w="940" w:type="dxa"/>
            <w:vAlign w:val="bottom"/>
            <w:shd w:val="clear" w:color="auto" w:fill="C6E0B4"/>
          </w:tcPr>
          <w:p>
            <w:pPr>
              <w:jc w:val="right"/>
              <w:spacing w:after="0" w:line="141" w:lineRule="exact"/>
              <w:rPr>
                <w:sz w:val="20"/>
                <w:szCs w:val="20"/>
                <w:color w:val="auto"/>
              </w:rPr>
            </w:pPr>
            <w:r>
              <w:rPr>
                <w:rFonts w:ascii="Arial" w:cs="Arial" w:eastAsia="Arial" w:hAnsi="Arial"/>
                <w:sz w:val="13"/>
                <w:szCs w:val="13"/>
                <w:b w:val="1"/>
                <w:bCs w:val="1"/>
                <w:color w:val="auto"/>
              </w:rPr>
              <w:t>918,174</w:t>
            </w:r>
          </w:p>
        </w:tc>
        <w:tc>
          <w:tcPr>
            <w:tcW w:w="940" w:type="dxa"/>
            <w:vAlign w:val="bottom"/>
            <w:shd w:val="clear" w:color="auto" w:fill="C6E0B4"/>
          </w:tcPr>
          <w:p>
            <w:pPr>
              <w:jc w:val="right"/>
              <w:spacing w:after="0" w:line="141" w:lineRule="exact"/>
              <w:rPr>
                <w:sz w:val="20"/>
                <w:szCs w:val="20"/>
                <w:color w:val="auto"/>
              </w:rPr>
            </w:pPr>
            <w:r>
              <w:rPr>
                <w:rFonts w:ascii="Arial" w:cs="Arial" w:eastAsia="Arial" w:hAnsi="Arial"/>
                <w:sz w:val="13"/>
                <w:szCs w:val="13"/>
                <w:b w:val="1"/>
                <w:bCs w:val="1"/>
                <w:color w:val="auto"/>
              </w:rPr>
              <w:t>(5,525)</w:t>
            </w:r>
          </w:p>
        </w:tc>
        <w:tc>
          <w:tcPr>
            <w:tcW w:w="920" w:type="dxa"/>
            <w:vAlign w:val="bottom"/>
            <w:shd w:val="clear" w:color="auto" w:fill="C6E0B4"/>
          </w:tcPr>
          <w:p>
            <w:pPr>
              <w:jc w:val="right"/>
              <w:spacing w:after="0" w:line="141" w:lineRule="exact"/>
              <w:rPr>
                <w:sz w:val="20"/>
                <w:szCs w:val="20"/>
                <w:color w:val="auto"/>
              </w:rPr>
            </w:pPr>
            <w:r>
              <w:rPr>
                <w:rFonts w:ascii="Arial" w:cs="Arial" w:eastAsia="Arial" w:hAnsi="Arial"/>
                <w:sz w:val="13"/>
                <w:szCs w:val="13"/>
                <w:b w:val="1"/>
                <w:bCs w:val="1"/>
                <w:color w:val="auto"/>
              </w:rPr>
              <w:t>(566,509)</w:t>
            </w:r>
          </w:p>
        </w:tc>
        <w:tc>
          <w:tcPr>
            <w:tcW w:w="940" w:type="dxa"/>
            <w:vAlign w:val="bottom"/>
            <w:shd w:val="clear" w:color="auto" w:fill="C6E0B4"/>
          </w:tcPr>
          <w:p>
            <w:pPr>
              <w:jc w:val="right"/>
              <w:spacing w:after="0" w:line="141" w:lineRule="exact"/>
              <w:rPr>
                <w:sz w:val="20"/>
                <w:szCs w:val="20"/>
                <w:color w:val="auto"/>
              </w:rPr>
            </w:pPr>
            <w:r>
              <w:rPr>
                <w:rFonts w:ascii="Arial" w:cs="Arial" w:eastAsia="Arial" w:hAnsi="Arial"/>
                <w:sz w:val="13"/>
                <w:szCs w:val="13"/>
                <w:b w:val="1"/>
                <w:bCs w:val="1"/>
                <w:color w:val="auto"/>
              </w:rPr>
              <w:t>21,025</w:t>
            </w:r>
          </w:p>
        </w:tc>
        <w:tc>
          <w:tcPr>
            <w:tcW w:w="940" w:type="dxa"/>
            <w:vAlign w:val="bottom"/>
            <w:tcBorders>
              <w:right w:val="single" w:sz="8" w:color="70AD47"/>
            </w:tcBorders>
            <w:shd w:val="clear" w:color="auto" w:fill="C6E0B4"/>
          </w:tcPr>
          <w:p>
            <w:pPr>
              <w:jc w:val="right"/>
              <w:spacing w:after="0" w:line="141" w:lineRule="exact"/>
              <w:rPr>
                <w:sz w:val="20"/>
                <w:szCs w:val="20"/>
                <w:color w:val="auto"/>
              </w:rPr>
            </w:pPr>
            <w:r>
              <w:rPr>
                <w:rFonts w:ascii="Arial" w:cs="Arial" w:eastAsia="Arial" w:hAnsi="Arial"/>
                <w:sz w:val="13"/>
                <w:szCs w:val="13"/>
                <w:b w:val="1"/>
                <w:bCs w:val="1"/>
                <w:color w:val="auto"/>
              </w:rPr>
              <w:t>(3,429)</w:t>
            </w:r>
          </w:p>
        </w:tc>
        <w:tc>
          <w:tcPr>
            <w:tcW w:w="920" w:type="dxa"/>
            <w:vAlign w:val="bottom"/>
            <w:tcBorders>
              <w:right w:val="single" w:sz="8" w:color="70AD47"/>
            </w:tcBorders>
            <w:shd w:val="clear" w:color="auto" w:fill="C6E0B4"/>
          </w:tcPr>
          <w:p>
            <w:pPr>
              <w:jc w:val="right"/>
              <w:spacing w:after="0" w:line="141" w:lineRule="exact"/>
              <w:rPr>
                <w:sz w:val="20"/>
                <w:szCs w:val="20"/>
                <w:color w:val="auto"/>
              </w:rPr>
            </w:pPr>
            <w:r>
              <w:rPr>
                <w:rFonts w:ascii="Arial" w:cs="Arial" w:eastAsia="Arial" w:hAnsi="Arial"/>
                <w:sz w:val="13"/>
                <w:szCs w:val="13"/>
                <w:b w:val="1"/>
                <w:bCs w:val="1"/>
                <w:color w:val="auto"/>
              </w:rPr>
              <w:t>601,934</w:t>
            </w:r>
          </w:p>
        </w:tc>
        <w:tc>
          <w:tcPr>
            <w:tcW w:w="920" w:type="dxa"/>
            <w:vAlign w:val="bottom"/>
            <w:tcBorders>
              <w:right w:val="single" w:sz="8" w:color="70AD47"/>
            </w:tcBorders>
            <w:shd w:val="clear" w:color="auto" w:fill="C6E0B4"/>
          </w:tcPr>
          <w:p>
            <w:pPr>
              <w:jc w:val="right"/>
              <w:spacing w:after="0" w:line="141" w:lineRule="exact"/>
              <w:rPr>
                <w:sz w:val="20"/>
                <w:szCs w:val="20"/>
                <w:color w:val="auto"/>
              </w:rPr>
            </w:pPr>
            <w:r>
              <w:rPr>
                <w:rFonts w:ascii="Arial" w:cs="Arial" w:eastAsia="Arial" w:hAnsi="Arial"/>
                <w:sz w:val="13"/>
                <w:szCs w:val="13"/>
                <w:b w:val="1"/>
                <w:bCs w:val="1"/>
                <w:color w:val="auto"/>
              </w:rPr>
              <w:t>-</w:t>
            </w:r>
          </w:p>
        </w:tc>
        <w:tc>
          <w:tcPr>
            <w:tcW w:w="920" w:type="dxa"/>
            <w:vAlign w:val="bottom"/>
            <w:tcBorders>
              <w:right w:val="single" w:sz="8" w:color="70AD47"/>
            </w:tcBorders>
            <w:shd w:val="clear" w:color="auto" w:fill="C6E0B4"/>
          </w:tcPr>
          <w:p>
            <w:pPr>
              <w:jc w:val="right"/>
              <w:spacing w:after="0" w:line="141" w:lineRule="exact"/>
              <w:rPr>
                <w:sz w:val="20"/>
                <w:szCs w:val="20"/>
                <w:color w:val="auto"/>
              </w:rPr>
            </w:pPr>
            <w:r>
              <w:rPr>
                <w:rFonts w:ascii="Arial" w:cs="Arial" w:eastAsia="Arial" w:hAnsi="Arial"/>
                <w:sz w:val="13"/>
                <w:szCs w:val="13"/>
                <w:b w:val="1"/>
                <w:bCs w:val="1"/>
                <w:color w:val="auto"/>
              </w:rPr>
              <w:t>601,934</w:t>
            </w:r>
          </w:p>
        </w:tc>
        <w:tc>
          <w:tcPr>
            <w:tcW w:w="0" w:type="dxa"/>
            <w:vAlign w:val="bottom"/>
          </w:tcPr>
          <w:p>
            <w:pPr>
              <w:spacing w:after="0"/>
              <w:rPr>
                <w:sz w:val="1"/>
                <w:szCs w:val="1"/>
                <w:color w:val="auto"/>
              </w:rPr>
            </w:pPr>
          </w:p>
        </w:tc>
      </w:tr>
      <w:tr>
        <w:trPr>
          <w:trHeight w:val="149"/>
        </w:trPr>
        <w:tc>
          <w:tcPr>
            <w:tcW w:w="2200" w:type="dxa"/>
            <w:vAlign w:val="bottom"/>
            <w:tcBorders>
              <w:bottom w:val="single" w:sz="8" w:color="70AD47"/>
            </w:tcBorders>
          </w:tcPr>
          <w:p>
            <w:pPr>
              <w:spacing w:after="0"/>
              <w:rPr>
                <w:sz w:val="20"/>
                <w:szCs w:val="20"/>
                <w:color w:val="auto"/>
              </w:rPr>
            </w:pPr>
            <w:r>
              <w:rPr>
                <w:rFonts w:ascii="Arial" w:cs="Arial" w:eastAsia="Arial" w:hAnsi="Arial"/>
                <w:sz w:val="13"/>
                <w:szCs w:val="13"/>
                <w:i w:val="1"/>
                <w:iCs w:val="1"/>
                <w:color w:val="auto"/>
              </w:rPr>
              <w:t>(unaudited)</w:t>
            </w:r>
          </w:p>
        </w:tc>
        <w:tc>
          <w:tcPr>
            <w:tcW w:w="720" w:type="dxa"/>
            <w:vAlign w:val="bottom"/>
            <w:tcBorders>
              <w:bottom w:val="single" w:sz="8" w:color="70AD47"/>
              <w:right w:val="single" w:sz="8" w:color="70AD47"/>
            </w:tcBorders>
          </w:tcPr>
          <w:p>
            <w:pPr>
              <w:spacing w:after="0"/>
              <w:rPr>
                <w:sz w:val="12"/>
                <w:szCs w:val="12"/>
                <w:color w:val="auto"/>
              </w:rPr>
            </w:pPr>
          </w:p>
        </w:tc>
        <w:tc>
          <w:tcPr>
            <w:tcW w:w="900" w:type="dxa"/>
            <w:vAlign w:val="bottom"/>
            <w:tcBorders>
              <w:bottom w:val="single" w:sz="8" w:color="70AD47"/>
            </w:tcBorders>
            <w:shd w:val="clear" w:color="auto" w:fill="C6E0B4"/>
          </w:tcPr>
          <w:p>
            <w:pPr>
              <w:spacing w:after="0"/>
              <w:rPr>
                <w:sz w:val="12"/>
                <w:szCs w:val="12"/>
                <w:color w:val="auto"/>
              </w:rPr>
            </w:pPr>
          </w:p>
        </w:tc>
        <w:tc>
          <w:tcPr>
            <w:tcW w:w="940" w:type="dxa"/>
            <w:vAlign w:val="bottom"/>
            <w:tcBorders>
              <w:bottom w:val="single" w:sz="8" w:color="70AD47"/>
            </w:tcBorders>
            <w:shd w:val="clear" w:color="auto" w:fill="C6E0B4"/>
          </w:tcPr>
          <w:p>
            <w:pPr>
              <w:spacing w:after="0"/>
              <w:rPr>
                <w:sz w:val="12"/>
                <w:szCs w:val="12"/>
                <w:color w:val="auto"/>
              </w:rPr>
            </w:pPr>
          </w:p>
        </w:tc>
        <w:tc>
          <w:tcPr>
            <w:tcW w:w="940" w:type="dxa"/>
            <w:vAlign w:val="bottom"/>
            <w:tcBorders>
              <w:bottom w:val="single" w:sz="8" w:color="70AD47"/>
            </w:tcBorders>
            <w:shd w:val="clear" w:color="auto" w:fill="C6E0B4"/>
          </w:tcPr>
          <w:p>
            <w:pPr>
              <w:spacing w:after="0"/>
              <w:rPr>
                <w:sz w:val="12"/>
                <w:szCs w:val="12"/>
                <w:color w:val="auto"/>
              </w:rPr>
            </w:pPr>
          </w:p>
        </w:tc>
        <w:tc>
          <w:tcPr>
            <w:tcW w:w="920" w:type="dxa"/>
            <w:vAlign w:val="bottom"/>
            <w:tcBorders>
              <w:bottom w:val="single" w:sz="8" w:color="70AD47"/>
            </w:tcBorders>
            <w:shd w:val="clear" w:color="auto" w:fill="C6E0B4"/>
          </w:tcPr>
          <w:p>
            <w:pPr>
              <w:spacing w:after="0"/>
              <w:rPr>
                <w:sz w:val="12"/>
                <w:szCs w:val="12"/>
                <w:color w:val="auto"/>
              </w:rPr>
            </w:pPr>
          </w:p>
        </w:tc>
        <w:tc>
          <w:tcPr>
            <w:tcW w:w="940" w:type="dxa"/>
            <w:vAlign w:val="bottom"/>
            <w:tcBorders>
              <w:bottom w:val="single" w:sz="8" w:color="70AD47"/>
            </w:tcBorders>
            <w:shd w:val="clear" w:color="auto" w:fill="C6E0B4"/>
          </w:tcPr>
          <w:p>
            <w:pPr>
              <w:spacing w:after="0"/>
              <w:rPr>
                <w:sz w:val="12"/>
                <w:szCs w:val="12"/>
                <w:color w:val="auto"/>
              </w:rPr>
            </w:pPr>
          </w:p>
        </w:tc>
        <w:tc>
          <w:tcPr>
            <w:tcW w:w="940" w:type="dxa"/>
            <w:vAlign w:val="bottom"/>
            <w:tcBorders>
              <w:bottom w:val="single" w:sz="8" w:color="70AD47"/>
              <w:right w:val="single" w:sz="8" w:color="70AD47"/>
            </w:tcBorders>
            <w:shd w:val="clear" w:color="auto" w:fill="C6E0B4"/>
          </w:tcPr>
          <w:p>
            <w:pPr>
              <w:spacing w:after="0"/>
              <w:rPr>
                <w:sz w:val="12"/>
                <w:szCs w:val="12"/>
                <w:color w:val="auto"/>
              </w:rPr>
            </w:pPr>
          </w:p>
        </w:tc>
        <w:tc>
          <w:tcPr>
            <w:tcW w:w="920" w:type="dxa"/>
            <w:vAlign w:val="bottom"/>
            <w:tcBorders>
              <w:bottom w:val="single" w:sz="8" w:color="70AD47"/>
              <w:right w:val="single" w:sz="8" w:color="70AD47"/>
            </w:tcBorders>
            <w:shd w:val="clear" w:color="auto" w:fill="C6E0B4"/>
          </w:tcPr>
          <w:p>
            <w:pPr>
              <w:spacing w:after="0"/>
              <w:rPr>
                <w:sz w:val="12"/>
                <w:szCs w:val="12"/>
                <w:color w:val="auto"/>
              </w:rPr>
            </w:pPr>
          </w:p>
        </w:tc>
        <w:tc>
          <w:tcPr>
            <w:tcW w:w="920" w:type="dxa"/>
            <w:vAlign w:val="bottom"/>
            <w:tcBorders>
              <w:bottom w:val="single" w:sz="8" w:color="70AD47"/>
              <w:right w:val="single" w:sz="8" w:color="70AD47"/>
            </w:tcBorders>
            <w:shd w:val="clear" w:color="auto" w:fill="C6E0B4"/>
          </w:tcPr>
          <w:p>
            <w:pPr>
              <w:spacing w:after="0"/>
              <w:rPr>
                <w:sz w:val="12"/>
                <w:szCs w:val="12"/>
                <w:color w:val="auto"/>
              </w:rPr>
            </w:pPr>
          </w:p>
        </w:tc>
        <w:tc>
          <w:tcPr>
            <w:tcW w:w="920" w:type="dxa"/>
            <w:vAlign w:val="bottom"/>
            <w:tcBorders>
              <w:bottom w:val="single" w:sz="8" w:color="70AD47"/>
              <w:right w:val="single" w:sz="8" w:color="70AD47"/>
            </w:tcBorders>
            <w:shd w:val="clear" w:color="auto" w:fill="C6E0B4"/>
          </w:tcPr>
          <w:p>
            <w:pPr>
              <w:spacing w:after="0"/>
              <w:rPr>
                <w:sz w:val="12"/>
                <w:szCs w:val="12"/>
                <w:color w:val="auto"/>
              </w:rPr>
            </w:pPr>
          </w:p>
        </w:tc>
        <w:tc>
          <w:tcPr>
            <w:tcW w:w="0" w:type="dxa"/>
            <w:vAlign w:val="bottom"/>
          </w:tcPr>
          <w:p>
            <w:pPr>
              <w:spacing w:after="0"/>
              <w:rPr>
                <w:sz w:val="1"/>
                <w:szCs w:val="1"/>
                <w:color w:val="auto"/>
              </w:rPr>
            </w:pPr>
          </w:p>
        </w:tc>
      </w:tr>
      <w:tr>
        <w:trPr>
          <w:trHeight w:val="461"/>
        </w:trPr>
        <w:tc>
          <w:tcPr>
            <w:tcW w:w="2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0" w:type="dxa"/>
            <w:vAlign w:val="bottom"/>
            <w:gridSpan w:val="3"/>
          </w:tcPr>
          <w:p>
            <w:pPr>
              <w:jc w:val="right"/>
              <w:ind w:right="517"/>
              <w:spacing w:after="0"/>
              <w:rPr>
                <w:sz w:val="20"/>
                <w:szCs w:val="20"/>
                <w:color w:val="auto"/>
              </w:rPr>
            </w:pPr>
            <w:r>
              <w:rPr>
                <w:rFonts w:ascii="Arial" w:cs="Arial" w:eastAsia="Arial" w:hAnsi="Arial"/>
                <w:sz w:val="13"/>
                <w:szCs w:val="13"/>
                <w:b w:val="1"/>
                <w:bCs w:val="1"/>
                <w:color w:val="auto"/>
              </w:rPr>
              <w:t>Six months ended June 30, 2019</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Borders>
              <w:bottom w:val="single" w:sz="8" w:color="70AD47"/>
            </w:tcBorders>
          </w:tcPr>
          <w:p>
            <w:pPr>
              <w:spacing w:after="0"/>
              <w:rPr>
                <w:sz w:val="13"/>
                <w:szCs w:val="13"/>
                <w:color w:val="auto"/>
              </w:rPr>
            </w:pPr>
          </w:p>
        </w:tc>
        <w:tc>
          <w:tcPr>
            <w:tcW w:w="3740" w:type="dxa"/>
            <w:vAlign w:val="bottom"/>
            <w:tcBorders>
              <w:bottom w:val="single" w:sz="8" w:color="70AD47"/>
            </w:tcBorders>
            <w:gridSpan w:val="4"/>
          </w:tcPr>
          <w:p>
            <w:pPr>
              <w:jc w:val="right"/>
              <w:ind w:right="557"/>
              <w:spacing w:after="0"/>
              <w:rPr>
                <w:sz w:val="20"/>
                <w:szCs w:val="20"/>
                <w:color w:val="auto"/>
              </w:rPr>
            </w:pPr>
            <w:r>
              <w:rPr>
                <w:rFonts w:ascii="Arial" w:cs="Arial" w:eastAsia="Arial" w:hAnsi="Arial"/>
                <w:sz w:val="13"/>
                <w:szCs w:val="13"/>
                <w:b w:val="1"/>
                <w:bCs w:val="1"/>
                <w:color w:val="auto"/>
              </w:rPr>
              <w:t>Attributable to the equity holders of the parent</w:t>
            </w:r>
          </w:p>
        </w:tc>
        <w:tc>
          <w:tcPr>
            <w:tcW w:w="940" w:type="dxa"/>
            <w:vAlign w:val="bottom"/>
            <w:tcBorders>
              <w:bottom w:val="single" w:sz="8" w:color="70AD47"/>
            </w:tcBorders>
          </w:tcPr>
          <w:p>
            <w:pPr>
              <w:spacing w:after="0"/>
              <w:rPr>
                <w:sz w:val="13"/>
                <w:szCs w:val="13"/>
                <w:color w:val="auto"/>
              </w:rPr>
            </w:pPr>
          </w:p>
        </w:tc>
        <w:tc>
          <w:tcPr>
            <w:tcW w:w="920" w:type="dxa"/>
            <w:vAlign w:val="bottom"/>
            <w:tcBorders>
              <w:bottom w:val="single" w:sz="8" w:color="70AD47"/>
            </w:tcBorders>
          </w:tcPr>
          <w:p>
            <w:pPr>
              <w:spacing w:after="0"/>
              <w:rPr>
                <w:sz w:val="13"/>
                <w:szCs w:val="13"/>
                <w:color w:val="auto"/>
              </w:rPr>
            </w:pPr>
          </w:p>
        </w:tc>
        <w:tc>
          <w:tcPr>
            <w:tcW w:w="920" w:type="dxa"/>
            <w:vAlign w:val="bottom"/>
            <w:tcBorders>
              <w:bottom w:val="single" w:sz="8" w:color="70AD47"/>
            </w:tcBorders>
          </w:tcPr>
          <w:p>
            <w:pPr>
              <w:spacing w:after="0"/>
              <w:rPr>
                <w:sz w:val="13"/>
                <w:szCs w:val="13"/>
                <w:color w:val="auto"/>
              </w:rPr>
            </w:pPr>
          </w:p>
        </w:tc>
        <w:tc>
          <w:tcPr>
            <w:tcW w:w="920" w:type="dxa"/>
            <w:vAlign w:val="bottom"/>
            <w:tcBorders>
              <w:bottom w:val="single" w:sz="8" w:color="70AD47"/>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200" w:type="dxa"/>
            <w:vAlign w:val="bottom"/>
          </w:tcPr>
          <w:p>
            <w:pPr>
              <w:spacing w:after="0"/>
              <w:rPr>
                <w:sz w:val="10"/>
                <w:szCs w:val="10"/>
                <w:color w:val="auto"/>
              </w:rPr>
            </w:pPr>
          </w:p>
        </w:tc>
        <w:tc>
          <w:tcPr>
            <w:tcW w:w="720" w:type="dxa"/>
            <w:vAlign w:val="bottom"/>
            <w:tcBorders>
              <w:right w:val="single" w:sz="8" w:color="70AD47"/>
            </w:tcBorders>
          </w:tcPr>
          <w:p>
            <w:pPr>
              <w:spacing w:after="0"/>
              <w:rPr>
                <w:sz w:val="10"/>
                <w:szCs w:val="10"/>
                <w:color w:val="auto"/>
              </w:rPr>
            </w:pPr>
          </w:p>
        </w:tc>
        <w:tc>
          <w:tcPr>
            <w:tcW w:w="9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Borders>
              <w:right w:val="single" w:sz="8" w:color="70AD47"/>
            </w:tcBorders>
          </w:tcPr>
          <w:p>
            <w:pPr>
              <w:jc w:val="center"/>
              <w:spacing w:after="0" w:line="124" w:lineRule="exact"/>
              <w:rPr>
                <w:sz w:val="20"/>
                <w:szCs w:val="20"/>
                <w:color w:val="auto"/>
              </w:rPr>
            </w:pPr>
            <w:r>
              <w:rPr>
                <w:rFonts w:ascii="Arial" w:cs="Arial" w:eastAsia="Arial" w:hAnsi="Arial"/>
                <w:sz w:val="13"/>
                <w:szCs w:val="13"/>
                <w:b w:val="1"/>
                <w:bCs w:val="1"/>
                <w:color w:val="auto"/>
                <w:w w:val="88"/>
              </w:rPr>
              <w:t>Foreign</w:t>
            </w:r>
          </w:p>
        </w:tc>
        <w:tc>
          <w:tcPr>
            <w:tcW w:w="920" w:type="dxa"/>
            <w:vAlign w:val="bottom"/>
            <w:tcBorders>
              <w:right w:val="single" w:sz="8" w:color="70AD47"/>
            </w:tcBorders>
          </w:tcPr>
          <w:p>
            <w:pPr>
              <w:spacing w:after="0"/>
              <w:rPr>
                <w:sz w:val="10"/>
                <w:szCs w:val="10"/>
                <w:color w:val="auto"/>
              </w:rPr>
            </w:pPr>
          </w:p>
        </w:tc>
        <w:tc>
          <w:tcPr>
            <w:tcW w:w="920" w:type="dxa"/>
            <w:vAlign w:val="bottom"/>
            <w:tcBorders>
              <w:right w:val="single" w:sz="8" w:color="70AD47"/>
            </w:tcBorders>
          </w:tcPr>
          <w:p>
            <w:pPr>
              <w:spacing w:after="0"/>
              <w:rPr>
                <w:sz w:val="10"/>
                <w:szCs w:val="10"/>
                <w:color w:val="auto"/>
              </w:rPr>
            </w:pPr>
          </w:p>
        </w:tc>
        <w:tc>
          <w:tcPr>
            <w:tcW w:w="920" w:type="dxa"/>
            <w:vAlign w:val="bottom"/>
            <w:tcBorders>
              <w:right w:val="single" w:sz="8" w:color="70AD47"/>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72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13"/>
                <w:szCs w:val="13"/>
                <w:b w:val="1"/>
                <w:bCs w:val="1"/>
                <w:color w:val="auto"/>
                <w:w w:val="89"/>
              </w:rPr>
              <w:t>Note</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Share</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Treasury shares</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Accumulated</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c>
          <w:tcPr>
            <w:tcW w:w="940" w:type="dxa"/>
            <w:vAlign w:val="bottom"/>
            <w:tcBorders>
              <w:right w:val="single" w:sz="8" w:color="70AD47"/>
            </w:tcBorders>
          </w:tcPr>
          <w:p>
            <w:pPr>
              <w:jc w:val="center"/>
              <w:spacing w:after="0" w:line="135" w:lineRule="exact"/>
              <w:rPr>
                <w:sz w:val="20"/>
                <w:szCs w:val="20"/>
                <w:color w:val="auto"/>
              </w:rPr>
            </w:pPr>
            <w:r>
              <w:rPr>
                <w:rFonts w:ascii="Arial" w:cs="Arial" w:eastAsia="Arial" w:hAnsi="Arial"/>
                <w:sz w:val="13"/>
                <w:szCs w:val="13"/>
                <w:b w:val="1"/>
                <w:bCs w:val="1"/>
                <w:color w:val="auto"/>
                <w:w w:val="87"/>
              </w:rPr>
              <w:t>currency</w:t>
            </w:r>
          </w:p>
        </w:tc>
        <w:tc>
          <w:tcPr>
            <w:tcW w:w="920" w:type="dxa"/>
            <w:vAlign w:val="bottom"/>
            <w:tcBorders>
              <w:right w:val="single" w:sz="8" w:color="70AD47"/>
            </w:tcBorders>
            <w:vMerge w:val="restart"/>
          </w:tcPr>
          <w:p>
            <w:pPr>
              <w:jc w:val="right"/>
              <w:ind w:right="277"/>
              <w:spacing w:after="0"/>
              <w:rPr>
                <w:sz w:val="20"/>
                <w:szCs w:val="20"/>
                <w:color w:val="auto"/>
              </w:rPr>
            </w:pPr>
            <w:r>
              <w:rPr>
                <w:rFonts w:ascii="Arial" w:cs="Arial" w:eastAsia="Arial" w:hAnsi="Arial"/>
                <w:sz w:val="13"/>
                <w:szCs w:val="13"/>
                <w:b w:val="1"/>
                <w:bCs w:val="1"/>
                <w:color w:val="auto"/>
              </w:rPr>
              <w:t>Total</w:t>
            </w:r>
          </w:p>
        </w:tc>
        <w:tc>
          <w:tcPr>
            <w:tcW w:w="920" w:type="dxa"/>
            <w:vAlign w:val="bottom"/>
            <w:tcBorders>
              <w:right w:val="single" w:sz="8" w:color="70AD47"/>
            </w:tcBorders>
          </w:tcPr>
          <w:p>
            <w:pPr>
              <w:jc w:val="center"/>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920" w:type="dxa"/>
            <w:vAlign w:val="bottom"/>
            <w:tcBorders>
              <w:right w:val="single" w:sz="8" w:color="70AD47"/>
            </w:tcBorders>
          </w:tcPr>
          <w:p>
            <w:pPr>
              <w:jc w:val="center"/>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97"/>
        </w:trPr>
        <w:tc>
          <w:tcPr>
            <w:tcW w:w="2200" w:type="dxa"/>
            <w:vAlign w:val="bottom"/>
            <w:vMerge w:val="continue"/>
          </w:tcPr>
          <w:p>
            <w:pPr>
              <w:spacing w:after="0"/>
              <w:rPr>
                <w:sz w:val="8"/>
                <w:szCs w:val="8"/>
                <w:color w:val="auto"/>
              </w:rPr>
            </w:pPr>
          </w:p>
        </w:tc>
        <w:tc>
          <w:tcPr>
            <w:tcW w:w="720" w:type="dxa"/>
            <w:vAlign w:val="bottom"/>
            <w:tcBorders>
              <w:right w:val="single" w:sz="8" w:color="70AD47"/>
            </w:tcBorders>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2"/>
              </w:rPr>
              <w:t>capital *</w:t>
            </w:r>
          </w:p>
        </w:tc>
        <w:tc>
          <w:tcPr>
            <w:tcW w:w="9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reserve *</w:t>
            </w:r>
          </w:p>
        </w:tc>
        <w:tc>
          <w:tcPr>
            <w:tcW w:w="9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rPr>
              <w:t>*</w:t>
            </w:r>
          </w:p>
        </w:tc>
        <w:tc>
          <w:tcPr>
            <w:tcW w:w="9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74"/>
              </w:rPr>
              <w:t>losses</w:t>
            </w:r>
          </w:p>
        </w:tc>
        <w:tc>
          <w:tcPr>
            <w:tcW w:w="9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2"/>
              </w:rPr>
              <w:t>reserves</w:t>
            </w:r>
          </w:p>
        </w:tc>
        <w:tc>
          <w:tcPr>
            <w:tcW w:w="940" w:type="dxa"/>
            <w:vAlign w:val="bottom"/>
            <w:tcBorders>
              <w:right w:val="single" w:sz="8" w:color="70AD47"/>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translation</w:t>
            </w:r>
          </w:p>
        </w:tc>
        <w:tc>
          <w:tcPr>
            <w:tcW w:w="920" w:type="dxa"/>
            <w:vAlign w:val="bottom"/>
            <w:tcBorders>
              <w:right w:val="single" w:sz="8" w:color="70AD47"/>
            </w:tcBorders>
            <w:vMerge w:val="continue"/>
          </w:tcPr>
          <w:p>
            <w:pPr>
              <w:spacing w:after="0"/>
              <w:rPr>
                <w:sz w:val="8"/>
                <w:szCs w:val="8"/>
                <w:color w:val="auto"/>
              </w:rPr>
            </w:pPr>
          </w:p>
        </w:tc>
        <w:tc>
          <w:tcPr>
            <w:tcW w:w="920" w:type="dxa"/>
            <w:vAlign w:val="bottom"/>
            <w:tcBorders>
              <w:right w:val="single" w:sz="8" w:color="70AD47"/>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interest</w:t>
            </w:r>
          </w:p>
        </w:tc>
        <w:tc>
          <w:tcPr>
            <w:tcW w:w="920" w:type="dxa"/>
            <w:vAlign w:val="bottom"/>
            <w:tcBorders>
              <w:right w:val="single" w:sz="8" w:color="70AD47"/>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equity</w:t>
            </w:r>
          </w:p>
        </w:tc>
        <w:tc>
          <w:tcPr>
            <w:tcW w:w="0" w:type="dxa"/>
            <w:vAlign w:val="bottom"/>
          </w:tcPr>
          <w:p>
            <w:pPr>
              <w:spacing w:after="0"/>
              <w:rPr>
                <w:sz w:val="1"/>
                <w:szCs w:val="1"/>
                <w:color w:val="auto"/>
              </w:rPr>
            </w:pPr>
          </w:p>
        </w:tc>
      </w:tr>
      <w:tr>
        <w:trPr>
          <w:trHeight w:val="38"/>
        </w:trPr>
        <w:tc>
          <w:tcPr>
            <w:tcW w:w="2200" w:type="dxa"/>
            <w:vAlign w:val="bottom"/>
          </w:tcPr>
          <w:p>
            <w:pPr>
              <w:spacing w:after="0"/>
              <w:rPr>
                <w:sz w:val="3"/>
                <w:szCs w:val="3"/>
                <w:color w:val="auto"/>
              </w:rPr>
            </w:pPr>
          </w:p>
        </w:tc>
        <w:tc>
          <w:tcPr>
            <w:tcW w:w="720" w:type="dxa"/>
            <w:vAlign w:val="bottom"/>
            <w:tcBorders>
              <w:right w:val="single" w:sz="8" w:color="70AD47"/>
            </w:tcBorders>
          </w:tcPr>
          <w:p>
            <w:pPr>
              <w:spacing w:after="0"/>
              <w:rPr>
                <w:sz w:val="3"/>
                <w:szCs w:val="3"/>
                <w:color w:val="auto"/>
              </w:rPr>
            </w:pPr>
          </w:p>
        </w:tc>
        <w:tc>
          <w:tcPr>
            <w:tcW w:w="9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40" w:type="dxa"/>
            <w:vAlign w:val="bottom"/>
            <w:tcBorders>
              <w:right w:val="single" w:sz="8" w:color="70AD47"/>
            </w:tcBorders>
            <w:vMerge w:val="continue"/>
          </w:tcPr>
          <w:p>
            <w:pPr>
              <w:spacing w:after="0"/>
              <w:rPr>
                <w:sz w:val="3"/>
                <w:szCs w:val="3"/>
                <w:color w:val="auto"/>
              </w:rPr>
            </w:pPr>
          </w:p>
        </w:tc>
        <w:tc>
          <w:tcPr>
            <w:tcW w:w="920" w:type="dxa"/>
            <w:vAlign w:val="bottom"/>
            <w:tcBorders>
              <w:right w:val="single" w:sz="8" w:color="70AD47"/>
            </w:tcBorders>
          </w:tcPr>
          <w:p>
            <w:pPr>
              <w:spacing w:after="0"/>
              <w:rPr>
                <w:sz w:val="3"/>
                <w:szCs w:val="3"/>
                <w:color w:val="auto"/>
              </w:rPr>
            </w:pPr>
          </w:p>
        </w:tc>
        <w:tc>
          <w:tcPr>
            <w:tcW w:w="920" w:type="dxa"/>
            <w:vAlign w:val="bottom"/>
            <w:tcBorders>
              <w:right w:val="single" w:sz="8" w:color="70AD47"/>
            </w:tcBorders>
            <w:vMerge w:val="continue"/>
          </w:tcPr>
          <w:p>
            <w:pPr>
              <w:spacing w:after="0"/>
              <w:rPr>
                <w:sz w:val="3"/>
                <w:szCs w:val="3"/>
                <w:color w:val="auto"/>
              </w:rPr>
            </w:pPr>
          </w:p>
        </w:tc>
        <w:tc>
          <w:tcPr>
            <w:tcW w:w="920" w:type="dxa"/>
            <w:vAlign w:val="bottom"/>
            <w:tcBorders>
              <w:right w:val="single" w:sz="8" w:color="70AD47"/>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200" w:type="dxa"/>
            <w:vAlign w:val="bottom"/>
            <w:tcBorders>
              <w:bottom w:val="single" w:sz="8" w:color="70AD47"/>
            </w:tcBorders>
          </w:tcPr>
          <w:p>
            <w:pPr>
              <w:spacing w:after="0"/>
              <w:rPr>
                <w:sz w:val="13"/>
                <w:szCs w:val="13"/>
                <w:color w:val="auto"/>
              </w:rPr>
            </w:pPr>
          </w:p>
        </w:tc>
        <w:tc>
          <w:tcPr>
            <w:tcW w:w="720" w:type="dxa"/>
            <w:vAlign w:val="bottom"/>
            <w:tcBorders>
              <w:bottom w:val="single" w:sz="8" w:color="70AD47"/>
              <w:right w:val="single" w:sz="8" w:color="70AD47"/>
            </w:tcBorders>
          </w:tcPr>
          <w:p>
            <w:pPr>
              <w:spacing w:after="0"/>
              <w:rPr>
                <w:sz w:val="13"/>
                <w:szCs w:val="13"/>
                <w:color w:val="auto"/>
              </w:rPr>
            </w:pPr>
          </w:p>
        </w:tc>
        <w:tc>
          <w:tcPr>
            <w:tcW w:w="900" w:type="dxa"/>
            <w:vAlign w:val="bottom"/>
            <w:tcBorders>
              <w:bottom w:val="single" w:sz="8" w:color="70AD47"/>
            </w:tcBorders>
          </w:tcPr>
          <w:p>
            <w:pPr>
              <w:spacing w:after="0"/>
              <w:rPr>
                <w:sz w:val="13"/>
                <w:szCs w:val="13"/>
                <w:color w:val="auto"/>
              </w:rPr>
            </w:pPr>
          </w:p>
        </w:tc>
        <w:tc>
          <w:tcPr>
            <w:tcW w:w="940" w:type="dxa"/>
            <w:vAlign w:val="bottom"/>
            <w:tcBorders>
              <w:bottom w:val="single" w:sz="8" w:color="70AD47"/>
            </w:tcBorders>
          </w:tcPr>
          <w:p>
            <w:pPr>
              <w:spacing w:after="0"/>
              <w:rPr>
                <w:sz w:val="13"/>
                <w:szCs w:val="13"/>
                <w:color w:val="auto"/>
              </w:rPr>
            </w:pPr>
          </w:p>
        </w:tc>
        <w:tc>
          <w:tcPr>
            <w:tcW w:w="940" w:type="dxa"/>
            <w:vAlign w:val="bottom"/>
            <w:tcBorders>
              <w:bottom w:val="single" w:sz="8" w:color="70AD47"/>
            </w:tcBorders>
          </w:tcPr>
          <w:p>
            <w:pPr>
              <w:spacing w:after="0"/>
              <w:rPr>
                <w:sz w:val="13"/>
                <w:szCs w:val="13"/>
                <w:color w:val="auto"/>
              </w:rPr>
            </w:pPr>
          </w:p>
        </w:tc>
        <w:tc>
          <w:tcPr>
            <w:tcW w:w="920" w:type="dxa"/>
            <w:vAlign w:val="bottom"/>
            <w:tcBorders>
              <w:bottom w:val="single" w:sz="8" w:color="70AD47"/>
            </w:tcBorders>
          </w:tcPr>
          <w:p>
            <w:pPr>
              <w:spacing w:after="0"/>
              <w:rPr>
                <w:sz w:val="13"/>
                <w:szCs w:val="13"/>
                <w:color w:val="auto"/>
              </w:rPr>
            </w:pPr>
          </w:p>
        </w:tc>
        <w:tc>
          <w:tcPr>
            <w:tcW w:w="940" w:type="dxa"/>
            <w:vAlign w:val="bottom"/>
            <w:tcBorders>
              <w:bottom w:val="single" w:sz="8" w:color="70AD47"/>
            </w:tcBorders>
          </w:tcPr>
          <w:p>
            <w:pPr>
              <w:spacing w:after="0"/>
              <w:rPr>
                <w:sz w:val="13"/>
                <w:szCs w:val="13"/>
                <w:color w:val="auto"/>
              </w:rPr>
            </w:pPr>
          </w:p>
        </w:tc>
        <w:tc>
          <w:tcPr>
            <w:tcW w:w="94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13"/>
                <w:szCs w:val="13"/>
                <w:b w:val="1"/>
                <w:bCs w:val="1"/>
                <w:color w:val="auto"/>
                <w:w w:val="82"/>
              </w:rPr>
              <w:t>reserve</w:t>
            </w:r>
          </w:p>
        </w:tc>
        <w:tc>
          <w:tcPr>
            <w:tcW w:w="920" w:type="dxa"/>
            <w:vAlign w:val="bottom"/>
            <w:tcBorders>
              <w:bottom w:val="single" w:sz="8" w:color="70AD47"/>
              <w:right w:val="single" w:sz="8" w:color="70AD47"/>
            </w:tcBorders>
          </w:tcPr>
          <w:p>
            <w:pPr>
              <w:spacing w:after="0"/>
              <w:rPr>
                <w:sz w:val="13"/>
                <w:szCs w:val="13"/>
                <w:color w:val="auto"/>
              </w:rPr>
            </w:pPr>
          </w:p>
        </w:tc>
        <w:tc>
          <w:tcPr>
            <w:tcW w:w="920" w:type="dxa"/>
            <w:vAlign w:val="bottom"/>
            <w:tcBorders>
              <w:bottom w:val="single" w:sz="8" w:color="70AD47"/>
              <w:right w:val="single" w:sz="8" w:color="70AD47"/>
            </w:tcBorders>
          </w:tcPr>
          <w:p>
            <w:pPr>
              <w:spacing w:after="0"/>
              <w:rPr>
                <w:sz w:val="13"/>
                <w:szCs w:val="13"/>
                <w:color w:val="auto"/>
              </w:rPr>
            </w:pPr>
          </w:p>
        </w:tc>
        <w:tc>
          <w:tcPr>
            <w:tcW w:w="920" w:type="dxa"/>
            <w:vAlign w:val="bottom"/>
            <w:tcBorders>
              <w:bottom w:val="single" w:sz="8" w:color="70AD47"/>
              <w:right w:val="single" w:sz="8" w:color="70AD47"/>
            </w:tcBorders>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20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As of January 1, 2019</w:t>
            </w:r>
          </w:p>
        </w:tc>
        <w:tc>
          <w:tcPr>
            <w:tcW w:w="720" w:type="dxa"/>
            <w:vAlign w:val="bottom"/>
            <w:tcBorders>
              <w:bottom w:val="single" w:sz="8" w:color="70AD47"/>
              <w:right w:val="single" w:sz="8" w:color="70AD47"/>
            </w:tcBorders>
          </w:tcPr>
          <w:p>
            <w:pPr>
              <w:spacing w:after="0"/>
              <w:rPr>
                <w:sz w:val="24"/>
                <w:szCs w:val="24"/>
                <w:color w:val="auto"/>
              </w:rPr>
            </w:pPr>
          </w:p>
        </w:tc>
        <w:tc>
          <w:tcPr>
            <w:tcW w:w="90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€193,296</w:t>
            </w:r>
          </w:p>
        </w:tc>
        <w:tc>
          <w:tcPr>
            <w:tcW w:w="94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344,115</w:t>
            </w:r>
          </w:p>
        </w:tc>
        <w:tc>
          <w:tcPr>
            <w:tcW w:w="94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(245,771)</w:t>
            </w:r>
          </w:p>
        </w:tc>
        <w:tc>
          <w:tcPr>
            <w:tcW w:w="94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(25,474)</w:t>
            </w:r>
          </w:p>
        </w:tc>
        <w:tc>
          <w:tcPr>
            <w:tcW w:w="9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(13)</w:t>
            </w:r>
          </w:p>
        </w:tc>
        <w:tc>
          <w:tcPr>
            <w:tcW w:w="9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266,153</w:t>
            </w:r>
          </w:p>
        </w:tc>
        <w:tc>
          <w:tcPr>
            <w:tcW w:w="9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847</w:t>
            </w:r>
          </w:p>
        </w:tc>
        <w:tc>
          <w:tcPr>
            <w:tcW w:w="9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267,000</w:t>
            </w:r>
          </w:p>
        </w:tc>
        <w:tc>
          <w:tcPr>
            <w:tcW w:w="0" w:type="dxa"/>
            <w:vAlign w:val="bottom"/>
          </w:tcPr>
          <w:p>
            <w:pPr>
              <w:spacing w:after="0"/>
              <w:rPr>
                <w:sz w:val="1"/>
                <w:szCs w:val="1"/>
                <w:color w:val="auto"/>
              </w:rPr>
            </w:pPr>
          </w:p>
        </w:tc>
      </w:tr>
      <w:tr>
        <w:trPr>
          <w:trHeight w:val="286"/>
        </w:trPr>
        <w:tc>
          <w:tcPr>
            <w:tcW w:w="2200" w:type="dxa"/>
            <w:vAlign w:val="bottom"/>
          </w:tcPr>
          <w:p>
            <w:pPr>
              <w:spacing w:after="0"/>
              <w:rPr>
                <w:sz w:val="20"/>
                <w:szCs w:val="20"/>
                <w:color w:val="auto"/>
              </w:rPr>
            </w:pPr>
            <w:r>
              <w:rPr>
                <w:rFonts w:ascii="Arial" w:cs="Arial" w:eastAsia="Arial" w:hAnsi="Arial"/>
                <w:sz w:val="13"/>
                <w:szCs w:val="13"/>
                <w:color w:val="auto"/>
              </w:rPr>
              <w:t>Loss for the period</w:t>
            </w:r>
          </w:p>
        </w:tc>
        <w:tc>
          <w:tcPr>
            <w:tcW w:w="720" w:type="dxa"/>
            <w:vAlign w:val="bottom"/>
            <w:tcBorders>
              <w:right w:val="single" w:sz="8" w:color="70AD47"/>
            </w:tcBorders>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(90,730)</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(90,730)</w:t>
            </w:r>
          </w:p>
        </w:tc>
        <w:tc>
          <w:tcPr>
            <w:tcW w:w="9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(116)</w:t>
            </w:r>
          </w:p>
        </w:tc>
        <w:tc>
          <w:tcPr>
            <w:tcW w:w="92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(90,846)</w:t>
            </w:r>
          </w:p>
        </w:tc>
        <w:tc>
          <w:tcPr>
            <w:tcW w:w="0" w:type="dxa"/>
            <w:vAlign w:val="bottom"/>
          </w:tcPr>
          <w:p>
            <w:pPr>
              <w:spacing w:after="0"/>
              <w:rPr>
                <w:sz w:val="1"/>
                <w:szCs w:val="1"/>
                <w:color w:val="auto"/>
              </w:rPr>
            </w:pPr>
          </w:p>
        </w:tc>
      </w:tr>
      <w:tr>
        <w:trPr>
          <w:trHeight w:val="153"/>
        </w:trPr>
        <w:tc>
          <w:tcPr>
            <w:tcW w:w="220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Other comprehensive income</w:t>
            </w:r>
          </w:p>
        </w:tc>
        <w:tc>
          <w:tcPr>
            <w:tcW w:w="720" w:type="dxa"/>
            <w:vAlign w:val="bottom"/>
            <w:tcBorders>
              <w:bottom w:val="single" w:sz="8" w:color="70AD47"/>
              <w:right w:val="single" w:sz="8" w:color="70AD47"/>
            </w:tcBorders>
          </w:tcPr>
          <w:p>
            <w:pPr>
              <w:spacing w:after="0"/>
              <w:rPr>
                <w:sz w:val="13"/>
                <w:szCs w:val="13"/>
                <w:color w:val="auto"/>
              </w:rPr>
            </w:pPr>
          </w:p>
        </w:tc>
        <w:tc>
          <w:tcPr>
            <w:tcW w:w="90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6</w:t>
            </w:r>
          </w:p>
        </w:tc>
        <w:tc>
          <w:tcPr>
            <w:tcW w:w="9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6</w:t>
            </w:r>
          </w:p>
        </w:tc>
        <w:tc>
          <w:tcPr>
            <w:tcW w:w="9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6</w:t>
            </w:r>
          </w:p>
        </w:tc>
        <w:tc>
          <w:tcPr>
            <w:tcW w:w="0" w:type="dxa"/>
            <w:vAlign w:val="bottom"/>
          </w:tcPr>
          <w:p>
            <w:pPr>
              <w:spacing w:after="0"/>
              <w:rPr>
                <w:sz w:val="1"/>
                <w:szCs w:val="1"/>
                <w:color w:val="auto"/>
              </w:rPr>
            </w:pPr>
          </w:p>
        </w:tc>
      </w:tr>
      <w:tr>
        <w:trPr>
          <w:trHeight w:val="142"/>
        </w:trPr>
        <w:tc>
          <w:tcPr>
            <w:tcW w:w="2200" w:type="dxa"/>
            <w:vAlign w:val="bottom"/>
            <w:tcBorders>
              <w:bottom w:val="single" w:sz="8" w:color="70AD47"/>
            </w:tcBorders>
          </w:tcPr>
          <w:p>
            <w:pPr>
              <w:spacing w:after="0" w:line="142" w:lineRule="exact"/>
              <w:rPr>
                <w:sz w:val="20"/>
                <w:szCs w:val="20"/>
                <w:color w:val="auto"/>
              </w:rPr>
            </w:pPr>
            <w:r>
              <w:rPr>
                <w:rFonts w:ascii="Arial" w:cs="Arial" w:eastAsia="Arial" w:hAnsi="Arial"/>
                <w:sz w:val="13"/>
                <w:szCs w:val="13"/>
                <w:b w:val="1"/>
                <w:bCs w:val="1"/>
                <w:color w:val="auto"/>
                <w:w w:val="97"/>
              </w:rPr>
              <w:t>Total comprehensive income / (loss)</w:t>
            </w:r>
          </w:p>
        </w:tc>
        <w:tc>
          <w:tcPr>
            <w:tcW w:w="720" w:type="dxa"/>
            <w:vAlign w:val="bottom"/>
            <w:tcBorders>
              <w:bottom w:val="single" w:sz="8" w:color="70AD47"/>
              <w:right w:val="single" w:sz="8" w:color="70AD47"/>
            </w:tcBorders>
          </w:tcPr>
          <w:p>
            <w:pPr>
              <w:spacing w:after="0"/>
              <w:rPr>
                <w:sz w:val="12"/>
                <w:szCs w:val="12"/>
                <w:color w:val="auto"/>
              </w:rPr>
            </w:pPr>
          </w:p>
        </w:tc>
        <w:tc>
          <w:tcPr>
            <w:tcW w:w="900" w:type="dxa"/>
            <w:vAlign w:val="bottom"/>
            <w:tcBorders>
              <w:bottom w:val="single" w:sz="8" w:color="70AD47"/>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70AD47"/>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70AD47"/>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70AD47"/>
            </w:tcBorders>
          </w:tcPr>
          <w:p>
            <w:pPr>
              <w:jc w:val="right"/>
              <w:spacing w:after="0" w:line="142" w:lineRule="exact"/>
              <w:rPr>
                <w:sz w:val="20"/>
                <w:szCs w:val="20"/>
                <w:color w:val="auto"/>
              </w:rPr>
            </w:pPr>
            <w:r>
              <w:rPr>
                <w:rFonts w:ascii="Arial" w:cs="Arial" w:eastAsia="Arial" w:hAnsi="Arial"/>
                <w:sz w:val="13"/>
                <w:szCs w:val="13"/>
                <w:b w:val="1"/>
                <w:bCs w:val="1"/>
                <w:color w:val="auto"/>
              </w:rPr>
              <w:t>(90,730)</w:t>
            </w:r>
          </w:p>
        </w:tc>
        <w:tc>
          <w:tcPr>
            <w:tcW w:w="940" w:type="dxa"/>
            <w:vAlign w:val="bottom"/>
            <w:tcBorders>
              <w:bottom w:val="single" w:sz="8" w:color="70AD47"/>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70AD47"/>
              <w:right w:val="single" w:sz="8" w:color="70AD47"/>
            </w:tcBorders>
          </w:tcPr>
          <w:p>
            <w:pPr>
              <w:jc w:val="right"/>
              <w:spacing w:after="0" w:line="142" w:lineRule="exact"/>
              <w:rPr>
                <w:sz w:val="20"/>
                <w:szCs w:val="20"/>
                <w:color w:val="auto"/>
              </w:rPr>
            </w:pPr>
            <w:r>
              <w:rPr>
                <w:rFonts w:ascii="Arial" w:cs="Arial" w:eastAsia="Arial" w:hAnsi="Arial"/>
                <w:sz w:val="13"/>
                <w:szCs w:val="13"/>
                <w:b w:val="1"/>
                <w:bCs w:val="1"/>
                <w:color w:val="auto"/>
              </w:rPr>
              <w:t>6</w:t>
            </w:r>
          </w:p>
        </w:tc>
        <w:tc>
          <w:tcPr>
            <w:tcW w:w="920" w:type="dxa"/>
            <w:vAlign w:val="bottom"/>
            <w:tcBorders>
              <w:bottom w:val="single" w:sz="8" w:color="70AD47"/>
              <w:right w:val="single" w:sz="8" w:color="70AD47"/>
            </w:tcBorders>
          </w:tcPr>
          <w:p>
            <w:pPr>
              <w:jc w:val="right"/>
              <w:spacing w:after="0" w:line="142" w:lineRule="exact"/>
              <w:rPr>
                <w:sz w:val="20"/>
                <w:szCs w:val="20"/>
                <w:color w:val="auto"/>
              </w:rPr>
            </w:pPr>
            <w:r>
              <w:rPr>
                <w:rFonts w:ascii="Arial" w:cs="Arial" w:eastAsia="Arial" w:hAnsi="Arial"/>
                <w:sz w:val="13"/>
                <w:szCs w:val="13"/>
                <w:b w:val="1"/>
                <w:bCs w:val="1"/>
                <w:color w:val="auto"/>
              </w:rPr>
              <w:t>(90,724)</w:t>
            </w:r>
          </w:p>
        </w:tc>
        <w:tc>
          <w:tcPr>
            <w:tcW w:w="920" w:type="dxa"/>
            <w:vAlign w:val="bottom"/>
            <w:tcBorders>
              <w:bottom w:val="single" w:sz="8" w:color="70AD47"/>
              <w:right w:val="single" w:sz="8" w:color="70AD47"/>
            </w:tcBorders>
          </w:tcPr>
          <w:p>
            <w:pPr>
              <w:jc w:val="right"/>
              <w:spacing w:after="0" w:line="142" w:lineRule="exact"/>
              <w:rPr>
                <w:sz w:val="20"/>
                <w:szCs w:val="20"/>
                <w:color w:val="auto"/>
              </w:rPr>
            </w:pPr>
            <w:r>
              <w:rPr>
                <w:rFonts w:ascii="Arial" w:cs="Arial" w:eastAsia="Arial" w:hAnsi="Arial"/>
                <w:sz w:val="13"/>
                <w:szCs w:val="13"/>
                <w:b w:val="1"/>
                <w:bCs w:val="1"/>
                <w:color w:val="auto"/>
              </w:rPr>
              <w:t>(116)</w:t>
            </w:r>
          </w:p>
        </w:tc>
        <w:tc>
          <w:tcPr>
            <w:tcW w:w="920" w:type="dxa"/>
            <w:vAlign w:val="bottom"/>
            <w:tcBorders>
              <w:bottom w:val="single" w:sz="8" w:color="70AD47"/>
              <w:right w:val="single" w:sz="8" w:color="70AD47"/>
            </w:tcBorders>
          </w:tcPr>
          <w:p>
            <w:pPr>
              <w:jc w:val="right"/>
              <w:spacing w:after="0" w:line="142" w:lineRule="exact"/>
              <w:rPr>
                <w:sz w:val="20"/>
                <w:szCs w:val="20"/>
                <w:color w:val="auto"/>
              </w:rPr>
            </w:pPr>
            <w:r>
              <w:rPr>
                <w:rFonts w:ascii="Arial" w:cs="Arial" w:eastAsia="Arial" w:hAnsi="Arial"/>
                <w:sz w:val="13"/>
                <w:szCs w:val="13"/>
                <w:b w:val="1"/>
                <w:bCs w:val="1"/>
                <w:color w:val="auto"/>
              </w:rPr>
              <w:t>(90,840)</w:t>
            </w:r>
          </w:p>
        </w:tc>
        <w:tc>
          <w:tcPr>
            <w:tcW w:w="0" w:type="dxa"/>
            <w:vAlign w:val="bottom"/>
          </w:tcPr>
          <w:p>
            <w:pPr>
              <w:spacing w:after="0"/>
              <w:rPr>
                <w:sz w:val="1"/>
                <w:szCs w:val="1"/>
                <w:color w:val="auto"/>
              </w:rPr>
            </w:pPr>
          </w:p>
        </w:tc>
      </w:tr>
      <w:tr>
        <w:trPr>
          <w:trHeight w:val="286"/>
        </w:trPr>
        <w:tc>
          <w:tcPr>
            <w:tcW w:w="2200" w:type="dxa"/>
            <w:vAlign w:val="bottom"/>
          </w:tcPr>
          <w:p>
            <w:pPr>
              <w:spacing w:after="0"/>
              <w:rPr>
                <w:sz w:val="20"/>
                <w:szCs w:val="20"/>
                <w:color w:val="auto"/>
              </w:rPr>
            </w:pPr>
            <w:r>
              <w:rPr>
                <w:rFonts w:ascii="Arial" w:cs="Arial" w:eastAsia="Arial" w:hAnsi="Arial"/>
                <w:sz w:val="13"/>
                <w:szCs w:val="13"/>
                <w:color w:val="auto"/>
              </w:rPr>
              <w:t>Issuance of share capital</w:t>
            </w:r>
          </w:p>
        </w:tc>
        <w:tc>
          <w:tcPr>
            <w:tcW w:w="720" w:type="dxa"/>
            <w:vAlign w:val="bottom"/>
            <w:tcBorders>
              <w:right w:val="single" w:sz="8" w:color="70AD47"/>
            </w:tcBorders>
          </w:tcPr>
          <w:p>
            <w:pPr>
              <w:jc w:val="center"/>
              <w:spacing w:after="0"/>
              <w:rPr>
                <w:sz w:val="20"/>
                <w:szCs w:val="20"/>
                <w:color w:val="auto"/>
              </w:rPr>
            </w:pPr>
            <w:r>
              <w:rPr>
                <w:rFonts w:ascii="Arial" w:cs="Arial" w:eastAsia="Arial" w:hAnsi="Arial"/>
                <w:sz w:val="13"/>
                <w:szCs w:val="13"/>
                <w:color w:val="auto"/>
                <w:w w:val="82"/>
              </w:rPr>
              <w:t>10</w:t>
            </w:r>
          </w:p>
        </w:tc>
        <w:tc>
          <w:tcPr>
            <w:tcW w:w="900" w:type="dxa"/>
            <w:vAlign w:val="bottom"/>
          </w:tcPr>
          <w:p>
            <w:pPr>
              <w:jc w:val="right"/>
              <w:spacing w:after="0"/>
              <w:rPr>
                <w:sz w:val="20"/>
                <w:szCs w:val="20"/>
                <w:color w:val="auto"/>
              </w:rPr>
            </w:pPr>
            <w:r>
              <w:rPr>
                <w:rFonts w:ascii="Arial" w:cs="Arial" w:eastAsia="Arial" w:hAnsi="Arial"/>
                <w:sz w:val="13"/>
                <w:szCs w:val="13"/>
                <w:color w:val="auto"/>
              </w:rPr>
              <w:t>5,088</w:t>
            </w:r>
          </w:p>
        </w:tc>
        <w:tc>
          <w:tcPr>
            <w:tcW w:w="940" w:type="dxa"/>
            <w:vAlign w:val="bottom"/>
          </w:tcPr>
          <w:p>
            <w:pPr>
              <w:jc w:val="right"/>
              <w:spacing w:after="0"/>
              <w:rPr>
                <w:sz w:val="20"/>
                <w:szCs w:val="20"/>
                <w:color w:val="auto"/>
              </w:rPr>
            </w:pPr>
            <w:r>
              <w:rPr>
                <w:rFonts w:ascii="Arial" w:cs="Arial" w:eastAsia="Arial" w:hAnsi="Arial"/>
                <w:sz w:val="13"/>
                <w:szCs w:val="13"/>
                <w:color w:val="auto"/>
              </w:rPr>
              <w:t>(5,078)</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10</w:t>
            </w:r>
          </w:p>
        </w:tc>
        <w:tc>
          <w:tcPr>
            <w:tcW w:w="9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10</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20"/>
                <w:szCs w:val="20"/>
                <w:color w:val="auto"/>
              </w:rPr>
            </w:pPr>
            <w:r>
              <w:rPr>
                <w:rFonts w:ascii="Arial" w:cs="Arial" w:eastAsia="Arial" w:hAnsi="Arial"/>
                <w:sz w:val="13"/>
                <w:szCs w:val="13"/>
                <w:color w:val="auto"/>
              </w:rPr>
              <w:t>Capital increase Series B</w:t>
            </w:r>
          </w:p>
        </w:tc>
        <w:tc>
          <w:tcPr>
            <w:tcW w:w="720" w:type="dxa"/>
            <w:vAlign w:val="bottom"/>
            <w:tcBorders>
              <w:right w:val="single" w:sz="8" w:color="70AD47"/>
            </w:tcBorders>
          </w:tcPr>
          <w:p>
            <w:pPr>
              <w:jc w:val="center"/>
              <w:spacing w:after="0"/>
              <w:rPr>
                <w:sz w:val="20"/>
                <w:szCs w:val="20"/>
                <w:color w:val="auto"/>
              </w:rPr>
            </w:pPr>
            <w:r>
              <w:rPr>
                <w:rFonts w:ascii="Arial" w:cs="Arial" w:eastAsia="Arial" w:hAnsi="Arial"/>
                <w:sz w:val="13"/>
                <w:szCs w:val="13"/>
                <w:color w:val="auto"/>
                <w:w w:val="82"/>
              </w:rPr>
              <w:t>10</w:t>
            </w:r>
          </w:p>
        </w:tc>
        <w:tc>
          <w:tcPr>
            <w:tcW w:w="900" w:type="dxa"/>
            <w:vAlign w:val="bottom"/>
          </w:tcPr>
          <w:p>
            <w:pPr>
              <w:jc w:val="right"/>
              <w:spacing w:after="0"/>
              <w:rPr>
                <w:sz w:val="20"/>
                <w:szCs w:val="20"/>
                <w:color w:val="auto"/>
              </w:rPr>
            </w:pPr>
            <w:r>
              <w:rPr>
                <w:rFonts w:ascii="Arial" w:cs="Arial" w:eastAsia="Arial" w:hAnsi="Arial"/>
                <w:sz w:val="13"/>
                <w:szCs w:val="13"/>
                <w:color w:val="auto"/>
              </w:rPr>
              <w:t>11,990</w:t>
            </w:r>
          </w:p>
        </w:tc>
        <w:tc>
          <w:tcPr>
            <w:tcW w:w="940" w:type="dxa"/>
            <w:vAlign w:val="bottom"/>
          </w:tcPr>
          <w:p>
            <w:pPr>
              <w:jc w:val="right"/>
              <w:spacing w:after="0"/>
              <w:rPr>
                <w:sz w:val="20"/>
                <w:szCs w:val="20"/>
                <w:color w:val="auto"/>
              </w:rPr>
            </w:pPr>
            <w:r>
              <w:rPr>
                <w:rFonts w:ascii="Arial" w:cs="Arial" w:eastAsia="Arial" w:hAnsi="Arial"/>
                <w:sz w:val="13"/>
                <w:szCs w:val="13"/>
                <w:color w:val="auto"/>
              </w:rPr>
              <w:t>178,845</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190,835</w:t>
            </w:r>
          </w:p>
        </w:tc>
        <w:tc>
          <w:tcPr>
            <w:tcW w:w="9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190,835</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20"/>
                <w:szCs w:val="20"/>
                <w:color w:val="auto"/>
              </w:rPr>
            </w:pPr>
            <w:r>
              <w:rPr>
                <w:rFonts w:ascii="Arial" w:cs="Arial" w:eastAsia="Arial" w:hAnsi="Arial"/>
                <w:sz w:val="13"/>
                <w:szCs w:val="13"/>
                <w:color w:val="auto"/>
              </w:rPr>
              <w:t>Acquisition of non-controlling interest</w:t>
            </w:r>
          </w:p>
        </w:tc>
        <w:tc>
          <w:tcPr>
            <w:tcW w:w="720" w:type="dxa"/>
            <w:vAlign w:val="bottom"/>
            <w:tcBorders>
              <w:right w:val="single" w:sz="8" w:color="70AD47"/>
            </w:tcBorders>
          </w:tcPr>
          <w:p>
            <w:pPr>
              <w:jc w:val="center"/>
              <w:spacing w:after="0"/>
              <w:rPr>
                <w:sz w:val="20"/>
                <w:szCs w:val="20"/>
                <w:color w:val="auto"/>
              </w:rPr>
            </w:pPr>
            <w:r>
              <w:rPr>
                <w:rFonts w:ascii="Arial" w:cs="Arial" w:eastAsia="Arial" w:hAnsi="Arial"/>
                <w:sz w:val="13"/>
                <w:szCs w:val="13"/>
                <w:color w:val="auto"/>
                <w:w w:val="82"/>
              </w:rPr>
              <w:t>10</w:t>
            </w:r>
          </w:p>
        </w:tc>
        <w:tc>
          <w:tcPr>
            <w:tcW w:w="900" w:type="dxa"/>
            <w:vAlign w:val="bottom"/>
          </w:tcPr>
          <w:p>
            <w:pPr>
              <w:jc w:val="right"/>
              <w:spacing w:after="0"/>
              <w:rPr>
                <w:sz w:val="20"/>
                <w:szCs w:val="20"/>
                <w:color w:val="auto"/>
              </w:rPr>
            </w:pPr>
            <w:r>
              <w:rPr>
                <w:rFonts w:ascii="Arial" w:cs="Arial" w:eastAsia="Arial" w:hAnsi="Arial"/>
                <w:sz w:val="13"/>
                <w:szCs w:val="13"/>
                <w:color w:val="auto"/>
              </w:rPr>
              <w:t>2,375</w:t>
            </w:r>
          </w:p>
        </w:tc>
        <w:tc>
          <w:tcPr>
            <w:tcW w:w="940" w:type="dxa"/>
            <w:vAlign w:val="bottom"/>
          </w:tcPr>
          <w:p>
            <w:pPr>
              <w:jc w:val="right"/>
              <w:spacing w:after="0"/>
              <w:rPr>
                <w:sz w:val="20"/>
                <w:szCs w:val="20"/>
                <w:color w:val="auto"/>
              </w:rPr>
            </w:pPr>
            <w:r>
              <w:rPr>
                <w:rFonts w:ascii="Arial" w:cs="Arial" w:eastAsia="Arial" w:hAnsi="Arial"/>
                <w:sz w:val="13"/>
                <w:szCs w:val="13"/>
                <w:color w:val="auto"/>
              </w:rPr>
              <w:t>(1,644)</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731</w:t>
            </w:r>
          </w:p>
        </w:tc>
        <w:tc>
          <w:tcPr>
            <w:tcW w:w="9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(731)</w:t>
            </w:r>
          </w:p>
        </w:tc>
        <w:tc>
          <w:tcPr>
            <w:tcW w:w="92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20"/>
                <w:szCs w:val="20"/>
                <w:color w:val="auto"/>
              </w:rPr>
            </w:pPr>
            <w:r>
              <w:rPr>
                <w:rFonts w:ascii="Arial" w:cs="Arial" w:eastAsia="Arial" w:hAnsi="Arial"/>
                <w:sz w:val="13"/>
                <w:szCs w:val="13"/>
                <w:color w:val="auto"/>
              </w:rPr>
              <w:t>Transaction costs</w:t>
            </w:r>
          </w:p>
        </w:tc>
        <w:tc>
          <w:tcPr>
            <w:tcW w:w="720" w:type="dxa"/>
            <w:vAlign w:val="bottom"/>
            <w:tcBorders>
              <w:right w:val="single" w:sz="8" w:color="70AD47"/>
            </w:tcBorders>
          </w:tcPr>
          <w:p>
            <w:pPr>
              <w:jc w:val="center"/>
              <w:spacing w:after="0"/>
              <w:rPr>
                <w:sz w:val="20"/>
                <w:szCs w:val="20"/>
                <w:color w:val="auto"/>
              </w:rPr>
            </w:pPr>
            <w:r>
              <w:rPr>
                <w:rFonts w:ascii="Arial" w:cs="Arial" w:eastAsia="Arial" w:hAnsi="Arial"/>
                <w:sz w:val="13"/>
                <w:szCs w:val="13"/>
                <w:color w:val="auto"/>
                <w:w w:val="82"/>
              </w:rPr>
              <w:t>10</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(501)</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(501)</w:t>
            </w:r>
          </w:p>
        </w:tc>
        <w:tc>
          <w:tcPr>
            <w:tcW w:w="9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(501)</w:t>
            </w:r>
          </w:p>
        </w:tc>
        <w:tc>
          <w:tcPr>
            <w:tcW w:w="0" w:type="dxa"/>
            <w:vAlign w:val="bottom"/>
          </w:tcPr>
          <w:p>
            <w:pPr>
              <w:spacing w:after="0"/>
              <w:rPr>
                <w:sz w:val="1"/>
                <w:szCs w:val="1"/>
                <w:color w:val="auto"/>
              </w:rPr>
            </w:pPr>
          </w:p>
        </w:tc>
      </w:tr>
      <w:tr>
        <w:trPr>
          <w:trHeight w:val="164"/>
        </w:trPr>
        <w:tc>
          <w:tcPr>
            <w:tcW w:w="2200" w:type="dxa"/>
            <w:vAlign w:val="bottom"/>
          </w:tcPr>
          <w:p>
            <w:pPr>
              <w:spacing w:after="0"/>
              <w:rPr>
                <w:sz w:val="20"/>
                <w:szCs w:val="20"/>
                <w:color w:val="auto"/>
              </w:rPr>
            </w:pPr>
            <w:r>
              <w:rPr>
                <w:rFonts w:ascii="Arial" w:cs="Arial" w:eastAsia="Arial" w:hAnsi="Arial"/>
                <w:sz w:val="13"/>
                <w:szCs w:val="13"/>
                <w:color w:val="auto"/>
              </w:rPr>
              <w:t>Share based payments</w:t>
            </w:r>
          </w:p>
        </w:tc>
        <w:tc>
          <w:tcPr>
            <w:tcW w:w="720" w:type="dxa"/>
            <w:vAlign w:val="bottom"/>
            <w:tcBorders>
              <w:right w:val="single" w:sz="8" w:color="70AD47"/>
            </w:tcBorders>
          </w:tcPr>
          <w:p>
            <w:pPr>
              <w:jc w:val="center"/>
              <w:spacing w:after="0"/>
              <w:rPr>
                <w:sz w:val="20"/>
                <w:szCs w:val="20"/>
                <w:color w:val="auto"/>
              </w:rPr>
            </w:pPr>
            <w:r>
              <w:rPr>
                <w:rFonts w:ascii="Arial" w:cs="Arial" w:eastAsia="Arial" w:hAnsi="Arial"/>
                <w:sz w:val="13"/>
                <w:szCs w:val="13"/>
                <w:color w:val="auto"/>
                <w:w w:val="82"/>
              </w:rPr>
              <w:t>11</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17,986</w:t>
            </w:r>
          </w:p>
        </w:tc>
        <w:tc>
          <w:tcPr>
            <w:tcW w:w="94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17,986</w:t>
            </w:r>
          </w:p>
        </w:tc>
        <w:tc>
          <w:tcPr>
            <w:tcW w:w="9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17,986</w:t>
            </w:r>
          </w:p>
        </w:tc>
        <w:tc>
          <w:tcPr>
            <w:tcW w:w="0" w:type="dxa"/>
            <w:vAlign w:val="bottom"/>
          </w:tcPr>
          <w:p>
            <w:pPr>
              <w:spacing w:after="0"/>
              <w:rPr>
                <w:sz w:val="1"/>
                <w:szCs w:val="1"/>
                <w:color w:val="auto"/>
              </w:rPr>
            </w:pPr>
          </w:p>
        </w:tc>
      </w:tr>
      <w:tr>
        <w:trPr>
          <w:trHeight w:val="138"/>
        </w:trPr>
        <w:tc>
          <w:tcPr>
            <w:tcW w:w="2200" w:type="dxa"/>
            <w:vAlign w:val="bottom"/>
            <w:tcBorders>
              <w:bottom w:val="single" w:sz="8" w:color="70AD47"/>
            </w:tcBorders>
          </w:tcPr>
          <w:p>
            <w:pPr>
              <w:spacing w:after="0"/>
              <w:rPr>
                <w:sz w:val="11"/>
                <w:szCs w:val="11"/>
                <w:color w:val="auto"/>
              </w:rPr>
            </w:pPr>
          </w:p>
        </w:tc>
        <w:tc>
          <w:tcPr>
            <w:tcW w:w="720" w:type="dxa"/>
            <w:vAlign w:val="bottom"/>
            <w:tcBorders>
              <w:bottom w:val="single" w:sz="8" w:color="70AD47"/>
              <w:right w:val="single" w:sz="8" w:color="70AD47"/>
            </w:tcBorders>
          </w:tcPr>
          <w:p>
            <w:pPr>
              <w:spacing w:after="0"/>
              <w:rPr>
                <w:sz w:val="11"/>
                <w:szCs w:val="11"/>
                <w:color w:val="auto"/>
              </w:rPr>
            </w:pPr>
          </w:p>
        </w:tc>
        <w:tc>
          <w:tcPr>
            <w:tcW w:w="900" w:type="dxa"/>
            <w:vAlign w:val="bottom"/>
            <w:tcBorders>
              <w:bottom w:val="single" w:sz="8" w:color="70AD47"/>
            </w:tcBorders>
          </w:tcPr>
          <w:p>
            <w:pPr>
              <w:spacing w:after="0"/>
              <w:rPr>
                <w:sz w:val="11"/>
                <w:szCs w:val="11"/>
                <w:color w:val="auto"/>
              </w:rPr>
            </w:pPr>
          </w:p>
        </w:tc>
        <w:tc>
          <w:tcPr>
            <w:tcW w:w="940" w:type="dxa"/>
            <w:vAlign w:val="bottom"/>
            <w:tcBorders>
              <w:bottom w:val="single" w:sz="8" w:color="70AD47"/>
            </w:tcBorders>
          </w:tcPr>
          <w:p>
            <w:pPr>
              <w:spacing w:after="0"/>
              <w:rPr>
                <w:sz w:val="11"/>
                <w:szCs w:val="11"/>
                <w:color w:val="auto"/>
              </w:rPr>
            </w:pPr>
          </w:p>
        </w:tc>
        <w:tc>
          <w:tcPr>
            <w:tcW w:w="940" w:type="dxa"/>
            <w:vAlign w:val="bottom"/>
            <w:tcBorders>
              <w:bottom w:val="single" w:sz="8" w:color="70AD47"/>
            </w:tcBorders>
          </w:tcPr>
          <w:p>
            <w:pPr>
              <w:spacing w:after="0"/>
              <w:rPr>
                <w:sz w:val="11"/>
                <w:szCs w:val="11"/>
                <w:color w:val="auto"/>
              </w:rPr>
            </w:pPr>
          </w:p>
        </w:tc>
        <w:tc>
          <w:tcPr>
            <w:tcW w:w="920" w:type="dxa"/>
            <w:vAlign w:val="bottom"/>
            <w:tcBorders>
              <w:bottom w:val="single" w:sz="8" w:color="70AD47"/>
            </w:tcBorders>
          </w:tcPr>
          <w:p>
            <w:pPr>
              <w:spacing w:after="0"/>
              <w:rPr>
                <w:sz w:val="11"/>
                <w:szCs w:val="11"/>
                <w:color w:val="auto"/>
              </w:rPr>
            </w:pPr>
          </w:p>
        </w:tc>
        <w:tc>
          <w:tcPr>
            <w:tcW w:w="940" w:type="dxa"/>
            <w:vAlign w:val="bottom"/>
            <w:tcBorders>
              <w:bottom w:val="single" w:sz="8" w:color="70AD47"/>
            </w:tcBorders>
          </w:tcPr>
          <w:p>
            <w:pPr>
              <w:spacing w:after="0"/>
              <w:rPr>
                <w:sz w:val="11"/>
                <w:szCs w:val="11"/>
                <w:color w:val="auto"/>
              </w:rPr>
            </w:pPr>
          </w:p>
        </w:tc>
        <w:tc>
          <w:tcPr>
            <w:tcW w:w="940" w:type="dxa"/>
            <w:vAlign w:val="bottom"/>
            <w:tcBorders>
              <w:bottom w:val="single" w:sz="8" w:color="70AD47"/>
              <w:right w:val="single" w:sz="8" w:color="70AD47"/>
            </w:tcBorders>
          </w:tcPr>
          <w:p>
            <w:pPr>
              <w:spacing w:after="0"/>
              <w:rPr>
                <w:sz w:val="11"/>
                <w:szCs w:val="11"/>
                <w:color w:val="auto"/>
              </w:rPr>
            </w:pPr>
          </w:p>
        </w:tc>
        <w:tc>
          <w:tcPr>
            <w:tcW w:w="920" w:type="dxa"/>
            <w:vAlign w:val="bottom"/>
            <w:tcBorders>
              <w:bottom w:val="single" w:sz="8" w:color="70AD47"/>
              <w:right w:val="single" w:sz="8" w:color="70AD47"/>
            </w:tcBorders>
          </w:tcPr>
          <w:p>
            <w:pPr>
              <w:spacing w:after="0"/>
              <w:rPr>
                <w:sz w:val="11"/>
                <w:szCs w:val="11"/>
                <w:color w:val="auto"/>
              </w:rPr>
            </w:pPr>
          </w:p>
        </w:tc>
        <w:tc>
          <w:tcPr>
            <w:tcW w:w="920" w:type="dxa"/>
            <w:vAlign w:val="bottom"/>
            <w:tcBorders>
              <w:bottom w:val="single" w:sz="8" w:color="70AD47"/>
              <w:right w:val="single" w:sz="8" w:color="70AD47"/>
            </w:tcBorders>
          </w:tcPr>
          <w:p>
            <w:pPr>
              <w:spacing w:after="0"/>
              <w:rPr>
                <w:sz w:val="11"/>
                <w:szCs w:val="11"/>
                <w:color w:val="auto"/>
              </w:rPr>
            </w:pPr>
          </w:p>
        </w:tc>
        <w:tc>
          <w:tcPr>
            <w:tcW w:w="920" w:type="dxa"/>
            <w:vAlign w:val="bottom"/>
            <w:tcBorders>
              <w:bottom w:val="single" w:sz="8" w:color="70AD47"/>
              <w:right w:val="single" w:sz="8" w:color="70AD47"/>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200" w:type="dxa"/>
            <w:vAlign w:val="bottom"/>
          </w:tcPr>
          <w:p>
            <w:pPr>
              <w:spacing w:after="0" w:line="141" w:lineRule="exact"/>
              <w:rPr>
                <w:sz w:val="20"/>
                <w:szCs w:val="20"/>
                <w:color w:val="auto"/>
              </w:rPr>
            </w:pPr>
            <w:r>
              <w:rPr>
                <w:rFonts w:ascii="Arial" w:cs="Arial" w:eastAsia="Arial" w:hAnsi="Arial"/>
                <w:sz w:val="13"/>
                <w:szCs w:val="13"/>
                <w:b w:val="1"/>
                <w:bCs w:val="1"/>
                <w:color w:val="auto"/>
              </w:rPr>
              <w:t>As of June 30, 2019</w:t>
            </w:r>
          </w:p>
        </w:tc>
        <w:tc>
          <w:tcPr>
            <w:tcW w:w="720" w:type="dxa"/>
            <w:vAlign w:val="bottom"/>
            <w:tcBorders>
              <w:right w:val="single" w:sz="8" w:color="70AD47"/>
            </w:tcBorders>
          </w:tcPr>
          <w:p>
            <w:pPr>
              <w:spacing w:after="0"/>
              <w:rPr>
                <w:sz w:val="12"/>
                <w:szCs w:val="12"/>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€212,749</w:t>
            </w:r>
          </w:p>
        </w:tc>
        <w:tc>
          <w:tcPr>
            <w:tcW w:w="94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515,737</w:t>
            </w:r>
          </w:p>
        </w:tc>
        <w:tc>
          <w:tcPr>
            <w:tcW w:w="94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w:t>
            </w:r>
          </w:p>
        </w:tc>
        <w:tc>
          <w:tcPr>
            <w:tcW w:w="92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(336,501)</w:t>
            </w:r>
          </w:p>
        </w:tc>
        <w:tc>
          <w:tcPr>
            <w:tcW w:w="94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(7,488)</w:t>
            </w:r>
          </w:p>
        </w:tc>
        <w:tc>
          <w:tcPr>
            <w:tcW w:w="940" w:type="dxa"/>
            <w:vAlign w:val="bottom"/>
            <w:tcBorders>
              <w:right w:val="single" w:sz="8" w:color="70AD47"/>
            </w:tcBorders>
          </w:tcPr>
          <w:p>
            <w:pPr>
              <w:jc w:val="right"/>
              <w:spacing w:after="0" w:line="141" w:lineRule="exact"/>
              <w:rPr>
                <w:sz w:val="20"/>
                <w:szCs w:val="20"/>
                <w:color w:val="auto"/>
              </w:rPr>
            </w:pPr>
            <w:r>
              <w:rPr>
                <w:rFonts w:ascii="Arial" w:cs="Arial" w:eastAsia="Arial" w:hAnsi="Arial"/>
                <w:sz w:val="13"/>
                <w:szCs w:val="13"/>
                <w:b w:val="1"/>
                <w:bCs w:val="1"/>
                <w:color w:val="auto"/>
              </w:rPr>
              <w:t>(7)</w:t>
            </w:r>
          </w:p>
        </w:tc>
        <w:tc>
          <w:tcPr>
            <w:tcW w:w="920" w:type="dxa"/>
            <w:vAlign w:val="bottom"/>
            <w:tcBorders>
              <w:right w:val="single" w:sz="8" w:color="70AD47"/>
            </w:tcBorders>
          </w:tcPr>
          <w:p>
            <w:pPr>
              <w:jc w:val="right"/>
              <w:spacing w:after="0" w:line="141" w:lineRule="exact"/>
              <w:rPr>
                <w:sz w:val="20"/>
                <w:szCs w:val="20"/>
                <w:color w:val="auto"/>
              </w:rPr>
            </w:pPr>
            <w:r>
              <w:rPr>
                <w:rFonts w:ascii="Arial" w:cs="Arial" w:eastAsia="Arial" w:hAnsi="Arial"/>
                <w:sz w:val="13"/>
                <w:szCs w:val="13"/>
                <w:b w:val="1"/>
                <w:bCs w:val="1"/>
                <w:color w:val="auto"/>
              </w:rPr>
              <w:t>384,490</w:t>
            </w:r>
          </w:p>
        </w:tc>
        <w:tc>
          <w:tcPr>
            <w:tcW w:w="920" w:type="dxa"/>
            <w:vAlign w:val="bottom"/>
            <w:tcBorders>
              <w:right w:val="single" w:sz="8" w:color="70AD47"/>
            </w:tcBorders>
          </w:tcPr>
          <w:p>
            <w:pPr>
              <w:jc w:val="right"/>
              <w:spacing w:after="0" w:line="141" w:lineRule="exact"/>
              <w:rPr>
                <w:sz w:val="20"/>
                <w:szCs w:val="20"/>
                <w:color w:val="auto"/>
              </w:rPr>
            </w:pPr>
            <w:r>
              <w:rPr>
                <w:rFonts w:ascii="Arial" w:cs="Arial" w:eastAsia="Arial" w:hAnsi="Arial"/>
                <w:sz w:val="13"/>
                <w:szCs w:val="13"/>
                <w:b w:val="1"/>
                <w:bCs w:val="1"/>
                <w:color w:val="auto"/>
              </w:rPr>
              <w:t>-</w:t>
            </w:r>
          </w:p>
        </w:tc>
        <w:tc>
          <w:tcPr>
            <w:tcW w:w="920" w:type="dxa"/>
            <w:vAlign w:val="bottom"/>
            <w:tcBorders>
              <w:right w:val="single" w:sz="8" w:color="70AD47"/>
            </w:tcBorders>
          </w:tcPr>
          <w:p>
            <w:pPr>
              <w:jc w:val="right"/>
              <w:spacing w:after="0" w:line="141" w:lineRule="exact"/>
              <w:rPr>
                <w:sz w:val="20"/>
                <w:szCs w:val="20"/>
                <w:color w:val="auto"/>
              </w:rPr>
            </w:pPr>
            <w:r>
              <w:rPr>
                <w:rFonts w:ascii="Arial" w:cs="Arial" w:eastAsia="Arial" w:hAnsi="Arial"/>
                <w:sz w:val="13"/>
                <w:szCs w:val="13"/>
                <w:b w:val="1"/>
                <w:bCs w:val="1"/>
                <w:color w:val="auto"/>
              </w:rPr>
              <w:t>384,490</w:t>
            </w:r>
          </w:p>
        </w:tc>
        <w:tc>
          <w:tcPr>
            <w:tcW w:w="0" w:type="dxa"/>
            <w:vAlign w:val="bottom"/>
          </w:tcPr>
          <w:p>
            <w:pPr>
              <w:spacing w:after="0"/>
              <w:rPr>
                <w:sz w:val="1"/>
                <w:szCs w:val="1"/>
                <w:color w:val="auto"/>
              </w:rPr>
            </w:pPr>
          </w:p>
        </w:tc>
      </w:tr>
      <w:tr>
        <w:trPr>
          <w:trHeight w:val="149"/>
        </w:trPr>
        <w:tc>
          <w:tcPr>
            <w:tcW w:w="2200" w:type="dxa"/>
            <w:vAlign w:val="bottom"/>
            <w:tcBorders>
              <w:bottom w:val="single" w:sz="8" w:color="70AD47"/>
            </w:tcBorders>
          </w:tcPr>
          <w:p>
            <w:pPr>
              <w:spacing w:after="0"/>
              <w:rPr>
                <w:sz w:val="20"/>
                <w:szCs w:val="20"/>
                <w:color w:val="auto"/>
              </w:rPr>
            </w:pPr>
            <w:r>
              <w:rPr>
                <w:rFonts w:ascii="Arial" w:cs="Arial" w:eastAsia="Arial" w:hAnsi="Arial"/>
                <w:sz w:val="13"/>
                <w:szCs w:val="13"/>
                <w:i w:val="1"/>
                <w:iCs w:val="1"/>
                <w:color w:val="auto"/>
              </w:rPr>
              <w:t>(unaudited)</w:t>
            </w:r>
          </w:p>
        </w:tc>
        <w:tc>
          <w:tcPr>
            <w:tcW w:w="720" w:type="dxa"/>
            <w:vAlign w:val="bottom"/>
            <w:tcBorders>
              <w:bottom w:val="single" w:sz="8" w:color="70AD47"/>
              <w:right w:val="single" w:sz="8" w:color="70AD47"/>
            </w:tcBorders>
          </w:tcPr>
          <w:p>
            <w:pPr>
              <w:spacing w:after="0"/>
              <w:rPr>
                <w:sz w:val="12"/>
                <w:szCs w:val="12"/>
                <w:color w:val="auto"/>
              </w:rPr>
            </w:pPr>
          </w:p>
        </w:tc>
        <w:tc>
          <w:tcPr>
            <w:tcW w:w="900" w:type="dxa"/>
            <w:vAlign w:val="bottom"/>
            <w:tcBorders>
              <w:bottom w:val="single" w:sz="8" w:color="70AD47"/>
            </w:tcBorders>
          </w:tcPr>
          <w:p>
            <w:pPr>
              <w:spacing w:after="0"/>
              <w:rPr>
                <w:sz w:val="12"/>
                <w:szCs w:val="12"/>
                <w:color w:val="auto"/>
              </w:rPr>
            </w:pPr>
          </w:p>
        </w:tc>
        <w:tc>
          <w:tcPr>
            <w:tcW w:w="940" w:type="dxa"/>
            <w:vAlign w:val="bottom"/>
            <w:tcBorders>
              <w:bottom w:val="single" w:sz="8" w:color="70AD47"/>
            </w:tcBorders>
          </w:tcPr>
          <w:p>
            <w:pPr>
              <w:spacing w:after="0"/>
              <w:rPr>
                <w:sz w:val="12"/>
                <w:szCs w:val="12"/>
                <w:color w:val="auto"/>
              </w:rPr>
            </w:pPr>
          </w:p>
        </w:tc>
        <w:tc>
          <w:tcPr>
            <w:tcW w:w="940" w:type="dxa"/>
            <w:vAlign w:val="bottom"/>
            <w:tcBorders>
              <w:bottom w:val="single" w:sz="8" w:color="70AD47"/>
            </w:tcBorders>
          </w:tcPr>
          <w:p>
            <w:pPr>
              <w:spacing w:after="0"/>
              <w:rPr>
                <w:sz w:val="12"/>
                <w:szCs w:val="12"/>
                <w:color w:val="auto"/>
              </w:rPr>
            </w:pPr>
          </w:p>
        </w:tc>
        <w:tc>
          <w:tcPr>
            <w:tcW w:w="920" w:type="dxa"/>
            <w:vAlign w:val="bottom"/>
            <w:tcBorders>
              <w:bottom w:val="single" w:sz="8" w:color="70AD47"/>
            </w:tcBorders>
          </w:tcPr>
          <w:p>
            <w:pPr>
              <w:spacing w:after="0"/>
              <w:rPr>
                <w:sz w:val="12"/>
                <w:szCs w:val="12"/>
                <w:color w:val="auto"/>
              </w:rPr>
            </w:pPr>
          </w:p>
        </w:tc>
        <w:tc>
          <w:tcPr>
            <w:tcW w:w="940" w:type="dxa"/>
            <w:vAlign w:val="bottom"/>
            <w:tcBorders>
              <w:bottom w:val="single" w:sz="8" w:color="70AD47"/>
            </w:tcBorders>
          </w:tcPr>
          <w:p>
            <w:pPr>
              <w:spacing w:after="0"/>
              <w:rPr>
                <w:sz w:val="12"/>
                <w:szCs w:val="12"/>
                <w:color w:val="auto"/>
              </w:rPr>
            </w:pPr>
          </w:p>
        </w:tc>
        <w:tc>
          <w:tcPr>
            <w:tcW w:w="940" w:type="dxa"/>
            <w:vAlign w:val="bottom"/>
            <w:tcBorders>
              <w:bottom w:val="single" w:sz="8" w:color="70AD47"/>
              <w:right w:val="single" w:sz="8" w:color="70AD47"/>
            </w:tcBorders>
          </w:tcPr>
          <w:p>
            <w:pPr>
              <w:spacing w:after="0"/>
              <w:rPr>
                <w:sz w:val="12"/>
                <w:szCs w:val="12"/>
                <w:color w:val="auto"/>
              </w:rPr>
            </w:pPr>
          </w:p>
        </w:tc>
        <w:tc>
          <w:tcPr>
            <w:tcW w:w="920" w:type="dxa"/>
            <w:vAlign w:val="bottom"/>
            <w:tcBorders>
              <w:bottom w:val="single" w:sz="8" w:color="70AD47"/>
              <w:right w:val="single" w:sz="8" w:color="70AD47"/>
            </w:tcBorders>
          </w:tcPr>
          <w:p>
            <w:pPr>
              <w:spacing w:after="0"/>
              <w:rPr>
                <w:sz w:val="12"/>
                <w:szCs w:val="12"/>
                <w:color w:val="auto"/>
              </w:rPr>
            </w:pPr>
          </w:p>
        </w:tc>
        <w:tc>
          <w:tcPr>
            <w:tcW w:w="920" w:type="dxa"/>
            <w:vAlign w:val="bottom"/>
            <w:tcBorders>
              <w:bottom w:val="single" w:sz="8" w:color="70AD47"/>
              <w:right w:val="single" w:sz="8" w:color="70AD47"/>
            </w:tcBorders>
          </w:tcPr>
          <w:p>
            <w:pPr>
              <w:spacing w:after="0"/>
              <w:rPr>
                <w:sz w:val="12"/>
                <w:szCs w:val="12"/>
                <w:color w:val="auto"/>
              </w:rPr>
            </w:pPr>
          </w:p>
        </w:tc>
        <w:tc>
          <w:tcPr>
            <w:tcW w:w="920" w:type="dxa"/>
            <w:vAlign w:val="bottom"/>
            <w:tcBorders>
              <w:bottom w:val="single" w:sz="8" w:color="70AD47"/>
              <w:right w:val="single" w:sz="8" w:color="70AD47"/>
            </w:tcBorders>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3"/>
          <w:szCs w:val="13"/>
          <w:color w:val="auto"/>
        </w:rPr>
        <w:t>* Numbers have been adjusted to reflect capital increase due to 1:18 share split which occurred on September 18, 2019.</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form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16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973" w:right="319" w:bottom="1440" w:gutter="0" w:footer="0" w:header="0"/>
        </w:sectPr>
      </w:pPr>
    </w:p>
    <w:bookmarkStart w:id="23" w:name="page24"/>
    <w:bookmarkEnd w:id="23"/>
    <w:p>
      <w:pP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Interim Condensed Consolidated Statements of Cash Flows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26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234"/>
        </w:trPr>
        <w:tc>
          <w:tcPr>
            <w:tcW w:w="8580" w:type="dxa"/>
            <w:vAlign w:val="bottom"/>
          </w:tcPr>
          <w:p>
            <w:pPr>
              <w:spacing w:after="0"/>
              <w:rPr>
                <w:sz w:val="20"/>
                <w:szCs w:val="20"/>
                <w:color w:val="auto"/>
              </w:rPr>
            </w:pPr>
          </w:p>
        </w:tc>
        <w:tc>
          <w:tcPr>
            <w:tcW w:w="1840" w:type="dxa"/>
            <w:vAlign w:val="bottom"/>
            <w:gridSpan w:val="2"/>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Borders>
              <w:right w:val="single" w:sz="8" w:color="70AD47"/>
            </w:tcBorders>
          </w:tcPr>
          <w:p>
            <w:pPr>
              <w:spacing w:after="0"/>
              <w:rPr>
                <w:sz w:val="21"/>
                <w:szCs w:val="21"/>
                <w:color w:val="auto"/>
              </w:rPr>
            </w:pP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i w:val="1"/>
                <w:iCs w:val="1"/>
                <w:color w:val="auto"/>
              </w:rPr>
              <w:t>(in thousands)</w:t>
            </w:r>
          </w:p>
        </w:tc>
        <w:tc>
          <w:tcPr>
            <w:tcW w:w="1840" w:type="dxa"/>
            <w:vAlign w:val="bottom"/>
            <w:tcBorders>
              <w:bottom w:val="single" w:sz="8" w:color="70AD47"/>
            </w:tcBorders>
            <w:gridSpan w:val="2"/>
          </w:tcPr>
          <w:p>
            <w:pPr>
              <w:jc w:val="center"/>
              <w:ind w:left="710"/>
              <w:spacing w:after="0"/>
              <w:rPr>
                <w:sz w:val="20"/>
                <w:szCs w:val="20"/>
                <w:color w:val="auto"/>
              </w:rPr>
            </w:pPr>
            <w:r>
              <w:rPr>
                <w:rFonts w:ascii="Arial" w:cs="Arial" w:eastAsia="Arial" w:hAnsi="Arial"/>
                <w:sz w:val="18"/>
                <w:szCs w:val="18"/>
                <w:i w:val="1"/>
                <w:iCs w:val="1"/>
                <w:color w:val="auto"/>
                <w:w w:val="92"/>
              </w:rPr>
              <w:t>(unaudited)</w:t>
            </w:r>
          </w:p>
        </w:tc>
        <w:tc>
          <w:tcPr>
            <w:tcW w:w="820" w:type="dxa"/>
            <w:vAlign w:val="bottom"/>
            <w:tcBorders>
              <w:bottom w:val="single" w:sz="8" w:color="70AD47"/>
            </w:tcBorders>
          </w:tcPr>
          <w:p>
            <w:pPr>
              <w:spacing w:after="0"/>
              <w:rPr>
                <w:sz w:val="20"/>
                <w:szCs w:val="20"/>
                <w:color w:val="auto"/>
              </w:rPr>
            </w:pP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b w:val="1"/>
                <w:bCs w:val="1"/>
                <w:color w:val="auto"/>
              </w:rPr>
              <w:t>Operating activities</w:t>
            </w:r>
          </w:p>
        </w:tc>
        <w:tc>
          <w:tcPr>
            <w:tcW w:w="1340" w:type="dxa"/>
            <w:vAlign w:val="bottom"/>
            <w:tcBorders>
              <w:right w:val="single" w:sz="8" w:color="70AD47"/>
            </w:tcBorders>
            <w:shd w:val="clear" w:color="auto" w:fill="C6E0B4"/>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Loss for the period</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€(141,682)</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€(90,846)</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color w:val="auto"/>
              </w:rPr>
              <w:t>Income taxes</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(2,198)</w:t>
            </w:r>
          </w:p>
        </w:tc>
        <w:tc>
          <w:tcPr>
            <w:tcW w:w="500" w:type="dxa"/>
            <w:vAlign w:val="bottom"/>
            <w:tcBorders>
              <w:bottom w:val="single" w:sz="8" w:color="70AD47"/>
            </w:tcBorders>
          </w:tcPr>
          <w:p>
            <w:pPr>
              <w:spacing w:after="0"/>
              <w:rPr>
                <w:sz w:val="21"/>
                <w:szCs w:val="21"/>
                <w:color w:val="auto"/>
              </w:rPr>
            </w:pPr>
          </w:p>
        </w:tc>
        <w:tc>
          <w:tcPr>
            <w:tcW w:w="82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70AD47"/>
            </w:tcBorders>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5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color w:val="auto"/>
              </w:rPr>
              <w:t>Loss before tax</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€(143,880)</w:t>
            </w:r>
          </w:p>
        </w:tc>
        <w:tc>
          <w:tcPr>
            <w:tcW w:w="500" w:type="dxa"/>
            <w:vAlign w:val="bottom"/>
            <w:tcBorders>
              <w:bottom w:val="single" w:sz="8" w:color="70AD47"/>
            </w:tcBorders>
          </w:tcPr>
          <w:p>
            <w:pPr>
              <w:spacing w:after="0"/>
              <w:rPr>
                <w:sz w:val="20"/>
                <w:szCs w:val="20"/>
                <w:color w:val="auto"/>
              </w:rPr>
            </w:pPr>
          </w:p>
        </w:tc>
        <w:tc>
          <w:tcPr>
            <w:tcW w:w="82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rPr>
              <w:t>€(90,827)</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Adjustments to reconcile loss before tax to net cash flows:</w:t>
            </w:r>
          </w:p>
        </w:tc>
        <w:tc>
          <w:tcPr>
            <w:tcW w:w="1340" w:type="dxa"/>
            <w:vAlign w:val="bottom"/>
            <w:tcBorders>
              <w:right w:val="single" w:sz="8" w:color="70AD47"/>
            </w:tcBorders>
            <w:shd w:val="clear" w:color="auto" w:fill="C6E0B4"/>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580" w:type="dxa"/>
            <w:vAlign w:val="bottom"/>
            <w:tcBorders>
              <w:right w:val="single" w:sz="8" w:color="70AD47"/>
            </w:tcBorders>
          </w:tcPr>
          <w:p>
            <w:pPr>
              <w:ind w:left="500"/>
              <w:spacing w:after="0"/>
              <w:rPr>
                <w:sz w:val="20"/>
                <w:szCs w:val="20"/>
                <w:color w:val="auto"/>
              </w:rPr>
            </w:pPr>
            <w:r>
              <w:rPr>
                <w:rFonts w:ascii="Arial" w:cs="Arial" w:eastAsia="Arial" w:hAnsi="Arial"/>
                <w:sz w:val="18"/>
                <w:szCs w:val="18"/>
                <w:color w:val="auto"/>
              </w:rPr>
              <w:t>Depreciation and amortization of property, plant, equipment and intangible assets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17,425</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15,595</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Borders>
              <w:right w:val="single" w:sz="8" w:color="70AD47"/>
            </w:tcBorders>
          </w:tcPr>
          <w:p>
            <w:pPr>
              <w:ind w:left="500"/>
              <w:spacing w:after="0"/>
              <w:rPr>
                <w:sz w:val="20"/>
                <w:szCs w:val="20"/>
                <w:color w:val="auto"/>
              </w:rPr>
            </w:pPr>
            <w:r>
              <w:rPr>
                <w:rFonts w:ascii="Arial" w:cs="Arial" w:eastAsia="Arial" w:hAnsi="Arial"/>
                <w:sz w:val="18"/>
                <w:szCs w:val="18"/>
                <w:color w:val="auto"/>
              </w:rPr>
              <w:t>Share-based payment expense</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16,263</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17,986</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Borders>
              <w:right w:val="single" w:sz="8" w:color="70AD47"/>
            </w:tcBorders>
          </w:tcPr>
          <w:p>
            <w:pPr>
              <w:ind w:left="500"/>
              <w:spacing w:after="0"/>
              <w:rPr>
                <w:sz w:val="20"/>
                <w:szCs w:val="20"/>
                <w:color w:val="auto"/>
              </w:rPr>
            </w:pPr>
            <w:r>
              <w:rPr>
                <w:rFonts w:ascii="Arial" w:cs="Arial" w:eastAsia="Arial" w:hAnsi="Arial"/>
                <w:sz w:val="18"/>
                <w:szCs w:val="18"/>
                <w:color w:val="auto"/>
              </w:rPr>
              <w:t>Net foreign exchange differences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Borders>
              <w:right w:val="single" w:sz="8" w:color="70AD47"/>
            </w:tcBorders>
          </w:tcPr>
          <w:p>
            <w:pPr>
              <w:ind w:left="500"/>
              <w:spacing w:after="0"/>
              <w:rPr>
                <w:sz w:val="20"/>
                <w:szCs w:val="20"/>
                <w:color w:val="auto"/>
              </w:rPr>
            </w:pPr>
            <w:r>
              <w:rPr>
                <w:rFonts w:ascii="Arial" w:cs="Arial" w:eastAsia="Arial" w:hAnsi="Arial"/>
                <w:sz w:val="18"/>
                <w:szCs w:val="18"/>
                <w:color w:val="auto"/>
              </w:rPr>
              <w:t>Loss on disposal of property, plant and equipment</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80</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Borders>
              <w:right w:val="single" w:sz="8" w:color="70AD47"/>
            </w:tcBorders>
          </w:tcPr>
          <w:p>
            <w:pPr>
              <w:ind w:left="500"/>
              <w:spacing w:after="0"/>
              <w:rPr>
                <w:sz w:val="20"/>
                <w:szCs w:val="20"/>
                <w:color w:val="auto"/>
              </w:rPr>
            </w:pPr>
            <w:r>
              <w:rPr>
                <w:rFonts w:ascii="Arial" w:cs="Arial" w:eastAsia="Arial" w:hAnsi="Arial"/>
                <w:sz w:val="18"/>
                <w:szCs w:val="18"/>
                <w:color w:val="auto"/>
              </w:rPr>
              <w:t>Finance income</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(593)</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(769)</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Borders>
              <w:right w:val="single" w:sz="8" w:color="70AD47"/>
            </w:tcBorders>
          </w:tcPr>
          <w:p>
            <w:pPr>
              <w:ind w:left="500"/>
              <w:spacing w:after="0"/>
              <w:rPr>
                <w:sz w:val="20"/>
                <w:szCs w:val="20"/>
                <w:color w:val="auto"/>
              </w:rPr>
            </w:pPr>
            <w:r>
              <w:rPr>
                <w:rFonts w:ascii="Arial" w:cs="Arial" w:eastAsia="Arial" w:hAnsi="Arial"/>
                <w:sz w:val="18"/>
                <w:szCs w:val="18"/>
                <w:color w:val="auto"/>
              </w:rPr>
              <w:t>Interest on lease liability</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880</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850</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Borders>
              <w:right w:val="single" w:sz="8" w:color="70AD47"/>
            </w:tcBorders>
          </w:tcPr>
          <w:p>
            <w:pPr>
              <w:ind w:left="500"/>
              <w:spacing w:after="0"/>
              <w:rPr>
                <w:sz w:val="20"/>
                <w:szCs w:val="20"/>
                <w:color w:val="auto"/>
              </w:rPr>
            </w:pPr>
            <w:r>
              <w:rPr>
                <w:rFonts w:ascii="Arial" w:cs="Arial" w:eastAsia="Arial" w:hAnsi="Arial"/>
                <w:sz w:val="18"/>
                <w:szCs w:val="18"/>
                <w:color w:val="auto"/>
              </w:rPr>
              <w:t>Finance expense</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208</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Borders>
              <w:right w:val="single" w:sz="8" w:color="70AD47"/>
            </w:tcBorders>
          </w:tcPr>
          <w:p>
            <w:pPr>
              <w:ind w:left="500"/>
              <w:spacing w:after="0"/>
              <w:rPr>
                <w:sz w:val="20"/>
                <w:szCs w:val="20"/>
                <w:color w:val="auto"/>
              </w:rPr>
            </w:pPr>
            <w:r>
              <w:rPr>
                <w:rFonts w:ascii="Arial" w:cs="Arial" w:eastAsia="Arial" w:hAnsi="Arial"/>
                <w:sz w:val="18"/>
                <w:szCs w:val="18"/>
                <w:color w:val="auto"/>
              </w:rPr>
              <w:t>Other non-cash income</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(151)</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Working capital adjustments:</w:t>
            </w:r>
          </w:p>
        </w:tc>
        <w:tc>
          <w:tcPr>
            <w:tcW w:w="1340" w:type="dxa"/>
            <w:vAlign w:val="bottom"/>
            <w:tcBorders>
              <w:right w:val="single" w:sz="8" w:color="70AD47"/>
            </w:tcBorders>
            <w:shd w:val="clear" w:color="auto" w:fill="C6E0B4"/>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Borders>
              <w:right w:val="single" w:sz="8" w:color="70AD47"/>
            </w:tcBorders>
          </w:tcPr>
          <w:p>
            <w:pPr>
              <w:ind w:left="500"/>
              <w:spacing w:after="0"/>
              <w:rPr>
                <w:sz w:val="20"/>
                <w:szCs w:val="20"/>
                <w:color w:val="auto"/>
              </w:rPr>
            </w:pPr>
            <w:r>
              <w:rPr>
                <w:rFonts w:ascii="Arial" w:cs="Arial" w:eastAsia="Arial" w:hAnsi="Arial"/>
                <w:sz w:val="18"/>
                <w:szCs w:val="18"/>
                <w:color w:val="auto"/>
              </w:rPr>
              <w:t>Decrease/(Increase) in trade receivable and contract assets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(9,770)</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9,715</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Borders>
              <w:right w:val="single" w:sz="8" w:color="70AD47"/>
            </w:tcBorders>
          </w:tcPr>
          <w:p>
            <w:pPr>
              <w:ind w:left="500"/>
              <w:spacing w:after="0"/>
              <w:rPr>
                <w:sz w:val="20"/>
                <w:szCs w:val="20"/>
                <w:color w:val="auto"/>
              </w:rPr>
            </w:pPr>
            <w:r>
              <w:rPr>
                <w:rFonts w:ascii="Arial" w:cs="Arial" w:eastAsia="Arial" w:hAnsi="Arial"/>
                <w:sz w:val="18"/>
                <w:szCs w:val="18"/>
                <w:color w:val="auto"/>
              </w:rPr>
              <w:t>Decrease/(Increase) in inventories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3,246</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(1,355)</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Borders>
              <w:right w:val="single" w:sz="8" w:color="70AD47"/>
            </w:tcBorders>
          </w:tcPr>
          <w:p>
            <w:pPr>
              <w:ind w:left="500"/>
              <w:spacing w:after="0"/>
              <w:rPr>
                <w:sz w:val="20"/>
                <w:szCs w:val="20"/>
                <w:color w:val="auto"/>
              </w:rPr>
            </w:pPr>
            <w:r>
              <w:rPr>
                <w:rFonts w:ascii="Arial" w:cs="Arial" w:eastAsia="Arial" w:hAnsi="Arial"/>
                <w:sz w:val="18"/>
                <w:szCs w:val="18"/>
                <w:color w:val="auto"/>
              </w:rPr>
              <w:t>(Decrease)/Increase in trade payables, other liabilities, contract liabilities and provisions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46,918</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(36,936)</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Interest received</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576</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769</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Interest paid</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(985)</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(1,001)</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color w:val="auto"/>
              </w:rPr>
              <w:t>Income tax paid</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(375)</w:t>
            </w:r>
          </w:p>
        </w:tc>
        <w:tc>
          <w:tcPr>
            <w:tcW w:w="500" w:type="dxa"/>
            <w:vAlign w:val="bottom"/>
            <w:tcBorders>
              <w:bottom w:val="single" w:sz="8" w:color="70AD47"/>
            </w:tcBorders>
          </w:tcPr>
          <w:p>
            <w:pPr>
              <w:spacing w:after="0"/>
              <w:rPr>
                <w:sz w:val="21"/>
                <w:szCs w:val="21"/>
                <w:color w:val="auto"/>
              </w:rPr>
            </w:pPr>
          </w:p>
        </w:tc>
        <w:tc>
          <w:tcPr>
            <w:tcW w:w="82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70AD47"/>
            </w:tcBorders>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5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€(70,208)</w:t>
            </w:r>
          </w:p>
        </w:tc>
        <w:tc>
          <w:tcPr>
            <w:tcW w:w="500" w:type="dxa"/>
            <w:vAlign w:val="bottom"/>
            <w:tcBorders>
              <w:bottom w:val="single" w:sz="8" w:color="70AD47"/>
            </w:tcBorders>
          </w:tcPr>
          <w:p>
            <w:pPr>
              <w:spacing w:after="0"/>
              <w:rPr>
                <w:sz w:val="20"/>
                <w:szCs w:val="20"/>
                <w:color w:val="auto"/>
              </w:rPr>
            </w:pPr>
          </w:p>
        </w:tc>
        <w:tc>
          <w:tcPr>
            <w:tcW w:w="82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rPr>
              <w:t>€(85,689)</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470"/>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b w:val="1"/>
                <w:bCs w:val="1"/>
                <w:color w:val="auto"/>
              </w:rPr>
              <w:t>Investing activities</w:t>
            </w:r>
          </w:p>
        </w:tc>
        <w:tc>
          <w:tcPr>
            <w:tcW w:w="1340" w:type="dxa"/>
            <w:vAlign w:val="bottom"/>
            <w:tcBorders>
              <w:right w:val="single" w:sz="8" w:color="70AD47"/>
            </w:tcBorders>
            <w:shd w:val="clear" w:color="auto" w:fill="C6E0B4"/>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Purchase of property, plant and equipment</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(21,396)</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(10,608)</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Proceeds from sale of property, plant and equipment</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557</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Purchase of intangibles assets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(4,174)</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(29,665)</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color w:val="auto"/>
              </w:rPr>
              <w:t>Acquisition of subsidiaries and businesses, net of cash acquired</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891</w:t>
            </w:r>
          </w:p>
        </w:tc>
        <w:tc>
          <w:tcPr>
            <w:tcW w:w="500" w:type="dxa"/>
            <w:vAlign w:val="bottom"/>
            <w:tcBorders>
              <w:bottom w:val="single" w:sz="8" w:color="70AD47"/>
            </w:tcBorders>
          </w:tcPr>
          <w:p>
            <w:pPr>
              <w:spacing w:after="0"/>
              <w:rPr>
                <w:sz w:val="21"/>
                <w:szCs w:val="21"/>
                <w:color w:val="auto"/>
              </w:rPr>
            </w:pPr>
          </w:p>
        </w:tc>
        <w:tc>
          <w:tcPr>
            <w:tcW w:w="82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(6,050)</w:t>
            </w:r>
          </w:p>
        </w:tc>
        <w:tc>
          <w:tcPr>
            <w:tcW w:w="20" w:type="dxa"/>
            <w:vAlign w:val="bottom"/>
            <w:tcBorders>
              <w:bottom w:val="single" w:sz="8" w:color="70AD47"/>
            </w:tcBorders>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5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€(24,677)</w:t>
            </w:r>
          </w:p>
        </w:tc>
        <w:tc>
          <w:tcPr>
            <w:tcW w:w="500" w:type="dxa"/>
            <w:vAlign w:val="bottom"/>
            <w:tcBorders>
              <w:bottom w:val="single" w:sz="8" w:color="70AD47"/>
            </w:tcBorders>
          </w:tcPr>
          <w:p>
            <w:pPr>
              <w:spacing w:after="0"/>
              <w:rPr>
                <w:sz w:val="20"/>
                <w:szCs w:val="20"/>
                <w:color w:val="auto"/>
              </w:rPr>
            </w:pPr>
          </w:p>
        </w:tc>
        <w:tc>
          <w:tcPr>
            <w:tcW w:w="82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rPr>
              <w:t>€(45,766)</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470"/>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b w:val="1"/>
                <w:bCs w:val="1"/>
                <w:color w:val="auto"/>
              </w:rPr>
              <w:t>Financing activities</w:t>
            </w:r>
          </w:p>
        </w:tc>
        <w:tc>
          <w:tcPr>
            <w:tcW w:w="1340" w:type="dxa"/>
            <w:vAlign w:val="bottom"/>
            <w:tcBorders>
              <w:right w:val="single" w:sz="8" w:color="70AD47"/>
            </w:tcBorders>
            <w:shd w:val="clear" w:color="auto" w:fill="C6E0B4"/>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Proceeds from issuance of share capital, net of costs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147,806</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Proceeds from loans and borrowings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2,899</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6,035</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Repayment of loans and borrowings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(319)</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color w:val="auto"/>
              </w:rPr>
              <w:t>Payments related to lease liabilities</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(2,173)</w:t>
            </w:r>
          </w:p>
        </w:tc>
        <w:tc>
          <w:tcPr>
            <w:tcW w:w="500" w:type="dxa"/>
            <w:vAlign w:val="bottom"/>
            <w:tcBorders>
              <w:bottom w:val="single" w:sz="8" w:color="70AD47"/>
            </w:tcBorders>
          </w:tcPr>
          <w:p>
            <w:pPr>
              <w:spacing w:after="0"/>
              <w:rPr>
                <w:sz w:val="21"/>
                <w:szCs w:val="21"/>
                <w:color w:val="auto"/>
              </w:rPr>
            </w:pPr>
          </w:p>
        </w:tc>
        <w:tc>
          <w:tcPr>
            <w:tcW w:w="82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(1,291)</w:t>
            </w:r>
          </w:p>
        </w:tc>
        <w:tc>
          <w:tcPr>
            <w:tcW w:w="20" w:type="dxa"/>
            <w:vAlign w:val="bottom"/>
            <w:tcBorders>
              <w:bottom w:val="single" w:sz="8" w:color="70AD47"/>
            </w:tcBorders>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5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€148,213</w:t>
            </w:r>
          </w:p>
        </w:tc>
        <w:tc>
          <w:tcPr>
            <w:tcW w:w="500" w:type="dxa"/>
            <w:vAlign w:val="bottom"/>
            <w:tcBorders>
              <w:bottom w:val="single" w:sz="8" w:color="70AD47"/>
            </w:tcBorders>
          </w:tcPr>
          <w:p>
            <w:pPr>
              <w:spacing w:after="0"/>
              <w:rPr>
                <w:sz w:val="20"/>
                <w:szCs w:val="20"/>
                <w:color w:val="auto"/>
              </w:rPr>
            </w:pPr>
          </w:p>
        </w:tc>
        <w:tc>
          <w:tcPr>
            <w:tcW w:w="82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rPr>
              <w:t>€4,919</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470"/>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Net increase/(decrease) in cash and cash equivalents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53,328</w:t>
            </w: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(126,536)</w:t>
            </w: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Change in cash resulting from exchange rate differences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534</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color w:val="auto"/>
              </w:rPr>
              <w:t>Cash and cash equivalents at January 1</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519,149</w:t>
            </w:r>
          </w:p>
        </w:tc>
        <w:tc>
          <w:tcPr>
            <w:tcW w:w="500" w:type="dxa"/>
            <w:vAlign w:val="bottom"/>
            <w:tcBorders>
              <w:bottom w:val="single" w:sz="8" w:color="70AD47"/>
            </w:tcBorders>
          </w:tcPr>
          <w:p>
            <w:pPr>
              <w:spacing w:after="0"/>
              <w:rPr>
                <w:sz w:val="21"/>
                <w:szCs w:val="21"/>
                <w:color w:val="auto"/>
              </w:rPr>
            </w:pPr>
          </w:p>
        </w:tc>
        <w:tc>
          <w:tcPr>
            <w:tcW w:w="82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411,495</w:t>
            </w:r>
          </w:p>
        </w:tc>
        <w:tc>
          <w:tcPr>
            <w:tcW w:w="20" w:type="dxa"/>
            <w:vAlign w:val="bottom"/>
            <w:tcBorders>
              <w:bottom w:val="single" w:sz="8" w:color="70AD47"/>
            </w:tcBorders>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5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Cash and cash equivalents at June 30</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€573,011</w:t>
            </w:r>
          </w:p>
        </w:tc>
        <w:tc>
          <w:tcPr>
            <w:tcW w:w="500" w:type="dxa"/>
            <w:vAlign w:val="bottom"/>
            <w:tcBorders>
              <w:bottom w:val="single" w:sz="8" w:color="70AD47"/>
            </w:tcBorders>
          </w:tcPr>
          <w:p>
            <w:pPr>
              <w:spacing w:after="0"/>
              <w:rPr>
                <w:sz w:val="20"/>
                <w:szCs w:val="20"/>
                <w:color w:val="auto"/>
              </w:rPr>
            </w:pPr>
          </w:p>
        </w:tc>
        <w:tc>
          <w:tcPr>
            <w:tcW w:w="82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rPr>
              <w:t>€284,890</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580" w:type="dxa"/>
            <w:vAlign w:val="bottom"/>
          </w:tcPr>
          <w:p>
            <w:pPr>
              <w:ind w:left="1740"/>
              <w:spacing w:after="0"/>
              <w:rPr>
                <w:sz w:val="20"/>
                <w:szCs w:val="20"/>
                <w:color w:val="auto"/>
              </w:rPr>
            </w:pPr>
            <w:r>
              <w:rPr>
                <w:rFonts w:ascii="Arial" w:cs="Arial" w:eastAsia="Arial" w:hAnsi="Arial"/>
                <w:sz w:val="18"/>
                <w:szCs w:val="18"/>
                <w:color w:val="auto"/>
                <w:w w:val="88"/>
              </w:rPr>
              <w:t>The accompanying notes form an integral part of these interim condensed consolidated financial</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w w:val="98"/>
              </w:rPr>
              <w:t>statements.</w:t>
            </w: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8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21"/>
        </w:trPr>
        <w:tc>
          <w:tcPr>
            <w:tcW w:w="85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973" w:right="319" w:bottom="1440" w:gutter="0" w:footer="0" w:header="0"/>
        </w:sectPr>
      </w:pPr>
    </w:p>
    <w:bookmarkStart w:id="24" w:name="page25"/>
    <w:bookmarkEnd w:id="24"/>
    <w:p>
      <w:pP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Selected Explanatory Notes to the Interim Condensed Consolidated Financial Statements</w:t>
      </w:r>
    </w:p>
    <w:p>
      <w:pPr>
        <w:spacing w:after="0" w:line="226" w:lineRule="exact"/>
        <w:rPr>
          <w:sz w:val="20"/>
          <w:szCs w:val="20"/>
          <w:color w:val="auto"/>
        </w:rPr>
      </w:pPr>
    </w:p>
    <w:p>
      <w:pPr>
        <w:ind w:left="720" w:hanging="712"/>
        <w:spacing w:after="0"/>
        <w:tabs>
          <w:tab w:leader="none" w:pos="720" w:val="left"/>
        </w:tabs>
        <w:numPr>
          <w:ilvl w:val="0"/>
          <w:numId w:val="29"/>
        </w:numPr>
        <w:rPr>
          <w:rFonts w:ascii="Arial" w:cs="Arial" w:eastAsia="Arial" w:hAnsi="Arial"/>
          <w:sz w:val="25"/>
          <w:szCs w:val="25"/>
          <w:color w:val="auto"/>
        </w:rPr>
      </w:pPr>
      <w:r>
        <w:rPr>
          <w:rFonts w:ascii="Arial" w:cs="Arial" w:eastAsia="Arial" w:hAnsi="Arial"/>
          <w:sz w:val="25"/>
          <w:szCs w:val="25"/>
          <w:color w:val="auto"/>
        </w:rPr>
        <w:t>Corporate Information</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BioNTech SE is a limited company incorporated and domiciled in Germany. American Depositary Shares (ADS) representing BioNTech’s shares have been publicly traded on the Nasdaq Global Select Market since October 10, 2019. The registered office is located in Mainz, An der Goldgrube 12, 55131 Germany. The accompanying International Financial Reporting Standards, or IFRS, unaudited interim condensed consolidated financial statements present the financial position and the results of operation of BioNTech SE and its subsidiaries, hereinafter also referred to as “BioNTech” or the “Group” and have been prepared on a going concern basis in accordance with the IFRS as issued by the International Accounting Standards Board, or IASB.</w:t>
      </w:r>
    </w:p>
    <w:p>
      <w:pPr>
        <w:spacing w:after="0" w:line="7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BioNTech combines decades of groundbreaking research in immunology, cutting-edge therapeutic platforms and a suite of patient profiling and bioinformatic tools to develop immunotherapies for cancer and other diseases. BioNTech leverages powerful new therapeutic mechanisms and exploits a diverse array of biological targets to harness the power of each patient’s immune system to address the unique molecular signature of each patient’s underlying disease. The breadth of BioNTech’s immunotherapy technologies and expertise has enabled the Group to develop therapies to address a range of rare and infectious diseases, and BioNTech has recently rapidly mobilized these with the aim of addressing the COVID-19 pandemic.</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On May 6, 2020 BioNTech SE acquired Neon Therapeutics, Inc., Cambridge, Massachusetts, United States (formerly Nasdaq: NTGN), or Neon. Under the merger agreement by and among BioNTech, Neon and BioNTech’s wholly owned subsidiary, Endor Lights, Inc., New York, United States, Endor Lights, Inc. merged with and into Neon. The new subsidiary operates under the name BioNTech US Inc., a wholly owned subsidiary of BioNTech SE, and serves as BioNTech’s headquarters in the United States. All BioNTech entities are included in the Group’s unaudited interim condensed consolidated financial statements.</w:t>
      </w:r>
    </w:p>
    <w:p>
      <w:pPr>
        <w:spacing w:after="0" w:line="19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These unaudited interim condensed consolidated financial statements of the Group as of and for the three and six months ended June 30, 2020 were authorized for issuance in accordance with a resolution of the audit committee on August 10, 2020.</w:t>
      </w:r>
    </w:p>
    <w:p>
      <w:pPr>
        <w:spacing w:after="0" w:line="385" w:lineRule="exact"/>
        <w:rPr>
          <w:sz w:val="20"/>
          <w:szCs w:val="20"/>
          <w:color w:val="auto"/>
        </w:rPr>
      </w:pPr>
    </w:p>
    <w:p>
      <w:pPr>
        <w:ind w:left="720" w:hanging="712"/>
        <w:spacing w:after="0"/>
        <w:tabs>
          <w:tab w:leader="none" w:pos="720" w:val="left"/>
        </w:tabs>
        <w:numPr>
          <w:ilvl w:val="0"/>
          <w:numId w:val="30"/>
        </w:numPr>
        <w:rPr>
          <w:rFonts w:ascii="Arial" w:cs="Arial" w:eastAsia="Arial" w:hAnsi="Arial"/>
          <w:sz w:val="28"/>
          <w:szCs w:val="28"/>
          <w:color w:val="auto"/>
        </w:rPr>
      </w:pPr>
      <w:r>
        <w:rPr>
          <w:rFonts w:ascii="Arial" w:cs="Arial" w:eastAsia="Arial" w:hAnsi="Arial"/>
          <w:sz w:val="28"/>
          <w:szCs w:val="28"/>
          <w:color w:val="auto"/>
        </w:rPr>
        <w:t>Basis of Preparation, Significant Accounting Policies and further Accounting Topics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Preparation</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These unaudited interim condensed consolidated financial statements as of and for the three and six months ended June 30, 2020 have been prepared in accordance with IAS 34 Interim Financial Reporting.</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unaudited interim condensed consolidated financial statements do not include all the information and disclosures required in the consolidated financial statements and should be read in conjunction with the Group’s consolidated financial statements as of and for the year ended December 31, 2019.</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BioNTech prepares and presents its unaudited interim condensed consolidated financial statements in Euros. Due to rounding, numbers presented throughout this document may not add up precisely to the totals provided and percentages may not precisely reflect the absolute figures.</w:t>
      </w:r>
    </w:p>
    <w:p>
      <w:pPr>
        <w:spacing w:after="0" w:line="193"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Significant Accounting Policies</w:t>
      </w:r>
    </w:p>
    <w:p>
      <w:pPr>
        <w:spacing w:after="0" w:line="11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accounting policies adopted in the preparation of the unaudited interim condensed consolidated financial statements are consistent with those followed in the preparation of the Group’s consolidated financial statements for the year ended December 31, 2019. The standards applied for the first time as of January 1, 2020, as disclosed in the notes to the consolidated financial statements as of December 31, 2019, had no impact on the unaudited interim condensed consolidated financial statements of the Group as of June 30, 2020.</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COVID-19</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March 11, 2020, the World Health Organization declared the outbreak of COVID-19 as a pandemic, which continues to spread throughout the United States, the European Union and around the world.</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 response, BioNTech’s BNT162 program is evaluating at least four experimental vaccines aimed at preventing COVID-19 infection. As part of the program, BioNTech executed two strategic collaborations with large pharmaceutical companies to globally develop BioNTech’s vaccine candidates and supply an approved vaccine globally. BioNTech and Pfizer Inc. (NYSE: PFE), or Pfizer, aim to accelerate the development of BNT162 worldwide, excluding China, which is covered by BioNTech’s strategic alliance with Shanghai Fosun Pharmaceutical (Group) Co., Ltd (Stock Symbol: 600196.SH, 02196.HK), or Fosun Pharma.</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As BioNTech advances its clinical programs, it is in close contact with its principal investigators and clinical sites, which are located in jurisdictions affected by the COVID-19 pandemic, and is assessing the impact of the COVID-19 pandemic on its clinical trials, expected timelines and costs on an ongoing basis. In light of recent developments relating to the COVID-19 pandemic, the primary focus of healthcare providers and hospitals remains on fighting the novel coronavirus. BioNTech has also modified its business practices, in response to the spread of COVID-19, including restricting employee travel, developing social distancing plans for employees and cancelling physical participation in meetings, events and conferences. In addition, for certain earlier stage programs, including BNT141 and BNT142 (RiboMabs), BNT151 and BNT152/153 (RiboCytokines), BNT161 (Influenza), BNT171 (Rare Disease) and BNT411 (TLR7), BioNTech has delayed commencement of trials, experienced slowed patient enrollment or experienced other delays as a result of the COVID-19 pandemic. This partial disruption, even temporary, may severely impact BioNTech’s operations and overall business by delaying the progress of its clinical trials and preclinical studies. Such factors were evaluated and considered carefully when preparing these unaudited interim condensed consolidated financial statements. BioNTech will continue to evaluate potential effects of the COVID-19 pandemic and will provide updates as appropriate.</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26" w:name="page27"/>
    <w:bookmarkEnd w:id="26"/>
    <w:p>
      <w:pPr>
        <w:ind w:left="720" w:hanging="712"/>
        <w:spacing w:after="0"/>
        <w:tabs>
          <w:tab w:leader="none" w:pos="720" w:val="left"/>
        </w:tabs>
        <w:numPr>
          <w:ilvl w:val="0"/>
          <w:numId w:val="31"/>
        </w:numPr>
        <w:rPr>
          <w:rFonts w:ascii="Arial" w:cs="Arial" w:eastAsia="Arial" w:hAnsi="Arial"/>
          <w:sz w:val="29"/>
          <w:szCs w:val="29"/>
          <w:color w:val="auto"/>
        </w:rPr>
      </w:pPr>
      <w:r>
        <w:rPr>
          <w:rFonts w:ascii="Arial" w:cs="Arial" w:eastAsia="Arial" w:hAnsi="Arial"/>
          <w:sz w:val="29"/>
          <w:szCs w:val="29"/>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Segment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2020 and 2019, respectively, the following tables present revenue and operating results for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Group’s operating segments consistent with the presentation in the notes to the consolidated financial statements as of December 31, 2019:</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740" w:type="dxa"/>
            <w:vAlign w:val="bottom"/>
            <w:tcBorders>
              <w:right w:val="single" w:sz="8" w:color="70AD47"/>
            </w:tcBorders>
          </w:tcPr>
          <w:p>
            <w:pPr>
              <w:spacing w:after="0"/>
              <w:rPr>
                <w:sz w:val="13"/>
                <w:szCs w:val="13"/>
                <w:color w:val="auto"/>
              </w:rPr>
            </w:pPr>
          </w:p>
        </w:tc>
        <w:tc>
          <w:tcPr>
            <w:tcW w:w="1060" w:type="dxa"/>
            <w:vAlign w:val="bottom"/>
            <w:tcBorders>
              <w:top w:val="single" w:sz="8" w:color="70AD47"/>
            </w:tcBorders>
          </w:tcPr>
          <w:p>
            <w:pPr>
              <w:spacing w:after="0"/>
              <w:rPr>
                <w:sz w:val="13"/>
                <w:szCs w:val="13"/>
                <w:color w:val="auto"/>
              </w:rPr>
            </w:pPr>
          </w:p>
        </w:tc>
        <w:tc>
          <w:tcPr>
            <w:tcW w:w="1080" w:type="dxa"/>
            <w:vAlign w:val="bottom"/>
            <w:tcBorders>
              <w:top w:val="single" w:sz="8" w:color="70AD47"/>
            </w:tcBorders>
          </w:tcPr>
          <w:p>
            <w:pPr>
              <w:spacing w:after="0"/>
              <w:rPr>
                <w:sz w:val="13"/>
                <w:szCs w:val="13"/>
                <w:color w:val="auto"/>
              </w:rPr>
            </w:pPr>
          </w:p>
        </w:tc>
        <w:tc>
          <w:tcPr>
            <w:tcW w:w="1080" w:type="dxa"/>
            <w:vAlign w:val="bottom"/>
            <w:tcBorders>
              <w:top w:val="single" w:sz="8" w:color="70AD47"/>
            </w:tcBorders>
          </w:tcPr>
          <w:p>
            <w:pPr>
              <w:spacing w:after="0"/>
              <w:rPr>
                <w:sz w:val="13"/>
                <w:szCs w:val="13"/>
                <w:color w:val="auto"/>
              </w:rPr>
            </w:pPr>
          </w:p>
        </w:tc>
        <w:tc>
          <w:tcPr>
            <w:tcW w:w="1040" w:type="dxa"/>
            <w:vAlign w:val="bottom"/>
            <w:tcBorders>
              <w:top w:val="single" w:sz="8" w:color="70AD47"/>
              <w:right w:val="single" w:sz="8" w:color="70AD47"/>
            </w:tcBorders>
          </w:tcPr>
          <w:p>
            <w:pPr>
              <w:spacing w:after="0"/>
              <w:rPr>
                <w:sz w:val="13"/>
                <w:szCs w:val="13"/>
                <w:color w:val="auto"/>
              </w:rPr>
            </w:pPr>
          </w:p>
        </w:tc>
        <w:tc>
          <w:tcPr>
            <w:tcW w:w="1060" w:type="dxa"/>
            <w:vAlign w:val="bottom"/>
            <w:tcBorders>
              <w:top w:val="single" w:sz="8" w:color="70AD47"/>
              <w:right w:val="single" w:sz="8" w:color="70AD47"/>
            </w:tcBorders>
          </w:tcPr>
          <w:p>
            <w:pPr>
              <w:jc w:val="right"/>
              <w:ind w:right="228"/>
              <w:spacing w:after="0" w:line="153" w:lineRule="exact"/>
              <w:rPr>
                <w:sz w:val="20"/>
                <w:szCs w:val="20"/>
                <w:color w:val="auto"/>
              </w:rPr>
            </w:pPr>
            <w:r>
              <w:rPr>
                <w:rFonts w:ascii="Arial" w:cs="Arial" w:eastAsia="Arial" w:hAnsi="Arial"/>
                <w:sz w:val="14"/>
                <w:szCs w:val="14"/>
                <w:b w:val="1"/>
                <w:bCs w:val="1"/>
                <w:color w:val="auto"/>
              </w:rPr>
              <w:t>External</w:t>
            </w: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40" w:type="dxa"/>
            <w:vAlign w:val="bottom"/>
            <w:tcBorders>
              <w:right w:val="single" w:sz="8" w:color="70AD47"/>
            </w:tcBorders>
          </w:tcPr>
          <w:p>
            <w:pPr>
              <w:spacing w:after="0"/>
              <w:rPr>
                <w:sz w:val="12"/>
                <w:szCs w:val="12"/>
                <w:color w:val="auto"/>
              </w:rPr>
            </w:pPr>
          </w:p>
        </w:tc>
        <w:tc>
          <w:tcPr>
            <w:tcW w:w="1060" w:type="dxa"/>
            <w:vAlign w:val="bottom"/>
          </w:tcPr>
          <w:p>
            <w:pPr>
              <w:spacing w:after="0"/>
              <w:rPr>
                <w:sz w:val="12"/>
                <w:szCs w:val="12"/>
                <w:color w:val="auto"/>
              </w:rPr>
            </w:pPr>
          </w:p>
        </w:tc>
        <w:tc>
          <w:tcPr>
            <w:tcW w:w="2160" w:type="dxa"/>
            <w:vAlign w:val="bottom"/>
            <w:gridSpan w:val="2"/>
            <w:vMerge w:val="restart"/>
          </w:tcPr>
          <w:p>
            <w:pPr>
              <w:jc w:val="right"/>
              <w:ind w:right="368"/>
              <w:spacing w:after="0"/>
              <w:rPr>
                <w:sz w:val="20"/>
                <w:szCs w:val="20"/>
                <w:color w:val="auto"/>
              </w:rPr>
            </w:pPr>
            <w:r>
              <w:rPr>
                <w:rFonts w:ascii="Arial" w:cs="Arial" w:eastAsia="Arial" w:hAnsi="Arial"/>
                <w:sz w:val="14"/>
                <w:szCs w:val="14"/>
                <w:b w:val="1"/>
                <w:bCs w:val="1"/>
                <w:color w:val="auto"/>
              </w:rPr>
              <w:t>Biotech Business Unit</w:t>
            </w:r>
          </w:p>
        </w:tc>
        <w:tc>
          <w:tcPr>
            <w:tcW w:w="1040" w:type="dxa"/>
            <w:vAlign w:val="bottom"/>
            <w:tcBorders>
              <w:right w:val="single" w:sz="8" w:color="70AD47"/>
            </w:tcBorders>
          </w:tcPr>
          <w:p>
            <w:pPr>
              <w:spacing w:after="0"/>
              <w:rPr>
                <w:sz w:val="12"/>
                <w:szCs w:val="12"/>
                <w:color w:val="auto"/>
              </w:rPr>
            </w:pPr>
          </w:p>
        </w:tc>
        <w:tc>
          <w:tcPr>
            <w:tcW w:w="1060" w:type="dxa"/>
            <w:vAlign w:val="bottom"/>
            <w:tcBorders>
              <w:right w:val="single" w:sz="8" w:color="70AD47"/>
            </w:tcBorders>
          </w:tcPr>
          <w:p>
            <w:pPr>
              <w:jc w:val="center"/>
              <w:spacing w:after="0" w:line="149" w:lineRule="exact"/>
              <w:rPr>
                <w:sz w:val="20"/>
                <w:szCs w:val="20"/>
                <w:color w:val="auto"/>
              </w:rPr>
            </w:pPr>
            <w:r>
              <w:rPr>
                <w:rFonts w:ascii="Arial" w:cs="Arial" w:eastAsia="Arial" w:hAnsi="Arial"/>
                <w:sz w:val="14"/>
                <w:szCs w:val="14"/>
                <w:b w:val="1"/>
                <w:bCs w:val="1"/>
                <w:color w:val="auto"/>
                <w:w w:val="86"/>
              </w:rPr>
              <w:t>Services</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740" w:type="dxa"/>
            <w:vAlign w:val="bottom"/>
            <w:tcBorders>
              <w:right w:val="single" w:sz="8" w:color="70AD47"/>
            </w:tcBorders>
          </w:tcPr>
          <w:p>
            <w:pPr>
              <w:spacing w:after="0"/>
              <w:rPr>
                <w:sz w:val="9"/>
                <w:szCs w:val="9"/>
                <w:color w:val="auto"/>
              </w:rPr>
            </w:pPr>
          </w:p>
        </w:tc>
        <w:tc>
          <w:tcPr>
            <w:tcW w:w="106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1040" w:type="dxa"/>
            <w:vAlign w:val="bottom"/>
            <w:tcBorders>
              <w:right w:val="single" w:sz="8" w:color="70AD47"/>
            </w:tcBorders>
          </w:tcPr>
          <w:p>
            <w:pPr>
              <w:spacing w:after="0"/>
              <w:rPr>
                <w:sz w:val="9"/>
                <w:szCs w:val="9"/>
                <w:color w:val="auto"/>
              </w:rPr>
            </w:pPr>
          </w:p>
        </w:tc>
        <w:tc>
          <w:tcPr>
            <w:tcW w:w="1060" w:type="dxa"/>
            <w:vAlign w:val="bottom"/>
            <w:tcBorders>
              <w:right w:val="single" w:sz="8" w:color="70AD47"/>
            </w:tcBorders>
            <w:vMerge w:val="restart"/>
          </w:tcPr>
          <w:p>
            <w:pPr>
              <w:jc w:val="center"/>
              <w:ind w:right="8"/>
              <w:spacing w:after="0" w:line="149" w:lineRule="exact"/>
              <w:rPr>
                <w:sz w:val="20"/>
                <w:szCs w:val="20"/>
                <w:color w:val="auto"/>
              </w:rPr>
            </w:pPr>
            <w:r>
              <w:rPr>
                <w:rFonts w:ascii="Arial" w:cs="Arial" w:eastAsia="Arial" w:hAnsi="Arial"/>
                <w:sz w:val="14"/>
                <w:szCs w:val="14"/>
                <w:b w:val="1"/>
                <w:bCs w:val="1"/>
                <w:color w:val="auto"/>
                <w:w w:val="86"/>
              </w:rPr>
              <w:t>Business</w:t>
            </w: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740" w:type="dxa"/>
            <w:vAlign w:val="bottom"/>
            <w:tcBorders>
              <w:right w:val="single" w:sz="8" w:color="70AD47"/>
            </w:tcBorders>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Borders>
              <w:right w:val="single" w:sz="8" w:color="70AD47"/>
            </w:tcBorders>
          </w:tcPr>
          <w:p>
            <w:pPr>
              <w:spacing w:after="0"/>
              <w:rPr>
                <w:sz w:val="3"/>
                <w:szCs w:val="3"/>
                <w:color w:val="auto"/>
              </w:rPr>
            </w:pPr>
          </w:p>
        </w:tc>
        <w:tc>
          <w:tcPr>
            <w:tcW w:w="1060" w:type="dxa"/>
            <w:vAlign w:val="bottom"/>
            <w:tcBorders>
              <w:right w:val="single" w:sz="8" w:color="70AD47"/>
            </w:tcBorders>
            <w:vMerge w:val="continue"/>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740" w:type="dxa"/>
            <w:vAlign w:val="bottom"/>
            <w:tcBorders>
              <w:bottom w:val="single" w:sz="8" w:color="70AD47"/>
              <w:right w:val="single" w:sz="8" w:color="70AD47"/>
            </w:tcBorders>
          </w:tcPr>
          <w:p>
            <w:pPr>
              <w:spacing w:after="0"/>
              <w:rPr>
                <w:sz w:val="14"/>
                <w:szCs w:val="14"/>
                <w:color w:val="auto"/>
              </w:rPr>
            </w:pPr>
          </w:p>
        </w:tc>
        <w:tc>
          <w:tcPr>
            <w:tcW w:w="1060" w:type="dxa"/>
            <w:vAlign w:val="bottom"/>
            <w:tcBorders>
              <w:bottom w:val="single" w:sz="8" w:color="70AD47"/>
            </w:tcBorders>
          </w:tcPr>
          <w:p>
            <w:pPr>
              <w:spacing w:after="0"/>
              <w:rPr>
                <w:sz w:val="14"/>
                <w:szCs w:val="14"/>
                <w:color w:val="auto"/>
              </w:rPr>
            </w:pPr>
          </w:p>
        </w:tc>
        <w:tc>
          <w:tcPr>
            <w:tcW w:w="1080" w:type="dxa"/>
            <w:vAlign w:val="bottom"/>
            <w:tcBorders>
              <w:bottom w:val="single" w:sz="8" w:color="70AD47"/>
            </w:tcBorders>
          </w:tcPr>
          <w:p>
            <w:pPr>
              <w:spacing w:after="0"/>
              <w:rPr>
                <w:sz w:val="14"/>
                <w:szCs w:val="14"/>
                <w:color w:val="auto"/>
              </w:rPr>
            </w:pPr>
          </w:p>
        </w:tc>
        <w:tc>
          <w:tcPr>
            <w:tcW w:w="1080" w:type="dxa"/>
            <w:vAlign w:val="bottom"/>
            <w:tcBorders>
              <w:bottom w:val="single" w:sz="8" w:color="70AD47"/>
            </w:tcBorders>
          </w:tcPr>
          <w:p>
            <w:pPr>
              <w:spacing w:after="0"/>
              <w:rPr>
                <w:sz w:val="14"/>
                <w:szCs w:val="14"/>
                <w:color w:val="auto"/>
              </w:rPr>
            </w:pPr>
          </w:p>
        </w:tc>
        <w:tc>
          <w:tcPr>
            <w:tcW w:w="1040" w:type="dxa"/>
            <w:vAlign w:val="bottom"/>
            <w:tcBorders>
              <w:bottom w:val="single" w:sz="8" w:color="70AD47"/>
              <w:right w:val="single" w:sz="8" w:color="70AD47"/>
            </w:tcBorders>
          </w:tcPr>
          <w:p>
            <w:pPr>
              <w:spacing w:after="0"/>
              <w:rPr>
                <w:sz w:val="14"/>
                <w:szCs w:val="14"/>
                <w:color w:val="auto"/>
              </w:rPr>
            </w:pPr>
          </w:p>
        </w:tc>
        <w:tc>
          <w:tcPr>
            <w:tcW w:w="106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14"/>
                <w:szCs w:val="14"/>
                <w:b w:val="1"/>
                <w:bCs w:val="1"/>
                <w:color w:val="auto"/>
                <w:w w:val="95"/>
              </w:rPr>
              <w:t>Unit</w:t>
            </w:r>
          </w:p>
        </w:tc>
        <w:tc>
          <w:tcPr>
            <w:tcW w:w="1060" w:type="dxa"/>
            <w:vAlign w:val="bottom"/>
            <w:tcBorders>
              <w:bottom w:val="single" w:sz="8" w:color="70AD47"/>
            </w:tcBorders>
          </w:tcPr>
          <w:p>
            <w:pPr>
              <w:spacing w:after="0"/>
              <w:rPr>
                <w:sz w:val="14"/>
                <w:szCs w:val="14"/>
                <w:color w:val="auto"/>
              </w:rPr>
            </w:pPr>
          </w:p>
        </w:tc>
        <w:tc>
          <w:tcPr>
            <w:tcW w:w="1080" w:type="dxa"/>
            <w:vAlign w:val="bottom"/>
            <w:tcBorders>
              <w:bottom w:val="single" w:sz="8" w:color="70AD47"/>
            </w:tcBorders>
          </w:tcPr>
          <w:p>
            <w:pPr>
              <w:spacing w:after="0"/>
              <w:rPr>
                <w:sz w:val="14"/>
                <w:szCs w:val="14"/>
                <w:color w:val="auto"/>
              </w:rPr>
            </w:pPr>
          </w:p>
        </w:tc>
        <w:tc>
          <w:tcPr>
            <w:tcW w:w="1060" w:type="dxa"/>
            <w:vAlign w:val="bottom"/>
            <w:tcBorders>
              <w:bottom w:val="single" w:sz="8" w:color="70AD47"/>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40" w:type="dxa"/>
            <w:vAlign w:val="bottom"/>
            <w:tcBorders>
              <w:right w:val="single" w:sz="8" w:color="70AD47"/>
            </w:tcBorders>
          </w:tcPr>
          <w:p>
            <w:pPr>
              <w:spacing w:after="0"/>
              <w:rPr>
                <w:sz w:val="11"/>
                <w:szCs w:val="11"/>
                <w:color w:val="auto"/>
              </w:rPr>
            </w:pPr>
          </w:p>
        </w:tc>
        <w:tc>
          <w:tcPr>
            <w:tcW w:w="1060" w:type="dxa"/>
            <w:vAlign w:val="bottom"/>
            <w:tcBorders>
              <w:right w:val="single" w:sz="8" w:color="70AD47"/>
            </w:tcBorders>
            <w:shd w:val="clear" w:color="auto" w:fill="C6E0B4"/>
          </w:tcPr>
          <w:p>
            <w:pPr>
              <w:spacing w:after="0"/>
              <w:rPr>
                <w:sz w:val="11"/>
                <w:szCs w:val="11"/>
                <w:color w:val="auto"/>
              </w:rPr>
            </w:pPr>
          </w:p>
        </w:tc>
        <w:tc>
          <w:tcPr>
            <w:tcW w:w="1080" w:type="dxa"/>
            <w:vAlign w:val="bottom"/>
            <w:tcBorders>
              <w:right w:val="single" w:sz="8" w:color="70AD47"/>
            </w:tcBorders>
            <w:vMerge w:val="restart"/>
            <w:shd w:val="clear" w:color="auto" w:fill="C6E0B4"/>
          </w:tcPr>
          <w:p>
            <w:pPr>
              <w:jc w:val="center"/>
              <w:spacing w:after="0"/>
              <w:rPr>
                <w:sz w:val="20"/>
                <w:szCs w:val="20"/>
                <w:color w:val="auto"/>
              </w:rPr>
            </w:pPr>
            <w:r>
              <w:rPr>
                <w:rFonts w:ascii="Arial" w:cs="Arial" w:eastAsia="Arial" w:hAnsi="Arial"/>
                <w:sz w:val="14"/>
                <w:szCs w:val="14"/>
                <w:b w:val="1"/>
                <w:bCs w:val="1"/>
                <w:color w:val="auto"/>
                <w:w w:val="89"/>
              </w:rPr>
              <w:t>Technology</w:t>
            </w:r>
          </w:p>
        </w:tc>
        <w:tc>
          <w:tcPr>
            <w:tcW w:w="1080" w:type="dxa"/>
            <w:vAlign w:val="bottom"/>
            <w:tcBorders>
              <w:right w:val="single" w:sz="8" w:color="70AD47"/>
            </w:tcBorders>
            <w:shd w:val="clear" w:color="auto" w:fill="C6E0B4"/>
          </w:tcPr>
          <w:p>
            <w:pPr>
              <w:spacing w:after="0"/>
              <w:rPr>
                <w:sz w:val="11"/>
                <w:szCs w:val="11"/>
                <w:color w:val="auto"/>
              </w:rPr>
            </w:pPr>
          </w:p>
        </w:tc>
        <w:tc>
          <w:tcPr>
            <w:tcW w:w="1040" w:type="dxa"/>
            <w:vAlign w:val="bottom"/>
            <w:tcBorders>
              <w:right w:val="single" w:sz="8" w:color="70AD47"/>
            </w:tcBorders>
            <w:shd w:val="clear" w:color="auto" w:fill="C6E0B4"/>
          </w:tcPr>
          <w:p>
            <w:pPr>
              <w:spacing w:after="0"/>
              <w:rPr>
                <w:sz w:val="11"/>
                <w:szCs w:val="11"/>
                <w:color w:val="auto"/>
              </w:rPr>
            </w:pPr>
          </w:p>
        </w:tc>
        <w:tc>
          <w:tcPr>
            <w:tcW w:w="1060" w:type="dxa"/>
            <w:vAlign w:val="bottom"/>
            <w:tcBorders>
              <w:right w:val="single" w:sz="8" w:color="70AD47"/>
            </w:tcBorders>
            <w:shd w:val="clear" w:color="auto" w:fill="C6E0B4"/>
          </w:tcPr>
          <w:p>
            <w:pPr>
              <w:jc w:val="center"/>
              <w:ind w:right="8"/>
              <w:spacing w:after="0" w:line="133" w:lineRule="exact"/>
              <w:rPr>
                <w:sz w:val="20"/>
                <w:szCs w:val="20"/>
                <w:color w:val="auto"/>
              </w:rPr>
            </w:pPr>
            <w:r>
              <w:rPr>
                <w:rFonts w:ascii="Arial" w:cs="Arial" w:eastAsia="Arial" w:hAnsi="Arial"/>
                <w:sz w:val="14"/>
                <w:szCs w:val="14"/>
                <w:b w:val="1"/>
                <w:bCs w:val="1"/>
                <w:color w:val="auto"/>
                <w:w w:val="94"/>
              </w:rPr>
              <w:t>Product</w:t>
            </w:r>
          </w:p>
        </w:tc>
        <w:tc>
          <w:tcPr>
            <w:tcW w:w="1060" w:type="dxa"/>
            <w:vAlign w:val="bottom"/>
            <w:tcBorders>
              <w:right w:val="single" w:sz="8" w:color="70AD47"/>
            </w:tcBorders>
            <w:shd w:val="clear" w:color="auto" w:fill="C6E0B4"/>
          </w:tcPr>
          <w:p>
            <w:pPr>
              <w:spacing w:after="0"/>
              <w:rPr>
                <w:sz w:val="11"/>
                <w:szCs w:val="11"/>
                <w:color w:val="auto"/>
              </w:rPr>
            </w:pPr>
          </w:p>
        </w:tc>
        <w:tc>
          <w:tcPr>
            <w:tcW w:w="1080" w:type="dxa"/>
            <w:vAlign w:val="bottom"/>
            <w:tcBorders>
              <w:right w:val="single" w:sz="8" w:color="70AD47"/>
            </w:tcBorders>
          </w:tcPr>
          <w:p>
            <w:pPr>
              <w:spacing w:after="0"/>
              <w:rPr>
                <w:sz w:val="11"/>
                <w:szCs w:val="11"/>
                <w:color w:val="auto"/>
              </w:rPr>
            </w:pPr>
          </w:p>
        </w:tc>
        <w:tc>
          <w:tcPr>
            <w:tcW w:w="1060" w:type="dxa"/>
            <w:vAlign w:val="bottom"/>
            <w:tcBorders>
              <w:right w:val="single" w:sz="8" w:color="70AD47"/>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40" w:type="dxa"/>
            <w:vAlign w:val="bottom"/>
            <w:tcBorders>
              <w:right w:val="single" w:sz="8" w:color="70AD47"/>
            </w:tcBorders>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Borders>
              <w:right w:val="single" w:sz="8" w:color="70AD47"/>
            </w:tcBorders>
            <w:vMerge w:val="restart"/>
            <w:shd w:val="clear" w:color="auto" w:fill="C6E0B4"/>
          </w:tcPr>
          <w:p>
            <w:pPr>
              <w:jc w:val="right"/>
              <w:ind w:right="248"/>
              <w:spacing w:after="0"/>
              <w:rPr>
                <w:sz w:val="20"/>
                <w:szCs w:val="20"/>
                <w:color w:val="auto"/>
              </w:rPr>
            </w:pPr>
            <w:r>
              <w:rPr>
                <w:rFonts w:ascii="Arial" w:cs="Arial" w:eastAsia="Arial" w:hAnsi="Arial"/>
                <w:sz w:val="14"/>
                <w:szCs w:val="14"/>
                <w:b w:val="1"/>
                <w:bCs w:val="1"/>
                <w:color w:val="auto"/>
              </w:rPr>
              <w:t>Clinical</w:t>
            </w:r>
          </w:p>
        </w:tc>
        <w:tc>
          <w:tcPr>
            <w:tcW w:w="1080" w:type="dxa"/>
            <w:vAlign w:val="bottom"/>
            <w:tcBorders>
              <w:right w:val="single" w:sz="8" w:color="70AD47"/>
            </w:tcBorders>
            <w:vMerge w:val="continue"/>
            <w:shd w:val="clear" w:color="auto" w:fill="C6E0B4"/>
          </w:tcPr>
          <w:p>
            <w:pPr>
              <w:spacing w:after="0"/>
              <w:rPr>
                <w:sz w:val="12"/>
                <w:szCs w:val="12"/>
                <w:color w:val="auto"/>
              </w:rPr>
            </w:pPr>
          </w:p>
        </w:tc>
        <w:tc>
          <w:tcPr>
            <w:tcW w:w="1080" w:type="dxa"/>
            <w:vAlign w:val="bottom"/>
            <w:tcBorders>
              <w:right w:val="single" w:sz="8" w:color="70AD47"/>
            </w:tcBorders>
            <w:vMerge w:val="restart"/>
            <w:shd w:val="clear" w:color="auto" w:fill="C6E0B4"/>
          </w:tcPr>
          <w:p>
            <w:pPr>
              <w:jc w:val="right"/>
              <w:ind w:right="48"/>
              <w:spacing w:after="0"/>
              <w:rPr>
                <w:sz w:val="20"/>
                <w:szCs w:val="20"/>
                <w:color w:val="auto"/>
              </w:rPr>
            </w:pPr>
            <w:r>
              <w:rPr>
                <w:rFonts w:ascii="Arial" w:cs="Arial" w:eastAsia="Arial" w:hAnsi="Arial"/>
                <w:sz w:val="14"/>
                <w:szCs w:val="14"/>
                <w:b w:val="1"/>
                <w:bCs w:val="1"/>
                <w:color w:val="auto"/>
                <w:w w:val="97"/>
              </w:rPr>
              <w:t>Manufacturing</w:t>
            </w:r>
          </w:p>
        </w:tc>
        <w:tc>
          <w:tcPr>
            <w:tcW w:w="104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4"/>
                <w:szCs w:val="14"/>
                <w:b w:val="1"/>
                <w:bCs w:val="1"/>
                <w:color w:val="auto"/>
                <w:w w:val="82"/>
              </w:rPr>
              <w:t>Business Service</w:t>
            </w:r>
          </w:p>
        </w:tc>
        <w:tc>
          <w:tcPr>
            <w:tcW w:w="1060" w:type="dxa"/>
            <w:vAlign w:val="bottom"/>
            <w:tcBorders>
              <w:right w:val="single" w:sz="8" w:color="70AD47"/>
            </w:tcBorders>
            <w:shd w:val="clear" w:color="auto" w:fill="C6E0B4"/>
          </w:tcPr>
          <w:p>
            <w:pPr>
              <w:jc w:val="center"/>
              <w:spacing w:after="0" w:line="149" w:lineRule="exact"/>
              <w:rPr>
                <w:sz w:val="20"/>
                <w:szCs w:val="20"/>
                <w:color w:val="auto"/>
              </w:rPr>
            </w:pPr>
            <w:r>
              <w:rPr>
                <w:rFonts w:ascii="Arial" w:cs="Arial" w:eastAsia="Arial" w:hAnsi="Arial"/>
                <w:sz w:val="14"/>
                <w:szCs w:val="14"/>
                <w:b w:val="1"/>
                <w:bCs w:val="1"/>
                <w:color w:val="auto"/>
                <w:w w:val="90"/>
              </w:rPr>
              <w:t>Sales &amp;</w:t>
            </w:r>
          </w:p>
        </w:tc>
        <w:tc>
          <w:tcPr>
            <w:tcW w:w="1060" w:type="dxa"/>
            <w:vAlign w:val="bottom"/>
            <w:tcBorders>
              <w:right w:val="single" w:sz="8" w:color="70AD47"/>
            </w:tcBorders>
            <w:vMerge w:val="restart"/>
            <w:shd w:val="clear" w:color="auto" w:fill="C6E0B4"/>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1080" w:type="dxa"/>
            <w:vAlign w:val="bottom"/>
            <w:tcBorders>
              <w:right w:val="single" w:sz="8" w:color="70AD47"/>
            </w:tcBorders>
            <w:vMerge w:val="restart"/>
          </w:tcPr>
          <w:p>
            <w:pPr>
              <w:jc w:val="right"/>
              <w:ind w:right="88"/>
              <w:spacing w:after="0"/>
              <w:rPr>
                <w:sz w:val="20"/>
                <w:szCs w:val="20"/>
                <w:color w:val="auto"/>
              </w:rPr>
            </w:pPr>
            <w:r>
              <w:rPr>
                <w:rFonts w:ascii="Arial" w:cs="Arial" w:eastAsia="Arial" w:hAnsi="Arial"/>
                <w:sz w:val="14"/>
                <w:szCs w:val="14"/>
                <w:b w:val="1"/>
                <w:bCs w:val="1"/>
                <w:color w:val="auto"/>
              </w:rPr>
              <w:t>Adjustments</w:t>
            </w:r>
          </w:p>
        </w:tc>
        <w:tc>
          <w:tcPr>
            <w:tcW w:w="1060" w:type="dxa"/>
            <w:vAlign w:val="bottom"/>
            <w:tcBorders>
              <w:right w:val="single" w:sz="8" w:color="70AD47"/>
            </w:tcBorders>
            <w:vMerge w:val="restart"/>
          </w:tcPr>
          <w:p>
            <w:pPr>
              <w:jc w:val="right"/>
              <w:ind w:right="288"/>
              <w:spacing w:after="0"/>
              <w:rPr>
                <w:sz w:val="20"/>
                <w:szCs w:val="20"/>
                <w:color w:val="auto"/>
              </w:rPr>
            </w:pPr>
            <w:r>
              <w:rPr>
                <w:rFonts w:ascii="Arial" w:cs="Arial" w:eastAsia="Arial" w:hAnsi="Arial"/>
                <w:sz w:val="14"/>
                <w:szCs w:val="14"/>
                <w:b w:val="1"/>
                <w:bCs w:val="1"/>
                <w:color w:val="auto"/>
              </w:rPr>
              <w:t>Group</w:t>
            </w:r>
          </w:p>
        </w:tc>
        <w:tc>
          <w:tcPr>
            <w:tcW w:w="0" w:type="dxa"/>
            <w:vAlign w:val="bottom"/>
          </w:tcPr>
          <w:p>
            <w:pPr>
              <w:spacing w:after="0"/>
              <w:rPr>
                <w:sz w:val="1"/>
                <w:szCs w:val="1"/>
                <w:color w:val="auto"/>
              </w:rPr>
            </w:pPr>
          </w:p>
        </w:tc>
      </w:tr>
      <w:tr>
        <w:trPr>
          <w:trHeight w:val="105"/>
        </w:trPr>
        <w:tc>
          <w:tcPr>
            <w:tcW w:w="2740" w:type="dxa"/>
            <w:vAlign w:val="bottom"/>
            <w:tcBorders>
              <w:right w:val="single" w:sz="8" w:color="70AD47"/>
            </w:tcBorders>
            <w:vMerge w:val="continue"/>
          </w:tcPr>
          <w:p>
            <w:pPr>
              <w:spacing w:after="0"/>
              <w:rPr>
                <w:sz w:val="9"/>
                <w:szCs w:val="9"/>
                <w:color w:val="auto"/>
              </w:rPr>
            </w:pPr>
          </w:p>
        </w:tc>
        <w:tc>
          <w:tcPr>
            <w:tcW w:w="1060" w:type="dxa"/>
            <w:vAlign w:val="bottom"/>
            <w:tcBorders>
              <w:right w:val="single" w:sz="8" w:color="70AD47"/>
            </w:tcBorders>
            <w:vMerge w:val="continue"/>
            <w:shd w:val="clear" w:color="auto" w:fill="C6E0B4"/>
          </w:tcPr>
          <w:p>
            <w:pPr>
              <w:spacing w:after="0"/>
              <w:rPr>
                <w:sz w:val="9"/>
                <w:szCs w:val="9"/>
                <w:color w:val="auto"/>
              </w:rPr>
            </w:pPr>
          </w:p>
        </w:tc>
        <w:tc>
          <w:tcPr>
            <w:tcW w:w="1080" w:type="dxa"/>
            <w:vAlign w:val="bottom"/>
            <w:tcBorders>
              <w:right w:val="single" w:sz="8" w:color="70AD47"/>
            </w:tcBorders>
            <w:vMerge w:val="restart"/>
            <w:shd w:val="clear" w:color="auto" w:fill="C6E0B4"/>
          </w:tcPr>
          <w:p>
            <w:pPr>
              <w:jc w:val="center"/>
              <w:spacing w:after="0" w:line="149" w:lineRule="exact"/>
              <w:rPr>
                <w:sz w:val="20"/>
                <w:szCs w:val="20"/>
                <w:color w:val="auto"/>
              </w:rPr>
            </w:pPr>
            <w:r>
              <w:rPr>
                <w:rFonts w:ascii="Arial" w:cs="Arial" w:eastAsia="Arial" w:hAnsi="Arial"/>
                <w:sz w:val="14"/>
                <w:szCs w:val="14"/>
                <w:b w:val="1"/>
                <w:bCs w:val="1"/>
                <w:color w:val="auto"/>
                <w:w w:val="95"/>
              </w:rPr>
              <w:t>Platform</w:t>
            </w:r>
          </w:p>
        </w:tc>
        <w:tc>
          <w:tcPr>
            <w:tcW w:w="1080" w:type="dxa"/>
            <w:vAlign w:val="bottom"/>
            <w:tcBorders>
              <w:right w:val="single" w:sz="8" w:color="70AD47"/>
            </w:tcBorders>
            <w:vMerge w:val="continue"/>
            <w:shd w:val="clear" w:color="auto" w:fill="C6E0B4"/>
          </w:tcPr>
          <w:p>
            <w:pPr>
              <w:spacing w:after="0"/>
              <w:rPr>
                <w:sz w:val="9"/>
                <w:szCs w:val="9"/>
                <w:color w:val="auto"/>
              </w:rPr>
            </w:pPr>
          </w:p>
        </w:tc>
        <w:tc>
          <w:tcPr>
            <w:tcW w:w="1040" w:type="dxa"/>
            <w:vAlign w:val="bottom"/>
            <w:tcBorders>
              <w:right w:val="single" w:sz="8" w:color="70AD47"/>
            </w:tcBorders>
            <w:vMerge w:val="continue"/>
            <w:shd w:val="clear" w:color="auto" w:fill="C6E0B4"/>
          </w:tcPr>
          <w:p>
            <w:pPr>
              <w:spacing w:after="0"/>
              <w:rPr>
                <w:sz w:val="9"/>
                <w:szCs w:val="9"/>
                <w:color w:val="auto"/>
              </w:rPr>
            </w:pPr>
          </w:p>
        </w:tc>
        <w:tc>
          <w:tcPr>
            <w:tcW w:w="1060" w:type="dxa"/>
            <w:vAlign w:val="bottom"/>
            <w:tcBorders>
              <w:right w:val="single" w:sz="8" w:color="70AD47"/>
            </w:tcBorders>
            <w:vMerge w:val="restart"/>
            <w:shd w:val="clear" w:color="auto" w:fill="C6E0B4"/>
          </w:tcPr>
          <w:p>
            <w:pPr>
              <w:jc w:val="center"/>
              <w:ind w:right="8"/>
              <w:spacing w:after="0" w:line="149" w:lineRule="exact"/>
              <w:rPr>
                <w:sz w:val="20"/>
                <w:szCs w:val="20"/>
                <w:color w:val="auto"/>
              </w:rPr>
            </w:pPr>
            <w:r>
              <w:rPr>
                <w:rFonts w:ascii="Arial" w:cs="Arial" w:eastAsia="Arial" w:hAnsi="Arial"/>
                <w:sz w:val="14"/>
                <w:szCs w:val="14"/>
                <w:b w:val="1"/>
                <w:bCs w:val="1"/>
                <w:color w:val="auto"/>
                <w:w w:val="97"/>
              </w:rPr>
              <w:t>External</w:t>
            </w:r>
          </w:p>
        </w:tc>
        <w:tc>
          <w:tcPr>
            <w:tcW w:w="1060" w:type="dxa"/>
            <w:vAlign w:val="bottom"/>
            <w:tcBorders>
              <w:right w:val="single" w:sz="8" w:color="70AD47"/>
            </w:tcBorders>
            <w:vMerge w:val="continue"/>
            <w:shd w:val="clear" w:color="auto" w:fill="C6E0B4"/>
          </w:tcPr>
          <w:p>
            <w:pPr>
              <w:spacing w:after="0"/>
              <w:rPr>
                <w:sz w:val="9"/>
                <w:szCs w:val="9"/>
                <w:color w:val="auto"/>
              </w:rPr>
            </w:pPr>
          </w:p>
        </w:tc>
        <w:tc>
          <w:tcPr>
            <w:tcW w:w="1080" w:type="dxa"/>
            <w:vAlign w:val="bottom"/>
            <w:tcBorders>
              <w:right w:val="single" w:sz="8" w:color="70AD47"/>
            </w:tcBorders>
            <w:vMerge w:val="continue"/>
          </w:tcPr>
          <w:p>
            <w:pPr>
              <w:spacing w:after="0"/>
              <w:rPr>
                <w:sz w:val="9"/>
                <w:szCs w:val="9"/>
                <w:color w:val="auto"/>
              </w:rPr>
            </w:pPr>
          </w:p>
        </w:tc>
        <w:tc>
          <w:tcPr>
            <w:tcW w:w="1060" w:type="dxa"/>
            <w:vAlign w:val="bottom"/>
            <w:tcBorders>
              <w:right w:val="single" w:sz="8" w:color="70AD4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740" w:type="dxa"/>
            <w:vAlign w:val="bottom"/>
            <w:tcBorders>
              <w:right w:val="single" w:sz="8" w:color="70AD47"/>
            </w:tcBorders>
          </w:tcPr>
          <w:p>
            <w:pPr>
              <w:spacing w:after="0"/>
              <w:rPr>
                <w:sz w:val="3"/>
                <w:szCs w:val="3"/>
                <w:color w:val="auto"/>
              </w:rPr>
            </w:pPr>
          </w:p>
        </w:tc>
        <w:tc>
          <w:tcPr>
            <w:tcW w:w="1060" w:type="dxa"/>
            <w:vAlign w:val="bottom"/>
            <w:tcBorders>
              <w:right w:val="single" w:sz="8" w:color="70AD47"/>
            </w:tcBorders>
            <w:shd w:val="clear" w:color="auto" w:fill="C6E0B4"/>
          </w:tcPr>
          <w:p>
            <w:pPr>
              <w:spacing w:after="0"/>
              <w:rPr>
                <w:sz w:val="3"/>
                <w:szCs w:val="3"/>
                <w:color w:val="auto"/>
              </w:rPr>
            </w:pPr>
          </w:p>
        </w:tc>
        <w:tc>
          <w:tcPr>
            <w:tcW w:w="1080" w:type="dxa"/>
            <w:vAlign w:val="bottom"/>
            <w:tcBorders>
              <w:right w:val="single" w:sz="8" w:color="70AD47"/>
            </w:tcBorders>
            <w:vMerge w:val="continue"/>
            <w:shd w:val="clear" w:color="auto" w:fill="C6E0B4"/>
          </w:tcPr>
          <w:p>
            <w:pPr>
              <w:spacing w:after="0"/>
              <w:rPr>
                <w:sz w:val="3"/>
                <w:szCs w:val="3"/>
                <w:color w:val="auto"/>
              </w:rPr>
            </w:pPr>
          </w:p>
        </w:tc>
        <w:tc>
          <w:tcPr>
            <w:tcW w:w="1080" w:type="dxa"/>
            <w:vAlign w:val="bottom"/>
            <w:tcBorders>
              <w:right w:val="single" w:sz="8" w:color="70AD47"/>
            </w:tcBorders>
            <w:shd w:val="clear" w:color="auto" w:fill="C6E0B4"/>
          </w:tcPr>
          <w:p>
            <w:pPr>
              <w:spacing w:after="0"/>
              <w:rPr>
                <w:sz w:val="3"/>
                <w:szCs w:val="3"/>
                <w:color w:val="auto"/>
              </w:rPr>
            </w:pPr>
          </w:p>
        </w:tc>
        <w:tc>
          <w:tcPr>
            <w:tcW w:w="1040" w:type="dxa"/>
            <w:vAlign w:val="bottom"/>
            <w:tcBorders>
              <w:right w:val="single" w:sz="8" w:color="70AD47"/>
            </w:tcBorders>
            <w:shd w:val="clear" w:color="auto" w:fill="C6E0B4"/>
          </w:tcPr>
          <w:p>
            <w:pPr>
              <w:spacing w:after="0"/>
              <w:rPr>
                <w:sz w:val="3"/>
                <w:szCs w:val="3"/>
                <w:color w:val="auto"/>
              </w:rPr>
            </w:pPr>
          </w:p>
        </w:tc>
        <w:tc>
          <w:tcPr>
            <w:tcW w:w="1060" w:type="dxa"/>
            <w:vAlign w:val="bottom"/>
            <w:tcBorders>
              <w:right w:val="single" w:sz="8" w:color="70AD47"/>
            </w:tcBorders>
            <w:vMerge w:val="continue"/>
            <w:shd w:val="clear" w:color="auto" w:fill="C6E0B4"/>
          </w:tcPr>
          <w:p>
            <w:pPr>
              <w:spacing w:after="0"/>
              <w:rPr>
                <w:sz w:val="3"/>
                <w:szCs w:val="3"/>
                <w:color w:val="auto"/>
              </w:rPr>
            </w:pPr>
          </w:p>
        </w:tc>
        <w:tc>
          <w:tcPr>
            <w:tcW w:w="1060" w:type="dxa"/>
            <w:vAlign w:val="bottom"/>
            <w:tcBorders>
              <w:right w:val="single" w:sz="8" w:color="70AD47"/>
            </w:tcBorders>
            <w:shd w:val="clear" w:color="auto" w:fill="C6E0B4"/>
          </w:tcPr>
          <w:p>
            <w:pPr>
              <w:spacing w:after="0"/>
              <w:rPr>
                <w:sz w:val="3"/>
                <w:szCs w:val="3"/>
                <w:color w:val="auto"/>
              </w:rPr>
            </w:pPr>
          </w:p>
        </w:tc>
        <w:tc>
          <w:tcPr>
            <w:tcW w:w="1080" w:type="dxa"/>
            <w:vAlign w:val="bottom"/>
            <w:tcBorders>
              <w:right w:val="single" w:sz="8" w:color="70AD47"/>
            </w:tcBorders>
          </w:tcPr>
          <w:p>
            <w:pPr>
              <w:spacing w:after="0"/>
              <w:rPr>
                <w:sz w:val="3"/>
                <w:szCs w:val="3"/>
                <w:color w:val="auto"/>
              </w:rPr>
            </w:pPr>
          </w:p>
        </w:tc>
        <w:tc>
          <w:tcPr>
            <w:tcW w:w="1060" w:type="dxa"/>
            <w:vAlign w:val="bottom"/>
            <w:tcBorders>
              <w:right w:val="single" w:sz="8" w:color="70AD47"/>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740" w:type="dxa"/>
            <w:vAlign w:val="bottom"/>
            <w:tcBorders>
              <w:bottom w:val="single" w:sz="8" w:color="70AD47"/>
              <w:right w:val="single" w:sz="8" w:color="70AD47"/>
            </w:tcBorders>
          </w:tcPr>
          <w:p>
            <w:pPr>
              <w:spacing w:after="0"/>
              <w:rPr>
                <w:sz w:val="14"/>
                <w:szCs w:val="14"/>
                <w:color w:val="auto"/>
              </w:rPr>
            </w:pPr>
          </w:p>
        </w:tc>
        <w:tc>
          <w:tcPr>
            <w:tcW w:w="1060" w:type="dxa"/>
            <w:vAlign w:val="bottom"/>
            <w:tcBorders>
              <w:bottom w:val="single" w:sz="8" w:color="70AD47"/>
              <w:right w:val="single" w:sz="8" w:color="70AD47"/>
            </w:tcBorders>
            <w:shd w:val="clear" w:color="auto" w:fill="C6E0B4"/>
          </w:tcPr>
          <w:p>
            <w:pPr>
              <w:spacing w:after="0"/>
              <w:rPr>
                <w:sz w:val="14"/>
                <w:szCs w:val="14"/>
                <w:color w:val="auto"/>
              </w:rPr>
            </w:pPr>
          </w:p>
        </w:tc>
        <w:tc>
          <w:tcPr>
            <w:tcW w:w="1080" w:type="dxa"/>
            <w:vAlign w:val="bottom"/>
            <w:tcBorders>
              <w:bottom w:val="single" w:sz="8" w:color="70AD47"/>
              <w:right w:val="single" w:sz="8" w:color="70AD47"/>
            </w:tcBorders>
            <w:shd w:val="clear" w:color="auto" w:fill="C6E0B4"/>
          </w:tcPr>
          <w:p>
            <w:pPr>
              <w:spacing w:after="0"/>
              <w:rPr>
                <w:sz w:val="14"/>
                <w:szCs w:val="14"/>
                <w:color w:val="auto"/>
              </w:rPr>
            </w:pPr>
          </w:p>
        </w:tc>
        <w:tc>
          <w:tcPr>
            <w:tcW w:w="1080" w:type="dxa"/>
            <w:vAlign w:val="bottom"/>
            <w:tcBorders>
              <w:bottom w:val="single" w:sz="8" w:color="70AD47"/>
              <w:right w:val="single" w:sz="8" w:color="70AD47"/>
            </w:tcBorders>
            <w:shd w:val="clear" w:color="auto" w:fill="C6E0B4"/>
          </w:tcPr>
          <w:p>
            <w:pPr>
              <w:spacing w:after="0"/>
              <w:rPr>
                <w:sz w:val="14"/>
                <w:szCs w:val="14"/>
                <w:color w:val="auto"/>
              </w:rPr>
            </w:pPr>
          </w:p>
        </w:tc>
        <w:tc>
          <w:tcPr>
            <w:tcW w:w="1040" w:type="dxa"/>
            <w:vAlign w:val="bottom"/>
            <w:tcBorders>
              <w:bottom w:val="single" w:sz="8" w:color="70AD47"/>
              <w:right w:val="single" w:sz="8" w:color="70AD47"/>
            </w:tcBorders>
            <w:shd w:val="clear" w:color="auto" w:fill="C6E0B4"/>
          </w:tcPr>
          <w:p>
            <w:pPr>
              <w:spacing w:after="0"/>
              <w:rPr>
                <w:sz w:val="14"/>
                <w:szCs w:val="14"/>
                <w:color w:val="auto"/>
              </w:rPr>
            </w:pPr>
          </w:p>
        </w:tc>
        <w:tc>
          <w:tcPr>
            <w:tcW w:w="1060" w:type="dxa"/>
            <w:vAlign w:val="bottom"/>
            <w:tcBorders>
              <w:bottom w:val="single" w:sz="8" w:color="70AD47"/>
              <w:right w:val="single" w:sz="8" w:color="70AD47"/>
            </w:tcBorders>
            <w:shd w:val="clear" w:color="auto" w:fill="C6E0B4"/>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1060" w:type="dxa"/>
            <w:vAlign w:val="bottom"/>
            <w:tcBorders>
              <w:bottom w:val="single" w:sz="8" w:color="70AD47"/>
              <w:right w:val="single" w:sz="8" w:color="70AD47"/>
            </w:tcBorders>
            <w:shd w:val="clear" w:color="auto" w:fill="C6E0B4"/>
          </w:tcPr>
          <w:p>
            <w:pPr>
              <w:spacing w:after="0"/>
              <w:rPr>
                <w:sz w:val="14"/>
                <w:szCs w:val="14"/>
                <w:color w:val="auto"/>
              </w:rPr>
            </w:pPr>
          </w:p>
        </w:tc>
        <w:tc>
          <w:tcPr>
            <w:tcW w:w="1080" w:type="dxa"/>
            <w:vAlign w:val="bottom"/>
            <w:tcBorders>
              <w:bottom w:val="single" w:sz="8" w:color="70AD47"/>
              <w:right w:val="single" w:sz="8" w:color="70AD47"/>
            </w:tcBorders>
          </w:tcPr>
          <w:p>
            <w:pPr>
              <w:spacing w:after="0"/>
              <w:rPr>
                <w:sz w:val="14"/>
                <w:szCs w:val="14"/>
                <w:color w:val="auto"/>
              </w:rPr>
            </w:pPr>
          </w:p>
        </w:tc>
        <w:tc>
          <w:tcPr>
            <w:tcW w:w="1060" w:type="dxa"/>
            <w:vAlign w:val="bottom"/>
            <w:tcBorders>
              <w:bottom w:val="single" w:sz="8" w:color="70AD47"/>
              <w:right w:val="single" w:sz="8" w:color="70AD47"/>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740" w:type="dxa"/>
            <w:vAlign w:val="bottom"/>
            <w:tcBorders>
              <w:right w:val="single" w:sz="8" w:color="70AD47"/>
            </w:tcBorders>
          </w:tcPr>
          <w:p>
            <w:pPr>
              <w:spacing w:after="0"/>
              <w:rPr>
                <w:sz w:val="20"/>
                <w:szCs w:val="20"/>
                <w:color w:val="auto"/>
              </w:rPr>
            </w:pPr>
            <w:r>
              <w:rPr>
                <w:rFonts w:ascii="Arial" w:cs="Arial" w:eastAsia="Arial" w:hAnsi="Arial"/>
                <w:sz w:val="14"/>
                <w:szCs w:val="14"/>
                <w:b w:val="1"/>
                <w:bCs w:val="1"/>
                <w:color w:val="auto"/>
              </w:rPr>
              <w:t>Three months ended June 30, 2020</w:t>
            </w:r>
          </w:p>
        </w:tc>
        <w:tc>
          <w:tcPr>
            <w:tcW w:w="1060" w:type="dxa"/>
            <w:vAlign w:val="bottom"/>
            <w:tcBorders>
              <w:right w:val="single" w:sz="8" w:color="70AD47"/>
            </w:tcBorders>
            <w:shd w:val="clear" w:color="auto" w:fill="C6E0B4"/>
          </w:tcPr>
          <w:p>
            <w:pPr>
              <w:spacing w:after="0"/>
              <w:rPr>
                <w:sz w:val="18"/>
                <w:szCs w:val="18"/>
                <w:color w:val="auto"/>
              </w:rPr>
            </w:pPr>
          </w:p>
        </w:tc>
        <w:tc>
          <w:tcPr>
            <w:tcW w:w="1080" w:type="dxa"/>
            <w:vAlign w:val="bottom"/>
            <w:tcBorders>
              <w:right w:val="single" w:sz="8" w:color="70AD47"/>
            </w:tcBorders>
            <w:shd w:val="clear" w:color="auto" w:fill="C6E0B4"/>
          </w:tcPr>
          <w:p>
            <w:pPr>
              <w:spacing w:after="0"/>
              <w:rPr>
                <w:sz w:val="18"/>
                <w:szCs w:val="18"/>
                <w:color w:val="auto"/>
              </w:rPr>
            </w:pPr>
          </w:p>
        </w:tc>
        <w:tc>
          <w:tcPr>
            <w:tcW w:w="1080" w:type="dxa"/>
            <w:vAlign w:val="bottom"/>
            <w:tcBorders>
              <w:right w:val="single" w:sz="8" w:color="70AD47"/>
            </w:tcBorders>
            <w:shd w:val="clear" w:color="auto" w:fill="C6E0B4"/>
          </w:tcPr>
          <w:p>
            <w:pPr>
              <w:spacing w:after="0"/>
              <w:rPr>
                <w:sz w:val="18"/>
                <w:szCs w:val="18"/>
                <w:color w:val="auto"/>
              </w:rPr>
            </w:pPr>
          </w:p>
        </w:tc>
        <w:tc>
          <w:tcPr>
            <w:tcW w:w="1040" w:type="dxa"/>
            <w:vAlign w:val="bottom"/>
            <w:tcBorders>
              <w:right w:val="single" w:sz="8" w:color="70AD47"/>
            </w:tcBorders>
            <w:shd w:val="clear" w:color="auto" w:fill="C6E0B4"/>
          </w:tcPr>
          <w:p>
            <w:pPr>
              <w:spacing w:after="0"/>
              <w:rPr>
                <w:sz w:val="18"/>
                <w:szCs w:val="18"/>
                <w:color w:val="auto"/>
              </w:rPr>
            </w:pPr>
          </w:p>
        </w:tc>
        <w:tc>
          <w:tcPr>
            <w:tcW w:w="1060" w:type="dxa"/>
            <w:vAlign w:val="bottom"/>
            <w:tcBorders>
              <w:right w:val="single" w:sz="8" w:color="70AD47"/>
            </w:tcBorders>
            <w:shd w:val="clear" w:color="auto" w:fill="C6E0B4"/>
          </w:tcPr>
          <w:p>
            <w:pPr>
              <w:spacing w:after="0"/>
              <w:rPr>
                <w:sz w:val="18"/>
                <w:szCs w:val="18"/>
                <w:color w:val="auto"/>
              </w:rPr>
            </w:pPr>
          </w:p>
        </w:tc>
        <w:tc>
          <w:tcPr>
            <w:tcW w:w="1060" w:type="dxa"/>
            <w:vAlign w:val="bottom"/>
            <w:tcBorders>
              <w:right w:val="single" w:sz="8" w:color="70AD47"/>
            </w:tcBorders>
            <w:shd w:val="clear" w:color="auto" w:fill="C6E0B4"/>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b w:val="1"/>
                <w:bCs w:val="1"/>
                <w:color w:val="auto"/>
              </w:rPr>
              <w:t>Revenues</w:t>
            </w:r>
          </w:p>
        </w:tc>
        <w:tc>
          <w:tcPr>
            <w:tcW w:w="1060" w:type="dxa"/>
            <w:vAlign w:val="bottom"/>
            <w:tcBorders>
              <w:right w:val="single" w:sz="8" w:color="70AD47"/>
            </w:tcBorders>
            <w:shd w:val="clear" w:color="auto" w:fill="C6E0B4"/>
          </w:tcPr>
          <w:p>
            <w:pPr>
              <w:spacing w:after="0"/>
              <w:rPr>
                <w:sz w:val="22"/>
                <w:szCs w:val="22"/>
                <w:color w:val="auto"/>
              </w:rPr>
            </w:pPr>
          </w:p>
        </w:tc>
        <w:tc>
          <w:tcPr>
            <w:tcW w:w="1080" w:type="dxa"/>
            <w:vAlign w:val="bottom"/>
            <w:tcBorders>
              <w:right w:val="single" w:sz="8" w:color="70AD47"/>
            </w:tcBorders>
            <w:shd w:val="clear" w:color="auto" w:fill="C6E0B4"/>
          </w:tcPr>
          <w:p>
            <w:pPr>
              <w:spacing w:after="0"/>
              <w:rPr>
                <w:sz w:val="22"/>
                <w:szCs w:val="22"/>
                <w:color w:val="auto"/>
              </w:rPr>
            </w:pPr>
          </w:p>
        </w:tc>
        <w:tc>
          <w:tcPr>
            <w:tcW w:w="1080" w:type="dxa"/>
            <w:vAlign w:val="bottom"/>
            <w:tcBorders>
              <w:right w:val="single" w:sz="8" w:color="70AD47"/>
            </w:tcBorders>
            <w:shd w:val="clear" w:color="auto" w:fill="C6E0B4"/>
          </w:tcPr>
          <w:p>
            <w:pPr>
              <w:spacing w:after="0"/>
              <w:rPr>
                <w:sz w:val="22"/>
                <w:szCs w:val="22"/>
                <w:color w:val="auto"/>
              </w:rPr>
            </w:pPr>
          </w:p>
        </w:tc>
        <w:tc>
          <w:tcPr>
            <w:tcW w:w="1040" w:type="dxa"/>
            <w:vAlign w:val="bottom"/>
            <w:tcBorders>
              <w:right w:val="single" w:sz="8" w:color="70AD47"/>
            </w:tcBorders>
            <w:shd w:val="clear" w:color="auto" w:fill="C6E0B4"/>
          </w:tcPr>
          <w:p>
            <w:pPr>
              <w:spacing w:after="0"/>
              <w:rPr>
                <w:sz w:val="22"/>
                <w:szCs w:val="22"/>
                <w:color w:val="auto"/>
              </w:rPr>
            </w:pPr>
          </w:p>
        </w:tc>
        <w:tc>
          <w:tcPr>
            <w:tcW w:w="1060" w:type="dxa"/>
            <w:vAlign w:val="bottom"/>
            <w:tcBorders>
              <w:right w:val="single" w:sz="8" w:color="70AD47"/>
            </w:tcBorders>
            <w:shd w:val="clear" w:color="auto" w:fill="C6E0B4"/>
          </w:tcPr>
          <w:p>
            <w:pPr>
              <w:spacing w:after="0"/>
              <w:rPr>
                <w:sz w:val="22"/>
                <w:szCs w:val="22"/>
                <w:color w:val="auto"/>
              </w:rPr>
            </w:pPr>
          </w:p>
        </w:tc>
        <w:tc>
          <w:tcPr>
            <w:tcW w:w="1060" w:type="dxa"/>
            <w:vAlign w:val="bottom"/>
            <w:tcBorders>
              <w:right w:val="single" w:sz="8" w:color="70AD47"/>
            </w:tcBorders>
            <w:shd w:val="clear" w:color="auto" w:fill="C6E0B4"/>
          </w:tcPr>
          <w:p>
            <w:pPr>
              <w:spacing w:after="0"/>
              <w:rPr>
                <w:sz w:val="22"/>
                <w:szCs w:val="22"/>
                <w:color w:val="auto"/>
              </w:rPr>
            </w:pPr>
          </w:p>
        </w:tc>
        <w:tc>
          <w:tcPr>
            <w:tcW w:w="1080" w:type="dxa"/>
            <w:vAlign w:val="bottom"/>
            <w:tcBorders>
              <w:right w:val="single" w:sz="8" w:color="70AD47"/>
            </w:tcBorders>
          </w:tcPr>
          <w:p>
            <w:pPr>
              <w:spacing w:after="0"/>
              <w:rPr>
                <w:sz w:val="22"/>
                <w:szCs w:val="22"/>
                <w:color w:val="auto"/>
              </w:rPr>
            </w:pPr>
          </w:p>
        </w:tc>
        <w:tc>
          <w:tcPr>
            <w:tcW w:w="1060" w:type="dxa"/>
            <w:vAlign w:val="bottom"/>
            <w:tcBorders>
              <w:right w:val="single" w:sz="8" w:color="70AD47"/>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Collaboration Revenues</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€12,154</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€5,479</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€14,952</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€32,585</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€32,585</w:t>
            </w:r>
          </w:p>
        </w:tc>
        <w:tc>
          <w:tcPr>
            <w:tcW w:w="0" w:type="dxa"/>
            <w:vAlign w:val="bottom"/>
          </w:tcPr>
          <w:p>
            <w:pPr>
              <w:spacing w:after="0"/>
              <w:rPr>
                <w:sz w:val="1"/>
                <w:szCs w:val="1"/>
                <w:color w:val="auto"/>
              </w:rPr>
            </w:pPr>
          </w:p>
        </w:tc>
      </w:tr>
      <w:tr>
        <w:trPr>
          <w:trHeight w:val="257"/>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Revenues from other sales transactions</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88</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9,089</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9,177</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9,177</w:t>
            </w:r>
          </w:p>
        </w:tc>
        <w:tc>
          <w:tcPr>
            <w:tcW w:w="0" w:type="dxa"/>
            <w:vAlign w:val="bottom"/>
          </w:tcPr>
          <w:p>
            <w:pPr>
              <w:spacing w:after="0"/>
              <w:rPr>
                <w:sz w:val="1"/>
                <w:szCs w:val="1"/>
                <w:color w:val="auto"/>
              </w:rPr>
            </w:pPr>
          </w:p>
        </w:tc>
      </w:tr>
      <w:tr>
        <w:trPr>
          <w:trHeight w:val="296"/>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Cost of sales</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(4,779)</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(4,779)</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(883)</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(5,662)</w:t>
            </w:r>
          </w:p>
        </w:tc>
        <w:tc>
          <w:tcPr>
            <w:tcW w:w="0" w:type="dxa"/>
            <w:vAlign w:val="bottom"/>
          </w:tcPr>
          <w:p>
            <w:pPr>
              <w:spacing w:after="0"/>
              <w:rPr>
                <w:sz w:val="1"/>
                <w:szCs w:val="1"/>
                <w:color w:val="auto"/>
              </w:rPr>
            </w:pPr>
          </w:p>
        </w:tc>
      </w:tr>
      <w:tr>
        <w:trPr>
          <w:trHeight w:val="250"/>
        </w:trPr>
        <w:tc>
          <w:tcPr>
            <w:tcW w:w="2740" w:type="dxa"/>
            <w:vAlign w:val="bottom"/>
            <w:tcBorders>
              <w:top w:val="single" w:sz="8" w:color="70AD47"/>
              <w:right w:val="single" w:sz="8" w:color="70AD47"/>
            </w:tcBorders>
          </w:tcPr>
          <w:p>
            <w:pPr>
              <w:spacing w:after="0"/>
              <w:rPr>
                <w:sz w:val="20"/>
                <w:szCs w:val="20"/>
                <w:color w:val="auto"/>
              </w:rPr>
            </w:pPr>
            <w:r>
              <w:rPr>
                <w:rFonts w:ascii="Arial" w:cs="Arial" w:eastAsia="Arial" w:hAnsi="Arial"/>
                <w:sz w:val="14"/>
                <w:szCs w:val="14"/>
                <w:b w:val="1"/>
                <w:bCs w:val="1"/>
                <w:color w:val="auto"/>
              </w:rPr>
              <w:t>Gross Profit</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€12,154</w:t>
            </w:r>
          </w:p>
        </w:tc>
        <w:tc>
          <w:tcPr>
            <w:tcW w:w="10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€5,567</w:t>
            </w:r>
          </w:p>
        </w:tc>
        <w:tc>
          <w:tcPr>
            <w:tcW w:w="10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€14,952</w:t>
            </w:r>
          </w:p>
        </w:tc>
        <w:tc>
          <w:tcPr>
            <w:tcW w:w="104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€4,310</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€36,983</w:t>
            </w:r>
          </w:p>
        </w:tc>
        <w:tc>
          <w:tcPr>
            <w:tcW w:w="108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4"/>
                <w:szCs w:val="14"/>
                <w:b w:val="1"/>
                <w:bCs w:val="1"/>
                <w:color w:val="auto"/>
              </w:rPr>
              <w:t>€(883)</w:t>
            </w:r>
          </w:p>
        </w:tc>
        <w:tc>
          <w:tcPr>
            <w:tcW w:w="106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4"/>
                <w:szCs w:val="14"/>
                <w:b w:val="1"/>
                <w:bCs w:val="1"/>
                <w:color w:val="auto"/>
              </w:rPr>
              <w:t>€36,100</w:t>
            </w:r>
          </w:p>
        </w:tc>
        <w:tc>
          <w:tcPr>
            <w:tcW w:w="0" w:type="dxa"/>
            <w:vAlign w:val="bottom"/>
          </w:tcPr>
          <w:p>
            <w:pPr>
              <w:spacing w:after="0"/>
              <w:rPr>
                <w:sz w:val="1"/>
                <w:szCs w:val="1"/>
                <w:color w:val="auto"/>
              </w:rPr>
            </w:pPr>
          </w:p>
        </w:tc>
      </w:tr>
      <w:tr>
        <w:trPr>
          <w:trHeight w:val="211"/>
        </w:trPr>
        <w:tc>
          <w:tcPr>
            <w:tcW w:w="2740" w:type="dxa"/>
            <w:vAlign w:val="bottom"/>
            <w:tcBorders>
              <w:top w:val="single" w:sz="8" w:color="70AD47"/>
              <w:right w:val="single" w:sz="8" w:color="70AD47"/>
            </w:tcBorders>
          </w:tcPr>
          <w:p>
            <w:pPr>
              <w:ind w:left="140"/>
              <w:spacing w:after="0"/>
              <w:rPr>
                <w:sz w:val="20"/>
                <w:szCs w:val="20"/>
                <w:color w:val="auto"/>
              </w:rPr>
            </w:pPr>
            <w:r>
              <w:rPr>
                <w:rFonts w:ascii="Arial" w:cs="Arial" w:eastAsia="Arial" w:hAnsi="Arial"/>
                <w:sz w:val="14"/>
                <w:szCs w:val="14"/>
                <w:b w:val="1"/>
                <w:bCs w:val="1"/>
                <w:color w:val="auto"/>
              </w:rPr>
              <w:t>Income / Expenses</w:t>
            </w:r>
          </w:p>
        </w:tc>
        <w:tc>
          <w:tcPr>
            <w:tcW w:w="1060" w:type="dxa"/>
            <w:vAlign w:val="bottom"/>
            <w:tcBorders>
              <w:top w:val="single" w:sz="8" w:color="70AD47"/>
              <w:right w:val="single" w:sz="8" w:color="70AD47"/>
            </w:tcBorders>
            <w:shd w:val="clear" w:color="auto" w:fill="C6E0B4"/>
          </w:tcPr>
          <w:p>
            <w:pPr>
              <w:spacing w:after="0"/>
              <w:rPr>
                <w:sz w:val="18"/>
                <w:szCs w:val="18"/>
                <w:color w:val="auto"/>
              </w:rPr>
            </w:pPr>
          </w:p>
        </w:tc>
        <w:tc>
          <w:tcPr>
            <w:tcW w:w="1080" w:type="dxa"/>
            <w:vAlign w:val="bottom"/>
            <w:tcBorders>
              <w:top w:val="single" w:sz="8" w:color="70AD47"/>
              <w:right w:val="single" w:sz="8" w:color="70AD47"/>
            </w:tcBorders>
            <w:shd w:val="clear" w:color="auto" w:fill="C6E0B4"/>
          </w:tcPr>
          <w:p>
            <w:pPr>
              <w:spacing w:after="0"/>
              <w:rPr>
                <w:sz w:val="18"/>
                <w:szCs w:val="18"/>
                <w:color w:val="auto"/>
              </w:rPr>
            </w:pPr>
          </w:p>
        </w:tc>
        <w:tc>
          <w:tcPr>
            <w:tcW w:w="1080" w:type="dxa"/>
            <w:vAlign w:val="bottom"/>
            <w:tcBorders>
              <w:top w:val="single" w:sz="8" w:color="70AD47"/>
              <w:right w:val="single" w:sz="8" w:color="70AD47"/>
            </w:tcBorders>
            <w:shd w:val="clear" w:color="auto" w:fill="C6E0B4"/>
          </w:tcPr>
          <w:p>
            <w:pPr>
              <w:spacing w:after="0"/>
              <w:rPr>
                <w:sz w:val="18"/>
                <w:szCs w:val="18"/>
                <w:color w:val="auto"/>
              </w:rPr>
            </w:pPr>
          </w:p>
        </w:tc>
        <w:tc>
          <w:tcPr>
            <w:tcW w:w="1040" w:type="dxa"/>
            <w:vAlign w:val="bottom"/>
            <w:tcBorders>
              <w:top w:val="single" w:sz="8" w:color="70AD47"/>
              <w:right w:val="single" w:sz="8" w:color="70AD47"/>
            </w:tcBorders>
            <w:shd w:val="clear" w:color="auto" w:fill="C6E0B4"/>
          </w:tcPr>
          <w:p>
            <w:pPr>
              <w:spacing w:after="0"/>
              <w:rPr>
                <w:sz w:val="18"/>
                <w:szCs w:val="18"/>
                <w:color w:val="auto"/>
              </w:rPr>
            </w:pPr>
          </w:p>
        </w:tc>
        <w:tc>
          <w:tcPr>
            <w:tcW w:w="1060" w:type="dxa"/>
            <w:vAlign w:val="bottom"/>
            <w:tcBorders>
              <w:top w:val="single" w:sz="8" w:color="70AD47"/>
              <w:right w:val="single" w:sz="8" w:color="70AD47"/>
            </w:tcBorders>
            <w:shd w:val="clear" w:color="auto" w:fill="C6E0B4"/>
          </w:tcPr>
          <w:p>
            <w:pPr>
              <w:spacing w:after="0"/>
              <w:rPr>
                <w:sz w:val="18"/>
                <w:szCs w:val="18"/>
                <w:color w:val="auto"/>
              </w:rPr>
            </w:pPr>
          </w:p>
        </w:tc>
        <w:tc>
          <w:tcPr>
            <w:tcW w:w="1060" w:type="dxa"/>
            <w:vAlign w:val="bottom"/>
            <w:tcBorders>
              <w:top w:val="single" w:sz="8" w:color="70AD47"/>
              <w:right w:val="single" w:sz="8" w:color="70AD47"/>
            </w:tcBorders>
            <w:shd w:val="clear" w:color="auto" w:fill="C6E0B4"/>
          </w:tcPr>
          <w:p>
            <w:pPr>
              <w:spacing w:after="0"/>
              <w:rPr>
                <w:sz w:val="18"/>
                <w:szCs w:val="18"/>
                <w:color w:val="auto"/>
              </w:rPr>
            </w:pPr>
          </w:p>
        </w:tc>
        <w:tc>
          <w:tcPr>
            <w:tcW w:w="1080" w:type="dxa"/>
            <w:vAlign w:val="bottom"/>
            <w:tcBorders>
              <w:top w:val="single" w:sz="8" w:color="70AD47"/>
              <w:right w:val="single" w:sz="8" w:color="70AD47"/>
            </w:tcBorders>
          </w:tcPr>
          <w:p>
            <w:pPr>
              <w:spacing w:after="0"/>
              <w:rPr>
                <w:sz w:val="18"/>
                <w:szCs w:val="18"/>
                <w:color w:val="auto"/>
              </w:rPr>
            </w:pPr>
          </w:p>
        </w:tc>
        <w:tc>
          <w:tcPr>
            <w:tcW w:w="1060" w:type="dxa"/>
            <w:vAlign w:val="bottom"/>
            <w:tcBorders>
              <w:top w:val="single" w:sz="8" w:color="70AD47"/>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Research and development expenses</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(37,111)</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(35,905)</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(21,026)</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(1,883)</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(147)</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(96,072)</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883</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(95,189)</w:t>
            </w:r>
          </w:p>
        </w:tc>
        <w:tc>
          <w:tcPr>
            <w:tcW w:w="0" w:type="dxa"/>
            <w:vAlign w:val="bottom"/>
          </w:tcPr>
          <w:p>
            <w:pPr>
              <w:spacing w:after="0"/>
              <w:rPr>
                <w:sz w:val="1"/>
                <w:szCs w:val="1"/>
                <w:color w:val="auto"/>
              </w:rPr>
            </w:pPr>
          </w:p>
        </w:tc>
      </w:tr>
      <w:tr>
        <w:trPr>
          <w:trHeight w:val="257"/>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Sales and marketing expenses</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(2,459)</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(595)</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(3,054)</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(3,054)</w:t>
            </w:r>
          </w:p>
        </w:tc>
        <w:tc>
          <w:tcPr>
            <w:tcW w:w="0" w:type="dxa"/>
            <w:vAlign w:val="bottom"/>
          </w:tcPr>
          <w:p>
            <w:pPr>
              <w:spacing w:after="0"/>
              <w:rPr>
                <w:sz w:val="1"/>
                <w:szCs w:val="1"/>
                <w:color w:val="auto"/>
              </w:rPr>
            </w:pPr>
          </w:p>
        </w:tc>
      </w:tr>
      <w:tr>
        <w:trPr>
          <w:trHeight w:val="257"/>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General and administrative expenses</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(5)</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(1,018)</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(16,956)</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(835)</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(18,814)</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(18,813)</w:t>
            </w:r>
          </w:p>
        </w:tc>
        <w:tc>
          <w:tcPr>
            <w:tcW w:w="0" w:type="dxa"/>
            <w:vAlign w:val="bottom"/>
          </w:tcPr>
          <w:p>
            <w:pPr>
              <w:spacing w:after="0"/>
              <w:rPr>
                <w:sz w:val="1"/>
                <w:szCs w:val="1"/>
                <w:color w:val="auto"/>
              </w:rPr>
            </w:pPr>
          </w:p>
        </w:tc>
      </w:tr>
      <w:tr>
        <w:trPr>
          <w:trHeight w:val="296"/>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Other result</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(2)</w:t>
            </w:r>
          </w:p>
        </w:tc>
        <w:tc>
          <w:tcPr>
            <w:tcW w:w="10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13</w:t>
            </w:r>
          </w:p>
        </w:tc>
        <w:tc>
          <w:tcPr>
            <w:tcW w:w="10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30</w:t>
            </w:r>
          </w:p>
        </w:tc>
        <w:tc>
          <w:tcPr>
            <w:tcW w:w="10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(16)</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(11)</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14</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50"/>
        </w:trPr>
        <w:tc>
          <w:tcPr>
            <w:tcW w:w="2740" w:type="dxa"/>
            <w:vAlign w:val="bottom"/>
            <w:tcBorders>
              <w:top w:val="single" w:sz="8" w:color="70AD47"/>
              <w:right w:val="single" w:sz="8" w:color="70AD47"/>
            </w:tcBorders>
          </w:tcPr>
          <w:p>
            <w:pPr>
              <w:ind w:left="140"/>
              <w:spacing w:after="0"/>
              <w:rPr>
                <w:sz w:val="20"/>
                <w:szCs w:val="20"/>
                <w:color w:val="auto"/>
              </w:rPr>
            </w:pPr>
            <w:r>
              <w:rPr>
                <w:rFonts w:ascii="Arial" w:cs="Arial" w:eastAsia="Arial" w:hAnsi="Arial"/>
                <w:sz w:val="14"/>
                <w:szCs w:val="14"/>
                <w:b w:val="1"/>
                <w:bCs w:val="1"/>
                <w:color w:val="auto"/>
              </w:rPr>
              <w:t>Segment operating income / (loss)</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€(24,959)</w:t>
            </w:r>
          </w:p>
        </w:tc>
        <w:tc>
          <w:tcPr>
            <w:tcW w:w="10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€(30,330)</w:t>
            </w:r>
          </w:p>
        </w:tc>
        <w:tc>
          <w:tcPr>
            <w:tcW w:w="10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€(7,062)</w:t>
            </w:r>
          </w:p>
        </w:tc>
        <w:tc>
          <w:tcPr>
            <w:tcW w:w="104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€(21,314)</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€2,722</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€(80,943)</w:t>
            </w:r>
          </w:p>
        </w:tc>
        <w:tc>
          <w:tcPr>
            <w:tcW w:w="108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4"/>
                <w:szCs w:val="14"/>
                <w:b w:val="1"/>
                <w:bCs w:val="1"/>
                <w:color w:val="auto"/>
              </w:rPr>
              <w:t>€1</w:t>
            </w:r>
          </w:p>
        </w:tc>
        <w:tc>
          <w:tcPr>
            <w:tcW w:w="106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4"/>
                <w:szCs w:val="14"/>
                <w:b w:val="1"/>
                <w:bCs w:val="1"/>
                <w:color w:val="auto"/>
              </w:rPr>
              <w:t>€(80,942)</w:t>
            </w:r>
          </w:p>
        </w:tc>
        <w:tc>
          <w:tcPr>
            <w:tcW w:w="0" w:type="dxa"/>
            <w:vAlign w:val="bottom"/>
          </w:tcPr>
          <w:p>
            <w:pPr>
              <w:spacing w:after="0"/>
              <w:rPr>
                <w:sz w:val="1"/>
                <w:szCs w:val="1"/>
                <w:color w:val="auto"/>
              </w:rPr>
            </w:pPr>
          </w:p>
        </w:tc>
      </w:tr>
      <w:tr>
        <w:trPr>
          <w:trHeight w:val="236"/>
        </w:trPr>
        <w:tc>
          <w:tcPr>
            <w:tcW w:w="2740" w:type="dxa"/>
            <w:vAlign w:val="bottom"/>
            <w:tcBorders>
              <w:top w:val="single" w:sz="8" w:color="70AD47"/>
            </w:tcBorders>
          </w:tcPr>
          <w:p>
            <w:pPr>
              <w:spacing w:after="0"/>
              <w:rPr>
                <w:sz w:val="20"/>
                <w:szCs w:val="20"/>
                <w:color w:val="auto"/>
              </w:rPr>
            </w:pPr>
          </w:p>
        </w:tc>
        <w:tc>
          <w:tcPr>
            <w:tcW w:w="1060" w:type="dxa"/>
            <w:vAlign w:val="bottom"/>
            <w:tcBorders>
              <w:top w:val="single" w:sz="8" w:color="70AD47"/>
              <w:bottom w:val="single" w:sz="8" w:color="70AD47"/>
            </w:tcBorders>
          </w:tcPr>
          <w:p>
            <w:pPr>
              <w:spacing w:after="0"/>
              <w:rPr>
                <w:sz w:val="20"/>
                <w:szCs w:val="20"/>
                <w:color w:val="auto"/>
              </w:rPr>
            </w:pPr>
          </w:p>
        </w:tc>
        <w:tc>
          <w:tcPr>
            <w:tcW w:w="1080" w:type="dxa"/>
            <w:vAlign w:val="bottom"/>
            <w:tcBorders>
              <w:top w:val="single" w:sz="8" w:color="70AD47"/>
              <w:bottom w:val="single" w:sz="8" w:color="70AD47"/>
            </w:tcBorders>
          </w:tcPr>
          <w:p>
            <w:pPr>
              <w:spacing w:after="0"/>
              <w:rPr>
                <w:sz w:val="20"/>
                <w:szCs w:val="20"/>
                <w:color w:val="auto"/>
              </w:rPr>
            </w:pPr>
          </w:p>
        </w:tc>
        <w:tc>
          <w:tcPr>
            <w:tcW w:w="1080" w:type="dxa"/>
            <w:vAlign w:val="bottom"/>
            <w:tcBorders>
              <w:top w:val="single" w:sz="8" w:color="70AD47"/>
              <w:bottom w:val="single" w:sz="8" w:color="70AD47"/>
            </w:tcBorders>
          </w:tcPr>
          <w:p>
            <w:pPr>
              <w:spacing w:after="0"/>
              <w:rPr>
                <w:sz w:val="20"/>
                <w:szCs w:val="20"/>
                <w:color w:val="auto"/>
              </w:rPr>
            </w:pPr>
          </w:p>
        </w:tc>
        <w:tc>
          <w:tcPr>
            <w:tcW w:w="1040" w:type="dxa"/>
            <w:vAlign w:val="bottom"/>
            <w:tcBorders>
              <w:top w:val="single" w:sz="8" w:color="70AD47"/>
              <w:bottom w:val="single" w:sz="8" w:color="70AD47"/>
            </w:tcBorders>
          </w:tcPr>
          <w:p>
            <w:pPr>
              <w:spacing w:after="0"/>
              <w:rPr>
                <w:sz w:val="20"/>
                <w:szCs w:val="20"/>
                <w:color w:val="auto"/>
              </w:rPr>
            </w:pPr>
          </w:p>
        </w:tc>
        <w:tc>
          <w:tcPr>
            <w:tcW w:w="1060" w:type="dxa"/>
            <w:vAlign w:val="bottom"/>
            <w:tcBorders>
              <w:top w:val="single" w:sz="8" w:color="70AD47"/>
              <w:bottom w:val="single" w:sz="8" w:color="70AD47"/>
            </w:tcBorders>
          </w:tcPr>
          <w:p>
            <w:pPr>
              <w:spacing w:after="0"/>
              <w:rPr>
                <w:sz w:val="20"/>
                <w:szCs w:val="20"/>
                <w:color w:val="auto"/>
              </w:rPr>
            </w:pPr>
          </w:p>
        </w:tc>
        <w:tc>
          <w:tcPr>
            <w:tcW w:w="1060" w:type="dxa"/>
            <w:vAlign w:val="bottom"/>
            <w:tcBorders>
              <w:top w:val="single" w:sz="8" w:color="70AD47"/>
            </w:tcBorders>
          </w:tcPr>
          <w:p>
            <w:pPr>
              <w:spacing w:after="0"/>
              <w:rPr>
                <w:sz w:val="20"/>
                <w:szCs w:val="20"/>
                <w:color w:val="auto"/>
              </w:rPr>
            </w:pPr>
          </w:p>
        </w:tc>
        <w:tc>
          <w:tcPr>
            <w:tcW w:w="1080" w:type="dxa"/>
            <w:vAlign w:val="bottom"/>
            <w:tcBorders>
              <w:top w:val="single" w:sz="8" w:color="70AD47"/>
            </w:tcBorders>
          </w:tcPr>
          <w:p>
            <w:pPr>
              <w:spacing w:after="0"/>
              <w:rPr>
                <w:sz w:val="20"/>
                <w:szCs w:val="20"/>
                <w:color w:val="auto"/>
              </w:rPr>
            </w:pPr>
          </w:p>
        </w:tc>
        <w:tc>
          <w:tcPr>
            <w:tcW w:w="1060" w:type="dxa"/>
            <w:vAlign w:val="bottom"/>
            <w:tcBorders>
              <w:top w:val="single" w:sz="8" w:color="70AD47"/>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740" w:type="dxa"/>
            <w:vAlign w:val="bottom"/>
            <w:tcBorders>
              <w:right w:val="single" w:sz="8" w:color="70AD47"/>
            </w:tcBorders>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Borders>
              <w:right w:val="single" w:sz="8" w:color="70AD47"/>
            </w:tcBorders>
          </w:tcPr>
          <w:p>
            <w:pPr>
              <w:spacing w:after="0"/>
              <w:rPr>
                <w:sz w:val="11"/>
                <w:szCs w:val="11"/>
                <w:color w:val="auto"/>
              </w:rPr>
            </w:pPr>
          </w:p>
        </w:tc>
        <w:tc>
          <w:tcPr>
            <w:tcW w:w="1060" w:type="dxa"/>
            <w:vAlign w:val="bottom"/>
            <w:tcBorders>
              <w:right w:val="single" w:sz="8" w:color="70AD47"/>
            </w:tcBorders>
          </w:tcPr>
          <w:p>
            <w:pPr>
              <w:jc w:val="center"/>
              <w:ind w:right="8"/>
              <w:spacing w:after="0" w:line="133" w:lineRule="exact"/>
              <w:rPr>
                <w:sz w:val="20"/>
                <w:szCs w:val="20"/>
                <w:color w:val="auto"/>
              </w:rPr>
            </w:pPr>
            <w:r>
              <w:rPr>
                <w:rFonts w:ascii="Arial" w:cs="Arial" w:eastAsia="Arial" w:hAnsi="Arial"/>
                <w:sz w:val="14"/>
                <w:szCs w:val="14"/>
                <w:b w:val="1"/>
                <w:bCs w:val="1"/>
                <w:color w:val="auto"/>
                <w:w w:val="97"/>
              </w:rPr>
              <w:t>External</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tcBorders>
              <w:right w:val="single" w:sz="8" w:color="70AD47"/>
            </w:tcBorders>
          </w:tcPr>
          <w:p>
            <w:pPr>
              <w:spacing w:after="0"/>
              <w:rPr>
                <w:sz w:val="12"/>
                <w:szCs w:val="12"/>
                <w:color w:val="auto"/>
              </w:rPr>
            </w:pPr>
          </w:p>
        </w:tc>
        <w:tc>
          <w:tcPr>
            <w:tcW w:w="1060" w:type="dxa"/>
            <w:vAlign w:val="bottom"/>
          </w:tcPr>
          <w:p>
            <w:pPr>
              <w:spacing w:after="0"/>
              <w:rPr>
                <w:sz w:val="12"/>
                <w:szCs w:val="12"/>
                <w:color w:val="auto"/>
              </w:rPr>
            </w:pPr>
          </w:p>
        </w:tc>
        <w:tc>
          <w:tcPr>
            <w:tcW w:w="2160" w:type="dxa"/>
            <w:vAlign w:val="bottom"/>
            <w:gridSpan w:val="2"/>
            <w:vMerge w:val="restart"/>
          </w:tcPr>
          <w:p>
            <w:pPr>
              <w:jc w:val="right"/>
              <w:ind w:right="368"/>
              <w:spacing w:after="0"/>
              <w:rPr>
                <w:sz w:val="20"/>
                <w:szCs w:val="20"/>
                <w:color w:val="auto"/>
              </w:rPr>
            </w:pPr>
            <w:r>
              <w:rPr>
                <w:rFonts w:ascii="Arial" w:cs="Arial" w:eastAsia="Arial" w:hAnsi="Arial"/>
                <w:sz w:val="14"/>
                <w:szCs w:val="14"/>
                <w:b w:val="1"/>
                <w:bCs w:val="1"/>
                <w:color w:val="auto"/>
              </w:rPr>
              <w:t>Biotech Business Unit</w:t>
            </w:r>
          </w:p>
        </w:tc>
        <w:tc>
          <w:tcPr>
            <w:tcW w:w="1040" w:type="dxa"/>
            <w:vAlign w:val="bottom"/>
            <w:tcBorders>
              <w:right w:val="single" w:sz="8" w:color="70AD47"/>
            </w:tcBorders>
          </w:tcPr>
          <w:p>
            <w:pPr>
              <w:spacing w:after="0"/>
              <w:rPr>
                <w:sz w:val="12"/>
                <w:szCs w:val="12"/>
                <w:color w:val="auto"/>
              </w:rPr>
            </w:pPr>
          </w:p>
        </w:tc>
        <w:tc>
          <w:tcPr>
            <w:tcW w:w="1060" w:type="dxa"/>
            <w:vAlign w:val="bottom"/>
            <w:tcBorders>
              <w:right w:val="single" w:sz="8" w:color="70AD47"/>
            </w:tcBorders>
          </w:tcPr>
          <w:p>
            <w:pPr>
              <w:jc w:val="center"/>
              <w:spacing w:after="0" w:line="149" w:lineRule="exact"/>
              <w:rPr>
                <w:sz w:val="20"/>
                <w:szCs w:val="20"/>
                <w:color w:val="auto"/>
              </w:rPr>
            </w:pPr>
            <w:r>
              <w:rPr>
                <w:rFonts w:ascii="Arial" w:cs="Arial" w:eastAsia="Arial" w:hAnsi="Arial"/>
                <w:sz w:val="14"/>
                <w:szCs w:val="14"/>
                <w:b w:val="1"/>
                <w:bCs w:val="1"/>
                <w:color w:val="auto"/>
                <w:w w:val="86"/>
              </w:rPr>
              <w:t>Services</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740" w:type="dxa"/>
            <w:vAlign w:val="bottom"/>
            <w:tcBorders>
              <w:right w:val="single" w:sz="8" w:color="70AD47"/>
            </w:tcBorders>
          </w:tcPr>
          <w:p>
            <w:pPr>
              <w:spacing w:after="0"/>
              <w:rPr>
                <w:sz w:val="9"/>
                <w:szCs w:val="9"/>
                <w:color w:val="auto"/>
              </w:rPr>
            </w:pPr>
          </w:p>
        </w:tc>
        <w:tc>
          <w:tcPr>
            <w:tcW w:w="106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1040" w:type="dxa"/>
            <w:vAlign w:val="bottom"/>
            <w:tcBorders>
              <w:right w:val="single" w:sz="8" w:color="70AD47"/>
            </w:tcBorders>
          </w:tcPr>
          <w:p>
            <w:pPr>
              <w:spacing w:after="0"/>
              <w:rPr>
                <w:sz w:val="9"/>
                <w:szCs w:val="9"/>
                <w:color w:val="auto"/>
              </w:rPr>
            </w:pPr>
          </w:p>
        </w:tc>
        <w:tc>
          <w:tcPr>
            <w:tcW w:w="1060" w:type="dxa"/>
            <w:vAlign w:val="bottom"/>
            <w:tcBorders>
              <w:right w:val="single" w:sz="8" w:color="70AD47"/>
            </w:tcBorders>
            <w:vMerge w:val="restart"/>
          </w:tcPr>
          <w:p>
            <w:pPr>
              <w:jc w:val="center"/>
              <w:ind w:right="8"/>
              <w:spacing w:after="0" w:line="149" w:lineRule="exact"/>
              <w:rPr>
                <w:sz w:val="20"/>
                <w:szCs w:val="20"/>
                <w:color w:val="auto"/>
              </w:rPr>
            </w:pPr>
            <w:r>
              <w:rPr>
                <w:rFonts w:ascii="Arial" w:cs="Arial" w:eastAsia="Arial" w:hAnsi="Arial"/>
                <w:sz w:val="14"/>
                <w:szCs w:val="14"/>
                <w:b w:val="1"/>
                <w:bCs w:val="1"/>
                <w:color w:val="auto"/>
                <w:w w:val="86"/>
              </w:rPr>
              <w:t>Business</w:t>
            </w: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740" w:type="dxa"/>
            <w:vAlign w:val="bottom"/>
            <w:tcBorders>
              <w:right w:val="single" w:sz="8" w:color="70AD47"/>
            </w:tcBorders>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Borders>
              <w:right w:val="single" w:sz="8" w:color="70AD47"/>
            </w:tcBorders>
          </w:tcPr>
          <w:p>
            <w:pPr>
              <w:spacing w:after="0"/>
              <w:rPr>
                <w:sz w:val="3"/>
                <w:szCs w:val="3"/>
                <w:color w:val="auto"/>
              </w:rPr>
            </w:pPr>
          </w:p>
        </w:tc>
        <w:tc>
          <w:tcPr>
            <w:tcW w:w="1060" w:type="dxa"/>
            <w:vAlign w:val="bottom"/>
            <w:tcBorders>
              <w:right w:val="single" w:sz="8" w:color="70AD47"/>
            </w:tcBorders>
            <w:vMerge w:val="continue"/>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740" w:type="dxa"/>
            <w:vAlign w:val="bottom"/>
            <w:tcBorders>
              <w:bottom w:val="single" w:sz="8" w:color="70AD47"/>
              <w:right w:val="single" w:sz="8" w:color="70AD47"/>
            </w:tcBorders>
          </w:tcPr>
          <w:p>
            <w:pPr>
              <w:spacing w:after="0"/>
              <w:rPr>
                <w:sz w:val="14"/>
                <w:szCs w:val="14"/>
                <w:color w:val="auto"/>
              </w:rPr>
            </w:pPr>
          </w:p>
        </w:tc>
        <w:tc>
          <w:tcPr>
            <w:tcW w:w="1060" w:type="dxa"/>
            <w:vAlign w:val="bottom"/>
            <w:tcBorders>
              <w:bottom w:val="single" w:sz="8" w:color="70AD47"/>
            </w:tcBorders>
          </w:tcPr>
          <w:p>
            <w:pPr>
              <w:spacing w:after="0"/>
              <w:rPr>
                <w:sz w:val="14"/>
                <w:szCs w:val="14"/>
                <w:color w:val="auto"/>
              </w:rPr>
            </w:pPr>
          </w:p>
        </w:tc>
        <w:tc>
          <w:tcPr>
            <w:tcW w:w="1080" w:type="dxa"/>
            <w:vAlign w:val="bottom"/>
            <w:tcBorders>
              <w:bottom w:val="single" w:sz="8" w:color="70AD47"/>
            </w:tcBorders>
          </w:tcPr>
          <w:p>
            <w:pPr>
              <w:spacing w:after="0"/>
              <w:rPr>
                <w:sz w:val="14"/>
                <w:szCs w:val="14"/>
                <w:color w:val="auto"/>
              </w:rPr>
            </w:pPr>
          </w:p>
        </w:tc>
        <w:tc>
          <w:tcPr>
            <w:tcW w:w="1080" w:type="dxa"/>
            <w:vAlign w:val="bottom"/>
            <w:tcBorders>
              <w:bottom w:val="single" w:sz="8" w:color="70AD47"/>
            </w:tcBorders>
          </w:tcPr>
          <w:p>
            <w:pPr>
              <w:spacing w:after="0"/>
              <w:rPr>
                <w:sz w:val="14"/>
                <w:szCs w:val="14"/>
                <w:color w:val="auto"/>
              </w:rPr>
            </w:pPr>
          </w:p>
        </w:tc>
        <w:tc>
          <w:tcPr>
            <w:tcW w:w="1040" w:type="dxa"/>
            <w:vAlign w:val="bottom"/>
            <w:tcBorders>
              <w:bottom w:val="single" w:sz="8" w:color="70AD47"/>
              <w:right w:val="single" w:sz="8" w:color="70AD47"/>
            </w:tcBorders>
          </w:tcPr>
          <w:p>
            <w:pPr>
              <w:spacing w:after="0"/>
              <w:rPr>
                <w:sz w:val="14"/>
                <w:szCs w:val="14"/>
                <w:color w:val="auto"/>
              </w:rPr>
            </w:pPr>
          </w:p>
        </w:tc>
        <w:tc>
          <w:tcPr>
            <w:tcW w:w="106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14"/>
                <w:szCs w:val="14"/>
                <w:b w:val="1"/>
                <w:bCs w:val="1"/>
                <w:color w:val="auto"/>
                <w:w w:val="95"/>
              </w:rPr>
              <w:t>Unit</w:t>
            </w:r>
          </w:p>
        </w:tc>
        <w:tc>
          <w:tcPr>
            <w:tcW w:w="1060" w:type="dxa"/>
            <w:vAlign w:val="bottom"/>
            <w:tcBorders>
              <w:bottom w:val="single" w:sz="8" w:color="70AD47"/>
            </w:tcBorders>
          </w:tcPr>
          <w:p>
            <w:pPr>
              <w:spacing w:after="0"/>
              <w:rPr>
                <w:sz w:val="14"/>
                <w:szCs w:val="14"/>
                <w:color w:val="auto"/>
              </w:rPr>
            </w:pPr>
          </w:p>
        </w:tc>
        <w:tc>
          <w:tcPr>
            <w:tcW w:w="1080" w:type="dxa"/>
            <w:vAlign w:val="bottom"/>
            <w:tcBorders>
              <w:bottom w:val="single" w:sz="8" w:color="70AD47"/>
            </w:tcBorders>
          </w:tcPr>
          <w:p>
            <w:pPr>
              <w:spacing w:after="0"/>
              <w:rPr>
                <w:sz w:val="14"/>
                <w:szCs w:val="14"/>
                <w:color w:val="auto"/>
              </w:rPr>
            </w:pPr>
          </w:p>
        </w:tc>
        <w:tc>
          <w:tcPr>
            <w:tcW w:w="1060" w:type="dxa"/>
            <w:vAlign w:val="bottom"/>
            <w:tcBorders>
              <w:bottom w:val="single" w:sz="8" w:color="70AD47"/>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40" w:type="dxa"/>
            <w:vAlign w:val="bottom"/>
            <w:tcBorders>
              <w:right w:val="single" w:sz="8" w:color="70AD47"/>
            </w:tcBorders>
          </w:tcPr>
          <w:p>
            <w:pPr>
              <w:spacing w:after="0"/>
              <w:rPr>
                <w:sz w:val="11"/>
                <w:szCs w:val="11"/>
                <w:color w:val="auto"/>
              </w:rPr>
            </w:pPr>
          </w:p>
        </w:tc>
        <w:tc>
          <w:tcPr>
            <w:tcW w:w="1060" w:type="dxa"/>
            <w:vAlign w:val="bottom"/>
            <w:tcBorders>
              <w:right w:val="single" w:sz="8" w:color="70AD47"/>
            </w:tcBorders>
          </w:tcPr>
          <w:p>
            <w:pPr>
              <w:spacing w:after="0"/>
              <w:rPr>
                <w:sz w:val="11"/>
                <w:szCs w:val="11"/>
                <w:color w:val="auto"/>
              </w:rPr>
            </w:pPr>
          </w:p>
        </w:tc>
        <w:tc>
          <w:tcPr>
            <w:tcW w:w="108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14"/>
                <w:szCs w:val="14"/>
                <w:b w:val="1"/>
                <w:bCs w:val="1"/>
                <w:color w:val="auto"/>
                <w:w w:val="89"/>
              </w:rPr>
              <w:t>Technology</w:t>
            </w:r>
          </w:p>
        </w:tc>
        <w:tc>
          <w:tcPr>
            <w:tcW w:w="1080" w:type="dxa"/>
            <w:vAlign w:val="bottom"/>
            <w:tcBorders>
              <w:right w:val="single" w:sz="8" w:color="70AD47"/>
            </w:tcBorders>
          </w:tcPr>
          <w:p>
            <w:pPr>
              <w:spacing w:after="0"/>
              <w:rPr>
                <w:sz w:val="11"/>
                <w:szCs w:val="11"/>
                <w:color w:val="auto"/>
              </w:rPr>
            </w:pPr>
          </w:p>
        </w:tc>
        <w:tc>
          <w:tcPr>
            <w:tcW w:w="1040" w:type="dxa"/>
            <w:vAlign w:val="bottom"/>
            <w:tcBorders>
              <w:right w:val="single" w:sz="8" w:color="70AD47"/>
            </w:tcBorders>
          </w:tcPr>
          <w:p>
            <w:pPr>
              <w:spacing w:after="0"/>
              <w:rPr>
                <w:sz w:val="11"/>
                <w:szCs w:val="11"/>
                <w:color w:val="auto"/>
              </w:rPr>
            </w:pPr>
          </w:p>
        </w:tc>
        <w:tc>
          <w:tcPr>
            <w:tcW w:w="1060" w:type="dxa"/>
            <w:vAlign w:val="bottom"/>
            <w:tcBorders>
              <w:right w:val="single" w:sz="8" w:color="70AD47"/>
            </w:tcBorders>
          </w:tcPr>
          <w:p>
            <w:pPr>
              <w:jc w:val="center"/>
              <w:ind w:right="8"/>
              <w:spacing w:after="0" w:line="133" w:lineRule="exact"/>
              <w:rPr>
                <w:sz w:val="20"/>
                <w:szCs w:val="20"/>
                <w:color w:val="auto"/>
              </w:rPr>
            </w:pPr>
            <w:r>
              <w:rPr>
                <w:rFonts w:ascii="Arial" w:cs="Arial" w:eastAsia="Arial" w:hAnsi="Arial"/>
                <w:sz w:val="14"/>
                <w:szCs w:val="14"/>
                <w:b w:val="1"/>
                <w:bCs w:val="1"/>
                <w:color w:val="auto"/>
                <w:w w:val="94"/>
              </w:rPr>
              <w:t>Product</w:t>
            </w:r>
          </w:p>
        </w:tc>
        <w:tc>
          <w:tcPr>
            <w:tcW w:w="1060" w:type="dxa"/>
            <w:vAlign w:val="bottom"/>
            <w:tcBorders>
              <w:right w:val="single" w:sz="8" w:color="70AD47"/>
            </w:tcBorders>
          </w:tcPr>
          <w:p>
            <w:pPr>
              <w:spacing w:after="0"/>
              <w:rPr>
                <w:sz w:val="11"/>
                <w:szCs w:val="11"/>
                <w:color w:val="auto"/>
              </w:rPr>
            </w:pPr>
          </w:p>
        </w:tc>
        <w:tc>
          <w:tcPr>
            <w:tcW w:w="1080" w:type="dxa"/>
            <w:vAlign w:val="bottom"/>
            <w:tcBorders>
              <w:right w:val="single" w:sz="8" w:color="70AD47"/>
            </w:tcBorders>
          </w:tcPr>
          <w:p>
            <w:pPr>
              <w:spacing w:after="0"/>
              <w:rPr>
                <w:sz w:val="11"/>
                <w:szCs w:val="11"/>
                <w:color w:val="auto"/>
              </w:rPr>
            </w:pPr>
          </w:p>
        </w:tc>
        <w:tc>
          <w:tcPr>
            <w:tcW w:w="1060" w:type="dxa"/>
            <w:vAlign w:val="bottom"/>
            <w:tcBorders>
              <w:right w:val="single" w:sz="8" w:color="70AD47"/>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40" w:type="dxa"/>
            <w:vAlign w:val="bottom"/>
            <w:tcBorders>
              <w:right w:val="single" w:sz="8" w:color="70AD47"/>
            </w:tcBorders>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Borders>
              <w:right w:val="single" w:sz="8" w:color="70AD47"/>
            </w:tcBorders>
            <w:vMerge w:val="restart"/>
          </w:tcPr>
          <w:p>
            <w:pPr>
              <w:jc w:val="right"/>
              <w:ind w:right="248"/>
              <w:spacing w:after="0"/>
              <w:rPr>
                <w:sz w:val="20"/>
                <w:szCs w:val="20"/>
                <w:color w:val="auto"/>
              </w:rPr>
            </w:pPr>
            <w:r>
              <w:rPr>
                <w:rFonts w:ascii="Arial" w:cs="Arial" w:eastAsia="Arial" w:hAnsi="Arial"/>
                <w:sz w:val="14"/>
                <w:szCs w:val="14"/>
                <w:b w:val="1"/>
                <w:bCs w:val="1"/>
                <w:color w:val="auto"/>
              </w:rPr>
              <w:t>Clinical</w:t>
            </w:r>
          </w:p>
        </w:tc>
        <w:tc>
          <w:tcPr>
            <w:tcW w:w="1080" w:type="dxa"/>
            <w:vAlign w:val="bottom"/>
            <w:tcBorders>
              <w:right w:val="single" w:sz="8" w:color="70AD47"/>
            </w:tcBorders>
            <w:vMerge w:val="continue"/>
          </w:tcPr>
          <w:p>
            <w:pPr>
              <w:spacing w:after="0"/>
              <w:rPr>
                <w:sz w:val="12"/>
                <w:szCs w:val="12"/>
                <w:color w:val="auto"/>
              </w:rPr>
            </w:pPr>
          </w:p>
        </w:tc>
        <w:tc>
          <w:tcPr>
            <w:tcW w:w="1080" w:type="dxa"/>
            <w:vAlign w:val="bottom"/>
            <w:tcBorders>
              <w:right w:val="single" w:sz="8" w:color="70AD47"/>
            </w:tcBorders>
            <w:vMerge w:val="restart"/>
          </w:tcPr>
          <w:p>
            <w:pPr>
              <w:jc w:val="right"/>
              <w:ind w:right="68"/>
              <w:spacing w:after="0"/>
              <w:rPr>
                <w:sz w:val="20"/>
                <w:szCs w:val="20"/>
                <w:color w:val="auto"/>
              </w:rPr>
            </w:pPr>
            <w:r>
              <w:rPr>
                <w:rFonts w:ascii="Arial" w:cs="Arial" w:eastAsia="Arial" w:hAnsi="Arial"/>
                <w:sz w:val="14"/>
                <w:szCs w:val="14"/>
                <w:b w:val="1"/>
                <w:bCs w:val="1"/>
                <w:color w:val="auto"/>
                <w:w w:val="95"/>
              </w:rPr>
              <w:t>Manufacturing</w:t>
            </w:r>
          </w:p>
        </w:tc>
        <w:tc>
          <w:tcPr>
            <w:tcW w:w="1040" w:type="dxa"/>
            <w:vAlign w:val="bottom"/>
            <w:tcBorders>
              <w:right w:val="single" w:sz="8" w:color="70AD47"/>
            </w:tcBorders>
            <w:vMerge w:val="restart"/>
          </w:tcPr>
          <w:p>
            <w:pPr>
              <w:jc w:val="right"/>
              <w:spacing w:after="0"/>
              <w:rPr>
                <w:sz w:val="20"/>
                <w:szCs w:val="20"/>
                <w:color w:val="auto"/>
              </w:rPr>
            </w:pPr>
            <w:r>
              <w:rPr>
                <w:rFonts w:ascii="Arial" w:cs="Arial" w:eastAsia="Arial" w:hAnsi="Arial"/>
                <w:sz w:val="14"/>
                <w:szCs w:val="14"/>
                <w:b w:val="1"/>
                <w:bCs w:val="1"/>
                <w:color w:val="auto"/>
                <w:w w:val="82"/>
              </w:rPr>
              <w:t>Business Service</w:t>
            </w:r>
          </w:p>
        </w:tc>
        <w:tc>
          <w:tcPr>
            <w:tcW w:w="1060" w:type="dxa"/>
            <w:vAlign w:val="bottom"/>
            <w:tcBorders>
              <w:right w:val="single" w:sz="8" w:color="70AD47"/>
            </w:tcBorders>
          </w:tcPr>
          <w:p>
            <w:pPr>
              <w:jc w:val="center"/>
              <w:spacing w:after="0" w:line="149" w:lineRule="exact"/>
              <w:rPr>
                <w:sz w:val="20"/>
                <w:szCs w:val="20"/>
                <w:color w:val="auto"/>
              </w:rPr>
            </w:pPr>
            <w:r>
              <w:rPr>
                <w:rFonts w:ascii="Arial" w:cs="Arial" w:eastAsia="Arial" w:hAnsi="Arial"/>
                <w:sz w:val="14"/>
                <w:szCs w:val="14"/>
                <w:b w:val="1"/>
                <w:bCs w:val="1"/>
                <w:color w:val="auto"/>
                <w:w w:val="90"/>
              </w:rPr>
              <w:t>Sales &amp;</w:t>
            </w:r>
          </w:p>
        </w:tc>
        <w:tc>
          <w:tcPr>
            <w:tcW w:w="1060" w:type="dxa"/>
            <w:vAlign w:val="bottom"/>
            <w:tcBorders>
              <w:right w:val="single" w:sz="8" w:color="70AD47"/>
            </w:tcBorders>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1080" w:type="dxa"/>
            <w:vAlign w:val="bottom"/>
            <w:tcBorders>
              <w:right w:val="single" w:sz="8" w:color="70AD47"/>
            </w:tcBorders>
            <w:vMerge w:val="restart"/>
          </w:tcPr>
          <w:p>
            <w:pPr>
              <w:jc w:val="right"/>
              <w:ind w:right="88"/>
              <w:spacing w:after="0"/>
              <w:rPr>
                <w:sz w:val="20"/>
                <w:szCs w:val="20"/>
                <w:color w:val="auto"/>
              </w:rPr>
            </w:pPr>
            <w:r>
              <w:rPr>
                <w:rFonts w:ascii="Arial" w:cs="Arial" w:eastAsia="Arial" w:hAnsi="Arial"/>
                <w:sz w:val="14"/>
                <w:szCs w:val="14"/>
                <w:b w:val="1"/>
                <w:bCs w:val="1"/>
                <w:color w:val="auto"/>
              </w:rPr>
              <w:t>Adjustments</w:t>
            </w:r>
          </w:p>
        </w:tc>
        <w:tc>
          <w:tcPr>
            <w:tcW w:w="1060" w:type="dxa"/>
            <w:vAlign w:val="bottom"/>
            <w:tcBorders>
              <w:right w:val="single" w:sz="8" w:color="70AD47"/>
            </w:tcBorders>
            <w:vMerge w:val="restart"/>
          </w:tcPr>
          <w:p>
            <w:pPr>
              <w:jc w:val="right"/>
              <w:ind w:right="288"/>
              <w:spacing w:after="0"/>
              <w:rPr>
                <w:sz w:val="20"/>
                <w:szCs w:val="20"/>
                <w:color w:val="auto"/>
              </w:rPr>
            </w:pPr>
            <w:r>
              <w:rPr>
                <w:rFonts w:ascii="Arial" w:cs="Arial" w:eastAsia="Arial" w:hAnsi="Arial"/>
                <w:sz w:val="14"/>
                <w:szCs w:val="14"/>
                <w:b w:val="1"/>
                <w:bCs w:val="1"/>
                <w:color w:val="auto"/>
              </w:rPr>
              <w:t>Group</w:t>
            </w:r>
          </w:p>
        </w:tc>
        <w:tc>
          <w:tcPr>
            <w:tcW w:w="0" w:type="dxa"/>
            <w:vAlign w:val="bottom"/>
          </w:tcPr>
          <w:p>
            <w:pPr>
              <w:spacing w:after="0"/>
              <w:rPr>
                <w:sz w:val="1"/>
                <w:szCs w:val="1"/>
                <w:color w:val="auto"/>
              </w:rPr>
            </w:pPr>
          </w:p>
        </w:tc>
      </w:tr>
      <w:tr>
        <w:trPr>
          <w:trHeight w:val="105"/>
        </w:trPr>
        <w:tc>
          <w:tcPr>
            <w:tcW w:w="2740" w:type="dxa"/>
            <w:vAlign w:val="bottom"/>
            <w:tcBorders>
              <w:right w:val="single" w:sz="8" w:color="70AD47"/>
            </w:tcBorders>
            <w:vMerge w:val="continue"/>
          </w:tcPr>
          <w:p>
            <w:pPr>
              <w:spacing w:after="0"/>
              <w:rPr>
                <w:sz w:val="9"/>
                <w:szCs w:val="9"/>
                <w:color w:val="auto"/>
              </w:rPr>
            </w:pPr>
          </w:p>
        </w:tc>
        <w:tc>
          <w:tcPr>
            <w:tcW w:w="1060" w:type="dxa"/>
            <w:vAlign w:val="bottom"/>
            <w:tcBorders>
              <w:right w:val="single" w:sz="8" w:color="70AD47"/>
            </w:tcBorders>
            <w:vMerge w:val="continue"/>
          </w:tcPr>
          <w:p>
            <w:pPr>
              <w:spacing w:after="0"/>
              <w:rPr>
                <w:sz w:val="9"/>
                <w:szCs w:val="9"/>
                <w:color w:val="auto"/>
              </w:rPr>
            </w:pPr>
          </w:p>
        </w:tc>
        <w:tc>
          <w:tcPr>
            <w:tcW w:w="1080" w:type="dxa"/>
            <w:vAlign w:val="bottom"/>
            <w:tcBorders>
              <w:right w:val="single" w:sz="8" w:color="70AD47"/>
            </w:tcBorders>
            <w:vMerge w:val="restart"/>
          </w:tcPr>
          <w:p>
            <w:pPr>
              <w:jc w:val="center"/>
              <w:ind w:right="8"/>
              <w:spacing w:after="0" w:line="149" w:lineRule="exact"/>
              <w:rPr>
                <w:sz w:val="20"/>
                <w:szCs w:val="20"/>
                <w:color w:val="auto"/>
              </w:rPr>
            </w:pPr>
            <w:r>
              <w:rPr>
                <w:rFonts w:ascii="Arial" w:cs="Arial" w:eastAsia="Arial" w:hAnsi="Arial"/>
                <w:sz w:val="14"/>
                <w:szCs w:val="14"/>
                <w:b w:val="1"/>
                <w:bCs w:val="1"/>
                <w:color w:val="auto"/>
                <w:w w:val="98"/>
              </w:rPr>
              <w:t>Platform</w:t>
            </w:r>
          </w:p>
        </w:tc>
        <w:tc>
          <w:tcPr>
            <w:tcW w:w="1080" w:type="dxa"/>
            <w:vAlign w:val="bottom"/>
            <w:tcBorders>
              <w:right w:val="single" w:sz="8" w:color="70AD47"/>
            </w:tcBorders>
            <w:vMerge w:val="continue"/>
          </w:tcPr>
          <w:p>
            <w:pPr>
              <w:spacing w:after="0"/>
              <w:rPr>
                <w:sz w:val="9"/>
                <w:szCs w:val="9"/>
                <w:color w:val="auto"/>
              </w:rPr>
            </w:pPr>
          </w:p>
        </w:tc>
        <w:tc>
          <w:tcPr>
            <w:tcW w:w="1040" w:type="dxa"/>
            <w:vAlign w:val="bottom"/>
            <w:tcBorders>
              <w:right w:val="single" w:sz="8" w:color="70AD47"/>
            </w:tcBorders>
            <w:vMerge w:val="continue"/>
          </w:tcPr>
          <w:p>
            <w:pPr>
              <w:spacing w:after="0"/>
              <w:rPr>
                <w:sz w:val="9"/>
                <w:szCs w:val="9"/>
                <w:color w:val="auto"/>
              </w:rPr>
            </w:pPr>
          </w:p>
        </w:tc>
        <w:tc>
          <w:tcPr>
            <w:tcW w:w="1060" w:type="dxa"/>
            <w:vAlign w:val="bottom"/>
            <w:tcBorders>
              <w:right w:val="single" w:sz="8" w:color="70AD47"/>
            </w:tcBorders>
            <w:vMerge w:val="restart"/>
          </w:tcPr>
          <w:p>
            <w:pPr>
              <w:jc w:val="center"/>
              <w:ind w:right="8"/>
              <w:spacing w:after="0" w:line="149" w:lineRule="exact"/>
              <w:rPr>
                <w:sz w:val="20"/>
                <w:szCs w:val="20"/>
                <w:color w:val="auto"/>
              </w:rPr>
            </w:pPr>
            <w:r>
              <w:rPr>
                <w:rFonts w:ascii="Arial" w:cs="Arial" w:eastAsia="Arial" w:hAnsi="Arial"/>
                <w:sz w:val="14"/>
                <w:szCs w:val="14"/>
                <w:b w:val="1"/>
                <w:bCs w:val="1"/>
                <w:color w:val="auto"/>
                <w:w w:val="97"/>
              </w:rPr>
              <w:t>External</w:t>
            </w:r>
          </w:p>
        </w:tc>
        <w:tc>
          <w:tcPr>
            <w:tcW w:w="1060" w:type="dxa"/>
            <w:vAlign w:val="bottom"/>
            <w:tcBorders>
              <w:right w:val="single" w:sz="8" w:color="70AD47"/>
            </w:tcBorders>
            <w:vMerge w:val="continue"/>
          </w:tcPr>
          <w:p>
            <w:pPr>
              <w:spacing w:after="0"/>
              <w:rPr>
                <w:sz w:val="9"/>
                <w:szCs w:val="9"/>
                <w:color w:val="auto"/>
              </w:rPr>
            </w:pPr>
          </w:p>
        </w:tc>
        <w:tc>
          <w:tcPr>
            <w:tcW w:w="1080" w:type="dxa"/>
            <w:vAlign w:val="bottom"/>
            <w:tcBorders>
              <w:right w:val="single" w:sz="8" w:color="70AD47"/>
            </w:tcBorders>
            <w:vMerge w:val="continue"/>
          </w:tcPr>
          <w:p>
            <w:pPr>
              <w:spacing w:after="0"/>
              <w:rPr>
                <w:sz w:val="9"/>
                <w:szCs w:val="9"/>
                <w:color w:val="auto"/>
              </w:rPr>
            </w:pPr>
          </w:p>
        </w:tc>
        <w:tc>
          <w:tcPr>
            <w:tcW w:w="1060" w:type="dxa"/>
            <w:vAlign w:val="bottom"/>
            <w:tcBorders>
              <w:right w:val="single" w:sz="8" w:color="70AD4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740" w:type="dxa"/>
            <w:vAlign w:val="bottom"/>
            <w:tcBorders>
              <w:right w:val="single" w:sz="8" w:color="70AD47"/>
            </w:tcBorders>
          </w:tcPr>
          <w:p>
            <w:pPr>
              <w:spacing w:after="0"/>
              <w:rPr>
                <w:sz w:val="3"/>
                <w:szCs w:val="3"/>
                <w:color w:val="auto"/>
              </w:rPr>
            </w:pPr>
          </w:p>
        </w:tc>
        <w:tc>
          <w:tcPr>
            <w:tcW w:w="1060" w:type="dxa"/>
            <w:vAlign w:val="bottom"/>
            <w:tcBorders>
              <w:right w:val="single" w:sz="8" w:color="70AD47"/>
            </w:tcBorders>
          </w:tcPr>
          <w:p>
            <w:pPr>
              <w:spacing w:after="0"/>
              <w:rPr>
                <w:sz w:val="3"/>
                <w:szCs w:val="3"/>
                <w:color w:val="auto"/>
              </w:rPr>
            </w:pPr>
          </w:p>
        </w:tc>
        <w:tc>
          <w:tcPr>
            <w:tcW w:w="1080" w:type="dxa"/>
            <w:vAlign w:val="bottom"/>
            <w:tcBorders>
              <w:right w:val="single" w:sz="8" w:color="70AD47"/>
            </w:tcBorders>
            <w:vMerge w:val="continue"/>
          </w:tcPr>
          <w:p>
            <w:pPr>
              <w:spacing w:after="0"/>
              <w:rPr>
                <w:sz w:val="3"/>
                <w:szCs w:val="3"/>
                <w:color w:val="auto"/>
              </w:rPr>
            </w:pPr>
          </w:p>
        </w:tc>
        <w:tc>
          <w:tcPr>
            <w:tcW w:w="1080" w:type="dxa"/>
            <w:vAlign w:val="bottom"/>
            <w:tcBorders>
              <w:right w:val="single" w:sz="8" w:color="70AD47"/>
            </w:tcBorders>
          </w:tcPr>
          <w:p>
            <w:pPr>
              <w:spacing w:after="0"/>
              <w:rPr>
                <w:sz w:val="3"/>
                <w:szCs w:val="3"/>
                <w:color w:val="auto"/>
              </w:rPr>
            </w:pPr>
          </w:p>
        </w:tc>
        <w:tc>
          <w:tcPr>
            <w:tcW w:w="1040" w:type="dxa"/>
            <w:vAlign w:val="bottom"/>
            <w:tcBorders>
              <w:right w:val="single" w:sz="8" w:color="70AD47"/>
            </w:tcBorders>
          </w:tcPr>
          <w:p>
            <w:pPr>
              <w:spacing w:after="0"/>
              <w:rPr>
                <w:sz w:val="3"/>
                <w:szCs w:val="3"/>
                <w:color w:val="auto"/>
              </w:rPr>
            </w:pPr>
          </w:p>
        </w:tc>
        <w:tc>
          <w:tcPr>
            <w:tcW w:w="1060" w:type="dxa"/>
            <w:vAlign w:val="bottom"/>
            <w:tcBorders>
              <w:right w:val="single" w:sz="8" w:color="70AD47"/>
            </w:tcBorders>
            <w:vMerge w:val="continue"/>
          </w:tcPr>
          <w:p>
            <w:pPr>
              <w:spacing w:after="0"/>
              <w:rPr>
                <w:sz w:val="3"/>
                <w:szCs w:val="3"/>
                <w:color w:val="auto"/>
              </w:rPr>
            </w:pPr>
          </w:p>
        </w:tc>
        <w:tc>
          <w:tcPr>
            <w:tcW w:w="1060" w:type="dxa"/>
            <w:vAlign w:val="bottom"/>
            <w:tcBorders>
              <w:right w:val="single" w:sz="8" w:color="70AD47"/>
            </w:tcBorders>
          </w:tcPr>
          <w:p>
            <w:pPr>
              <w:spacing w:after="0"/>
              <w:rPr>
                <w:sz w:val="3"/>
                <w:szCs w:val="3"/>
                <w:color w:val="auto"/>
              </w:rPr>
            </w:pPr>
          </w:p>
        </w:tc>
        <w:tc>
          <w:tcPr>
            <w:tcW w:w="1080" w:type="dxa"/>
            <w:vAlign w:val="bottom"/>
            <w:tcBorders>
              <w:right w:val="single" w:sz="8" w:color="70AD47"/>
            </w:tcBorders>
          </w:tcPr>
          <w:p>
            <w:pPr>
              <w:spacing w:after="0"/>
              <w:rPr>
                <w:sz w:val="3"/>
                <w:szCs w:val="3"/>
                <w:color w:val="auto"/>
              </w:rPr>
            </w:pPr>
          </w:p>
        </w:tc>
        <w:tc>
          <w:tcPr>
            <w:tcW w:w="1060" w:type="dxa"/>
            <w:vAlign w:val="bottom"/>
            <w:tcBorders>
              <w:right w:val="single" w:sz="8" w:color="70AD47"/>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740" w:type="dxa"/>
            <w:vAlign w:val="bottom"/>
            <w:tcBorders>
              <w:bottom w:val="single" w:sz="8" w:color="70AD47"/>
              <w:right w:val="single" w:sz="8" w:color="70AD47"/>
            </w:tcBorders>
          </w:tcPr>
          <w:p>
            <w:pPr>
              <w:spacing w:after="0"/>
              <w:rPr>
                <w:sz w:val="14"/>
                <w:szCs w:val="14"/>
                <w:color w:val="auto"/>
              </w:rPr>
            </w:pPr>
          </w:p>
        </w:tc>
        <w:tc>
          <w:tcPr>
            <w:tcW w:w="1060" w:type="dxa"/>
            <w:vAlign w:val="bottom"/>
            <w:tcBorders>
              <w:bottom w:val="single" w:sz="8" w:color="70AD47"/>
              <w:right w:val="single" w:sz="8" w:color="70AD47"/>
            </w:tcBorders>
          </w:tcPr>
          <w:p>
            <w:pPr>
              <w:spacing w:after="0"/>
              <w:rPr>
                <w:sz w:val="14"/>
                <w:szCs w:val="14"/>
                <w:color w:val="auto"/>
              </w:rPr>
            </w:pPr>
          </w:p>
        </w:tc>
        <w:tc>
          <w:tcPr>
            <w:tcW w:w="1080" w:type="dxa"/>
            <w:vAlign w:val="bottom"/>
            <w:tcBorders>
              <w:bottom w:val="single" w:sz="8" w:color="70AD47"/>
              <w:right w:val="single" w:sz="8" w:color="70AD47"/>
            </w:tcBorders>
          </w:tcPr>
          <w:p>
            <w:pPr>
              <w:spacing w:after="0"/>
              <w:rPr>
                <w:sz w:val="14"/>
                <w:szCs w:val="14"/>
                <w:color w:val="auto"/>
              </w:rPr>
            </w:pPr>
          </w:p>
        </w:tc>
        <w:tc>
          <w:tcPr>
            <w:tcW w:w="1080" w:type="dxa"/>
            <w:vAlign w:val="bottom"/>
            <w:tcBorders>
              <w:bottom w:val="single" w:sz="8" w:color="70AD47"/>
              <w:right w:val="single" w:sz="8" w:color="70AD47"/>
            </w:tcBorders>
          </w:tcPr>
          <w:p>
            <w:pPr>
              <w:spacing w:after="0"/>
              <w:rPr>
                <w:sz w:val="14"/>
                <w:szCs w:val="14"/>
                <w:color w:val="auto"/>
              </w:rPr>
            </w:pPr>
          </w:p>
        </w:tc>
        <w:tc>
          <w:tcPr>
            <w:tcW w:w="1040" w:type="dxa"/>
            <w:vAlign w:val="bottom"/>
            <w:tcBorders>
              <w:bottom w:val="single" w:sz="8" w:color="70AD47"/>
              <w:right w:val="single" w:sz="8" w:color="70AD47"/>
            </w:tcBorders>
          </w:tcPr>
          <w:p>
            <w:pPr>
              <w:spacing w:after="0"/>
              <w:rPr>
                <w:sz w:val="14"/>
                <w:szCs w:val="14"/>
                <w:color w:val="auto"/>
              </w:rPr>
            </w:pPr>
          </w:p>
        </w:tc>
        <w:tc>
          <w:tcPr>
            <w:tcW w:w="106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1060" w:type="dxa"/>
            <w:vAlign w:val="bottom"/>
            <w:tcBorders>
              <w:bottom w:val="single" w:sz="8" w:color="70AD47"/>
              <w:right w:val="single" w:sz="8" w:color="70AD47"/>
            </w:tcBorders>
          </w:tcPr>
          <w:p>
            <w:pPr>
              <w:spacing w:after="0"/>
              <w:rPr>
                <w:sz w:val="14"/>
                <w:szCs w:val="14"/>
                <w:color w:val="auto"/>
              </w:rPr>
            </w:pPr>
          </w:p>
        </w:tc>
        <w:tc>
          <w:tcPr>
            <w:tcW w:w="1080" w:type="dxa"/>
            <w:vAlign w:val="bottom"/>
            <w:tcBorders>
              <w:bottom w:val="single" w:sz="8" w:color="70AD47"/>
              <w:right w:val="single" w:sz="8" w:color="70AD47"/>
            </w:tcBorders>
          </w:tcPr>
          <w:p>
            <w:pPr>
              <w:spacing w:after="0"/>
              <w:rPr>
                <w:sz w:val="14"/>
                <w:szCs w:val="14"/>
                <w:color w:val="auto"/>
              </w:rPr>
            </w:pPr>
          </w:p>
        </w:tc>
        <w:tc>
          <w:tcPr>
            <w:tcW w:w="1060" w:type="dxa"/>
            <w:vAlign w:val="bottom"/>
            <w:tcBorders>
              <w:bottom w:val="single" w:sz="8" w:color="70AD47"/>
              <w:right w:val="single" w:sz="8" w:color="70AD47"/>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740" w:type="dxa"/>
            <w:vAlign w:val="bottom"/>
            <w:tcBorders>
              <w:right w:val="single" w:sz="8" w:color="70AD47"/>
            </w:tcBorders>
          </w:tcPr>
          <w:p>
            <w:pPr>
              <w:spacing w:after="0"/>
              <w:rPr>
                <w:sz w:val="20"/>
                <w:szCs w:val="20"/>
                <w:color w:val="auto"/>
              </w:rPr>
            </w:pPr>
            <w:r>
              <w:rPr>
                <w:rFonts w:ascii="Arial" w:cs="Arial" w:eastAsia="Arial" w:hAnsi="Arial"/>
                <w:sz w:val="14"/>
                <w:szCs w:val="14"/>
                <w:b w:val="1"/>
                <w:bCs w:val="1"/>
                <w:color w:val="auto"/>
              </w:rPr>
              <w:t>Three months ended June 30, 2019</w:t>
            </w:r>
          </w:p>
        </w:tc>
        <w:tc>
          <w:tcPr>
            <w:tcW w:w="1060" w:type="dxa"/>
            <w:vAlign w:val="bottom"/>
            <w:tcBorders>
              <w:right w:val="single" w:sz="8" w:color="70AD47"/>
            </w:tcBorders>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c>
          <w:tcPr>
            <w:tcW w:w="104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b w:val="1"/>
                <w:bCs w:val="1"/>
                <w:color w:val="auto"/>
              </w:rPr>
              <w:t>Revenues</w:t>
            </w:r>
          </w:p>
        </w:tc>
        <w:tc>
          <w:tcPr>
            <w:tcW w:w="1060" w:type="dxa"/>
            <w:vAlign w:val="bottom"/>
            <w:tcBorders>
              <w:right w:val="single" w:sz="8" w:color="70AD47"/>
            </w:tcBorders>
          </w:tcPr>
          <w:p>
            <w:pPr>
              <w:spacing w:after="0"/>
              <w:rPr>
                <w:sz w:val="22"/>
                <w:szCs w:val="22"/>
                <w:color w:val="auto"/>
              </w:rPr>
            </w:pPr>
          </w:p>
        </w:tc>
        <w:tc>
          <w:tcPr>
            <w:tcW w:w="1080" w:type="dxa"/>
            <w:vAlign w:val="bottom"/>
            <w:tcBorders>
              <w:right w:val="single" w:sz="8" w:color="70AD47"/>
            </w:tcBorders>
          </w:tcPr>
          <w:p>
            <w:pPr>
              <w:spacing w:after="0"/>
              <w:rPr>
                <w:sz w:val="22"/>
                <w:szCs w:val="22"/>
                <w:color w:val="auto"/>
              </w:rPr>
            </w:pPr>
          </w:p>
        </w:tc>
        <w:tc>
          <w:tcPr>
            <w:tcW w:w="1080" w:type="dxa"/>
            <w:vAlign w:val="bottom"/>
            <w:tcBorders>
              <w:right w:val="single" w:sz="8" w:color="70AD47"/>
            </w:tcBorders>
          </w:tcPr>
          <w:p>
            <w:pPr>
              <w:spacing w:after="0"/>
              <w:rPr>
                <w:sz w:val="22"/>
                <w:szCs w:val="22"/>
                <w:color w:val="auto"/>
              </w:rPr>
            </w:pPr>
          </w:p>
        </w:tc>
        <w:tc>
          <w:tcPr>
            <w:tcW w:w="1040" w:type="dxa"/>
            <w:vAlign w:val="bottom"/>
            <w:tcBorders>
              <w:right w:val="single" w:sz="8" w:color="70AD47"/>
            </w:tcBorders>
          </w:tcPr>
          <w:p>
            <w:pPr>
              <w:spacing w:after="0"/>
              <w:rPr>
                <w:sz w:val="22"/>
                <w:szCs w:val="22"/>
                <w:color w:val="auto"/>
              </w:rPr>
            </w:pPr>
          </w:p>
        </w:tc>
        <w:tc>
          <w:tcPr>
            <w:tcW w:w="1060" w:type="dxa"/>
            <w:vAlign w:val="bottom"/>
            <w:tcBorders>
              <w:right w:val="single" w:sz="8" w:color="70AD47"/>
            </w:tcBorders>
          </w:tcPr>
          <w:p>
            <w:pPr>
              <w:spacing w:after="0"/>
              <w:rPr>
                <w:sz w:val="22"/>
                <w:szCs w:val="22"/>
                <w:color w:val="auto"/>
              </w:rPr>
            </w:pPr>
          </w:p>
        </w:tc>
        <w:tc>
          <w:tcPr>
            <w:tcW w:w="1060" w:type="dxa"/>
            <w:vAlign w:val="bottom"/>
            <w:tcBorders>
              <w:right w:val="single" w:sz="8" w:color="70AD47"/>
            </w:tcBorders>
          </w:tcPr>
          <w:p>
            <w:pPr>
              <w:spacing w:after="0"/>
              <w:rPr>
                <w:sz w:val="22"/>
                <w:szCs w:val="22"/>
                <w:color w:val="auto"/>
              </w:rPr>
            </w:pPr>
          </w:p>
        </w:tc>
        <w:tc>
          <w:tcPr>
            <w:tcW w:w="1080" w:type="dxa"/>
            <w:vAlign w:val="bottom"/>
            <w:tcBorders>
              <w:right w:val="single" w:sz="8" w:color="70AD47"/>
            </w:tcBorders>
          </w:tcPr>
          <w:p>
            <w:pPr>
              <w:spacing w:after="0"/>
              <w:rPr>
                <w:sz w:val="22"/>
                <w:szCs w:val="22"/>
                <w:color w:val="auto"/>
              </w:rPr>
            </w:pPr>
          </w:p>
        </w:tc>
        <w:tc>
          <w:tcPr>
            <w:tcW w:w="1060" w:type="dxa"/>
            <w:vAlign w:val="bottom"/>
            <w:tcBorders>
              <w:right w:val="single" w:sz="8" w:color="70AD47"/>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Collaboration Revenues</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€9,141</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70AD47"/>
            </w:tcBorders>
          </w:tcPr>
          <w:p>
            <w:pPr>
              <w:jc w:val="right"/>
              <w:ind w:right="8"/>
              <w:spacing w:after="0"/>
              <w:rPr>
                <w:sz w:val="20"/>
                <w:szCs w:val="20"/>
                <w:color w:val="auto"/>
              </w:rPr>
            </w:pPr>
            <w:r>
              <w:rPr>
                <w:rFonts w:ascii="Arial" w:cs="Arial" w:eastAsia="Arial" w:hAnsi="Arial"/>
                <w:sz w:val="14"/>
                <w:szCs w:val="14"/>
                <w:color w:val="auto"/>
              </w:rPr>
              <w:t>€10,984</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€20,125</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€20,125</w:t>
            </w:r>
          </w:p>
        </w:tc>
        <w:tc>
          <w:tcPr>
            <w:tcW w:w="0" w:type="dxa"/>
            <w:vAlign w:val="bottom"/>
          </w:tcPr>
          <w:p>
            <w:pPr>
              <w:spacing w:after="0"/>
              <w:rPr>
                <w:sz w:val="1"/>
                <w:szCs w:val="1"/>
                <w:color w:val="auto"/>
              </w:rPr>
            </w:pPr>
          </w:p>
        </w:tc>
      </w:tr>
      <w:tr>
        <w:trPr>
          <w:trHeight w:val="256"/>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Revenues from other sales transactions</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323</w:t>
            </w:r>
          </w:p>
        </w:tc>
        <w:tc>
          <w:tcPr>
            <w:tcW w:w="1080" w:type="dxa"/>
            <w:vAlign w:val="bottom"/>
            <w:tcBorders>
              <w:right w:val="single" w:sz="8" w:color="70AD47"/>
            </w:tcBorders>
          </w:tcPr>
          <w:p>
            <w:pPr>
              <w:jc w:val="right"/>
              <w:ind w:right="8"/>
              <w:spacing w:after="0"/>
              <w:rPr>
                <w:sz w:val="20"/>
                <w:szCs w:val="20"/>
                <w:color w:val="auto"/>
              </w:rPr>
            </w:pPr>
            <w:r>
              <w:rPr>
                <w:rFonts w:ascii="Arial" w:cs="Arial" w:eastAsia="Arial" w:hAnsi="Arial"/>
                <w:sz w:val="14"/>
                <w:szCs w:val="14"/>
                <w:color w:val="auto"/>
              </w:rPr>
              <w:t>2</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8</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5,327</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5,660</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5,660</w:t>
            </w:r>
          </w:p>
        </w:tc>
        <w:tc>
          <w:tcPr>
            <w:tcW w:w="0" w:type="dxa"/>
            <w:vAlign w:val="bottom"/>
          </w:tcPr>
          <w:p>
            <w:pPr>
              <w:spacing w:after="0"/>
              <w:rPr>
                <w:sz w:val="1"/>
                <w:szCs w:val="1"/>
                <w:color w:val="auto"/>
              </w:rPr>
            </w:pPr>
          </w:p>
        </w:tc>
      </w:tr>
      <w:tr>
        <w:trPr>
          <w:trHeight w:val="257"/>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Cost of sales</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70AD47"/>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(5,501)</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(5,501)</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12</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(5,489)</w:t>
            </w:r>
          </w:p>
        </w:tc>
        <w:tc>
          <w:tcPr>
            <w:tcW w:w="0" w:type="dxa"/>
            <w:vAlign w:val="bottom"/>
          </w:tcPr>
          <w:p>
            <w:pPr>
              <w:spacing w:after="0"/>
              <w:rPr>
                <w:sz w:val="1"/>
                <w:szCs w:val="1"/>
                <w:color w:val="auto"/>
              </w:rPr>
            </w:pPr>
          </w:p>
        </w:tc>
      </w:tr>
      <w:tr>
        <w:trPr>
          <w:trHeight w:val="39"/>
        </w:trPr>
        <w:tc>
          <w:tcPr>
            <w:tcW w:w="274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4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2740" w:type="dxa"/>
            <w:vAlign w:val="bottom"/>
            <w:tcBorders>
              <w:right w:val="single" w:sz="8" w:color="70AD47"/>
            </w:tcBorders>
          </w:tcPr>
          <w:p>
            <w:pPr>
              <w:spacing w:after="0"/>
              <w:rPr>
                <w:sz w:val="20"/>
                <w:szCs w:val="20"/>
                <w:color w:val="auto"/>
              </w:rPr>
            </w:pPr>
            <w:r>
              <w:rPr>
                <w:rFonts w:ascii="Arial" w:cs="Arial" w:eastAsia="Arial" w:hAnsi="Arial"/>
                <w:sz w:val="14"/>
                <w:szCs w:val="14"/>
                <w:b w:val="1"/>
                <w:bCs w:val="1"/>
                <w:color w:val="auto"/>
              </w:rPr>
              <w:t>Gross Profit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€9,141</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€323</w:t>
            </w:r>
          </w:p>
        </w:tc>
        <w:tc>
          <w:tcPr>
            <w:tcW w:w="1080" w:type="dxa"/>
            <w:vAlign w:val="bottom"/>
            <w:tcBorders>
              <w:right w:val="single" w:sz="8" w:color="70AD47"/>
            </w:tcBorders>
          </w:tcPr>
          <w:p>
            <w:pPr>
              <w:jc w:val="right"/>
              <w:ind w:right="8"/>
              <w:spacing w:after="0"/>
              <w:rPr>
                <w:sz w:val="20"/>
                <w:szCs w:val="20"/>
                <w:color w:val="auto"/>
              </w:rPr>
            </w:pPr>
            <w:r>
              <w:rPr>
                <w:rFonts w:ascii="Arial" w:cs="Arial" w:eastAsia="Arial" w:hAnsi="Arial"/>
                <w:sz w:val="14"/>
                <w:szCs w:val="14"/>
                <w:b w:val="1"/>
                <w:bCs w:val="1"/>
                <w:color w:val="auto"/>
              </w:rPr>
              <w:t>€10,986</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€8</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€(174)</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€20,284</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€12</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€20,296</w:t>
            </w:r>
          </w:p>
        </w:tc>
        <w:tc>
          <w:tcPr>
            <w:tcW w:w="0" w:type="dxa"/>
            <w:vAlign w:val="bottom"/>
          </w:tcPr>
          <w:p>
            <w:pPr>
              <w:spacing w:after="0"/>
              <w:rPr>
                <w:sz w:val="1"/>
                <w:szCs w:val="1"/>
                <w:color w:val="auto"/>
              </w:rPr>
            </w:pPr>
          </w:p>
        </w:tc>
      </w:tr>
      <w:tr>
        <w:trPr>
          <w:trHeight w:val="39"/>
        </w:trPr>
        <w:tc>
          <w:tcPr>
            <w:tcW w:w="274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4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b w:val="1"/>
                <w:bCs w:val="1"/>
                <w:color w:val="auto"/>
              </w:rPr>
              <w:t>Income / Expenses</w:t>
            </w:r>
          </w:p>
        </w:tc>
        <w:tc>
          <w:tcPr>
            <w:tcW w:w="1060" w:type="dxa"/>
            <w:vAlign w:val="bottom"/>
            <w:tcBorders>
              <w:right w:val="single" w:sz="8" w:color="70AD47"/>
            </w:tcBorders>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c>
          <w:tcPr>
            <w:tcW w:w="104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Research and development expenses</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(19,359)</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(19,813)</w:t>
            </w:r>
          </w:p>
        </w:tc>
        <w:tc>
          <w:tcPr>
            <w:tcW w:w="1080" w:type="dxa"/>
            <w:vAlign w:val="bottom"/>
            <w:tcBorders>
              <w:right w:val="single" w:sz="8" w:color="70AD47"/>
            </w:tcBorders>
          </w:tcPr>
          <w:p>
            <w:pPr>
              <w:jc w:val="right"/>
              <w:ind w:right="8"/>
              <w:spacing w:after="0"/>
              <w:rPr>
                <w:sz w:val="20"/>
                <w:szCs w:val="20"/>
                <w:color w:val="auto"/>
              </w:rPr>
            </w:pPr>
            <w:r>
              <w:rPr>
                <w:rFonts w:ascii="Arial" w:cs="Arial" w:eastAsia="Arial" w:hAnsi="Arial"/>
                <w:sz w:val="14"/>
                <w:szCs w:val="14"/>
                <w:color w:val="auto"/>
              </w:rPr>
              <w:t>(12,315)</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(1,725)</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(177)</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(53,389)</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(13)</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(53,402)</w:t>
            </w:r>
          </w:p>
        </w:tc>
        <w:tc>
          <w:tcPr>
            <w:tcW w:w="0" w:type="dxa"/>
            <w:vAlign w:val="bottom"/>
          </w:tcPr>
          <w:p>
            <w:pPr>
              <w:spacing w:after="0"/>
              <w:rPr>
                <w:sz w:val="1"/>
                <w:szCs w:val="1"/>
                <w:color w:val="auto"/>
              </w:rPr>
            </w:pPr>
          </w:p>
        </w:tc>
      </w:tr>
      <w:tr>
        <w:trPr>
          <w:trHeight w:val="257"/>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Sales and marketing expenses</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70AD47"/>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(283)</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(395)</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(678)</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256"/>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General and administrative expenses</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70AD47"/>
            </w:tcBorders>
          </w:tcPr>
          <w:p>
            <w:pPr>
              <w:jc w:val="right"/>
              <w:ind w:right="8"/>
              <w:spacing w:after="0"/>
              <w:rPr>
                <w:sz w:val="20"/>
                <w:szCs w:val="20"/>
                <w:color w:val="auto"/>
              </w:rPr>
            </w:pPr>
            <w:r>
              <w:rPr>
                <w:rFonts w:ascii="Arial" w:cs="Arial" w:eastAsia="Arial" w:hAnsi="Arial"/>
                <w:sz w:val="14"/>
                <w:szCs w:val="14"/>
                <w:color w:val="auto"/>
              </w:rPr>
              <w:t>(1,117)</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(12,860)</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(646)</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(14,623)</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(14,623)</w:t>
            </w:r>
          </w:p>
        </w:tc>
        <w:tc>
          <w:tcPr>
            <w:tcW w:w="0" w:type="dxa"/>
            <w:vAlign w:val="bottom"/>
          </w:tcPr>
          <w:p>
            <w:pPr>
              <w:spacing w:after="0"/>
              <w:rPr>
                <w:sz w:val="1"/>
                <w:szCs w:val="1"/>
                <w:color w:val="auto"/>
              </w:rPr>
            </w:pPr>
          </w:p>
        </w:tc>
      </w:tr>
      <w:tr>
        <w:trPr>
          <w:trHeight w:val="257"/>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Other result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151</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146</w:t>
            </w:r>
          </w:p>
        </w:tc>
        <w:tc>
          <w:tcPr>
            <w:tcW w:w="1080" w:type="dxa"/>
            <w:vAlign w:val="bottom"/>
            <w:tcBorders>
              <w:right w:val="single" w:sz="8" w:color="70AD47"/>
            </w:tcBorders>
          </w:tcPr>
          <w:p>
            <w:pPr>
              <w:jc w:val="right"/>
              <w:ind w:right="8"/>
              <w:spacing w:after="0"/>
              <w:rPr>
                <w:sz w:val="20"/>
                <w:szCs w:val="20"/>
                <w:color w:val="auto"/>
              </w:rPr>
            </w:pPr>
            <w:r>
              <w:rPr>
                <w:rFonts w:ascii="Arial" w:cs="Arial" w:eastAsia="Arial" w:hAnsi="Arial"/>
                <w:sz w:val="14"/>
                <w:szCs w:val="14"/>
                <w:color w:val="auto"/>
              </w:rPr>
              <w:t>8</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(24)</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256</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537</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3</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39"/>
        </w:trPr>
        <w:tc>
          <w:tcPr>
            <w:tcW w:w="274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4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b w:val="1"/>
                <w:bCs w:val="1"/>
                <w:color w:val="auto"/>
              </w:rPr>
              <w:t>Segment operating loss</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€(10,067)</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€(19,344)</w:t>
            </w:r>
          </w:p>
        </w:tc>
        <w:tc>
          <w:tcPr>
            <w:tcW w:w="1080" w:type="dxa"/>
            <w:vAlign w:val="bottom"/>
            <w:tcBorders>
              <w:right w:val="single" w:sz="8" w:color="70AD47"/>
            </w:tcBorders>
          </w:tcPr>
          <w:p>
            <w:pPr>
              <w:jc w:val="right"/>
              <w:ind w:right="8"/>
              <w:spacing w:after="0"/>
              <w:rPr>
                <w:sz w:val="20"/>
                <w:szCs w:val="20"/>
                <w:color w:val="auto"/>
              </w:rPr>
            </w:pPr>
            <w:r>
              <w:rPr>
                <w:rFonts w:ascii="Arial" w:cs="Arial" w:eastAsia="Arial" w:hAnsi="Arial"/>
                <w:sz w:val="14"/>
                <w:szCs w:val="14"/>
                <w:b w:val="1"/>
                <w:bCs w:val="1"/>
                <w:color w:val="auto"/>
              </w:rPr>
              <w:t>€(2,438)</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€(14,884)</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€(1,136)</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€(47,869)</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€2</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€(47,867)</w:t>
            </w:r>
          </w:p>
        </w:tc>
        <w:tc>
          <w:tcPr>
            <w:tcW w:w="0" w:type="dxa"/>
            <w:vAlign w:val="bottom"/>
          </w:tcPr>
          <w:p>
            <w:pPr>
              <w:spacing w:after="0"/>
              <w:rPr>
                <w:sz w:val="1"/>
                <w:szCs w:val="1"/>
                <w:color w:val="auto"/>
              </w:rPr>
            </w:pPr>
          </w:p>
        </w:tc>
      </w:tr>
      <w:tr>
        <w:trPr>
          <w:trHeight w:val="39"/>
        </w:trPr>
        <w:tc>
          <w:tcPr>
            <w:tcW w:w="274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4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110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1182"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53"/>
        </w:trPr>
        <w:tc>
          <w:tcPr>
            <w:tcW w:w="2740" w:type="dxa"/>
            <w:vAlign w:val="bottom"/>
            <w:tcBorders>
              <w:right w:val="single" w:sz="8" w:color="70AD47"/>
            </w:tcBorders>
          </w:tcPr>
          <w:p>
            <w:pPr>
              <w:spacing w:after="0"/>
              <w:rPr>
                <w:sz w:val="13"/>
                <w:szCs w:val="13"/>
                <w:color w:val="auto"/>
              </w:rPr>
            </w:pPr>
          </w:p>
        </w:tc>
        <w:tc>
          <w:tcPr>
            <w:tcW w:w="1060" w:type="dxa"/>
            <w:vAlign w:val="bottom"/>
            <w:tcBorders>
              <w:top w:val="single" w:sz="8" w:color="70AD47"/>
            </w:tcBorders>
          </w:tcPr>
          <w:p>
            <w:pPr>
              <w:spacing w:after="0"/>
              <w:rPr>
                <w:sz w:val="13"/>
                <w:szCs w:val="13"/>
                <w:color w:val="auto"/>
              </w:rPr>
            </w:pPr>
          </w:p>
        </w:tc>
        <w:tc>
          <w:tcPr>
            <w:tcW w:w="1040" w:type="dxa"/>
            <w:vAlign w:val="bottom"/>
            <w:tcBorders>
              <w:top w:val="single" w:sz="8" w:color="70AD47"/>
            </w:tcBorders>
          </w:tcPr>
          <w:p>
            <w:pPr>
              <w:spacing w:after="0"/>
              <w:rPr>
                <w:sz w:val="13"/>
                <w:szCs w:val="13"/>
                <w:color w:val="auto"/>
              </w:rPr>
            </w:pPr>
          </w:p>
        </w:tc>
        <w:tc>
          <w:tcPr>
            <w:tcW w:w="1080" w:type="dxa"/>
            <w:vAlign w:val="bottom"/>
            <w:tcBorders>
              <w:top w:val="single" w:sz="8" w:color="70AD47"/>
            </w:tcBorders>
          </w:tcPr>
          <w:p>
            <w:pPr>
              <w:spacing w:after="0"/>
              <w:rPr>
                <w:sz w:val="13"/>
                <w:szCs w:val="13"/>
                <w:color w:val="auto"/>
              </w:rPr>
            </w:pPr>
          </w:p>
        </w:tc>
        <w:tc>
          <w:tcPr>
            <w:tcW w:w="1080" w:type="dxa"/>
            <w:vAlign w:val="bottom"/>
            <w:tcBorders>
              <w:top w:val="single" w:sz="8" w:color="70AD47"/>
              <w:right w:val="single" w:sz="8" w:color="70AD47"/>
            </w:tcBorders>
          </w:tcPr>
          <w:p>
            <w:pPr>
              <w:spacing w:after="0"/>
              <w:rPr>
                <w:sz w:val="13"/>
                <w:szCs w:val="13"/>
                <w:color w:val="auto"/>
              </w:rPr>
            </w:pPr>
          </w:p>
        </w:tc>
        <w:tc>
          <w:tcPr>
            <w:tcW w:w="1060" w:type="dxa"/>
            <w:vAlign w:val="bottom"/>
            <w:tcBorders>
              <w:top w:val="single" w:sz="8" w:color="70AD47"/>
              <w:right w:val="single" w:sz="8" w:color="70AD47"/>
            </w:tcBorders>
          </w:tcPr>
          <w:p>
            <w:pPr>
              <w:jc w:val="right"/>
              <w:ind w:right="228"/>
              <w:spacing w:after="0" w:line="153" w:lineRule="exact"/>
              <w:rPr>
                <w:sz w:val="20"/>
                <w:szCs w:val="20"/>
                <w:color w:val="auto"/>
              </w:rPr>
            </w:pPr>
            <w:r>
              <w:rPr>
                <w:rFonts w:ascii="Arial" w:cs="Arial" w:eastAsia="Arial" w:hAnsi="Arial"/>
                <w:sz w:val="14"/>
                <w:szCs w:val="14"/>
                <w:b w:val="1"/>
                <w:bCs w:val="1"/>
                <w:color w:val="auto"/>
              </w:rPr>
              <w:t>External</w:t>
            </w: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40" w:type="dxa"/>
            <w:vAlign w:val="bottom"/>
            <w:tcBorders>
              <w:right w:val="single" w:sz="8" w:color="70AD47"/>
            </w:tcBorders>
          </w:tcPr>
          <w:p>
            <w:pPr>
              <w:spacing w:after="0"/>
              <w:rPr>
                <w:sz w:val="12"/>
                <w:szCs w:val="12"/>
                <w:color w:val="auto"/>
              </w:rPr>
            </w:pPr>
          </w:p>
        </w:tc>
        <w:tc>
          <w:tcPr>
            <w:tcW w:w="1060" w:type="dxa"/>
            <w:vAlign w:val="bottom"/>
          </w:tcPr>
          <w:p>
            <w:pPr>
              <w:spacing w:after="0"/>
              <w:rPr>
                <w:sz w:val="12"/>
                <w:szCs w:val="12"/>
                <w:color w:val="auto"/>
              </w:rPr>
            </w:pPr>
          </w:p>
        </w:tc>
        <w:tc>
          <w:tcPr>
            <w:tcW w:w="2120" w:type="dxa"/>
            <w:vAlign w:val="bottom"/>
            <w:gridSpan w:val="2"/>
            <w:vMerge w:val="restart"/>
          </w:tcPr>
          <w:p>
            <w:pPr>
              <w:jc w:val="right"/>
              <w:ind w:right="328"/>
              <w:spacing w:after="0"/>
              <w:rPr>
                <w:sz w:val="20"/>
                <w:szCs w:val="20"/>
                <w:color w:val="auto"/>
              </w:rPr>
            </w:pPr>
            <w:r>
              <w:rPr>
                <w:rFonts w:ascii="Arial" w:cs="Arial" w:eastAsia="Arial" w:hAnsi="Arial"/>
                <w:sz w:val="14"/>
                <w:szCs w:val="14"/>
                <w:b w:val="1"/>
                <w:bCs w:val="1"/>
                <w:color w:val="auto"/>
              </w:rPr>
              <w:t>Biotech Business Unit</w:t>
            </w:r>
          </w:p>
        </w:tc>
        <w:tc>
          <w:tcPr>
            <w:tcW w:w="1080" w:type="dxa"/>
            <w:vAlign w:val="bottom"/>
            <w:tcBorders>
              <w:right w:val="single" w:sz="8" w:color="70AD47"/>
            </w:tcBorders>
          </w:tcPr>
          <w:p>
            <w:pPr>
              <w:spacing w:after="0"/>
              <w:rPr>
                <w:sz w:val="12"/>
                <w:szCs w:val="12"/>
                <w:color w:val="auto"/>
              </w:rPr>
            </w:pPr>
          </w:p>
        </w:tc>
        <w:tc>
          <w:tcPr>
            <w:tcW w:w="1060" w:type="dxa"/>
            <w:vAlign w:val="bottom"/>
            <w:tcBorders>
              <w:right w:val="single" w:sz="8" w:color="70AD47"/>
            </w:tcBorders>
          </w:tcPr>
          <w:p>
            <w:pPr>
              <w:jc w:val="center"/>
              <w:spacing w:after="0" w:line="149" w:lineRule="exact"/>
              <w:rPr>
                <w:sz w:val="20"/>
                <w:szCs w:val="20"/>
                <w:color w:val="auto"/>
              </w:rPr>
            </w:pPr>
            <w:r>
              <w:rPr>
                <w:rFonts w:ascii="Arial" w:cs="Arial" w:eastAsia="Arial" w:hAnsi="Arial"/>
                <w:sz w:val="14"/>
                <w:szCs w:val="14"/>
                <w:b w:val="1"/>
                <w:bCs w:val="1"/>
                <w:color w:val="auto"/>
                <w:w w:val="86"/>
              </w:rPr>
              <w:t>Services</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740" w:type="dxa"/>
            <w:vAlign w:val="bottom"/>
            <w:tcBorders>
              <w:right w:val="single" w:sz="8" w:color="70AD47"/>
            </w:tcBorders>
          </w:tcPr>
          <w:p>
            <w:pPr>
              <w:spacing w:after="0"/>
              <w:rPr>
                <w:sz w:val="9"/>
                <w:szCs w:val="9"/>
                <w:color w:val="auto"/>
              </w:rPr>
            </w:pPr>
          </w:p>
        </w:tc>
        <w:tc>
          <w:tcPr>
            <w:tcW w:w="106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1080" w:type="dxa"/>
            <w:vAlign w:val="bottom"/>
            <w:tcBorders>
              <w:right w:val="single" w:sz="8" w:color="70AD47"/>
            </w:tcBorders>
          </w:tcPr>
          <w:p>
            <w:pPr>
              <w:spacing w:after="0"/>
              <w:rPr>
                <w:sz w:val="9"/>
                <w:szCs w:val="9"/>
                <w:color w:val="auto"/>
              </w:rPr>
            </w:pPr>
          </w:p>
        </w:tc>
        <w:tc>
          <w:tcPr>
            <w:tcW w:w="1060" w:type="dxa"/>
            <w:vAlign w:val="bottom"/>
            <w:tcBorders>
              <w:right w:val="single" w:sz="8" w:color="70AD47"/>
            </w:tcBorders>
            <w:vMerge w:val="restart"/>
          </w:tcPr>
          <w:p>
            <w:pPr>
              <w:jc w:val="center"/>
              <w:ind w:right="8"/>
              <w:spacing w:after="0" w:line="149" w:lineRule="exact"/>
              <w:rPr>
                <w:sz w:val="20"/>
                <w:szCs w:val="20"/>
                <w:color w:val="auto"/>
              </w:rPr>
            </w:pPr>
            <w:r>
              <w:rPr>
                <w:rFonts w:ascii="Arial" w:cs="Arial" w:eastAsia="Arial" w:hAnsi="Arial"/>
                <w:sz w:val="14"/>
                <w:szCs w:val="14"/>
                <w:b w:val="1"/>
                <w:bCs w:val="1"/>
                <w:color w:val="auto"/>
                <w:w w:val="86"/>
              </w:rPr>
              <w:t>Business</w:t>
            </w: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740" w:type="dxa"/>
            <w:vAlign w:val="bottom"/>
            <w:tcBorders>
              <w:right w:val="single" w:sz="8" w:color="70AD47"/>
            </w:tcBorders>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Borders>
              <w:right w:val="single" w:sz="8" w:color="70AD47"/>
            </w:tcBorders>
          </w:tcPr>
          <w:p>
            <w:pPr>
              <w:spacing w:after="0"/>
              <w:rPr>
                <w:sz w:val="3"/>
                <w:szCs w:val="3"/>
                <w:color w:val="auto"/>
              </w:rPr>
            </w:pPr>
          </w:p>
        </w:tc>
        <w:tc>
          <w:tcPr>
            <w:tcW w:w="1060" w:type="dxa"/>
            <w:vAlign w:val="bottom"/>
            <w:tcBorders>
              <w:right w:val="single" w:sz="8" w:color="70AD47"/>
            </w:tcBorders>
            <w:vMerge w:val="continue"/>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740" w:type="dxa"/>
            <w:vAlign w:val="bottom"/>
            <w:tcBorders>
              <w:bottom w:val="single" w:sz="8" w:color="70AD47"/>
              <w:right w:val="single" w:sz="8" w:color="70AD47"/>
            </w:tcBorders>
          </w:tcPr>
          <w:p>
            <w:pPr>
              <w:spacing w:after="0"/>
              <w:rPr>
                <w:sz w:val="14"/>
                <w:szCs w:val="14"/>
                <w:color w:val="auto"/>
              </w:rPr>
            </w:pPr>
          </w:p>
        </w:tc>
        <w:tc>
          <w:tcPr>
            <w:tcW w:w="1060" w:type="dxa"/>
            <w:vAlign w:val="bottom"/>
            <w:tcBorders>
              <w:bottom w:val="single" w:sz="8" w:color="70AD47"/>
            </w:tcBorders>
          </w:tcPr>
          <w:p>
            <w:pPr>
              <w:spacing w:after="0"/>
              <w:rPr>
                <w:sz w:val="14"/>
                <w:szCs w:val="14"/>
                <w:color w:val="auto"/>
              </w:rPr>
            </w:pPr>
          </w:p>
        </w:tc>
        <w:tc>
          <w:tcPr>
            <w:tcW w:w="1040" w:type="dxa"/>
            <w:vAlign w:val="bottom"/>
            <w:tcBorders>
              <w:bottom w:val="single" w:sz="8" w:color="70AD47"/>
            </w:tcBorders>
          </w:tcPr>
          <w:p>
            <w:pPr>
              <w:spacing w:after="0"/>
              <w:rPr>
                <w:sz w:val="14"/>
                <w:szCs w:val="14"/>
                <w:color w:val="auto"/>
              </w:rPr>
            </w:pPr>
          </w:p>
        </w:tc>
        <w:tc>
          <w:tcPr>
            <w:tcW w:w="1080" w:type="dxa"/>
            <w:vAlign w:val="bottom"/>
            <w:tcBorders>
              <w:bottom w:val="single" w:sz="8" w:color="70AD47"/>
            </w:tcBorders>
          </w:tcPr>
          <w:p>
            <w:pPr>
              <w:spacing w:after="0"/>
              <w:rPr>
                <w:sz w:val="14"/>
                <w:szCs w:val="14"/>
                <w:color w:val="auto"/>
              </w:rPr>
            </w:pPr>
          </w:p>
        </w:tc>
        <w:tc>
          <w:tcPr>
            <w:tcW w:w="1080" w:type="dxa"/>
            <w:vAlign w:val="bottom"/>
            <w:tcBorders>
              <w:bottom w:val="single" w:sz="8" w:color="70AD47"/>
              <w:right w:val="single" w:sz="8" w:color="70AD47"/>
            </w:tcBorders>
          </w:tcPr>
          <w:p>
            <w:pPr>
              <w:spacing w:after="0"/>
              <w:rPr>
                <w:sz w:val="14"/>
                <w:szCs w:val="14"/>
                <w:color w:val="auto"/>
              </w:rPr>
            </w:pPr>
          </w:p>
        </w:tc>
        <w:tc>
          <w:tcPr>
            <w:tcW w:w="106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14"/>
                <w:szCs w:val="14"/>
                <w:b w:val="1"/>
                <w:bCs w:val="1"/>
                <w:color w:val="auto"/>
                <w:w w:val="95"/>
              </w:rPr>
              <w:t>Unit</w:t>
            </w:r>
          </w:p>
        </w:tc>
        <w:tc>
          <w:tcPr>
            <w:tcW w:w="1060" w:type="dxa"/>
            <w:vAlign w:val="bottom"/>
            <w:tcBorders>
              <w:bottom w:val="single" w:sz="8" w:color="70AD47"/>
            </w:tcBorders>
          </w:tcPr>
          <w:p>
            <w:pPr>
              <w:spacing w:after="0"/>
              <w:rPr>
                <w:sz w:val="14"/>
                <w:szCs w:val="14"/>
                <w:color w:val="auto"/>
              </w:rPr>
            </w:pPr>
          </w:p>
        </w:tc>
        <w:tc>
          <w:tcPr>
            <w:tcW w:w="1080" w:type="dxa"/>
            <w:vAlign w:val="bottom"/>
            <w:tcBorders>
              <w:bottom w:val="single" w:sz="8" w:color="70AD47"/>
            </w:tcBorders>
          </w:tcPr>
          <w:p>
            <w:pPr>
              <w:spacing w:after="0"/>
              <w:rPr>
                <w:sz w:val="14"/>
                <w:szCs w:val="14"/>
                <w:color w:val="auto"/>
              </w:rPr>
            </w:pPr>
          </w:p>
        </w:tc>
        <w:tc>
          <w:tcPr>
            <w:tcW w:w="1060" w:type="dxa"/>
            <w:vAlign w:val="bottom"/>
            <w:tcBorders>
              <w:bottom w:val="single" w:sz="8" w:color="70AD47"/>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40" w:type="dxa"/>
            <w:vAlign w:val="bottom"/>
            <w:tcBorders>
              <w:right w:val="single" w:sz="8" w:color="70AD47"/>
            </w:tcBorders>
          </w:tcPr>
          <w:p>
            <w:pPr>
              <w:spacing w:after="0"/>
              <w:rPr>
                <w:sz w:val="11"/>
                <w:szCs w:val="11"/>
                <w:color w:val="auto"/>
              </w:rPr>
            </w:pPr>
          </w:p>
        </w:tc>
        <w:tc>
          <w:tcPr>
            <w:tcW w:w="1060" w:type="dxa"/>
            <w:vAlign w:val="bottom"/>
            <w:tcBorders>
              <w:right w:val="single" w:sz="8" w:color="70AD47"/>
            </w:tcBorders>
            <w:shd w:val="clear" w:color="auto" w:fill="C6E0B4"/>
          </w:tcPr>
          <w:p>
            <w:pPr>
              <w:spacing w:after="0"/>
              <w:rPr>
                <w:sz w:val="11"/>
                <w:szCs w:val="11"/>
                <w:color w:val="auto"/>
              </w:rPr>
            </w:pPr>
          </w:p>
        </w:tc>
        <w:tc>
          <w:tcPr>
            <w:tcW w:w="1040" w:type="dxa"/>
            <w:vAlign w:val="bottom"/>
            <w:tcBorders>
              <w:right w:val="single" w:sz="8" w:color="70AD47"/>
            </w:tcBorders>
            <w:vMerge w:val="restart"/>
            <w:shd w:val="clear" w:color="auto" w:fill="C6E0B4"/>
          </w:tcPr>
          <w:p>
            <w:pPr>
              <w:jc w:val="center"/>
              <w:spacing w:after="0"/>
              <w:rPr>
                <w:sz w:val="20"/>
                <w:szCs w:val="20"/>
                <w:color w:val="auto"/>
              </w:rPr>
            </w:pPr>
            <w:r>
              <w:rPr>
                <w:rFonts w:ascii="Arial" w:cs="Arial" w:eastAsia="Arial" w:hAnsi="Arial"/>
                <w:sz w:val="14"/>
                <w:szCs w:val="14"/>
                <w:b w:val="1"/>
                <w:bCs w:val="1"/>
                <w:color w:val="auto"/>
                <w:w w:val="89"/>
              </w:rPr>
              <w:t>Technology</w:t>
            </w:r>
          </w:p>
        </w:tc>
        <w:tc>
          <w:tcPr>
            <w:tcW w:w="1080" w:type="dxa"/>
            <w:vAlign w:val="bottom"/>
            <w:tcBorders>
              <w:right w:val="single" w:sz="8" w:color="70AD47"/>
            </w:tcBorders>
            <w:shd w:val="clear" w:color="auto" w:fill="C6E0B4"/>
          </w:tcPr>
          <w:p>
            <w:pPr>
              <w:spacing w:after="0"/>
              <w:rPr>
                <w:sz w:val="11"/>
                <w:szCs w:val="11"/>
                <w:color w:val="auto"/>
              </w:rPr>
            </w:pPr>
          </w:p>
        </w:tc>
        <w:tc>
          <w:tcPr>
            <w:tcW w:w="1080" w:type="dxa"/>
            <w:vAlign w:val="bottom"/>
            <w:tcBorders>
              <w:right w:val="single" w:sz="8" w:color="70AD47"/>
            </w:tcBorders>
            <w:shd w:val="clear" w:color="auto" w:fill="C6E0B4"/>
          </w:tcPr>
          <w:p>
            <w:pPr>
              <w:spacing w:after="0"/>
              <w:rPr>
                <w:sz w:val="11"/>
                <w:szCs w:val="11"/>
                <w:color w:val="auto"/>
              </w:rPr>
            </w:pPr>
          </w:p>
        </w:tc>
        <w:tc>
          <w:tcPr>
            <w:tcW w:w="1060" w:type="dxa"/>
            <w:vAlign w:val="bottom"/>
            <w:tcBorders>
              <w:right w:val="single" w:sz="8" w:color="70AD47"/>
            </w:tcBorders>
            <w:shd w:val="clear" w:color="auto" w:fill="C6E0B4"/>
          </w:tcPr>
          <w:p>
            <w:pPr>
              <w:jc w:val="center"/>
              <w:ind w:right="8"/>
              <w:spacing w:after="0" w:line="133" w:lineRule="exact"/>
              <w:rPr>
                <w:sz w:val="20"/>
                <w:szCs w:val="20"/>
                <w:color w:val="auto"/>
              </w:rPr>
            </w:pPr>
            <w:r>
              <w:rPr>
                <w:rFonts w:ascii="Arial" w:cs="Arial" w:eastAsia="Arial" w:hAnsi="Arial"/>
                <w:sz w:val="14"/>
                <w:szCs w:val="14"/>
                <w:b w:val="1"/>
                <w:bCs w:val="1"/>
                <w:color w:val="auto"/>
                <w:w w:val="94"/>
              </w:rPr>
              <w:t>Product</w:t>
            </w:r>
          </w:p>
        </w:tc>
        <w:tc>
          <w:tcPr>
            <w:tcW w:w="1060" w:type="dxa"/>
            <w:vAlign w:val="bottom"/>
            <w:tcBorders>
              <w:right w:val="single" w:sz="8" w:color="70AD47"/>
            </w:tcBorders>
            <w:shd w:val="clear" w:color="auto" w:fill="C6E0B4"/>
          </w:tcPr>
          <w:p>
            <w:pPr>
              <w:spacing w:after="0"/>
              <w:rPr>
                <w:sz w:val="11"/>
                <w:szCs w:val="11"/>
                <w:color w:val="auto"/>
              </w:rPr>
            </w:pPr>
          </w:p>
        </w:tc>
        <w:tc>
          <w:tcPr>
            <w:tcW w:w="1080" w:type="dxa"/>
            <w:vAlign w:val="bottom"/>
            <w:tcBorders>
              <w:right w:val="single" w:sz="8" w:color="70AD47"/>
            </w:tcBorders>
          </w:tcPr>
          <w:p>
            <w:pPr>
              <w:spacing w:after="0"/>
              <w:rPr>
                <w:sz w:val="11"/>
                <w:szCs w:val="11"/>
                <w:color w:val="auto"/>
              </w:rPr>
            </w:pPr>
          </w:p>
        </w:tc>
        <w:tc>
          <w:tcPr>
            <w:tcW w:w="1060" w:type="dxa"/>
            <w:vAlign w:val="bottom"/>
            <w:tcBorders>
              <w:right w:val="single" w:sz="8" w:color="70AD47"/>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40" w:type="dxa"/>
            <w:vAlign w:val="bottom"/>
            <w:tcBorders>
              <w:right w:val="single" w:sz="8" w:color="70AD47"/>
            </w:tcBorders>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Borders>
              <w:right w:val="single" w:sz="8" w:color="70AD47"/>
            </w:tcBorders>
            <w:vMerge w:val="restart"/>
            <w:shd w:val="clear" w:color="auto" w:fill="C6E0B4"/>
          </w:tcPr>
          <w:p>
            <w:pPr>
              <w:jc w:val="right"/>
              <w:ind w:right="248"/>
              <w:spacing w:after="0"/>
              <w:rPr>
                <w:sz w:val="20"/>
                <w:szCs w:val="20"/>
                <w:color w:val="auto"/>
              </w:rPr>
            </w:pPr>
            <w:r>
              <w:rPr>
                <w:rFonts w:ascii="Arial" w:cs="Arial" w:eastAsia="Arial" w:hAnsi="Arial"/>
                <w:sz w:val="14"/>
                <w:szCs w:val="14"/>
                <w:b w:val="1"/>
                <w:bCs w:val="1"/>
                <w:color w:val="auto"/>
              </w:rPr>
              <w:t>Clinical</w:t>
            </w:r>
          </w:p>
        </w:tc>
        <w:tc>
          <w:tcPr>
            <w:tcW w:w="1040" w:type="dxa"/>
            <w:vAlign w:val="bottom"/>
            <w:tcBorders>
              <w:right w:val="single" w:sz="8" w:color="70AD47"/>
            </w:tcBorders>
            <w:vMerge w:val="continue"/>
            <w:shd w:val="clear" w:color="auto" w:fill="C6E0B4"/>
          </w:tcPr>
          <w:p>
            <w:pPr>
              <w:spacing w:after="0"/>
              <w:rPr>
                <w:sz w:val="12"/>
                <w:szCs w:val="12"/>
                <w:color w:val="auto"/>
              </w:rPr>
            </w:pPr>
          </w:p>
        </w:tc>
        <w:tc>
          <w:tcPr>
            <w:tcW w:w="1080" w:type="dxa"/>
            <w:vAlign w:val="bottom"/>
            <w:tcBorders>
              <w:right w:val="single" w:sz="8" w:color="70AD47"/>
            </w:tcBorders>
            <w:vMerge w:val="restart"/>
            <w:shd w:val="clear" w:color="auto" w:fill="C6E0B4"/>
          </w:tcPr>
          <w:p>
            <w:pPr>
              <w:jc w:val="right"/>
              <w:ind w:right="28"/>
              <w:spacing w:after="0"/>
              <w:rPr>
                <w:sz w:val="20"/>
                <w:szCs w:val="20"/>
                <w:color w:val="auto"/>
              </w:rPr>
            </w:pPr>
            <w:r>
              <w:rPr>
                <w:rFonts w:ascii="Arial" w:cs="Arial" w:eastAsia="Arial" w:hAnsi="Arial"/>
                <w:sz w:val="14"/>
                <w:szCs w:val="14"/>
                <w:b w:val="1"/>
                <w:bCs w:val="1"/>
                <w:color w:val="auto"/>
                <w:w w:val="99"/>
              </w:rPr>
              <w:t>Manufacturing</w:t>
            </w:r>
          </w:p>
        </w:tc>
        <w:tc>
          <w:tcPr>
            <w:tcW w:w="108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4"/>
                <w:szCs w:val="14"/>
                <w:b w:val="1"/>
                <w:bCs w:val="1"/>
                <w:color w:val="auto"/>
                <w:w w:val="86"/>
              </w:rPr>
              <w:t>Business Service</w:t>
            </w:r>
          </w:p>
        </w:tc>
        <w:tc>
          <w:tcPr>
            <w:tcW w:w="1060" w:type="dxa"/>
            <w:vAlign w:val="bottom"/>
            <w:tcBorders>
              <w:right w:val="single" w:sz="8" w:color="70AD47"/>
            </w:tcBorders>
            <w:shd w:val="clear" w:color="auto" w:fill="C6E0B4"/>
          </w:tcPr>
          <w:p>
            <w:pPr>
              <w:jc w:val="center"/>
              <w:spacing w:after="0" w:line="149" w:lineRule="exact"/>
              <w:rPr>
                <w:sz w:val="20"/>
                <w:szCs w:val="20"/>
                <w:color w:val="auto"/>
              </w:rPr>
            </w:pPr>
            <w:r>
              <w:rPr>
                <w:rFonts w:ascii="Arial" w:cs="Arial" w:eastAsia="Arial" w:hAnsi="Arial"/>
                <w:sz w:val="14"/>
                <w:szCs w:val="14"/>
                <w:b w:val="1"/>
                <w:bCs w:val="1"/>
                <w:color w:val="auto"/>
                <w:w w:val="90"/>
              </w:rPr>
              <w:t>Sales &amp;</w:t>
            </w:r>
          </w:p>
        </w:tc>
        <w:tc>
          <w:tcPr>
            <w:tcW w:w="1060" w:type="dxa"/>
            <w:vAlign w:val="bottom"/>
            <w:tcBorders>
              <w:right w:val="single" w:sz="8" w:color="70AD47"/>
            </w:tcBorders>
            <w:vMerge w:val="restart"/>
            <w:shd w:val="clear" w:color="auto" w:fill="C6E0B4"/>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1080" w:type="dxa"/>
            <w:vAlign w:val="bottom"/>
            <w:tcBorders>
              <w:right w:val="single" w:sz="8" w:color="70AD47"/>
            </w:tcBorders>
            <w:vMerge w:val="restart"/>
          </w:tcPr>
          <w:p>
            <w:pPr>
              <w:jc w:val="right"/>
              <w:ind w:right="88"/>
              <w:spacing w:after="0"/>
              <w:rPr>
                <w:sz w:val="20"/>
                <w:szCs w:val="20"/>
                <w:color w:val="auto"/>
              </w:rPr>
            </w:pPr>
            <w:r>
              <w:rPr>
                <w:rFonts w:ascii="Arial" w:cs="Arial" w:eastAsia="Arial" w:hAnsi="Arial"/>
                <w:sz w:val="14"/>
                <w:szCs w:val="14"/>
                <w:b w:val="1"/>
                <w:bCs w:val="1"/>
                <w:color w:val="auto"/>
              </w:rPr>
              <w:t>Adjustments</w:t>
            </w:r>
          </w:p>
        </w:tc>
        <w:tc>
          <w:tcPr>
            <w:tcW w:w="1060" w:type="dxa"/>
            <w:vAlign w:val="bottom"/>
            <w:tcBorders>
              <w:right w:val="single" w:sz="8" w:color="70AD47"/>
            </w:tcBorders>
            <w:vMerge w:val="restart"/>
          </w:tcPr>
          <w:p>
            <w:pPr>
              <w:jc w:val="right"/>
              <w:ind w:right="288"/>
              <w:spacing w:after="0"/>
              <w:rPr>
                <w:sz w:val="20"/>
                <w:szCs w:val="20"/>
                <w:color w:val="auto"/>
              </w:rPr>
            </w:pPr>
            <w:r>
              <w:rPr>
                <w:rFonts w:ascii="Arial" w:cs="Arial" w:eastAsia="Arial" w:hAnsi="Arial"/>
                <w:sz w:val="14"/>
                <w:szCs w:val="14"/>
                <w:b w:val="1"/>
                <w:bCs w:val="1"/>
                <w:color w:val="auto"/>
              </w:rPr>
              <w:t>Group</w:t>
            </w:r>
          </w:p>
        </w:tc>
        <w:tc>
          <w:tcPr>
            <w:tcW w:w="0" w:type="dxa"/>
            <w:vAlign w:val="bottom"/>
          </w:tcPr>
          <w:p>
            <w:pPr>
              <w:spacing w:after="0"/>
              <w:rPr>
                <w:sz w:val="1"/>
                <w:szCs w:val="1"/>
                <w:color w:val="auto"/>
              </w:rPr>
            </w:pPr>
          </w:p>
        </w:tc>
      </w:tr>
      <w:tr>
        <w:trPr>
          <w:trHeight w:val="105"/>
        </w:trPr>
        <w:tc>
          <w:tcPr>
            <w:tcW w:w="2740" w:type="dxa"/>
            <w:vAlign w:val="bottom"/>
            <w:tcBorders>
              <w:right w:val="single" w:sz="8" w:color="70AD47"/>
            </w:tcBorders>
            <w:vMerge w:val="continue"/>
          </w:tcPr>
          <w:p>
            <w:pPr>
              <w:spacing w:after="0"/>
              <w:rPr>
                <w:sz w:val="9"/>
                <w:szCs w:val="9"/>
                <w:color w:val="auto"/>
              </w:rPr>
            </w:pPr>
          </w:p>
        </w:tc>
        <w:tc>
          <w:tcPr>
            <w:tcW w:w="1060" w:type="dxa"/>
            <w:vAlign w:val="bottom"/>
            <w:tcBorders>
              <w:right w:val="single" w:sz="8" w:color="70AD47"/>
            </w:tcBorders>
            <w:vMerge w:val="continue"/>
            <w:shd w:val="clear" w:color="auto" w:fill="C6E0B4"/>
          </w:tcPr>
          <w:p>
            <w:pPr>
              <w:spacing w:after="0"/>
              <w:rPr>
                <w:sz w:val="9"/>
                <w:szCs w:val="9"/>
                <w:color w:val="auto"/>
              </w:rPr>
            </w:pPr>
          </w:p>
        </w:tc>
        <w:tc>
          <w:tcPr>
            <w:tcW w:w="1040" w:type="dxa"/>
            <w:vAlign w:val="bottom"/>
            <w:tcBorders>
              <w:right w:val="single" w:sz="8" w:color="70AD47"/>
            </w:tcBorders>
            <w:vMerge w:val="restart"/>
            <w:shd w:val="clear" w:color="auto" w:fill="C6E0B4"/>
          </w:tcPr>
          <w:p>
            <w:pPr>
              <w:jc w:val="center"/>
              <w:spacing w:after="0" w:line="149" w:lineRule="exact"/>
              <w:rPr>
                <w:sz w:val="20"/>
                <w:szCs w:val="20"/>
                <w:color w:val="auto"/>
              </w:rPr>
            </w:pPr>
            <w:r>
              <w:rPr>
                <w:rFonts w:ascii="Arial" w:cs="Arial" w:eastAsia="Arial" w:hAnsi="Arial"/>
                <w:sz w:val="14"/>
                <w:szCs w:val="14"/>
                <w:b w:val="1"/>
                <w:bCs w:val="1"/>
                <w:color w:val="auto"/>
                <w:w w:val="98"/>
              </w:rPr>
              <w:t>Platform</w:t>
            </w:r>
          </w:p>
        </w:tc>
        <w:tc>
          <w:tcPr>
            <w:tcW w:w="1080" w:type="dxa"/>
            <w:vAlign w:val="bottom"/>
            <w:tcBorders>
              <w:right w:val="single" w:sz="8" w:color="70AD47"/>
            </w:tcBorders>
            <w:vMerge w:val="continue"/>
            <w:shd w:val="clear" w:color="auto" w:fill="C6E0B4"/>
          </w:tcPr>
          <w:p>
            <w:pPr>
              <w:spacing w:after="0"/>
              <w:rPr>
                <w:sz w:val="9"/>
                <w:szCs w:val="9"/>
                <w:color w:val="auto"/>
              </w:rPr>
            </w:pPr>
          </w:p>
        </w:tc>
        <w:tc>
          <w:tcPr>
            <w:tcW w:w="1080" w:type="dxa"/>
            <w:vAlign w:val="bottom"/>
            <w:tcBorders>
              <w:right w:val="single" w:sz="8" w:color="70AD47"/>
            </w:tcBorders>
            <w:vMerge w:val="continue"/>
            <w:shd w:val="clear" w:color="auto" w:fill="C6E0B4"/>
          </w:tcPr>
          <w:p>
            <w:pPr>
              <w:spacing w:after="0"/>
              <w:rPr>
                <w:sz w:val="9"/>
                <w:szCs w:val="9"/>
                <w:color w:val="auto"/>
              </w:rPr>
            </w:pPr>
          </w:p>
        </w:tc>
        <w:tc>
          <w:tcPr>
            <w:tcW w:w="1060" w:type="dxa"/>
            <w:vAlign w:val="bottom"/>
            <w:tcBorders>
              <w:right w:val="single" w:sz="8" w:color="70AD47"/>
            </w:tcBorders>
            <w:vMerge w:val="restart"/>
            <w:shd w:val="clear" w:color="auto" w:fill="C6E0B4"/>
          </w:tcPr>
          <w:p>
            <w:pPr>
              <w:jc w:val="center"/>
              <w:ind w:right="8"/>
              <w:spacing w:after="0" w:line="149" w:lineRule="exact"/>
              <w:rPr>
                <w:sz w:val="20"/>
                <w:szCs w:val="20"/>
                <w:color w:val="auto"/>
              </w:rPr>
            </w:pPr>
            <w:r>
              <w:rPr>
                <w:rFonts w:ascii="Arial" w:cs="Arial" w:eastAsia="Arial" w:hAnsi="Arial"/>
                <w:sz w:val="14"/>
                <w:szCs w:val="14"/>
                <w:b w:val="1"/>
                <w:bCs w:val="1"/>
                <w:color w:val="auto"/>
                <w:w w:val="97"/>
              </w:rPr>
              <w:t>External</w:t>
            </w:r>
          </w:p>
        </w:tc>
        <w:tc>
          <w:tcPr>
            <w:tcW w:w="1060" w:type="dxa"/>
            <w:vAlign w:val="bottom"/>
            <w:tcBorders>
              <w:right w:val="single" w:sz="8" w:color="70AD47"/>
            </w:tcBorders>
            <w:vMerge w:val="continue"/>
            <w:shd w:val="clear" w:color="auto" w:fill="C6E0B4"/>
          </w:tcPr>
          <w:p>
            <w:pPr>
              <w:spacing w:after="0"/>
              <w:rPr>
                <w:sz w:val="9"/>
                <w:szCs w:val="9"/>
                <w:color w:val="auto"/>
              </w:rPr>
            </w:pPr>
          </w:p>
        </w:tc>
        <w:tc>
          <w:tcPr>
            <w:tcW w:w="1080" w:type="dxa"/>
            <w:vAlign w:val="bottom"/>
            <w:tcBorders>
              <w:right w:val="single" w:sz="8" w:color="70AD47"/>
            </w:tcBorders>
            <w:vMerge w:val="continue"/>
          </w:tcPr>
          <w:p>
            <w:pPr>
              <w:spacing w:after="0"/>
              <w:rPr>
                <w:sz w:val="9"/>
                <w:szCs w:val="9"/>
                <w:color w:val="auto"/>
              </w:rPr>
            </w:pPr>
          </w:p>
        </w:tc>
        <w:tc>
          <w:tcPr>
            <w:tcW w:w="1060" w:type="dxa"/>
            <w:vAlign w:val="bottom"/>
            <w:tcBorders>
              <w:right w:val="single" w:sz="8" w:color="70AD4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740" w:type="dxa"/>
            <w:vAlign w:val="bottom"/>
            <w:tcBorders>
              <w:right w:val="single" w:sz="8" w:color="70AD47"/>
            </w:tcBorders>
          </w:tcPr>
          <w:p>
            <w:pPr>
              <w:spacing w:after="0"/>
              <w:rPr>
                <w:sz w:val="3"/>
                <w:szCs w:val="3"/>
                <w:color w:val="auto"/>
              </w:rPr>
            </w:pPr>
          </w:p>
        </w:tc>
        <w:tc>
          <w:tcPr>
            <w:tcW w:w="1060" w:type="dxa"/>
            <w:vAlign w:val="bottom"/>
            <w:tcBorders>
              <w:right w:val="single" w:sz="8" w:color="70AD47"/>
            </w:tcBorders>
            <w:shd w:val="clear" w:color="auto" w:fill="C6E0B4"/>
          </w:tcPr>
          <w:p>
            <w:pPr>
              <w:spacing w:after="0"/>
              <w:rPr>
                <w:sz w:val="3"/>
                <w:szCs w:val="3"/>
                <w:color w:val="auto"/>
              </w:rPr>
            </w:pPr>
          </w:p>
        </w:tc>
        <w:tc>
          <w:tcPr>
            <w:tcW w:w="1040" w:type="dxa"/>
            <w:vAlign w:val="bottom"/>
            <w:tcBorders>
              <w:right w:val="single" w:sz="8" w:color="70AD47"/>
            </w:tcBorders>
            <w:vMerge w:val="continue"/>
            <w:shd w:val="clear" w:color="auto" w:fill="C6E0B4"/>
          </w:tcPr>
          <w:p>
            <w:pPr>
              <w:spacing w:after="0"/>
              <w:rPr>
                <w:sz w:val="3"/>
                <w:szCs w:val="3"/>
                <w:color w:val="auto"/>
              </w:rPr>
            </w:pPr>
          </w:p>
        </w:tc>
        <w:tc>
          <w:tcPr>
            <w:tcW w:w="1080" w:type="dxa"/>
            <w:vAlign w:val="bottom"/>
            <w:tcBorders>
              <w:right w:val="single" w:sz="8" w:color="70AD47"/>
            </w:tcBorders>
            <w:shd w:val="clear" w:color="auto" w:fill="C6E0B4"/>
          </w:tcPr>
          <w:p>
            <w:pPr>
              <w:spacing w:after="0"/>
              <w:rPr>
                <w:sz w:val="3"/>
                <w:szCs w:val="3"/>
                <w:color w:val="auto"/>
              </w:rPr>
            </w:pPr>
          </w:p>
        </w:tc>
        <w:tc>
          <w:tcPr>
            <w:tcW w:w="1080" w:type="dxa"/>
            <w:vAlign w:val="bottom"/>
            <w:tcBorders>
              <w:right w:val="single" w:sz="8" w:color="70AD47"/>
            </w:tcBorders>
            <w:shd w:val="clear" w:color="auto" w:fill="C6E0B4"/>
          </w:tcPr>
          <w:p>
            <w:pPr>
              <w:spacing w:after="0"/>
              <w:rPr>
                <w:sz w:val="3"/>
                <w:szCs w:val="3"/>
                <w:color w:val="auto"/>
              </w:rPr>
            </w:pPr>
          </w:p>
        </w:tc>
        <w:tc>
          <w:tcPr>
            <w:tcW w:w="1060" w:type="dxa"/>
            <w:vAlign w:val="bottom"/>
            <w:tcBorders>
              <w:right w:val="single" w:sz="8" w:color="70AD47"/>
            </w:tcBorders>
            <w:vMerge w:val="continue"/>
            <w:shd w:val="clear" w:color="auto" w:fill="C6E0B4"/>
          </w:tcPr>
          <w:p>
            <w:pPr>
              <w:spacing w:after="0"/>
              <w:rPr>
                <w:sz w:val="3"/>
                <w:szCs w:val="3"/>
                <w:color w:val="auto"/>
              </w:rPr>
            </w:pPr>
          </w:p>
        </w:tc>
        <w:tc>
          <w:tcPr>
            <w:tcW w:w="1060" w:type="dxa"/>
            <w:vAlign w:val="bottom"/>
            <w:tcBorders>
              <w:right w:val="single" w:sz="8" w:color="70AD47"/>
            </w:tcBorders>
            <w:shd w:val="clear" w:color="auto" w:fill="C6E0B4"/>
          </w:tcPr>
          <w:p>
            <w:pPr>
              <w:spacing w:after="0"/>
              <w:rPr>
                <w:sz w:val="3"/>
                <w:szCs w:val="3"/>
                <w:color w:val="auto"/>
              </w:rPr>
            </w:pPr>
          </w:p>
        </w:tc>
        <w:tc>
          <w:tcPr>
            <w:tcW w:w="1080" w:type="dxa"/>
            <w:vAlign w:val="bottom"/>
            <w:tcBorders>
              <w:right w:val="single" w:sz="8" w:color="70AD47"/>
            </w:tcBorders>
          </w:tcPr>
          <w:p>
            <w:pPr>
              <w:spacing w:after="0"/>
              <w:rPr>
                <w:sz w:val="3"/>
                <w:szCs w:val="3"/>
                <w:color w:val="auto"/>
              </w:rPr>
            </w:pPr>
          </w:p>
        </w:tc>
        <w:tc>
          <w:tcPr>
            <w:tcW w:w="1060" w:type="dxa"/>
            <w:vAlign w:val="bottom"/>
            <w:tcBorders>
              <w:right w:val="single" w:sz="8" w:color="70AD47"/>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740" w:type="dxa"/>
            <w:vAlign w:val="bottom"/>
            <w:tcBorders>
              <w:bottom w:val="single" w:sz="8" w:color="70AD47"/>
              <w:right w:val="single" w:sz="8" w:color="70AD47"/>
            </w:tcBorders>
          </w:tcPr>
          <w:p>
            <w:pPr>
              <w:spacing w:after="0"/>
              <w:rPr>
                <w:sz w:val="14"/>
                <w:szCs w:val="14"/>
                <w:color w:val="auto"/>
              </w:rPr>
            </w:pPr>
          </w:p>
        </w:tc>
        <w:tc>
          <w:tcPr>
            <w:tcW w:w="1060" w:type="dxa"/>
            <w:vAlign w:val="bottom"/>
            <w:tcBorders>
              <w:bottom w:val="single" w:sz="8" w:color="70AD47"/>
              <w:right w:val="single" w:sz="8" w:color="70AD47"/>
            </w:tcBorders>
            <w:shd w:val="clear" w:color="auto" w:fill="C6E0B4"/>
          </w:tcPr>
          <w:p>
            <w:pPr>
              <w:spacing w:after="0"/>
              <w:rPr>
                <w:sz w:val="14"/>
                <w:szCs w:val="14"/>
                <w:color w:val="auto"/>
              </w:rPr>
            </w:pPr>
          </w:p>
        </w:tc>
        <w:tc>
          <w:tcPr>
            <w:tcW w:w="1040" w:type="dxa"/>
            <w:vAlign w:val="bottom"/>
            <w:tcBorders>
              <w:bottom w:val="single" w:sz="8" w:color="70AD47"/>
              <w:right w:val="single" w:sz="8" w:color="70AD47"/>
            </w:tcBorders>
            <w:shd w:val="clear" w:color="auto" w:fill="C6E0B4"/>
          </w:tcPr>
          <w:p>
            <w:pPr>
              <w:spacing w:after="0"/>
              <w:rPr>
                <w:sz w:val="14"/>
                <w:szCs w:val="14"/>
                <w:color w:val="auto"/>
              </w:rPr>
            </w:pPr>
          </w:p>
        </w:tc>
        <w:tc>
          <w:tcPr>
            <w:tcW w:w="1080" w:type="dxa"/>
            <w:vAlign w:val="bottom"/>
            <w:tcBorders>
              <w:bottom w:val="single" w:sz="8" w:color="70AD47"/>
              <w:right w:val="single" w:sz="8" w:color="70AD47"/>
            </w:tcBorders>
            <w:shd w:val="clear" w:color="auto" w:fill="C6E0B4"/>
          </w:tcPr>
          <w:p>
            <w:pPr>
              <w:spacing w:after="0"/>
              <w:rPr>
                <w:sz w:val="14"/>
                <w:szCs w:val="14"/>
                <w:color w:val="auto"/>
              </w:rPr>
            </w:pPr>
          </w:p>
        </w:tc>
        <w:tc>
          <w:tcPr>
            <w:tcW w:w="1080" w:type="dxa"/>
            <w:vAlign w:val="bottom"/>
            <w:tcBorders>
              <w:bottom w:val="single" w:sz="8" w:color="70AD47"/>
              <w:right w:val="single" w:sz="8" w:color="70AD47"/>
            </w:tcBorders>
            <w:shd w:val="clear" w:color="auto" w:fill="C6E0B4"/>
          </w:tcPr>
          <w:p>
            <w:pPr>
              <w:spacing w:after="0"/>
              <w:rPr>
                <w:sz w:val="14"/>
                <w:szCs w:val="14"/>
                <w:color w:val="auto"/>
              </w:rPr>
            </w:pPr>
          </w:p>
        </w:tc>
        <w:tc>
          <w:tcPr>
            <w:tcW w:w="1060" w:type="dxa"/>
            <w:vAlign w:val="bottom"/>
            <w:tcBorders>
              <w:bottom w:val="single" w:sz="8" w:color="70AD47"/>
              <w:right w:val="single" w:sz="8" w:color="70AD47"/>
            </w:tcBorders>
            <w:shd w:val="clear" w:color="auto" w:fill="C6E0B4"/>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1060" w:type="dxa"/>
            <w:vAlign w:val="bottom"/>
            <w:tcBorders>
              <w:bottom w:val="single" w:sz="8" w:color="70AD47"/>
              <w:right w:val="single" w:sz="8" w:color="70AD47"/>
            </w:tcBorders>
            <w:shd w:val="clear" w:color="auto" w:fill="C6E0B4"/>
          </w:tcPr>
          <w:p>
            <w:pPr>
              <w:spacing w:after="0"/>
              <w:rPr>
                <w:sz w:val="14"/>
                <w:szCs w:val="14"/>
                <w:color w:val="auto"/>
              </w:rPr>
            </w:pPr>
          </w:p>
        </w:tc>
        <w:tc>
          <w:tcPr>
            <w:tcW w:w="1080" w:type="dxa"/>
            <w:vAlign w:val="bottom"/>
            <w:tcBorders>
              <w:bottom w:val="single" w:sz="8" w:color="70AD47"/>
              <w:right w:val="single" w:sz="8" w:color="70AD47"/>
            </w:tcBorders>
          </w:tcPr>
          <w:p>
            <w:pPr>
              <w:spacing w:after="0"/>
              <w:rPr>
                <w:sz w:val="14"/>
                <w:szCs w:val="14"/>
                <w:color w:val="auto"/>
              </w:rPr>
            </w:pPr>
          </w:p>
        </w:tc>
        <w:tc>
          <w:tcPr>
            <w:tcW w:w="1060" w:type="dxa"/>
            <w:vAlign w:val="bottom"/>
            <w:tcBorders>
              <w:bottom w:val="single" w:sz="8" w:color="70AD47"/>
              <w:right w:val="single" w:sz="8" w:color="70AD47"/>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740" w:type="dxa"/>
            <w:vAlign w:val="bottom"/>
            <w:tcBorders>
              <w:right w:val="single" w:sz="8" w:color="70AD47"/>
            </w:tcBorders>
          </w:tcPr>
          <w:p>
            <w:pPr>
              <w:spacing w:after="0"/>
              <w:rPr>
                <w:sz w:val="20"/>
                <w:szCs w:val="20"/>
                <w:color w:val="auto"/>
              </w:rPr>
            </w:pPr>
            <w:r>
              <w:rPr>
                <w:rFonts w:ascii="Arial" w:cs="Arial" w:eastAsia="Arial" w:hAnsi="Arial"/>
                <w:sz w:val="14"/>
                <w:szCs w:val="14"/>
                <w:b w:val="1"/>
                <w:bCs w:val="1"/>
                <w:color w:val="auto"/>
              </w:rPr>
              <w:t>Six months ended June 30, 2020</w:t>
            </w:r>
          </w:p>
        </w:tc>
        <w:tc>
          <w:tcPr>
            <w:tcW w:w="1060" w:type="dxa"/>
            <w:vAlign w:val="bottom"/>
            <w:tcBorders>
              <w:right w:val="single" w:sz="8" w:color="70AD47"/>
            </w:tcBorders>
            <w:shd w:val="clear" w:color="auto" w:fill="C6E0B4"/>
          </w:tcPr>
          <w:p>
            <w:pPr>
              <w:spacing w:after="0"/>
              <w:rPr>
                <w:sz w:val="18"/>
                <w:szCs w:val="18"/>
                <w:color w:val="auto"/>
              </w:rPr>
            </w:pPr>
          </w:p>
        </w:tc>
        <w:tc>
          <w:tcPr>
            <w:tcW w:w="1040" w:type="dxa"/>
            <w:vAlign w:val="bottom"/>
            <w:tcBorders>
              <w:right w:val="single" w:sz="8" w:color="70AD47"/>
            </w:tcBorders>
            <w:shd w:val="clear" w:color="auto" w:fill="C6E0B4"/>
          </w:tcPr>
          <w:p>
            <w:pPr>
              <w:spacing w:after="0"/>
              <w:rPr>
                <w:sz w:val="18"/>
                <w:szCs w:val="18"/>
                <w:color w:val="auto"/>
              </w:rPr>
            </w:pPr>
          </w:p>
        </w:tc>
        <w:tc>
          <w:tcPr>
            <w:tcW w:w="1080" w:type="dxa"/>
            <w:vAlign w:val="bottom"/>
            <w:tcBorders>
              <w:right w:val="single" w:sz="8" w:color="70AD47"/>
            </w:tcBorders>
            <w:shd w:val="clear" w:color="auto" w:fill="C6E0B4"/>
          </w:tcPr>
          <w:p>
            <w:pPr>
              <w:spacing w:after="0"/>
              <w:rPr>
                <w:sz w:val="18"/>
                <w:szCs w:val="18"/>
                <w:color w:val="auto"/>
              </w:rPr>
            </w:pPr>
          </w:p>
        </w:tc>
        <w:tc>
          <w:tcPr>
            <w:tcW w:w="1080" w:type="dxa"/>
            <w:vAlign w:val="bottom"/>
            <w:tcBorders>
              <w:right w:val="single" w:sz="8" w:color="70AD47"/>
            </w:tcBorders>
            <w:shd w:val="clear" w:color="auto" w:fill="C6E0B4"/>
          </w:tcPr>
          <w:p>
            <w:pPr>
              <w:spacing w:after="0"/>
              <w:rPr>
                <w:sz w:val="18"/>
                <w:szCs w:val="18"/>
                <w:color w:val="auto"/>
              </w:rPr>
            </w:pPr>
          </w:p>
        </w:tc>
        <w:tc>
          <w:tcPr>
            <w:tcW w:w="1060" w:type="dxa"/>
            <w:vAlign w:val="bottom"/>
            <w:tcBorders>
              <w:right w:val="single" w:sz="8" w:color="70AD47"/>
            </w:tcBorders>
            <w:shd w:val="clear" w:color="auto" w:fill="C6E0B4"/>
          </w:tcPr>
          <w:p>
            <w:pPr>
              <w:spacing w:after="0"/>
              <w:rPr>
                <w:sz w:val="18"/>
                <w:szCs w:val="18"/>
                <w:color w:val="auto"/>
              </w:rPr>
            </w:pPr>
          </w:p>
        </w:tc>
        <w:tc>
          <w:tcPr>
            <w:tcW w:w="1060" w:type="dxa"/>
            <w:vAlign w:val="bottom"/>
            <w:tcBorders>
              <w:right w:val="single" w:sz="8" w:color="70AD47"/>
            </w:tcBorders>
            <w:shd w:val="clear" w:color="auto" w:fill="C6E0B4"/>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b w:val="1"/>
                <w:bCs w:val="1"/>
                <w:color w:val="auto"/>
              </w:rPr>
              <w:t>Revenues</w:t>
            </w:r>
          </w:p>
        </w:tc>
        <w:tc>
          <w:tcPr>
            <w:tcW w:w="1060" w:type="dxa"/>
            <w:vAlign w:val="bottom"/>
            <w:tcBorders>
              <w:right w:val="single" w:sz="8" w:color="70AD47"/>
            </w:tcBorders>
            <w:shd w:val="clear" w:color="auto" w:fill="C6E0B4"/>
          </w:tcPr>
          <w:p>
            <w:pPr>
              <w:spacing w:after="0"/>
              <w:rPr>
                <w:sz w:val="22"/>
                <w:szCs w:val="22"/>
                <w:color w:val="auto"/>
              </w:rPr>
            </w:pPr>
          </w:p>
        </w:tc>
        <w:tc>
          <w:tcPr>
            <w:tcW w:w="1040" w:type="dxa"/>
            <w:vAlign w:val="bottom"/>
            <w:tcBorders>
              <w:right w:val="single" w:sz="8" w:color="70AD47"/>
            </w:tcBorders>
            <w:shd w:val="clear" w:color="auto" w:fill="C6E0B4"/>
          </w:tcPr>
          <w:p>
            <w:pPr>
              <w:spacing w:after="0"/>
              <w:rPr>
                <w:sz w:val="22"/>
                <w:szCs w:val="22"/>
                <w:color w:val="auto"/>
              </w:rPr>
            </w:pPr>
          </w:p>
        </w:tc>
        <w:tc>
          <w:tcPr>
            <w:tcW w:w="1080" w:type="dxa"/>
            <w:vAlign w:val="bottom"/>
            <w:tcBorders>
              <w:right w:val="single" w:sz="8" w:color="70AD47"/>
            </w:tcBorders>
            <w:shd w:val="clear" w:color="auto" w:fill="C6E0B4"/>
          </w:tcPr>
          <w:p>
            <w:pPr>
              <w:spacing w:after="0"/>
              <w:rPr>
                <w:sz w:val="22"/>
                <w:szCs w:val="22"/>
                <w:color w:val="auto"/>
              </w:rPr>
            </w:pPr>
          </w:p>
        </w:tc>
        <w:tc>
          <w:tcPr>
            <w:tcW w:w="1080" w:type="dxa"/>
            <w:vAlign w:val="bottom"/>
            <w:tcBorders>
              <w:right w:val="single" w:sz="8" w:color="70AD47"/>
            </w:tcBorders>
            <w:shd w:val="clear" w:color="auto" w:fill="C6E0B4"/>
          </w:tcPr>
          <w:p>
            <w:pPr>
              <w:spacing w:after="0"/>
              <w:rPr>
                <w:sz w:val="22"/>
                <w:szCs w:val="22"/>
                <w:color w:val="auto"/>
              </w:rPr>
            </w:pPr>
          </w:p>
        </w:tc>
        <w:tc>
          <w:tcPr>
            <w:tcW w:w="1060" w:type="dxa"/>
            <w:vAlign w:val="bottom"/>
            <w:tcBorders>
              <w:right w:val="single" w:sz="8" w:color="70AD47"/>
            </w:tcBorders>
            <w:shd w:val="clear" w:color="auto" w:fill="C6E0B4"/>
          </w:tcPr>
          <w:p>
            <w:pPr>
              <w:spacing w:after="0"/>
              <w:rPr>
                <w:sz w:val="22"/>
                <w:szCs w:val="22"/>
                <w:color w:val="auto"/>
              </w:rPr>
            </w:pPr>
          </w:p>
        </w:tc>
        <w:tc>
          <w:tcPr>
            <w:tcW w:w="1060" w:type="dxa"/>
            <w:vAlign w:val="bottom"/>
            <w:tcBorders>
              <w:right w:val="single" w:sz="8" w:color="70AD47"/>
            </w:tcBorders>
            <w:shd w:val="clear" w:color="auto" w:fill="C6E0B4"/>
          </w:tcPr>
          <w:p>
            <w:pPr>
              <w:spacing w:after="0"/>
              <w:rPr>
                <w:sz w:val="22"/>
                <w:szCs w:val="22"/>
                <w:color w:val="auto"/>
              </w:rPr>
            </w:pPr>
          </w:p>
        </w:tc>
        <w:tc>
          <w:tcPr>
            <w:tcW w:w="1080" w:type="dxa"/>
            <w:vAlign w:val="bottom"/>
            <w:tcBorders>
              <w:right w:val="single" w:sz="8" w:color="70AD47"/>
            </w:tcBorders>
          </w:tcPr>
          <w:p>
            <w:pPr>
              <w:spacing w:after="0"/>
              <w:rPr>
                <w:sz w:val="22"/>
                <w:szCs w:val="22"/>
                <w:color w:val="auto"/>
              </w:rPr>
            </w:pPr>
          </w:p>
        </w:tc>
        <w:tc>
          <w:tcPr>
            <w:tcW w:w="1060" w:type="dxa"/>
            <w:vAlign w:val="bottom"/>
            <w:tcBorders>
              <w:right w:val="single" w:sz="8" w:color="70AD47"/>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Collaboration Revenues</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€18,963</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€7,425</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€27,358</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€53,746</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€53,746</w:t>
            </w:r>
          </w:p>
        </w:tc>
        <w:tc>
          <w:tcPr>
            <w:tcW w:w="0" w:type="dxa"/>
            <w:vAlign w:val="bottom"/>
          </w:tcPr>
          <w:p>
            <w:pPr>
              <w:spacing w:after="0"/>
              <w:rPr>
                <w:sz w:val="1"/>
                <w:szCs w:val="1"/>
                <w:color w:val="auto"/>
              </w:rPr>
            </w:pPr>
          </w:p>
        </w:tc>
      </w:tr>
      <w:tr>
        <w:trPr>
          <w:trHeight w:val="257"/>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Revenues from other sales transactions</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103</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245</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15,331</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15,679</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15,679</w:t>
            </w:r>
          </w:p>
        </w:tc>
        <w:tc>
          <w:tcPr>
            <w:tcW w:w="0" w:type="dxa"/>
            <w:vAlign w:val="bottom"/>
          </w:tcPr>
          <w:p>
            <w:pPr>
              <w:spacing w:after="0"/>
              <w:rPr>
                <w:sz w:val="1"/>
                <w:szCs w:val="1"/>
                <w:color w:val="auto"/>
              </w:rPr>
            </w:pPr>
          </w:p>
        </w:tc>
      </w:tr>
      <w:tr>
        <w:trPr>
          <w:trHeight w:val="296"/>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Cost of sales</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(10,434)</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(10,434)</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(1,070)</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(11,504)</w:t>
            </w:r>
          </w:p>
        </w:tc>
        <w:tc>
          <w:tcPr>
            <w:tcW w:w="0" w:type="dxa"/>
            <w:vAlign w:val="bottom"/>
          </w:tcPr>
          <w:p>
            <w:pPr>
              <w:spacing w:after="0"/>
              <w:rPr>
                <w:sz w:val="1"/>
                <w:szCs w:val="1"/>
                <w:color w:val="auto"/>
              </w:rPr>
            </w:pPr>
          </w:p>
        </w:tc>
      </w:tr>
      <w:tr>
        <w:trPr>
          <w:trHeight w:val="250"/>
        </w:trPr>
        <w:tc>
          <w:tcPr>
            <w:tcW w:w="2740" w:type="dxa"/>
            <w:vAlign w:val="bottom"/>
            <w:tcBorders>
              <w:top w:val="single" w:sz="8" w:color="70AD47"/>
              <w:right w:val="single" w:sz="8" w:color="70AD47"/>
            </w:tcBorders>
          </w:tcPr>
          <w:p>
            <w:pPr>
              <w:spacing w:after="0"/>
              <w:rPr>
                <w:sz w:val="20"/>
                <w:szCs w:val="20"/>
                <w:color w:val="auto"/>
              </w:rPr>
            </w:pPr>
            <w:r>
              <w:rPr>
                <w:rFonts w:ascii="Arial" w:cs="Arial" w:eastAsia="Arial" w:hAnsi="Arial"/>
                <w:sz w:val="14"/>
                <w:szCs w:val="14"/>
                <w:b w:val="1"/>
                <w:bCs w:val="1"/>
                <w:color w:val="auto"/>
              </w:rPr>
              <w:t>Gross profit</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€19,066</w:t>
            </w:r>
          </w:p>
        </w:tc>
        <w:tc>
          <w:tcPr>
            <w:tcW w:w="104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€7,670</w:t>
            </w:r>
          </w:p>
        </w:tc>
        <w:tc>
          <w:tcPr>
            <w:tcW w:w="10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€27,358</w:t>
            </w:r>
          </w:p>
        </w:tc>
        <w:tc>
          <w:tcPr>
            <w:tcW w:w="10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€4,897</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€58,991</w:t>
            </w:r>
          </w:p>
        </w:tc>
        <w:tc>
          <w:tcPr>
            <w:tcW w:w="108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4"/>
                <w:szCs w:val="14"/>
                <w:b w:val="1"/>
                <w:bCs w:val="1"/>
                <w:color w:val="auto"/>
              </w:rPr>
              <w:t>€(1,070)</w:t>
            </w:r>
          </w:p>
        </w:tc>
        <w:tc>
          <w:tcPr>
            <w:tcW w:w="106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4"/>
                <w:szCs w:val="14"/>
                <w:b w:val="1"/>
                <w:bCs w:val="1"/>
                <w:color w:val="auto"/>
              </w:rPr>
              <w:t>€57,921</w:t>
            </w:r>
          </w:p>
        </w:tc>
        <w:tc>
          <w:tcPr>
            <w:tcW w:w="0" w:type="dxa"/>
            <w:vAlign w:val="bottom"/>
          </w:tcPr>
          <w:p>
            <w:pPr>
              <w:spacing w:after="0"/>
              <w:rPr>
                <w:sz w:val="1"/>
                <w:szCs w:val="1"/>
                <w:color w:val="auto"/>
              </w:rPr>
            </w:pPr>
          </w:p>
        </w:tc>
      </w:tr>
      <w:tr>
        <w:trPr>
          <w:trHeight w:val="211"/>
        </w:trPr>
        <w:tc>
          <w:tcPr>
            <w:tcW w:w="2740" w:type="dxa"/>
            <w:vAlign w:val="bottom"/>
            <w:tcBorders>
              <w:top w:val="single" w:sz="8" w:color="70AD47"/>
              <w:right w:val="single" w:sz="8" w:color="70AD47"/>
            </w:tcBorders>
          </w:tcPr>
          <w:p>
            <w:pPr>
              <w:ind w:left="140"/>
              <w:spacing w:after="0"/>
              <w:rPr>
                <w:sz w:val="20"/>
                <w:szCs w:val="20"/>
                <w:color w:val="auto"/>
              </w:rPr>
            </w:pPr>
            <w:r>
              <w:rPr>
                <w:rFonts w:ascii="Arial" w:cs="Arial" w:eastAsia="Arial" w:hAnsi="Arial"/>
                <w:sz w:val="14"/>
                <w:szCs w:val="14"/>
                <w:b w:val="1"/>
                <w:bCs w:val="1"/>
                <w:color w:val="auto"/>
              </w:rPr>
              <w:t>Income / Expenses</w:t>
            </w:r>
          </w:p>
        </w:tc>
        <w:tc>
          <w:tcPr>
            <w:tcW w:w="1060" w:type="dxa"/>
            <w:vAlign w:val="bottom"/>
            <w:tcBorders>
              <w:top w:val="single" w:sz="8" w:color="70AD47"/>
              <w:right w:val="single" w:sz="8" w:color="70AD47"/>
            </w:tcBorders>
            <w:shd w:val="clear" w:color="auto" w:fill="C6E0B4"/>
          </w:tcPr>
          <w:p>
            <w:pPr>
              <w:spacing w:after="0"/>
              <w:rPr>
                <w:sz w:val="18"/>
                <w:szCs w:val="18"/>
                <w:color w:val="auto"/>
              </w:rPr>
            </w:pPr>
          </w:p>
        </w:tc>
        <w:tc>
          <w:tcPr>
            <w:tcW w:w="1040" w:type="dxa"/>
            <w:vAlign w:val="bottom"/>
            <w:tcBorders>
              <w:top w:val="single" w:sz="8" w:color="70AD47"/>
              <w:right w:val="single" w:sz="8" w:color="70AD47"/>
            </w:tcBorders>
            <w:shd w:val="clear" w:color="auto" w:fill="C6E0B4"/>
          </w:tcPr>
          <w:p>
            <w:pPr>
              <w:spacing w:after="0"/>
              <w:rPr>
                <w:sz w:val="18"/>
                <w:szCs w:val="18"/>
                <w:color w:val="auto"/>
              </w:rPr>
            </w:pPr>
          </w:p>
        </w:tc>
        <w:tc>
          <w:tcPr>
            <w:tcW w:w="1080" w:type="dxa"/>
            <w:vAlign w:val="bottom"/>
            <w:tcBorders>
              <w:top w:val="single" w:sz="8" w:color="70AD47"/>
              <w:right w:val="single" w:sz="8" w:color="70AD47"/>
            </w:tcBorders>
            <w:shd w:val="clear" w:color="auto" w:fill="C6E0B4"/>
          </w:tcPr>
          <w:p>
            <w:pPr>
              <w:spacing w:after="0"/>
              <w:rPr>
                <w:sz w:val="18"/>
                <w:szCs w:val="18"/>
                <w:color w:val="auto"/>
              </w:rPr>
            </w:pPr>
          </w:p>
        </w:tc>
        <w:tc>
          <w:tcPr>
            <w:tcW w:w="1080" w:type="dxa"/>
            <w:vAlign w:val="bottom"/>
            <w:tcBorders>
              <w:top w:val="single" w:sz="8" w:color="70AD47"/>
              <w:right w:val="single" w:sz="8" w:color="70AD47"/>
            </w:tcBorders>
            <w:shd w:val="clear" w:color="auto" w:fill="C6E0B4"/>
          </w:tcPr>
          <w:p>
            <w:pPr>
              <w:spacing w:after="0"/>
              <w:rPr>
                <w:sz w:val="18"/>
                <w:szCs w:val="18"/>
                <w:color w:val="auto"/>
              </w:rPr>
            </w:pPr>
          </w:p>
        </w:tc>
        <w:tc>
          <w:tcPr>
            <w:tcW w:w="1060" w:type="dxa"/>
            <w:vAlign w:val="bottom"/>
            <w:tcBorders>
              <w:top w:val="single" w:sz="8" w:color="70AD47"/>
              <w:right w:val="single" w:sz="8" w:color="70AD47"/>
            </w:tcBorders>
            <w:shd w:val="clear" w:color="auto" w:fill="C6E0B4"/>
          </w:tcPr>
          <w:p>
            <w:pPr>
              <w:spacing w:after="0"/>
              <w:rPr>
                <w:sz w:val="18"/>
                <w:szCs w:val="18"/>
                <w:color w:val="auto"/>
              </w:rPr>
            </w:pPr>
          </w:p>
        </w:tc>
        <w:tc>
          <w:tcPr>
            <w:tcW w:w="1060" w:type="dxa"/>
            <w:vAlign w:val="bottom"/>
            <w:tcBorders>
              <w:top w:val="single" w:sz="8" w:color="70AD47"/>
              <w:right w:val="single" w:sz="8" w:color="70AD47"/>
            </w:tcBorders>
            <w:shd w:val="clear" w:color="auto" w:fill="C6E0B4"/>
          </w:tcPr>
          <w:p>
            <w:pPr>
              <w:spacing w:after="0"/>
              <w:rPr>
                <w:sz w:val="18"/>
                <w:szCs w:val="18"/>
                <w:color w:val="auto"/>
              </w:rPr>
            </w:pPr>
          </w:p>
        </w:tc>
        <w:tc>
          <w:tcPr>
            <w:tcW w:w="1080" w:type="dxa"/>
            <w:vAlign w:val="bottom"/>
            <w:tcBorders>
              <w:top w:val="single" w:sz="8" w:color="70AD47"/>
              <w:right w:val="single" w:sz="8" w:color="70AD47"/>
            </w:tcBorders>
          </w:tcPr>
          <w:p>
            <w:pPr>
              <w:spacing w:after="0"/>
              <w:rPr>
                <w:sz w:val="18"/>
                <w:szCs w:val="18"/>
                <w:color w:val="auto"/>
              </w:rPr>
            </w:pPr>
          </w:p>
        </w:tc>
        <w:tc>
          <w:tcPr>
            <w:tcW w:w="1060" w:type="dxa"/>
            <w:vAlign w:val="bottom"/>
            <w:tcBorders>
              <w:top w:val="single" w:sz="8" w:color="70AD47"/>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Research and development expenses</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(58,444)</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(62,704)</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(36,855)</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(3,070)</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(308)</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(161,381)</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1,070</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(160,311)</w:t>
            </w:r>
          </w:p>
        </w:tc>
        <w:tc>
          <w:tcPr>
            <w:tcW w:w="0" w:type="dxa"/>
            <w:vAlign w:val="bottom"/>
          </w:tcPr>
          <w:p>
            <w:pPr>
              <w:spacing w:after="0"/>
              <w:rPr>
                <w:sz w:val="1"/>
                <w:szCs w:val="1"/>
                <w:color w:val="auto"/>
              </w:rPr>
            </w:pPr>
          </w:p>
        </w:tc>
      </w:tr>
      <w:tr>
        <w:trPr>
          <w:trHeight w:val="257"/>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Sales and marketing expenses</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(2,623)</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(917)</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(3,540)</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(3,540)</w:t>
            </w:r>
          </w:p>
        </w:tc>
        <w:tc>
          <w:tcPr>
            <w:tcW w:w="0" w:type="dxa"/>
            <w:vAlign w:val="bottom"/>
          </w:tcPr>
          <w:p>
            <w:pPr>
              <w:spacing w:after="0"/>
              <w:rPr>
                <w:sz w:val="1"/>
                <w:szCs w:val="1"/>
                <w:color w:val="auto"/>
              </w:rPr>
            </w:pPr>
          </w:p>
        </w:tc>
      </w:tr>
      <w:tr>
        <w:trPr>
          <w:trHeight w:val="257"/>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General and administrative expenses</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(5)</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(2,176)</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(30,974)</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(1,473)</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(34,628)</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(34,628)</w:t>
            </w:r>
          </w:p>
        </w:tc>
        <w:tc>
          <w:tcPr>
            <w:tcW w:w="0" w:type="dxa"/>
            <w:vAlign w:val="bottom"/>
          </w:tcPr>
          <w:p>
            <w:pPr>
              <w:spacing w:after="0"/>
              <w:rPr>
                <w:sz w:val="1"/>
                <w:szCs w:val="1"/>
                <w:color w:val="auto"/>
              </w:rPr>
            </w:pPr>
          </w:p>
        </w:tc>
      </w:tr>
      <w:tr>
        <w:trPr>
          <w:trHeight w:val="296"/>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Other result</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(15)</w:t>
            </w:r>
          </w:p>
        </w:tc>
        <w:tc>
          <w:tcPr>
            <w:tcW w:w="10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68</w:t>
            </w:r>
          </w:p>
        </w:tc>
        <w:tc>
          <w:tcPr>
            <w:tcW w:w="10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42</w:t>
            </w:r>
          </w:p>
        </w:tc>
        <w:tc>
          <w:tcPr>
            <w:tcW w:w="10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230</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14</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339</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250"/>
        </w:trPr>
        <w:tc>
          <w:tcPr>
            <w:tcW w:w="2740" w:type="dxa"/>
            <w:vAlign w:val="bottom"/>
            <w:tcBorders>
              <w:top w:val="single" w:sz="8" w:color="70AD47"/>
              <w:right w:val="single" w:sz="8" w:color="70AD47"/>
            </w:tcBorders>
          </w:tcPr>
          <w:p>
            <w:pPr>
              <w:spacing w:after="0"/>
              <w:rPr>
                <w:sz w:val="20"/>
                <w:szCs w:val="20"/>
                <w:color w:val="auto"/>
              </w:rPr>
            </w:pPr>
            <w:r>
              <w:rPr>
                <w:rFonts w:ascii="Arial" w:cs="Arial" w:eastAsia="Arial" w:hAnsi="Arial"/>
                <w:sz w:val="14"/>
                <w:szCs w:val="14"/>
                <w:b w:val="1"/>
                <w:bCs w:val="1"/>
                <w:color w:val="auto"/>
              </w:rPr>
              <w:t>Segment operating income / (loss)</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€(39,393)</w:t>
            </w:r>
          </w:p>
        </w:tc>
        <w:tc>
          <w:tcPr>
            <w:tcW w:w="104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€(54,971)</w:t>
            </w:r>
          </w:p>
        </w:tc>
        <w:tc>
          <w:tcPr>
            <w:tcW w:w="10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€(11,631)</w:t>
            </w:r>
          </w:p>
        </w:tc>
        <w:tc>
          <w:tcPr>
            <w:tcW w:w="10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€(36,437)</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€2,213</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€(140,219)</w:t>
            </w:r>
          </w:p>
        </w:tc>
        <w:tc>
          <w:tcPr>
            <w:tcW w:w="108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4"/>
                <w:szCs w:val="14"/>
                <w:b w:val="1"/>
                <w:bCs w:val="1"/>
                <w:color w:val="auto"/>
              </w:rPr>
              <w:t>€(140,219)</w:t>
            </w:r>
          </w:p>
        </w:tc>
        <w:tc>
          <w:tcPr>
            <w:tcW w:w="0" w:type="dxa"/>
            <w:vAlign w:val="bottom"/>
          </w:tcPr>
          <w:p>
            <w:pPr>
              <w:spacing w:after="0"/>
              <w:rPr>
                <w:sz w:val="1"/>
                <w:szCs w:val="1"/>
                <w:color w:val="auto"/>
              </w:rPr>
            </w:pPr>
          </w:p>
        </w:tc>
      </w:tr>
      <w:tr>
        <w:trPr>
          <w:trHeight w:val="236"/>
        </w:trPr>
        <w:tc>
          <w:tcPr>
            <w:tcW w:w="2740" w:type="dxa"/>
            <w:vAlign w:val="bottom"/>
            <w:tcBorders>
              <w:top w:val="single" w:sz="8" w:color="70AD47"/>
            </w:tcBorders>
          </w:tcPr>
          <w:p>
            <w:pPr>
              <w:spacing w:after="0"/>
              <w:rPr>
                <w:sz w:val="20"/>
                <w:szCs w:val="20"/>
                <w:color w:val="auto"/>
              </w:rPr>
            </w:pPr>
          </w:p>
        </w:tc>
        <w:tc>
          <w:tcPr>
            <w:tcW w:w="1060" w:type="dxa"/>
            <w:vAlign w:val="bottom"/>
            <w:tcBorders>
              <w:top w:val="single" w:sz="8" w:color="70AD47"/>
              <w:bottom w:val="single" w:sz="8" w:color="70AD47"/>
            </w:tcBorders>
          </w:tcPr>
          <w:p>
            <w:pPr>
              <w:spacing w:after="0"/>
              <w:rPr>
                <w:sz w:val="20"/>
                <w:szCs w:val="20"/>
                <w:color w:val="auto"/>
              </w:rPr>
            </w:pPr>
          </w:p>
        </w:tc>
        <w:tc>
          <w:tcPr>
            <w:tcW w:w="1040" w:type="dxa"/>
            <w:vAlign w:val="bottom"/>
            <w:tcBorders>
              <w:top w:val="single" w:sz="8" w:color="70AD47"/>
              <w:bottom w:val="single" w:sz="8" w:color="70AD47"/>
            </w:tcBorders>
          </w:tcPr>
          <w:p>
            <w:pPr>
              <w:spacing w:after="0"/>
              <w:rPr>
                <w:sz w:val="20"/>
                <w:szCs w:val="20"/>
                <w:color w:val="auto"/>
              </w:rPr>
            </w:pPr>
          </w:p>
        </w:tc>
        <w:tc>
          <w:tcPr>
            <w:tcW w:w="1080" w:type="dxa"/>
            <w:vAlign w:val="bottom"/>
            <w:tcBorders>
              <w:top w:val="single" w:sz="8" w:color="70AD47"/>
              <w:bottom w:val="single" w:sz="8" w:color="70AD47"/>
            </w:tcBorders>
          </w:tcPr>
          <w:p>
            <w:pPr>
              <w:spacing w:after="0"/>
              <w:rPr>
                <w:sz w:val="20"/>
                <w:szCs w:val="20"/>
                <w:color w:val="auto"/>
              </w:rPr>
            </w:pPr>
          </w:p>
        </w:tc>
        <w:tc>
          <w:tcPr>
            <w:tcW w:w="1080" w:type="dxa"/>
            <w:vAlign w:val="bottom"/>
            <w:tcBorders>
              <w:top w:val="single" w:sz="8" w:color="70AD47"/>
              <w:bottom w:val="single" w:sz="8" w:color="70AD47"/>
            </w:tcBorders>
          </w:tcPr>
          <w:p>
            <w:pPr>
              <w:spacing w:after="0"/>
              <w:rPr>
                <w:sz w:val="20"/>
                <w:szCs w:val="20"/>
                <w:color w:val="auto"/>
              </w:rPr>
            </w:pPr>
          </w:p>
        </w:tc>
        <w:tc>
          <w:tcPr>
            <w:tcW w:w="1060" w:type="dxa"/>
            <w:vAlign w:val="bottom"/>
            <w:tcBorders>
              <w:top w:val="single" w:sz="8" w:color="70AD47"/>
              <w:bottom w:val="single" w:sz="8" w:color="70AD47"/>
            </w:tcBorders>
          </w:tcPr>
          <w:p>
            <w:pPr>
              <w:spacing w:after="0"/>
              <w:rPr>
                <w:sz w:val="20"/>
                <w:szCs w:val="20"/>
                <w:color w:val="auto"/>
              </w:rPr>
            </w:pPr>
          </w:p>
        </w:tc>
        <w:tc>
          <w:tcPr>
            <w:tcW w:w="1060" w:type="dxa"/>
            <w:vAlign w:val="bottom"/>
            <w:tcBorders>
              <w:top w:val="single" w:sz="8" w:color="70AD47"/>
            </w:tcBorders>
          </w:tcPr>
          <w:p>
            <w:pPr>
              <w:spacing w:after="0"/>
              <w:rPr>
                <w:sz w:val="20"/>
                <w:szCs w:val="20"/>
                <w:color w:val="auto"/>
              </w:rPr>
            </w:pPr>
          </w:p>
        </w:tc>
        <w:tc>
          <w:tcPr>
            <w:tcW w:w="1080" w:type="dxa"/>
            <w:vAlign w:val="bottom"/>
            <w:tcBorders>
              <w:top w:val="single" w:sz="8" w:color="70AD47"/>
            </w:tcBorders>
          </w:tcPr>
          <w:p>
            <w:pPr>
              <w:spacing w:after="0"/>
              <w:rPr>
                <w:sz w:val="20"/>
                <w:szCs w:val="20"/>
                <w:color w:val="auto"/>
              </w:rPr>
            </w:pPr>
          </w:p>
        </w:tc>
        <w:tc>
          <w:tcPr>
            <w:tcW w:w="1060" w:type="dxa"/>
            <w:vAlign w:val="bottom"/>
            <w:tcBorders>
              <w:top w:val="single" w:sz="8" w:color="70AD47"/>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740" w:type="dxa"/>
            <w:vAlign w:val="bottom"/>
            <w:tcBorders>
              <w:right w:val="single" w:sz="8" w:color="70AD47"/>
            </w:tcBorders>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Borders>
              <w:right w:val="single" w:sz="8" w:color="70AD47"/>
            </w:tcBorders>
          </w:tcPr>
          <w:p>
            <w:pPr>
              <w:spacing w:after="0"/>
              <w:rPr>
                <w:sz w:val="11"/>
                <w:szCs w:val="11"/>
                <w:color w:val="auto"/>
              </w:rPr>
            </w:pPr>
          </w:p>
        </w:tc>
        <w:tc>
          <w:tcPr>
            <w:tcW w:w="1060" w:type="dxa"/>
            <w:vAlign w:val="bottom"/>
            <w:tcBorders>
              <w:right w:val="single" w:sz="8" w:color="70AD47"/>
            </w:tcBorders>
          </w:tcPr>
          <w:p>
            <w:pPr>
              <w:jc w:val="center"/>
              <w:ind w:right="8"/>
              <w:spacing w:after="0" w:line="133" w:lineRule="exact"/>
              <w:rPr>
                <w:sz w:val="20"/>
                <w:szCs w:val="20"/>
                <w:color w:val="auto"/>
              </w:rPr>
            </w:pPr>
            <w:r>
              <w:rPr>
                <w:rFonts w:ascii="Arial" w:cs="Arial" w:eastAsia="Arial" w:hAnsi="Arial"/>
                <w:sz w:val="14"/>
                <w:szCs w:val="14"/>
                <w:b w:val="1"/>
                <w:bCs w:val="1"/>
                <w:color w:val="auto"/>
                <w:w w:val="97"/>
              </w:rPr>
              <w:t>External</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40" w:type="dxa"/>
            <w:vAlign w:val="bottom"/>
            <w:tcBorders>
              <w:right w:val="single" w:sz="8" w:color="70AD47"/>
            </w:tcBorders>
          </w:tcPr>
          <w:p>
            <w:pPr>
              <w:spacing w:after="0"/>
              <w:rPr>
                <w:sz w:val="12"/>
                <w:szCs w:val="12"/>
                <w:color w:val="auto"/>
              </w:rPr>
            </w:pPr>
          </w:p>
        </w:tc>
        <w:tc>
          <w:tcPr>
            <w:tcW w:w="1060" w:type="dxa"/>
            <w:vAlign w:val="bottom"/>
          </w:tcPr>
          <w:p>
            <w:pPr>
              <w:spacing w:after="0"/>
              <w:rPr>
                <w:sz w:val="12"/>
                <w:szCs w:val="12"/>
                <w:color w:val="auto"/>
              </w:rPr>
            </w:pPr>
          </w:p>
        </w:tc>
        <w:tc>
          <w:tcPr>
            <w:tcW w:w="2120" w:type="dxa"/>
            <w:vAlign w:val="bottom"/>
            <w:gridSpan w:val="2"/>
            <w:vMerge w:val="restart"/>
          </w:tcPr>
          <w:p>
            <w:pPr>
              <w:jc w:val="right"/>
              <w:ind w:right="328"/>
              <w:spacing w:after="0"/>
              <w:rPr>
                <w:sz w:val="20"/>
                <w:szCs w:val="20"/>
                <w:color w:val="auto"/>
              </w:rPr>
            </w:pPr>
            <w:r>
              <w:rPr>
                <w:rFonts w:ascii="Arial" w:cs="Arial" w:eastAsia="Arial" w:hAnsi="Arial"/>
                <w:sz w:val="14"/>
                <w:szCs w:val="14"/>
                <w:b w:val="1"/>
                <w:bCs w:val="1"/>
                <w:color w:val="auto"/>
              </w:rPr>
              <w:t>Biotech Business Unit</w:t>
            </w:r>
          </w:p>
        </w:tc>
        <w:tc>
          <w:tcPr>
            <w:tcW w:w="1080" w:type="dxa"/>
            <w:vAlign w:val="bottom"/>
            <w:tcBorders>
              <w:right w:val="single" w:sz="8" w:color="70AD47"/>
            </w:tcBorders>
          </w:tcPr>
          <w:p>
            <w:pPr>
              <w:spacing w:after="0"/>
              <w:rPr>
                <w:sz w:val="12"/>
                <w:szCs w:val="12"/>
                <w:color w:val="auto"/>
              </w:rPr>
            </w:pPr>
          </w:p>
        </w:tc>
        <w:tc>
          <w:tcPr>
            <w:tcW w:w="1060" w:type="dxa"/>
            <w:vAlign w:val="bottom"/>
            <w:tcBorders>
              <w:right w:val="single" w:sz="8" w:color="70AD47"/>
            </w:tcBorders>
          </w:tcPr>
          <w:p>
            <w:pPr>
              <w:jc w:val="center"/>
              <w:spacing w:after="0" w:line="149" w:lineRule="exact"/>
              <w:rPr>
                <w:sz w:val="20"/>
                <w:szCs w:val="20"/>
                <w:color w:val="auto"/>
              </w:rPr>
            </w:pPr>
            <w:r>
              <w:rPr>
                <w:rFonts w:ascii="Arial" w:cs="Arial" w:eastAsia="Arial" w:hAnsi="Arial"/>
                <w:sz w:val="14"/>
                <w:szCs w:val="14"/>
                <w:b w:val="1"/>
                <w:bCs w:val="1"/>
                <w:color w:val="auto"/>
                <w:w w:val="86"/>
              </w:rPr>
              <w:t>Services</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740" w:type="dxa"/>
            <w:vAlign w:val="bottom"/>
            <w:tcBorders>
              <w:right w:val="single" w:sz="8" w:color="70AD47"/>
            </w:tcBorders>
          </w:tcPr>
          <w:p>
            <w:pPr>
              <w:spacing w:after="0"/>
              <w:rPr>
                <w:sz w:val="9"/>
                <w:szCs w:val="9"/>
                <w:color w:val="auto"/>
              </w:rPr>
            </w:pPr>
          </w:p>
        </w:tc>
        <w:tc>
          <w:tcPr>
            <w:tcW w:w="106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1080" w:type="dxa"/>
            <w:vAlign w:val="bottom"/>
            <w:tcBorders>
              <w:right w:val="single" w:sz="8" w:color="70AD47"/>
            </w:tcBorders>
          </w:tcPr>
          <w:p>
            <w:pPr>
              <w:spacing w:after="0"/>
              <w:rPr>
                <w:sz w:val="9"/>
                <w:szCs w:val="9"/>
                <w:color w:val="auto"/>
              </w:rPr>
            </w:pPr>
          </w:p>
        </w:tc>
        <w:tc>
          <w:tcPr>
            <w:tcW w:w="1060" w:type="dxa"/>
            <w:vAlign w:val="bottom"/>
            <w:tcBorders>
              <w:right w:val="single" w:sz="8" w:color="70AD47"/>
            </w:tcBorders>
            <w:vMerge w:val="restart"/>
          </w:tcPr>
          <w:p>
            <w:pPr>
              <w:jc w:val="center"/>
              <w:ind w:right="8"/>
              <w:spacing w:after="0" w:line="149" w:lineRule="exact"/>
              <w:rPr>
                <w:sz w:val="20"/>
                <w:szCs w:val="20"/>
                <w:color w:val="auto"/>
              </w:rPr>
            </w:pPr>
            <w:r>
              <w:rPr>
                <w:rFonts w:ascii="Arial" w:cs="Arial" w:eastAsia="Arial" w:hAnsi="Arial"/>
                <w:sz w:val="14"/>
                <w:szCs w:val="14"/>
                <w:b w:val="1"/>
                <w:bCs w:val="1"/>
                <w:color w:val="auto"/>
                <w:w w:val="86"/>
              </w:rPr>
              <w:t>Business</w:t>
            </w: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740" w:type="dxa"/>
            <w:vAlign w:val="bottom"/>
            <w:tcBorders>
              <w:right w:val="single" w:sz="8" w:color="70AD47"/>
            </w:tcBorders>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Borders>
              <w:right w:val="single" w:sz="8" w:color="70AD47"/>
            </w:tcBorders>
          </w:tcPr>
          <w:p>
            <w:pPr>
              <w:spacing w:after="0"/>
              <w:rPr>
                <w:sz w:val="3"/>
                <w:szCs w:val="3"/>
                <w:color w:val="auto"/>
              </w:rPr>
            </w:pPr>
          </w:p>
        </w:tc>
        <w:tc>
          <w:tcPr>
            <w:tcW w:w="1060" w:type="dxa"/>
            <w:vAlign w:val="bottom"/>
            <w:tcBorders>
              <w:right w:val="single" w:sz="8" w:color="70AD47"/>
            </w:tcBorders>
            <w:vMerge w:val="continue"/>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740" w:type="dxa"/>
            <w:vAlign w:val="bottom"/>
            <w:tcBorders>
              <w:bottom w:val="single" w:sz="8" w:color="70AD47"/>
              <w:right w:val="single" w:sz="8" w:color="70AD47"/>
            </w:tcBorders>
          </w:tcPr>
          <w:p>
            <w:pPr>
              <w:spacing w:after="0"/>
              <w:rPr>
                <w:sz w:val="14"/>
                <w:szCs w:val="14"/>
                <w:color w:val="auto"/>
              </w:rPr>
            </w:pPr>
          </w:p>
        </w:tc>
        <w:tc>
          <w:tcPr>
            <w:tcW w:w="1060" w:type="dxa"/>
            <w:vAlign w:val="bottom"/>
            <w:tcBorders>
              <w:bottom w:val="single" w:sz="8" w:color="70AD47"/>
            </w:tcBorders>
          </w:tcPr>
          <w:p>
            <w:pPr>
              <w:spacing w:after="0"/>
              <w:rPr>
                <w:sz w:val="14"/>
                <w:szCs w:val="14"/>
                <w:color w:val="auto"/>
              </w:rPr>
            </w:pPr>
          </w:p>
        </w:tc>
        <w:tc>
          <w:tcPr>
            <w:tcW w:w="1040" w:type="dxa"/>
            <w:vAlign w:val="bottom"/>
            <w:tcBorders>
              <w:bottom w:val="single" w:sz="8" w:color="70AD47"/>
            </w:tcBorders>
          </w:tcPr>
          <w:p>
            <w:pPr>
              <w:spacing w:after="0"/>
              <w:rPr>
                <w:sz w:val="14"/>
                <w:szCs w:val="14"/>
                <w:color w:val="auto"/>
              </w:rPr>
            </w:pPr>
          </w:p>
        </w:tc>
        <w:tc>
          <w:tcPr>
            <w:tcW w:w="1080" w:type="dxa"/>
            <w:vAlign w:val="bottom"/>
            <w:tcBorders>
              <w:bottom w:val="single" w:sz="8" w:color="70AD47"/>
            </w:tcBorders>
          </w:tcPr>
          <w:p>
            <w:pPr>
              <w:spacing w:after="0"/>
              <w:rPr>
                <w:sz w:val="14"/>
                <w:szCs w:val="14"/>
                <w:color w:val="auto"/>
              </w:rPr>
            </w:pPr>
          </w:p>
        </w:tc>
        <w:tc>
          <w:tcPr>
            <w:tcW w:w="1080" w:type="dxa"/>
            <w:vAlign w:val="bottom"/>
            <w:tcBorders>
              <w:bottom w:val="single" w:sz="8" w:color="70AD47"/>
              <w:right w:val="single" w:sz="8" w:color="70AD47"/>
            </w:tcBorders>
          </w:tcPr>
          <w:p>
            <w:pPr>
              <w:spacing w:after="0"/>
              <w:rPr>
                <w:sz w:val="14"/>
                <w:szCs w:val="14"/>
                <w:color w:val="auto"/>
              </w:rPr>
            </w:pPr>
          </w:p>
        </w:tc>
        <w:tc>
          <w:tcPr>
            <w:tcW w:w="106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14"/>
                <w:szCs w:val="14"/>
                <w:b w:val="1"/>
                <w:bCs w:val="1"/>
                <w:color w:val="auto"/>
                <w:w w:val="95"/>
              </w:rPr>
              <w:t>Unit</w:t>
            </w:r>
          </w:p>
        </w:tc>
        <w:tc>
          <w:tcPr>
            <w:tcW w:w="1060" w:type="dxa"/>
            <w:vAlign w:val="bottom"/>
            <w:tcBorders>
              <w:bottom w:val="single" w:sz="8" w:color="70AD47"/>
            </w:tcBorders>
          </w:tcPr>
          <w:p>
            <w:pPr>
              <w:spacing w:after="0"/>
              <w:rPr>
                <w:sz w:val="14"/>
                <w:szCs w:val="14"/>
                <w:color w:val="auto"/>
              </w:rPr>
            </w:pPr>
          </w:p>
        </w:tc>
        <w:tc>
          <w:tcPr>
            <w:tcW w:w="1080" w:type="dxa"/>
            <w:vAlign w:val="bottom"/>
            <w:tcBorders>
              <w:bottom w:val="single" w:sz="8" w:color="70AD47"/>
            </w:tcBorders>
          </w:tcPr>
          <w:p>
            <w:pPr>
              <w:spacing w:after="0"/>
              <w:rPr>
                <w:sz w:val="14"/>
                <w:szCs w:val="14"/>
                <w:color w:val="auto"/>
              </w:rPr>
            </w:pPr>
          </w:p>
        </w:tc>
        <w:tc>
          <w:tcPr>
            <w:tcW w:w="1060" w:type="dxa"/>
            <w:vAlign w:val="bottom"/>
            <w:tcBorders>
              <w:bottom w:val="single" w:sz="8" w:color="70AD47"/>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40" w:type="dxa"/>
            <w:vAlign w:val="bottom"/>
            <w:tcBorders>
              <w:right w:val="single" w:sz="8" w:color="70AD47"/>
            </w:tcBorders>
          </w:tcPr>
          <w:p>
            <w:pPr>
              <w:spacing w:after="0"/>
              <w:rPr>
                <w:sz w:val="11"/>
                <w:szCs w:val="11"/>
                <w:color w:val="auto"/>
              </w:rPr>
            </w:pPr>
          </w:p>
        </w:tc>
        <w:tc>
          <w:tcPr>
            <w:tcW w:w="1060" w:type="dxa"/>
            <w:vAlign w:val="bottom"/>
            <w:tcBorders>
              <w:right w:val="single" w:sz="8" w:color="70AD47"/>
            </w:tcBorders>
          </w:tcPr>
          <w:p>
            <w:pPr>
              <w:spacing w:after="0"/>
              <w:rPr>
                <w:sz w:val="11"/>
                <w:szCs w:val="11"/>
                <w:color w:val="auto"/>
              </w:rPr>
            </w:pPr>
          </w:p>
        </w:tc>
        <w:tc>
          <w:tcPr>
            <w:tcW w:w="104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14"/>
                <w:szCs w:val="14"/>
                <w:b w:val="1"/>
                <w:bCs w:val="1"/>
                <w:color w:val="auto"/>
                <w:w w:val="89"/>
              </w:rPr>
              <w:t>Technology</w:t>
            </w:r>
          </w:p>
        </w:tc>
        <w:tc>
          <w:tcPr>
            <w:tcW w:w="1080" w:type="dxa"/>
            <w:vAlign w:val="bottom"/>
            <w:tcBorders>
              <w:right w:val="single" w:sz="8" w:color="70AD47"/>
            </w:tcBorders>
          </w:tcPr>
          <w:p>
            <w:pPr>
              <w:spacing w:after="0"/>
              <w:rPr>
                <w:sz w:val="11"/>
                <w:szCs w:val="11"/>
                <w:color w:val="auto"/>
              </w:rPr>
            </w:pPr>
          </w:p>
        </w:tc>
        <w:tc>
          <w:tcPr>
            <w:tcW w:w="1080" w:type="dxa"/>
            <w:vAlign w:val="bottom"/>
            <w:tcBorders>
              <w:right w:val="single" w:sz="8" w:color="70AD47"/>
            </w:tcBorders>
          </w:tcPr>
          <w:p>
            <w:pPr>
              <w:spacing w:after="0"/>
              <w:rPr>
                <w:sz w:val="11"/>
                <w:szCs w:val="11"/>
                <w:color w:val="auto"/>
              </w:rPr>
            </w:pPr>
          </w:p>
        </w:tc>
        <w:tc>
          <w:tcPr>
            <w:tcW w:w="1060" w:type="dxa"/>
            <w:vAlign w:val="bottom"/>
            <w:tcBorders>
              <w:right w:val="single" w:sz="8" w:color="70AD47"/>
            </w:tcBorders>
          </w:tcPr>
          <w:p>
            <w:pPr>
              <w:jc w:val="center"/>
              <w:ind w:right="8"/>
              <w:spacing w:after="0" w:line="133" w:lineRule="exact"/>
              <w:rPr>
                <w:sz w:val="20"/>
                <w:szCs w:val="20"/>
                <w:color w:val="auto"/>
              </w:rPr>
            </w:pPr>
            <w:r>
              <w:rPr>
                <w:rFonts w:ascii="Arial" w:cs="Arial" w:eastAsia="Arial" w:hAnsi="Arial"/>
                <w:sz w:val="14"/>
                <w:szCs w:val="14"/>
                <w:b w:val="1"/>
                <w:bCs w:val="1"/>
                <w:color w:val="auto"/>
                <w:w w:val="94"/>
              </w:rPr>
              <w:t>Product</w:t>
            </w:r>
          </w:p>
        </w:tc>
        <w:tc>
          <w:tcPr>
            <w:tcW w:w="1060" w:type="dxa"/>
            <w:vAlign w:val="bottom"/>
            <w:tcBorders>
              <w:right w:val="single" w:sz="8" w:color="70AD47"/>
            </w:tcBorders>
          </w:tcPr>
          <w:p>
            <w:pPr>
              <w:spacing w:after="0"/>
              <w:rPr>
                <w:sz w:val="11"/>
                <w:szCs w:val="11"/>
                <w:color w:val="auto"/>
              </w:rPr>
            </w:pPr>
          </w:p>
        </w:tc>
        <w:tc>
          <w:tcPr>
            <w:tcW w:w="1080" w:type="dxa"/>
            <w:vAlign w:val="bottom"/>
            <w:tcBorders>
              <w:right w:val="single" w:sz="8" w:color="70AD47"/>
            </w:tcBorders>
          </w:tcPr>
          <w:p>
            <w:pPr>
              <w:spacing w:after="0"/>
              <w:rPr>
                <w:sz w:val="11"/>
                <w:szCs w:val="11"/>
                <w:color w:val="auto"/>
              </w:rPr>
            </w:pPr>
          </w:p>
        </w:tc>
        <w:tc>
          <w:tcPr>
            <w:tcW w:w="1060" w:type="dxa"/>
            <w:vAlign w:val="bottom"/>
            <w:tcBorders>
              <w:right w:val="single" w:sz="8" w:color="70AD47"/>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40" w:type="dxa"/>
            <w:vAlign w:val="bottom"/>
            <w:tcBorders>
              <w:right w:val="single" w:sz="8" w:color="70AD47"/>
            </w:tcBorders>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Borders>
              <w:right w:val="single" w:sz="8" w:color="70AD47"/>
            </w:tcBorders>
            <w:vMerge w:val="restart"/>
          </w:tcPr>
          <w:p>
            <w:pPr>
              <w:jc w:val="right"/>
              <w:ind w:right="248"/>
              <w:spacing w:after="0"/>
              <w:rPr>
                <w:sz w:val="20"/>
                <w:szCs w:val="20"/>
                <w:color w:val="auto"/>
              </w:rPr>
            </w:pPr>
            <w:r>
              <w:rPr>
                <w:rFonts w:ascii="Arial" w:cs="Arial" w:eastAsia="Arial" w:hAnsi="Arial"/>
                <w:sz w:val="14"/>
                <w:szCs w:val="14"/>
                <w:b w:val="1"/>
                <w:bCs w:val="1"/>
                <w:color w:val="auto"/>
              </w:rPr>
              <w:t>Clinical</w:t>
            </w:r>
          </w:p>
        </w:tc>
        <w:tc>
          <w:tcPr>
            <w:tcW w:w="1040" w:type="dxa"/>
            <w:vAlign w:val="bottom"/>
            <w:tcBorders>
              <w:right w:val="single" w:sz="8" w:color="70AD47"/>
            </w:tcBorders>
            <w:vMerge w:val="continue"/>
          </w:tcPr>
          <w:p>
            <w:pPr>
              <w:spacing w:after="0"/>
              <w:rPr>
                <w:sz w:val="12"/>
                <w:szCs w:val="12"/>
                <w:color w:val="auto"/>
              </w:rPr>
            </w:pPr>
          </w:p>
        </w:tc>
        <w:tc>
          <w:tcPr>
            <w:tcW w:w="1080" w:type="dxa"/>
            <w:vAlign w:val="bottom"/>
            <w:tcBorders>
              <w:right w:val="single" w:sz="8" w:color="70AD47"/>
            </w:tcBorders>
            <w:vMerge w:val="restart"/>
          </w:tcPr>
          <w:p>
            <w:pPr>
              <w:jc w:val="right"/>
              <w:ind w:right="28"/>
              <w:spacing w:after="0"/>
              <w:rPr>
                <w:sz w:val="20"/>
                <w:szCs w:val="20"/>
                <w:color w:val="auto"/>
              </w:rPr>
            </w:pPr>
            <w:r>
              <w:rPr>
                <w:rFonts w:ascii="Arial" w:cs="Arial" w:eastAsia="Arial" w:hAnsi="Arial"/>
                <w:sz w:val="14"/>
                <w:szCs w:val="14"/>
                <w:b w:val="1"/>
                <w:bCs w:val="1"/>
                <w:color w:val="auto"/>
                <w:w w:val="99"/>
              </w:rPr>
              <w:t>Manufacturing</w:t>
            </w:r>
          </w:p>
        </w:tc>
        <w:tc>
          <w:tcPr>
            <w:tcW w:w="1080" w:type="dxa"/>
            <w:vAlign w:val="bottom"/>
            <w:tcBorders>
              <w:right w:val="single" w:sz="8" w:color="70AD47"/>
            </w:tcBorders>
            <w:vMerge w:val="restart"/>
          </w:tcPr>
          <w:p>
            <w:pPr>
              <w:jc w:val="right"/>
              <w:spacing w:after="0"/>
              <w:rPr>
                <w:sz w:val="20"/>
                <w:szCs w:val="20"/>
                <w:color w:val="auto"/>
              </w:rPr>
            </w:pPr>
            <w:r>
              <w:rPr>
                <w:rFonts w:ascii="Arial" w:cs="Arial" w:eastAsia="Arial" w:hAnsi="Arial"/>
                <w:sz w:val="14"/>
                <w:szCs w:val="14"/>
                <w:b w:val="1"/>
                <w:bCs w:val="1"/>
                <w:color w:val="auto"/>
                <w:w w:val="86"/>
              </w:rPr>
              <w:t>Business Service</w:t>
            </w:r>
          </w:p>
        </w:tc>
        <w:tc>
          <w:tcPr>
            <w:tcW w:w="1060" w:type="dxa"/>
            <w:vAlign w:val="bottom"/>
            <w:tcBorders>
              <w:right w:val="single" w:sz="8" w:color="70AD47"/>
            </w:tcBorders>
          </w:tcPr>
          <w:p>
            <w:pPr>
              <w:jc w:val="center"/>
              <w:spacing w:after="0" w:line="149" w:lineRule="exact"/>
              <w:rPr>
                <w:sz w:val="20"/>
                <w:szCs w:val="20"/>
                <w:color w:val="auto"/>
              </w:rPr>
            </w:pPr>
            <w:r>
              <w:rPr>
                <w:rFonts w:ascii="Arial" w:cs="Arial" w:eastAsia="Arial" w:hAnsi="Arial"/>
                <w:sz w:val="14"/>
                <w:szCs w:val="14"/>
                <w:b w:val="1"/>
                <w:bCs w:val="1"/>
                <w:color w:val="auto"/>
                <w:w w:val="90"/>
              </w:rPr>
              <w:t>Sales &amp;</w:t>
            </w:r>
          </w:p>
        </w:tc>
        <w:tc>
          <w:tcPr>
            <w:tcW w:w="1060" w:type="dxa"/>
            <w:vAlign w:val="bottom"/>
            <w:tcBorders>
              <w:right w:val="single" w:sz="8" w:color="70AD47"/>
            </w:tcBorders>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1080" w:type="dxa"/>
            <w:vAlign w:val="bottom"/>
            <w:tcBorders>
              <w:right w:val="single" w:sz="8" w:color="70AD47"/>
            </w:tcBorders>
            <w:vMerge w:val="restart"/>
          </w:tcPr>
          <w:p>
            <w:pPr>
              <w:jc w:val="right"/>
              <w:ind w:right="88"/>
              <w:spacing w:after="0"/>
              <w:rPr>
                <w:sz w:val="20"/>
                <w:szCs w:val="20"/>
                <w:color w:val="auto"/>
              </w:rPr>
            </w:pPr>
            <w:r>
              <w:rPr>
                <w:rFonts w:ascii="Arial" w:cs="Arial" w:eastAsia="Arial" w:hAnsi="Arial"/>
                <w:sz w:val="14"/>
                <w:szCs w:val="14"/>
                <w:b w:val="1"/>
                <w:bCs w:val="1"/>
                <w:color w:val="auto"/>
              </w:rPr>
              <w:t>Adjustments</w:t>
            </w:r>
          </w:p>
        </w:tc>
        <w:tc>
          <w:tcPr>
            <w:tcW w:w="1060" w:type="dxa"/>
            <w:vAlign w:val="bottom"/>
            <w:tcBorders>
              <w:right w:val="single" w:sz="8" w:color="70AD47"/>
            </w:tcBorders>
            <w:vMerge w:val="restart"/>
          </w:tcPr>
          <w:p>
            <w:pPr>
              <w:jc w:val="right"/>
              <w:ind w:right="288"/>
              <w:spacing w:after="0"/>
              <w:rPr>
                <w:sz w:val="20"/>
                <w:szCs w:val="20"/>
                <w:color w:val="auto"/>
              </w:rPr>
            </w:pPr>
            <w:r>
              <w:rPr>
                <w:rFonts w:ascii="Arial" w:cs="Arial" w:eastAsia="Arial" w:hAnsi="Arial"/>
                <w:sz w:val="14"/>
                <w:szCs w:val="14"/>
                <w:b w:val="1"/>
                <w:bCs w:val="1"/>
                <w:color w:val="auto"/>
              </w:rPr>
              <w:t>Group</w:t>
            </w:r>
          </w:p>
        </w:tc>
        <w:tc>
          <w:tcPr>
            <w:tcW w:w="0" w:type="dxa"/>
            <w:vAlign w:val="bottom"/>
          </w:tcPr>
          <w:p>
            <w:pPr>
              <w:spacing w:after="0"/>
              <w:rPr>
                <w:sz w:val="1"/>
                <w:szCs w:val="1"/>
                <w:color w:val="auto"/>
              </w:rPr>
            </w:pPr>
          </w:p>
        </w:tc>
      </w:tr>
      <w:tr>
        <w:trPr>
          <w:trHeight w:val="105"/>
        </w:trPr>
        <w:tc>
          <w:tcPr>
            <w:tcW w:w="2740" w:type="dxa"/>
            <w:vAlign w:val="bottom"/>
            <w:tcBorders>
              <w:right w:val="single" w:sz="8" w:color="70AD47"/>
            </w:tcBorders>
            <w:vMerge w:val="continue"/>
          </w:tcPr>
          <w:p>
            <w:pPr>
              <w:spacing w:after="0"/>
              <w:rPr>
                <w:sz w:val="9"/>
                <w:szCs w:val="9"/>
                <w:color w:val="auto"/>
              </w:rPr>
            </w:pPr>
          </w:p>
        </w:tc>
        <w:tc>
          <w:tcPr>
            <w:tcW w:w="1060" w:type="dxa"/>
            <w:vAlign w:val="bottom"/>
            <w:tcBorders>
              <w:right w:val="single" w:sz="8" w:color="70AD47"/>
            </w:tcBorders>
            <w:vMerge w:val="continue"/>
          </w:tcPr>
          <w:p>
            <w:pPr>
              <w:spacing w:after="0"/>
              <w:rPr>
                <w:sz w:val="9"/>
                <w:szCs w:val="9"/>
                <w:color w:val="auto"/>
              </w:rPr>
            </w:pPr>
          </w:p>
        </w:tc>
        <w:tc>
          <w:tcPr>
            <w:tcW w:w="1040" w:type="dxa"/>
            <w:vAlign w:val="bottom"/>
            <w:tcBorders>
              <w:right w:val="single" w:sz="8" w:color="70AD47"/>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8"/>
              </w:rPr>
              <w:t>Platform</w:t>
            </w:r>
          </w:p>
        </w:tc>
        <w:tc>
          <w:tcPr>
            <w:tcW w:w="1080" w:type="dxa"/>
            <w:vAlign w:val="bottom"/>
            <w:tcBorders>
              <w:right w:val="single" w:sz="8" w:color="70AD47"/>
            </w:tcBorders>
            <w:vMerge w:val="continue"/>
          </w:tcPr>
          <w:p>
            <w:pPr>
              <w:spacing w:after="0"/>
              <w:rPr>
                <w:sz w:val="9"/>
                <w:szCs w:val="9"/>
                <w:color w:val="auto"/>
              </w:rPr>
            </w:pPr>
          </w:p>
        </w:tc>
        <w:tc>
          <w:tcPr>
            <w:tcW w:w="1080" w:type="dxa"/>
            <w:vAlign w:val="bottom"/>
            <w:tcBorders>
              <w:right w:val="single" w:sz="8" w:color="70AD47"/>
            </w:tcBorders>
            <w:vMerge w:val="continue"/>
          </w:tcPr>
          <w:p>
            <w:pPr>
              <w:spacing w:after="0"/>
              <w:rPr>
                <w:sz w:val="9"/>
                <w:szCs w:val="9"/>
                <w:color w:val="auto"/>
              </w:rPr>
            </w:pPr>
          </w:p>
        </w:tc>
        <w:tc>
          <w:tcPr>
            <w:tcW w:w="1060" w:type="dxa"/>
            <w:vAlign w:val="bottom"/>
            <w:tcBorders>
              <w:right w:val="single" w:sz="8" w:color="70AD47"/>
            </w:tcBorders>
            <w:vMerge w:val="restart"/>
          </w:tcPr>
          <w:p>
            <w:pPr>
              <w:jc w:val="center"/>
              <w:ind w:right="8"/>
              <w:spacing w:after="0" w:line="149" w:lineRule="exact"/>
              <w:rPr>
                <w:sz w:val="20"/>
                <w:szCs w:val="20"/>
                <w:color w:val="auto"/>
              </w:rPr>
            </w:pPr>
            <w:r>
              <w:rPr>
                <w:rFonts w:ascii="Arial" w:cs="Arial" w:eastAsia="Arial" w:hAnsi="Arial"/>
                <w:sz w:val="14"/>
                <w:szCs w:val="14"/>
                <w:b w:val="1"/>
                <w:bCs w:val="1"/>
                <w:color w:val="auto"/>
                <w:w w:val="97"/>
              </w:rPr>
              <w:t>External</w:t>
            </w:r>
          </w:p>
        </w:tc>
        <w:tc>
          <w:tcPr>
            <w:tcW w:w="1060" w:type="dxa"/>
            <w:vAlign w:val="bottom"/>
            <w:tcBorders>
              <w:right w:val="single" w:sz="8" w:color="70AD47"/>
            </w:tcBorders>
            <w:vMerge w:val="continue"/>
          </w:tcPr>
          <w:p>
            <w:pPr>
              <w:spacing w:after="0"/>
              <w:rPr>
                <w:sz w:val="9"/>
                <w:szCs w:val="9"/>
                <w:color w:val="auto"/>
              </w:rPr>
            </w:pPr>
          </w:p>
        </w:tc>
        <w:tc>
          <w:tcPr>
            <w:tcW w:w="1080" w:type="dxa"/>
            <w:vAlign w:val="bottom"/>
            <w:tcBorders>
              <w:right w:val="single" w:sz="8" w:color="70AD47"/>
            </w:tcBorders>
            <w:vMerge w:val="continue"/>
          </w:tcPr>
          <w:p>
            <w:pPr>
              <w:spacing w:after="0"/>
              <w:rPr>
                <w:sz w:val="9"/>
                <w:szCs w:val="9"/>
                <w:color w:val="auto"/>
              </w:rPr>
            </w:pPr>
          </w:p>
        </w:tc>
        <w:tc>
          <w:tcPr>
            <w:tcW w:w="1060" w:type="dxa"/>
            <w:vAlign w:val="bottom"/>
            <w:tcBorders>
              <w:right w:val="single" w:sz="8" w:color="70AD4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740" w:type="dxa"/>
            <w:vAlign w:val="bottom"/>
            <w:tcBorders>
              <w:right w:val="single" w:sz="8" w:color="70AD47"/>
            </w:tcBorders>
          </w:tcPr>
          <w:p>
            <w:pPr>
              <w:spacing w:after="0"/>
              <w:rPr>
                <w:sz w:val="3"/>
                <w:szCs w:val="3"/>
                <w:color w:val="auto"/>
              </w:rPr>
            </w:pPr>
          </w:p>
        </w:tc>
        <w:tc>
          <w:tcPr>
            <w:tcW w:w="1060" w:type="dxa"/>
            <w:vAlign w:val="bottom"/>
            <w:tcBorders>
              <w:right w:val="single" w:sz="8" w:color="70AD47"/>
            </w:tcBorders>
          </w:tcPr>
          <w:p>
            <w:pPr>
              <w:spacing w:after="0"/>
              <w:rPr>
                <w:sz w:val="3"/>
                <w:szCs w:val="3"/>
                <w:color w:val="auto"/>
              </w:rPr>
            </w:pPr>
          </w:p>
        </w:tc>
        <w:tc>
          <w:tcPr>
            <w:tcW w:w="1040" w:type="dxa"/>
            <w:vAlign w:val="bottom"/>
            <w:tcBorders>
              <w:right w:val="single" w:sz="8" w:color="70AD47"/>
            </w:tcBorders>
            <w:vMerge w:val="continue"/>
          </w:tcPr>
          <w:p>
            <w:pPr>
              <w:spacing w:after="0"/>
              <w:rPr>
                <w:sz w:val="3"/>
                <w:szCs w:val="3"/>
                <w:color w:val="auto"/>
              </w:rPr>
            </w:pPr>
          </w:p>
        </w:tc>
        <w:tc>
          <w:tcPr>
            <w:tcW w:w="1080" w:type="dxa"/>
            <w:vAlign w:val="bottom"/>
            <w:tcBorders>
              <w:right w:val="single" w:sz="8" w:color="70AD47"/>
            </w:tcBorders>
          </w:tcPr>
          <w:p>
            <w:pPr>
              <w:spacing w:after="0"/>
              <w:rPr>
                <w:sz w:val="3"/>
                <w:szCs w:val="3"/>
                <w:color w:val="auto"/>
              </w:rPr>
            </w:pPr>
          </w:p>
        </w:tc>
        <w:tc>
          <w:tcPr>
            <w:tcW w:w="1080" w:type="dxa"/>
            <w:vAlign w:val="bottom"/>
            <w:tcBorders>
              <w:right w:val="single" w:sz="8" w:color="70AD47"/>
            </w:tcBorders>
          </w:tcPr>
          <w:p>
            <w:pPr>
              <w:spacing w:after="0"/>
              <w:rPr>
                <w:sz w:val="3"/>
                <w:szCs w:val="3"/>
                <w:color w:val="auto"/>
              </w:rPr>
            </w:pPr>
          </w:p>
        </w:tc>
        <w:tc>
          <w:tcPr>
            <w:tcW w:w="1060" w:type="dxa"/>
            <w:vAlign w:val="bottom"/>
            <w:tcBorders>
              <w:right w:val="single" w:sz="8" w:color="70AD47"/>
            </w:tcBorders>
            <w:vMerge w:val="continue"/>
          </w:tcPr>
          <w:p>
            <w:pPr>
              <w:spacing w:after="0"/>
              <w:rPr>
                <w:sz w:val="3"/>
                <w:szCs w:val="3"/>
                <w:color w:val="auto"/>
              </w:rPr>
            </w:pPr>
          </w:p>
        </w:tc>
        <w:tc>
          <w:tcPr>
            <w:tcW w:w="1060" w:type="dxa"/>
            <w:vAlign w:val="bottom"/>
            <w:tcBorders>
              <w:right w:val="single" w:sz="8" w:color="70AD47"/>
            </w:tcBorders>
          </w:tcPr>
          <w:p>
            <w:pPr>
              <w:spacing w:after="0"/>
              <w:rPr>
                <w:sz w:val="3"/>
                <w:szCs w:val="3"/>
                <w:color w:val="auto"/>
              </w:rPr>
            </w:pPr>
          </w:p>
        </w:tc>
        <w:tc>
          <w:tcPr>
            <w:tcW w:w="1080" w:type="dxa"/>
            <w:vAlign w:val="bottom"/>
            <w:tcBorders>
              <w:right w:val="single" w:sz="8" w:color="70AD47"/>
            </w:tcBorders>
          </w:tcPr>
          <w:p>
            <w:pPr>
              <w:spacing w:after="0"/>
              <w:rPr>
                <w:sz w:val="3"/>
                <w:szCs w:val="3"/>
                <w:color w:val="auto"/>
              </w:rPr>
            </w:pPr>
          </w:p>
        </w:tc>
        <w:tc>
          <w:tcPr>
            <w:tcW w:w="1060" w:type="dxa"/>
            <w:vAlign w:val="bottom"/>
            <w:tcBorders>
              <w:right w:val="single" w:sz="8" w:color="70AD47"/>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740" w:type="dxa"/>
            <w:vAlign w:val="bottom"/>
            <w:tcBorders>
              <w:bottom w:val="single" w:sz="8" w:color="70AD47"/>
              <w:right w:val="single" w:sz="8" w:color="70AD47"/>
            </w:tcBorders>
          </w:tcPr>
          <w:p>
            <w:pPr>
              <w:spacing w:after="0"/>
              <w:rPr>
                <w:sz w:val="14"/>
                <w:szCs w:val="14"/>
                <w:color w:val="auto"/>
              </w:rPr>
            </w:pPr>
          </w:p>
        </w:tc>
        <w:tc>
          <w:tcPr>
            <w:tcW w:w="1060" w:type="dxa"/>
            <w:vAlign w:val="bottom"/>
            <w:tcBorders>
              <w:bottom w:val="single" w:sz="8" w:color="70AD47"/>
              <w:right w:val="single" w:sz="8" w:color="70AD47"/>
            </w:tcBorders>
          </w:tcPr>
          <w:p>
            <w:pPr>
              <w:spacing w:after="0"/>
              <w:rPr>
                <w:sz w:val="14"/>
                <w:szCs w:val="14"/>
                <w:color w:val="auto"/>
              </w:rPr>
            </w:pPr>
          </w:p>
        </w:tc>
        <w:tc>
          <w:tcPr>
            <w:tcW w:w="1040" w:type="dxa"/>
            <w:vAlign w:val="bottom"/>
            <w:tcBorders>
              <w:bottom w:val="single" w:sz="8" w:color="70AD47"/>
              <w:right w:val="single" w:sz="8" w:color="70AD47"/>
            </w:tcBorders>
          </w:tcPr>
          <w:p>
            <w:pPr>
              <w:spacing w:after="0"/>
              <w:rPr>
                <w:sz w:val="14"/>
                <w:szCs w:val="14"/>
                <w:color w:val="auto"/>
              </w:rPr>
            </w:pPr>
          </w:p>
        </w:tc>
        <w:tc>
          <w:tcPr>
            <w:tcW w:w="1080" w:type="dxa"/>
            <w:vAlign w:val="bottom"/>
            <w:tcBorders>
              <w:bottom w:val="single" w:sz="8" w:color="70AD47"/>
              <w:right w:val="single" w:sz="8" w:color="70AD47"/>
            </w:tcBorders>
          </w:tcPr>
          <w:p>
            <w:pPr>
              <w:spacing w:after="0"/>
              <w:rPr>
                <w:sz w:val="14"/>
                <w:szCs w:val="14"/>
                <w:color w:val="auto"/>
              </w:rPr>
            </w:pPr>
          </w:p>
        </w:tc>
        <w:tc>
          <w:tcPr>
            <w:tcW w:w="1080" w:type="dxa"/>
            <w:vAlign w:val="bottom"/>
            <w:tcBorders>
              <w:bottom w:val="single" w:sz="8" w:color="70AD47"/>
              <w:right w:val="single" w:sz="8" w:color="70AD47"/>
            </w:tcBorders>
          </w:tcPr>
          <w:p>
            <w:pPr>
              <w:spacing w:after="0"/>
              <w:rPr>
                <w:sz w:val="14"/>
                <w:szCs w:val="14"/>
                <w:color w:val="auto"/>
              </w:rPr>
            </w:pPr>
          </w:p>
        </w:tc>
        <w:tc>
          <w:tcPr>
            <w:tcW w:w="106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1060" w:type="dxa"/>
            <w:vAlign w:val="bottom"/>
            <w:tcBorders>
              <w:bottom w:val="single" w:sz="8" w:color="70AD47"/>
              <w:right w:val="single" w:sz="8" w:color="70AD47"/>
            </w:tcBorders>
          </w:tcPr>
          <w:p>
            <w:pPr>
              <w:spacing w:after="0"/>
              <w:rPr>
                <w:sz w:val="14"/>
                <w:szCs w:val="14"/>
                <w:color w:val="auto"/>
              </w:rPr>
            </w:pPr>
          </w:p>
        </w:tc>
        <w:tc>
          <w:tcPr>
            <w:tcW w:w="1080" w:type="dxa"/>
            <w:vAlign w:val="bottom"/>
            <w:tcBorders>
              <w:bottom w:val="single" w:sz="8" w:color="70AD47"/>
              <w:right w:val="single" w:sz="8" w:color="70AD47"/>
            </w:tcBorders>
          </w:tcPr>
          <w:p>
            <w:pPr>
              <w:spacing w:after="0"/>
              <w:rPr>
                <w:sz w:val="14"/>
                <w:szCs w:val="14"/>
                <w:color w:val="auto"/>
              </w:rPr>
            </w:pPr>
          </w:p>
        </w:tc>
        <w:tc>
          <w:tcPr>
            <w:tcW w:w="1060" w:type="dxa"/>
            <w:vAlign w:val="bottom"/>
            <w:tcBorders>
              <w:bottom w:val="single" w:sz="8" w:color="70AD47"/>
              <w:right w:val="single" w:sz="8" w:color="70AD47"/>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740" w:type="dxa"/>
            <w:vAlign w:val="bottom"/>
            <w:tcBorders>
              <w:right w:val="single" w:sz="8" w:color="70AD47"/>
            </w:tcBorders>
          </w:tcPr>
          <w:p>
            <w:pPr>
              <w:spacing w:after="0"/>
              <w:rPr>
                <w:sz w:val="20"/>
                <w:szCs w:val="20"/>
                <w:color w:val="auto"/>
              </w:rPr>
            </w:pPr>
            <w:r>
              <w:rPr>
                <w:rFonts w:ascii="Arial" w:cs="Arial" w:eastAsia="Arial" w:hAnsi="Arial"/>
                <w:sz w:val="14"/>
                <w:szCs w:val="14"/>
                <w:b w:val="1"/>
                <w:bCs w:val="1"/>
                <w:color w:val="auto"/>
              </w:rPr>
              <w:t>Six months ended June 30, 2019</w:t>
            </w:r>
          </w:p>
        </w:tc>
        <w:tc>
          <w:tcPr>
            <w:tcW w:w="1060" w:type="dxa"/>
            <w:vAlign w:val="bottom"/>
            <w:tcBorders>
              <w:right w:val="single" w:sz="8" w:color="70AD47"/>
            </w:tcBorders>
          </w:tcPr>
          <w:p>
            <w:pPr>
              <w:spacing w:after="0"/>
              <w:rPr>
                <w:sz w:val="18"/>
                <w:szCs w:val="18"/>
                <w:color w:val="auto"/>
              </w:rPr>
            </w:pPr>
          </w:p>
        </w:tc>
        <w:tc>
          <w:tcPr>
            <w:tcW w:w="1040" w:type="dxa"/>
            <w:vAlign w:val="bottom"/>
            <w:tcBorders>
              <w:right w:val="single" w:sz="8" w:color="70AD47"/>
            </w:tcBorders>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b w:val="1"/>
                <w:bCs w:val="1"/>
                <w:color w:val="auto"/>
              </w:rPr>
              <w:t>Revenues</w:t>
            </w:r>
          </w:p>
        </w:tc>
        <w:tc>
          <w:tcPr>
            <w:tcW w:w="1060" w:type="dxa"/>
            <w:vAlign w:val="bottom"/>
            <w:tcBorders>
              <w:right w:val="single" w:sz="8" w:color="70AD47"/>
            </w:tcBorders>
          </w:tcPr>
          <w:p>
            <w:pPr>
              <w:spacing w:after="0"/>
              <w:rPr>
                <w:sz w:val="22"/>
                <w:szCs w:val="22"/>
                <w:color w:val="auto"/>
              </w:rPr>
            </w:pPr>
          </w:p>
        </w:tc>
        <w:tc>
          <w:tcPr>
            <w:tcW w:w="1040" w:type="dxa"/>
            <w:vAlign w:val="bottom"/>
            <w:tcBorders>
              <w:right w:val="single" w:sz="8" w:color="70AD47"/>
            </w:tcBorders>
          </w:tcPr>
          <w:p>
            <w:pPr>
              <w:spacing w:after="0"/>
              <w:rPr>
                <w:sz w:val="22"/>
                <w:szCs w:val="22"/>
                <w:color w:val="auto"/>
              </w:rPr>
            </w:pPr>
          </w:p>
        </w:tc>
        <w:tc>
          <w:tcPr>
            <w:tcW w:w="1080" w:type="dxa"/>
            <w:vAlign w:val="bottom"/>
            <w:tcBorders>
              <w:right w:val="single" w:sz="8" w:color="70AD47"/>
            </w:tcBorders>
          </w:tcPr>
          <w:p>
            <w:pPr>
              <w:spacing w:after="0"/>
              <w:rPr>
                <w:sz w:val="22"/>
                <w:szCs w:val="22"/>
                <w:color w:val="auto"/>
              </w:rPr>
            </w:pPr>
          </w:p>
        </w:tc>
        <w:tc>
          <w:tcPr>
            <w:tcW w:w="1080" w:type="dxa"/>
            <w:vAlign w:val="bottom"/>
            <w:tcBorders>
              <w:right w:val="single" w:sz="8" w:color="70AD47"/>
            </w:tcBorders>
          </w:tcPr>
          <w:p>
            <w:pPr>
              <w:spacing w:after="0"/>
              <w:rPr>
                <w:sz w:val="22"/>
                <w:szCs w:val="22"/>
                <w:color w:val="auto"/>
              </w:rPr>
            </w:pPr>
          </w:p>
        </w:tc>
        <w:tc>
          <w:tcPr>
            <w:tcW w:w="1060" w:type="dxa"/>
            <w:vAlign w:val="bottom"/>
            <w:tcBorders>
              <w:right w:val="single" w:sz="8" w:color="70AD47"/>
            </w:tcBorders>
          </w:tcPr>
          <w:p>
            <w:pPr>
              <w:spacing w:after="0"/>
              <w:rPr>
                <w:sz w:val="22"/>
                <w:szCs w:val="22"/>
                <w:color w:val="auto"/>
              </w:rPr>
            </w:pPr>
          </w:p>
        </w:tc>
        <w:tc>
          <w:tcPr>
            <w:tcW w:w="1060" w:type="dxa"/>
            <w:vAlign w:val="bottom"/>
            <w:tcBorders>
              <w:right w:val="single" w:sz="8" w:color="70AD47"/>
            </w:tcBorders>
          </w:tcPr>
          <w:p>
            <w:pPr>
              <w:spacing w:after="0"/>
              <w:rPr>
                <w:sz w:val="22"/>
                <w:szCs w:val="22"/>
                <w:color w:val="auto"/>
              </w:rPr>
            </w:pPr>
          </w:p>
        </w:tc>
        <w:tc>
          <w:tcPr>
            <w:tcW w:w="1080" w:type="dxa"/>
            <w:vAlign w:val="bottom"/>
            <w:tcBorders>
              <w:right w:val="single" w:sz="8" w:color="70AD47"/>
            </w:tcBorders>
          </w:tcPr>
          <w:p>
            <w:pPr>
              <w:spacing w:after="0"/>
              <w:rPr>
                <w:sz w:val="22"/>
                <w:szCs w:val="22"/>
                <w:color w:val="auto"/>
              </w:rPr>
            </w:pPr>
          </w:p>
        </w:tc>
        <w:tc>
          <w:tcPr>
            <w:tcW w:w="1060" w:type="dxa"/>
            <w:vAlign w:val="bottom"/>
            <w:tcBorders>
              <w:right w:val="single" w:sz="8" w:color="70AD47"/>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Collaboration Revenues</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€18,431</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€23,592</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€42,023</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€42,023</w:t>
            </w:r>
          </w:p>
        </w:tc>
        <w:tc>
          <w:tcPr>
            <w:tcW w:w="0" w:type="dxa"/>
            <w:vAlign w:val="bottom"/>
          </w:tcPr>
          <w:p>
            <w:pPr>
              <w:spacing w:after="0"/>
              <w:rPr>
                <w:sz w:val="1"/>
                <w:szCs w:val="1"/>
                <w:color w:val="auto"/>
              </w:rPr>
            </w:pPr>
          </w:p>
        </w:tc>
      </w:tr>
      <w:tr>
        <w:trPr>
          <w:trHeight w:val="257"/>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Revenues from other sales transactions</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463</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2</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8</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9,443</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9,916</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9,916</w:t>
            </w:r>
          </w:p>
        </w:tc>
        <w:tc>
          <w:tcPr>
            <w:tcW w:w="0" w:type="dxa"/>
            <w:vAlign w:val="bottom"/>
          </w:tcPr>
          <w:p>
            <w:pPr>
              <w:spacing w:after="0"/>
              <w:rPr>
                <w:sz w:val="1"/>
                <w:szCs w:val="1"/>
                <w:color w:val="auto"/>
              </w:rPr>
            </w:pPr>
          </w:p>
        </w:tc>
      </w:tr>
      <w:tr>
        <w:trPr>
          <w:trHeight w:val="256"/>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Cost of sales</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(8,603)</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(8,603)</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(91)</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(8,694)</w:t>
            </w:r>
          </w:p>
        </w:tc>
        <w:tc>
          <w:tcPr>
            <w:tcW w:w="0" w:type="dxa"/>
            <w:vAlign w:val="bottom"/>
          </w:tcPr>
          <w:p>
            <w:pPr>
              <w:spacing w:after="0"/>
              <w:rPr>
                <w:sz w:val="1"/>
                <w:szCs w:val="1"/>
                <w:color w:val="auto"/>
              </w:rPr>
            </w:pPr>
          </w:p>
        </w:tc>
      </w:tr>
      <w:tr>
        <w:trPr>
          <w:trHeight w:val="39"/>
        </w:trPr>
        <w:tc>
          <w:tcPr>
            <w:tcW w:w="274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4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2740" w:type="dxa"/>
            <w:vAlign w:val="bottom"/>
            <w:tcBorders>
              <w:right w:val="single" w:sz="8" w:color="70AD47"/>
            </w:tcBorders>
          </w:tcPr>
          <w:p>
            <w:pPr>
              <w:spacing w:after="0"/>
              <w:rPr>
                <w:sz w:val="20"/>
                <w:szCs w:val="20"/>
                <w:color w:val="auto"/>
              </w:rPr>
            </w:pPr>
            <w:r>
              <w:rPr>
                <w:rFonts w:ascii="Arial" w:cs="Arial" w:eastAsia="Arial" w:hAnsi="Arial"/>
                <w:sz w:val="14"/>
                <w:szCs w:val="14"/>
                <w:b w:val="1"/>
                <w:bCs w:val="1"/>
                <w:color w:val="auto"/>
              </w:rPr>
              <w:t>Gross profit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€18,431</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€463</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€23,594</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€8</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€840</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€43,336</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€(91)</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€43,245</w:t>
            </w:r>
          </w:p>
        </w:tc>
        <w:tc>
          <w:tcPr>
            <w:tcW w:w="0" w:type="dxa"/>
            <w:vAlign w:val="bottom"/>
          </w:tcPr>
          <w:p>
            <w:pPr>
              <w:spacing w:after="0"/>
              <w:rPr>
                <w:sz w:val="1"/>
                <w:szCs w:val="1"/>
                <w:color w:val="auto"/>
              </w:rPr>
            </w:pPr>
          </w:p>
        </w:tc>
      </w:tr>
      <w:tr>
        <w:trPr>
          <w:trHeight w:val="39"/>
        </w:trPr>
        <w:tc>
          <w:tcPr>
            <w:tcW w:w="274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4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b w:val="1"/>
                <w:bCs w:val="1"/>
                <w:color w:val="auto"/>
              </w:rPr>
              <w:t>Income / Expenses</w:t>
            </w:r>
          </w:p>
        </w:tc>
        <w:tc>
          <w:tcPr>
            <w:tcW w:w="1060" w:type="dxa"/>
            <w:vAlign w:val="bottom"/>
            <w:tcBorders>
              <w:right w:val="single" w:sz="8" w:color="70AD47"/>
            </w:tcBorders>
          </w:tcPr>
          <w:p>
            <w:pPr>
              <w:spacing w:after="0"/>
              <w:rPr>
                <w:sz w:val="18"/>
                <w:szCs w:val="18"/>
                <w:color w:val="auto"/>
              </w:rPr>
            </w:pPr>
          </w:p>
        </w:tc>
        <w:tc>
          <w:tcPr>
            <w:tcW w:w="1040" w:type="dxa"/>
            <w:vAlign w:val="bottom"/>
            <w:tcBorders>
              <w:right w:val="single" w:sz="8" w:color="70AD47"/>
            </w:tcBorders>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Research and development expenses</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(43,686)</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(38,214)</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(26,237)</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(2,335)</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(262)</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(110,734)</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91</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(110,643)</w:t>
            </w:r>
          </w:p>
        </w:tc>
        <w:tc>
          <w:tcPr>
            <w:tcW w:w="0" w:type="dxa"/>
            <w:vAlign w:val="bottom"/>
          </w:tcPr>
          <w:p>
            <w:pPr>
              <w:spacing w:after="0"/>
              <w:rPr>
                <w:sz w:val="1"/>
                <w:szCs w:val="1"/>
                <w:color w:val="auto"/>
              </w:rPr>
            </w:pPr>
          </w:p>
        </w:tc>
      </w:tr>
      <w:tr>
        <w:trPr>
          <w:trHeight w:val="256"/>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Sales and marketing expenses</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(569)</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(669)</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(1,238)</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(1,238)</w:t>
            </w:r>
          </w:p>
        </w:tc>
        <w:tc>
          <w:tcPr>
            <w:tcW w:w="0" w:type="dxa"/>
            <w:vAlign w:val="bottom"/>
          </w:tcPr>
          <w:p>
            <w:pPr>
              <w:spacing w:after="0"/>
              <w:rPr>
                <w:sz w:val="1"/>
                <w:szCs w:val="1"/>
                <w:color w:val="auto"/>
              </w:rPr>
            </w:pPr>
          </w:p>
        </w:tc>
      </w:tr>
      <w:tr>
        <w:trPr>
          <w:trHeight w:val="257"/>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General and administrative expenses</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(1,858)</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(20,696)</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(1,345)</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(23,899)</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(23,899)</w:t>
            </w:r>
          </w:p>
        </w:tc>
        <w:tc>
          <w:tcPr>
            <w:tcW w:w="0" w:type="dxa"/>
            <w:vAlign w:val="bottom"/>
          </w:tcPr>
          <w:p>
            <w:pPr>
              <w:spacing w:after="0"/>
              <w:rPr>
                <w:sz w:val="1"/>
                <w:szCs w:val="1"/>
                <w:color w:val="auto"/>
              </w:rPr>
            </w:pPr>
          </w:p>
        </w:tc>
      </w:tr>
      <w:tr>
        <w:trPr>
          <w:trHeight w:val="256"/>
        </w:trPr>
        <w:tc>
          <w:tcPr>
            <w:tcW w:w="2740" w:type="dxa"/>
            <w:vAlign w:val="bottom"/>
            <w:tcBorders>
              <w:right w:val="single" w:sz="8" w:color="70AD47"/>
            </w:tcBorders>
          </w:tcPr>
          <w:p>
            <w:pPr>
              <w:ind w:left="140"/>
              <w:spacing w:after="0"/>
              <w:rPr>
                <w:sz w:val="20"/>
                <w:szCs w:val="20"/>
                <w:color w:val="auto"/>
              </w:rPr>
            </w:pPr>
            <w:r>
              <w:rPr>
                <w:rFonts w:ascii="Arial" w:cs="Arial" w:eastAsia="Arial" w:hAnsi="Arial"/>
                <w:sz w:val="14"/>
                <w:szCs w:val="14"/>
                <w:color w:val="auto"/>
              </w:rPr>
              <w:t>Other result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260</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288</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14</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26</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245</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833</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39"/>
        </w:trPr>
        <w:tc>
          <w:tcPr>
            <w:tcW w:w="274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4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2740" w:type="dxa"/>
            <w:vAlign w:val="bottom"/>
            <w:tcBorders>
              <w:right w:val="single" w:sz="8" w:color="70AD47"/>
            </w:tcBorders>
          </w:tcPr>
          <w:p>
            <w:pPr>
              <w:spacing w:after="0"/>
              <w:rPr>
                <w:sz w:val="20"/>
                <w:szCs w:val="20"/>
                <w:color w:val="auto"/>
              </w:rPr>
            </w:pPr>
            <w:r>
              <w:rPr>
                <w:rFonts w:ascii="Arial" w:cs="Arial" w:eastAsia="Arial" w:hAnsi="Arial"/>
                <w:sz w:val="14"/>
                <w:szCs w:val="14"/>
                <w:b w:val="1"/>
                <w:bCs w:val="1"/>
                <w:color w:val="auto"/>
              </w:rPr>
              <w:t>Segment operating loss</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€(24,995)</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€(37,463)</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€(4,487)</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€(23,566)</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€(1,191)</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€(91,702)</w:t>
            </w:r>
          </w:p>
        </w:tc>
        <w:tc>
          <w:tcPr>
            <w:tcW w:w="108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4"/>
                <w:szCs w:val="14"/>
                <w:b w:val="1"/>
                <w:bCs w:val="1"/>
                <w:color w:val="auto"/>
              </w:rPr>
              <w:t>€(91,702)</w:t>
            </w:r>
          </w:p>
        </w:tc>
        <w:tc>
          <w:tcPr>
            <w:tcW w:w="0" w:type="dxa"/>
            <w:vAlign w:val="bottom"/>
          </w:tcPr>
          <w:p>
            <w:pPr>
              <w:spacing w:after="0"/>
              <w:rPr>
                <w:sz w:val="1"/>
                <w:szCs w:val="1"/>
                <w:color w:val="auto"/>
              </w:rPr>
            </w:pPr>
          </w:p>
        </w:tc>
      </w:tr>
      <w:tr>
        <w:trPr>
          <w:trHeight w:val="39"/>
        </w:trPr>
        <w:tc>
          <w:tcPr>
            <w:tcW w:w="274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4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42"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The segments are managed based on external sales and operating profit/loss, which represents the operating profit/loss incurred within each segment. Segment figures are reported consolidated, which reflects the way management steers the business.</w:t>
      </w:r>
    </w:p>
    <w:p>
      <w:pPr>
        <w:spacing w:after="0" w:line="152" w:lineRule="exact"/>
        <w:rPr>
          <w:sz w:val="20"/>
          <w:szCs w:val="20"/>
          <w:color w:val="auto"/>
        </w:rPr>
      </w:pPr>
    </w:p>
    <w:p>
      <w:pPr>
        <w:jc w:val="both"/>
        <w:ind w:right="40"/>
        <w:spacing w:after="0" w:line="291" w:lineRule="auto"/>
        <w:rPr>
          <w:sz w:val="20"/>
          <w:szCs w:val="20"/>
          <w:color w:val="auto"/>
        </w:rPr>
      </w:pPr>
      <w:r>
        <w:rPr>
          <w:rFonts w:ascii="Arial" w:cs="Arial" w:eastAsia="Arial" w:hAnsi="Arial"/>
          <w:sz w:val="18"/>
          <w:szCs w:val="18"/>
          <w:color w:val="auto"/>
        </w:rPr>
        <w:t>BioNTech’s internal reporting is generally in accordance with IFRS and in line with the Group’s accounting policies, except for minor deviations in classification between cost of sales and research and development cost. Whenever revenues are attributable to different segments, these revenues are split based on the cost incurred. Internal overhead costs are allocated to segments based on revenues when</w:t>
      </w:r>
    </w:p>
    <w:p>
      <w:pPr>
        <w:spacing w:after="0" w:line="159" w:lineRule="exact"/>
        <w:rPr>
          <w:sz w:val="20"/>
          <w:szCs w:val="20"/>
          <w:color w:val="auto"/>
        </w:rPr>
      </w:pPr>
    </w:p>
    <w:p>
      <w:pPr>
        <w:ind w:left="110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754" w:right="319" w:bottom="1440" w:gutter="0" w:footer="0" w:header="0"/>
        </w:sectPr>
      </w:pPr>
    </w:p>
    <w:bookmarkStart w:id="28" w:name="page29"/>
    <w:bookmarkEnd w:id="28"/>
    <w:p>
      <w:pPr>
        <w:jc w:val="both"/>
        <w:ind w:right="40"/>
        <w:spacing w:after="0" w:line="26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they are directly attributable to a service rendered. Sales and marketing expenses, general and administrative expenses and other results that are not directly attributable to one of the segments are allocated to Business Service.</w:t>
      </w:r>
    </w:p>
    <w:p>
      <w:pPr>
        <w:spacing w:after="0" w:line="17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In order to reconcile the segment figures to the Group’s unaudited interim condensed consolidated financial statements, some of the research and development expenses are reclassified to cost of sales.</w:t>
      </w:r>
    </w:p>
    <w:p>
      <w:pPr>
        <w:spacing w:after="0" w:line="17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Revenue at BioNTech is differentiated between revenues resulting from collaboration and license agreements and revenues from other sales transactions. The Company collaborates with pharmaceutical and healthcare companies and several global academic collaborators. During the three and six months ended June 30, 2020, revenue generated from the Genentech, Inc., or Genentech, and Pfizer collaboration agreements each represented more than 10% of BioNTech’s overall revenue resulting from collaboration and license agreements. Revenues were partly recorded in the Clinical and the Manufacturing segment and, with respect to Pfizer, in the Technology Platform segment as well. During the three months ended June 30, 2019, only revenue generated from the Genentech collaboration agreement represented more than 10% of BioNTech’s overall revenue from collaboration and license agreements. Revenues were partly recorded in the Clinical as well as the Manufacturing segment. During the six months ended June 30, 2019, revenue generated from the Genentech and Pfizer collaboration agreements each represented more than 10% of BioNTech’s overall revenue from collaboration and license agreements and were recorded in the Clinical segment and, with respect to Genentech, in the Manufacturing segment. Total amounts of revenues from these collaboration and license agreements in the periods presented are disclosed in Note 4.</w:t>
      </w:r>
    </w:p>
    <w:p>
      <w:pPr>
        <w:spacing w:after="0" w:line="17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Revenues from other sales transactions are from the sale of medical products (e.g., peptides and retroviral vectors) for clinical supply. Research and development activities are managed on a worldwide basis while manufacturing facilities and sales offices are located and managed in Germany. External sales originate in Germany.</w:t>
      </w:r>
    </w:p>
    <w:p>
      <w:pPr>
        <w:spacing w:after="0" w:line="395" w:lineRule="exact"/>
        <w:rPr>
          <w:sz w:val="20"/>
          <w:szCs w:val="20"/>
          <w:color w:val="auto"/>
        </w:rPr>
      </w:pPr>
    </w:p>
    <w:p>
      <w:pPr>
        <w:ind w:left="720" w:hanging="712"/>
        <w:spacing w:after="0"/>
        <w:tabs>
          <w:tab w:leader="none" w:pos="720" w:val="left"/>
        </w:tabs>
        <w:numPr>
          <w:ilvl w:val="0"/>
          <w:numId w:val="32"/>
        </w:numPr>
        <w:rPr>
          <w:rFonts w:ascii="Arial" w:cs="Arial" w:eastAsia="Arial" w:hAnsi="Arial"/>
          <w:sz w:val="29"/>
          <w:szCs w:val="29"/>
          <w:color w:val="auto"/>
        </w:rPr>
      </w:pPr>
      <w:r>
        <w:rPr>
          <w:rFonts w:ascii="Arial" w:cs="Arial" w:eastAsia="Arial" w:hAnsi="Arial"/>
          <w:sz w:val="29"/>
          <w:szCs w:val="29"/>
          <w:color w:val="auto"/>
        </w:rPr>
        <w:t>Revenues from Contracts with Customers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Disaggregated revenue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Set out below is the disaggregation of the Group’s revenues from contracts with customers: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04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7"/>
              </w:rPr>
              <w:t>Six months ended</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880" w:type="dxa"/>
            <w:vAlign w:val="bottom"/>
            <w:gridSpan w:val="2"/>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04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60" w:type="dxa"/>
            <w:vAlign w:val="bottom"/>
            <w:tcBorders>
              <w:bottom w:val="single" w:sz="8" w:color="70AD47"/>
            </w:tcBorders>
            <w:vMerge w:val="continue"/>
          </w:tcPr>
          <w:p>
            <w:pPr>
              <w:spacing w:after="0"/>
              <w:rPr>
                <w:sz w:val="19"/>
                <w:szCs w:val="19"/>
                <w:color w:val="auto"/>
              </w:rPr>
            </w:pPr>
          </w:p>
        </w:tc>
        <w:tc>
          <w:tcPr>
            <w:tcW w:w="13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70AD47"/>
            </w:tcBorders>
          </w:tcPr>
          <w:p>
            <w:pPr>
              <w:spacing w:after="0"/>
              <w:rPr>
                <w:sz w:val="19"/>
                <w:szCs w:val="19"/>
                <w:color w:val="auto"/>
              </w:rPr>
            </w:pPr>
          </w:p>
        </w:tc>
        <w:tc>
          <w:tcPr>
            <w:tcW w:w="820" w:type="dxa"/>
            <w:vAlign w:val="bottom"/>
            <w:tcBorders>
              <w:bottom w:val="single" w:sz="8" w:color="70AD47"/>
            </w:tcBorders>
            <w:vMerge w:val="continue"/>
          </w:tcPr>
          <w:p>
            <w:pPr>
              <w:spacing w:after="0"/>
              <w:rPr>
                <w:sz w:val="19"/>
                <w:szCs w:val="19"/>
                <w:color w:val="auto"/>
              </w:rPr>
            </w:pPr>
          </w:p>
        </w:tc>
        <w:tc>
          <w:tcPr>
            <w:tcW w:w="136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70AD47"/>
            </w:tcBorders>
          </w:tcPr>
          <w:p>
            <w:pPr>
              <w:spacing w:after="0"/>
              <w:rPr>
                <w:sz w:val="19"/>
                <w:szCs w:val="19"/>
                <w:color w:val="auto"/>
              </w:rPr>
            </w:pPr>
          </w:p>
        </w:tc>
        <w:tc>
          <w:tcPr>
            <w:tcW w:w="640" w:type="dxa"/>
            <w:vAlign w:val="bottom"/>
            <w:tcBorders>
              <w:bottom w:val="single" w:sz="8" w:color="70AD47"/>
            </w:tcBorders>
            <w:vMerge w:val="continue"/>
          </w:tcPr>
          <w:p>
            <w:pPr>
              <w:spacing w:after="0"/>
              <w:rPr>
                <w:sz w:val="19"/>
                <w:szCs w:val="19"/>
                <w:color w:val="auto"/>
              </w:rPr>
            </w:pP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Revenues resulting from collaboration and license agreements</w:t>
            </w:r>
          </w:p>
        </w:tc>
        <w:tc>
          <w:tcPr>
            <w:tcW w:w="13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€32,585</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€20,125</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€53,746</w:t>
            </w:r>
          </w:p>
        </w:tc>
        <w:tc>
          <w:tcPr>
            <w:tcW w:w="6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€42,023</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40"/>
              <w:spacing w:after="0"/>
              <w:rPr>
                <w:sz w:val="20"/>
                <w:szCs w:val="20"/>
                <w:color w:val="auto"/>
              </w:rPr>
            </w:pPr>
            <w:r>
              <w:rPr>
                <w:rFonts w:ascii="Arial" w:cs="Arial" w:eastAsia="Arial" w:hAnsi="Arial"/>
                <w:sz w:val="18"/>
                <w:szCs w:val="18"/>
                <w:i w:val="1"/>
                <w:iCs w:val="1"/>
                <w:color w:val="auto"/>
              </w:rPr>
              <w:t>Genentech Inc.</w:t>
            </w:r>
          </w:p>
        </w:tc>
        <w:tc>
          <w:tcPr>
            <w:tcW w:w="13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i w:val="1"/>
                <w:iCs w:val="1"/>
                <w:color w:val="auto"/>
              </w:rPr>
              <w:t>11,258</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15,619</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i w:val="1"/>
                <w:iCs w:val="1"/>
                <w:color w:val="auto"/>
              </w:rPr>
              <w:t>26,886</w:t>
            </w:r>
          </w:p>
        </w:tc>
        <w:tc>
          <w:tcPr>
            <w:tcW w:w="6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i w:val="1"/>
                <w:iCs w:val="1"/>
                <w:color w:val="auto"/>
              </w:rPr>
              <w:t>31,750</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i w:val="1"/>
                <w:iCs w:val="1"/>
                <w:color w:val="auto"/>
              </w:rPr>
              <w:t>Pfizer Inc.</w:t>
            </w:r>
          </w:p>
        </w:tc>
        <w:tc>
          <w:tcPr>
            <w:tcW w:w="13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i w:val="1"/>
                <w:iCs w:val="1"/>
                <w:color w:val="auto"/>
              </w:rPr>
              <w:t>20,613</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3,587</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i w:val="1"/>
                <w:iCs w:val="1"/>
                <w:color w:val="auto"/>
              </w:rPr>
              <w:t>24,200</w:t>
            </w:r>
          </w:p>
        </w:tc>
        <w:tc>
          <w:tcPr>
            <w:tcW w:w="6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i w:val="1"/>
                <w:iCs w:val="1"/>
                <w:color w:val="auto"/>
              </w:rPr>
              <w:t>7,174</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i w:val="1"/>
                <w:iCs w:val="1"/>
                <w:color w:val="auto"/>
              </w:rPr>
              <w:t>Sanofi S.A.</w:t>
            </w:r>
          </w:p>
        </w:tc>
        <w:tc>
          <w:tcPr>
            <w:tcW w:w="13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i w:val="1"/>
                <w:iCs w:val="1"/>
                <w:color w:val="auto"/>
              </w:rPr>
              <w:t>257</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919</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i w:val="1"/>
                <w:iCs w:val="1"/>
                <w:color w:val="auto"/>
              </w:rPr>
              <w:t>1,759</w:t>
            </w:r>
          </w:p>
        </w:tc>
        <w:tc>
          <w:tcPr>
            <w:tcW w:w="6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i w:val="1"/>
                <w:iCs w:val="1"/>
                <w:color w:val="auto"/>
              </w:rPr>
              <w:t>3,099</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i w:val="1"/>
                <w:iCs w:val="1"/>
                <w:color w:val="auto"/>
              </w:rPr>
              <w:t>Shanghai Fosun Pharmaceutical (Group) Co., Ltd</w:t>
            </w:r>
          </w:p>
        </w:tc>
        <w:tc>
          <w:tcPr>
            <w:tcW w:w="13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i w:val="1"/>
                <w:iCs w:val="1"/>
                <w:color w:val="auto"/>
              </w:rPr>
              <w:t>457</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i w:val="1"/>
                <w:iCs w:val="1"/>
                <w:color w:val="auto"/>
              </w:rPr>
              <w:t>901</w:t>
            </w:r>
          </w:p>
        </w:tc>
        <w:tc>
          <w:tcPr>
            <w:tcW w:w="6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70AD47"/>
            </w:tcBorders>
          </w:tcPr>
          <w:p>
            <w:pPr>
              <w:spacing w:after="0"/>
              <w:rPr>
                <w:sz w:val="20"/>
                <w:szCs w:val="20"/>
                <w:color w:val="auto"/>
              </w:rPr>
            </w:pPr>
            <w:r>
              <w:rPr>
                <w:rFonts w:ascii="Arial" w:cs="Arial" w:eastAsia="Arial" w:hAnsi="Arial"/>
                <w:sz w:val="18"/>
                <w:szCs w:val="18"/>
                <w:color w:val="auto"/>
              </w:rPr>
              <w:t>Revenues from other sales transactions</w:t>
            </w:r>
          </w:p>
        </w:tc>
        <w:tc>
          <w:tcPr>
            <w:tcW w:w="13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9,177</w:t>
            </w:r>
          </w:p>
        </w:tc>
        <w:tc>
          <w:tcPr>
            <w:tcW w:w="500" w:type="dxa"/>
            <w:vAlign w:val="bottom"/>
            <w:tcBorders>
              <w:bottom w:val="single" w:sz="8" w:color="70AD47"/>
            </w:tcBorders>
          </w:tcPr>
          <w:p>
            <w:pPr>
              <w:spacing w:after="0"/>
              <w:rPr>
                <w:sz w:val="20"/>
                <w:szCs w:val="20"/>
                <w:color w:val="auto"/>
              </w:rPr>
            </w:pPr>
          </w:p>
        </w:tc>
        <w:tc>
          <w:tcPr>
            <w:tcW w:w="82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5,660</w:t>
            </w:r>
          </w:p>
        </w:tc>
        <w:tc>
          <w:tcPr>
            <w:tcW w:w="136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15,679</w:t>
            </w:r>
          </w:p>
        </w:tc>
        <w:tc>
          <w:tcPr>
            <w:tcW w:w="680" w:type="dxa"/>
            <w:vAlign w:val="bottom"/>
            <w:tcBorders>
              <w:bottom w:val="single" w:sz="8" w:color="70AD47"/>
            </w:tcBorders>
          </w:tcPr>
          <w:p>
            <w:pPr>
              <w:spacing w:after="0"/>
              <w:rPr>
                <w:sz w:val="20"/>
                <w:szCs w:val="20"/>
                <w:color w:val="auto"/>
              </w:rPr>
            </w:pPr>
          </w:p>
        </w:tc>
        <w:tc>
          <w:tcPr>
            <w:tcW w:w="64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9,916</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70AD47"/>
            </w:tcBorders>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€41,762</w:t>
            </w:r>
          </w:p>
        </w:tc>
        <w:tc>
          <w:tcPr>
            <w:tcW w:w="500" w:type="dxa"/>
            <w:vAlign w:val="bottom"/>
            <w:tcBorders>
              <w:bottom w:val="single" w:sz="8" w:color="70AD47"/>
            </w:tcBorders>
          </w:tcPr>
          <w:p>
            <w:pPr>
              <w:spacing w:after="0"/>
              <w:rPr>
                <w:sz w:val="19"/>
                <w:szCs w:val="19"/>
                <w:color w:val="auto"/>
              </w:rPr>
            </w:pPr>
          </w:p>
        </w:tc>
        <w:tc>
          <w:tcPr>
            <w:tcW w:w="82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rPr>
              <w:t>€25,785</w:t>
            </w:r>
          </w:p>
        </w:tc>
        <w:tc>
          <w:tcPr>
            <w:tcW w:w="136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€69,425</w:t>
            </w:r>
          </w:p>
        </w:tc>
        <w:tc>
          <w:tcPr>
            <w:tcW w:w="680" w:type="dxa"/>
            <w:vAlign w:val="bottom"/>
            <w:tcBorders>
              <w:bottom w:val="single" w:sz="8" w:color="70AD47"/>
            </w:tcBorders>
          </w:tcPr>
          <w:p>
            <w:pPr>
              <w:spacing w:after="0"/>
              <w:rPr>
                <w:sz w:val="19"/>
                <w:szCs w:val="19"/>
                <w:color w:val="auto"/>
              </w:rPr>
            </w:pPr>
          </w:p>
        </w:tc>
        <w:tc>
          <w:tcPr>
            <w:tcW w:w="64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w w:val="92"/>
              </w:rPr>
              <w:t>€51,939</w:t>
            </w: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During the three and six months ended June 30, 2020, revenues from BioNTech’s two new collaboration agreements aimed at developing a COVID 19 vaccine were recognized for the first time.</w:t>
      </w:r>
    </w:p>
    <w:p>
      <w:pPr>
        <w:spacing w:after="0" w:line="177"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On March 13, 2020, BioNTech entered into a collaboration and license agreement with Fosun Pharma. Fosun Pharma paid BioNTech a non-refundable upfront cash payment of k€901 (k$1,000) upon signing the agreement in addition to an equity investment of k€45,568 (k$50,000) (see Note 10 for the capital contribution). BioNTech is eligible to receive future milestone payments of up to k$84,000 for potential aggregate consideration of k$135,000.</w:t>
      </w:r>
    </w:p>
    <w:p>
      <w:pPr>
        <w:spacing w:after="0" w:line="198"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973" w:right="319" w:bottom="1440" w:gutter="0" w:footer="0" w:header="0"/>
        </w:sectPr>
      </w:pPr>
    </w:p>
    <w:bookmarkStart w:id="29" w:name="page30"/>
    <w:bookmarkEnd w:id="29"/>
    <w:p>
      <w:pPr>
        <w:jc w:val="both"/>
        <w:ind w:right="20"/>
        <w:spacing w:after="0" w:line="25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On April 9, 2020, BioNTech entered into a collaboration and license agreement with Pfizer. Pfizer agreed to pay BioNTech k€170,146 (k$185,000), including an equity investment of k€103,890 (k$113,000) (see Note 10 for the capital contribution) and a non-refundable upfront cash payment of k€66,256 (k$72,000) which were received in late April 2020 and May 2020, respectively. BioNTech is eligible to receive future milestone payments of up to k$563,000 for potential aggregate consideration of k$748,000. Pfizer and BioNTech share development costs equally. Initially, Pfizer will fund 100% of the development costs, and BioNTech will repay Pfizer its 50% share of these costs if success-based milestones are reached, or with proceeds generated from the commercialization of the vaccine, if approved. If the vaccine program is not successful or does not generate sufficient proceeds, BioNTech will not be required to pay back its 50% share of the development costs incurred.</w:t>
      </w:r>
    </w:p>
    <w:p>
      <w:pPr>
        <w:spacing w:after="0" w:line="180" w:lineRule="exact"/>
        <w:rPr>
          <w:sz w:val="20"/>
          <w:szCs w:val="20"/>
          <w:color w:val="auto"/>
        </w:rPr>
      </w:pPr>
    </w:p>
    <w:p>
      <w:pPr>
        <w:jc w:val="both"/>
        <w:ind w:right="20"/>
        <w:spacing w:after="0" w:line="256" w:lineRule="auto"/>
        <w:rPr>
          <w:sz w:val="20"/>
          <w:szCs w:val="20"/>
          <w:color w:val="auto"/>
        </w:rPr>
      </w:pPr>
      <w:r>
        <w:rPr>
          <w:rFonts w:ascii="Arial" w:cs="Arial" w:eastAsia="Arial" w:hAnsi="Arial"/>
          <w:sz w:val="19"/>
          <w:szCs w:val="19"/>
          <w:color w:val="auto"/>
        </w:rPr>
        <w:t>During the three months ended March 31, 2020, k€444 of the upfront payment from Fosun Pharma was recognized as revenue during the three months ended March 31, 2020. The remaining k€457 was recognized as revenue during the three months ended June 30, 2020. During the three months ended June 30, 2020, revenue from Pfizer was initiated to be recognized from the non-refundable upfront cash payment which has a restricted purpose by being dedicated to activities to be performed under the collaboration and license agreement. Based on cost incurred, k€20,613 revenue was recognized of which k€14,258 were directly incurred by BioNTech and k€6,356 have been accrued based on BioNTech’s 50% share of the shared development costs incurred. As services are performed under a collaboration agreement, revenue recognition will be continued in future periods in accordance with our accounting policy as described in “—Critical Accounting Policies and Use of Estimates” and Note 2.3.4 to our consolidated financial statements included in our Annual Report on Form 20-F for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Product sales included within revenue from other sales transactions are displayed below: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16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89"/>
              </w:rPr>
              <w:t>Three months ended</w:t>
            </w:r>
          </w:p>
        </w:tc>
        <w:tc>
          <w:tcPr>
            <w:tcW w:w="540" w:type="dxa"/>
            <w:vAlign w:val="bottom"/>
          </w:tcPr>
          <w:p>
            <w:pPr>
              <w:spacing w:after="0"/>
              <w:rPr>
                <w:sz w:val="18"/>
                <w:szCs w:val="18"/>
                <w:color w:val="auto"/>
              </w:rPr>
            </w:pPr>
          </w:p>
        </w:tc>
        <w:tc>
          <w:tcPr>
            <w:tcW w:w="21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7"/>
              </w:rPr>
              <w:t>Six months ended</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16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1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60" w:type="dxa"/>
            <w:vAlign w:val="bottom"/>
            <w:tcBorders>
              <w:bottom w:val="single" w:sz="8" w:color="70AD47"/>
            </w:tcBorders>
            <w:vMerge w:val="continue"/>
          </w:tcPr>
          <w:p>
            <w:pPr>
              <w:spacing w:after="0"/>
              <w:rPr>
                <w:sz w:val="19"/>
                <w:szCs w:val="19"/>
                <w:color w:val="auto"/>
              </w:rPr>
            </w:pPr>
          </w:p>
        </w:tc>
        <w:tc>
          <w:tcPr>
            <w:tcW w:w="13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780" w:type="dxa"/>
            <w:vAlign w:val="bottom"/>
            <w:tcBorders>
              <w:bottom w:val="single" w:sz="8" w:color="70AD47"/>
            </w:tcBorders>
          </w:tcPr>
          <w:p>
            <w:pPr>
              <w:spacing w:after="0"/>
              <w:rPr>
                <w:sz w:val="19"/>
                <w:szCs w:val="19"/>
                <w:color w:val="auto"/>
              </w:rPr>
            </w:pPr>
          </w:p>
        </w:tc>
        <w:tc>
          <w:tcPr>
            <w:tcW w:w="540" w:type="dxa"/>
            <w:vAlign w:val="bottom"/>
            <w:tcBorders>
              <w:bottom w:val="single" w:sz="8" w:color="70AD47"/>
            </w:tcBorders>
            <w:vMerge w:val="continue"/>
          </w:tcPr>
          <w:p>
            <w:pPr>
              <w:spacing w:after="0"/>
              <w:rPr>
                <w:sz w:val="19"/>
                <w:szCs w:val="19"/>
                <w:color w:val="auto"/>
              </w:rPr>
            </w:pPr>
          </w:p>
        </w:tc>
        <w:tc>
          <w:tcPr>
            <w:tcW w:w="136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70AD47"/>
            </w:tcBorders>
          </w:tcPr>
          <w:p>
            <w:pPr>
              <w:spacing w:after="0"/>
              <w:rPr>
                <w:sz w:val="19"/>
                <w:szCs w:val="19"/>
                <w:color w:val="auto"/>
              </w:rPr>
            </w:pPr>
          </w:p>
        </w:tc>
        <w:tc>
          <w:tcPr>
            <w:tcW w:w="580" w:type="dxa"/>
            <w:vAlign w:val="bottom"/>
            <w:tcBorders>
              <w:bottom w:val="single" w:sz="8" w:color="70AD47"/>
            </w:tcBorders>
            <w:vMerge w:val="continue"/>
          </w:tcPr>
          <w:p>
            <w:pPr>
              <w:spacing w:after="0"/>
              <w:rPr>
                <w:sz w:val="19"/>
                <w:szCs w:val="19"/>
                <w:color w:val="auto"/>
              </w:rPr>
            </w:pP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Product sales of JPT Peptide Technologies GmbH</w:t>
            </w:r>
          </w:p>
        </w:tc>
        <w:tc>
          <w:tcPr>
            <w:tcW w:w="13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€5,884</w:t>
            </w:r>
          </w:p>
        </w:tc>
        <w:tc>
          <w:tcPr>
            <w:tcW w:w="7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€3,009</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€9,037</w:t>
            </w:r>
          </w:p>
        </w:tc>
        <w:tc>
          <w:tcPr>
            <w:tcW w:w="7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€5,835</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20" w:hanging="712"/>
        <w:spacing w:after="0"/>
        <w:tabs>
          <w:tab w:leader="none" w:pos="720" w:val="left"/>
        </w:tabs>
        <w:numPr>
          <w:ilvl w:val="0"/>
          <w:numId w:val="33"/>
        </w:numPr>
        <w:rPr>
          <w:rFonts w:ascii="Arial" w:cs="Arial" w:eastAsia="Arial" w:hAnsi="Arial"/>
          <w:sz w:val="29"/>
          <w:szCs w:val="29"/>
          <w:color w:val="auto"/>
        </w:rPr>
      </w:pPr>
      <w:r>
        <w:rPr>
          <w:rFonts w:ascii="Arial" w:cs="Arial" w:eastAsia="Arial" w:hAnsi="Arial"/>
          <w:sz w:val="29"/>
          <w:szCs w:val="29"/>
          <w:color w:val="auto"/>
        </w:rPr>
        <w:t>Business Combinations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BioNTech US Inc. (formerly Neon Therapeutics, Inc.)</w:t>
      </w:r>
    </w:p>
    <w:p>
      <w:pPr>
        <w:spacing w:after="0" w:line="114"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On May 6, 2020, BioNTech acquired Neon, a biotechnology company developing novel neoantigen-based T-cell therapies (“the Merger”). Through the acquisition, BioNTech will be able to leverage Neon’s expertise in the development of neoantigen therapies, with both vaccine and T cell capabilities.</w:t>
      </w:r>
    </w:p>
    <w:p>
      <w:pPr>
        <w:spacing w:after="0" w:line="186"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Based on the acquisition date share price, the aggregate value of the merger consideration was k€89,890 (k$97,144) financed by issuing 1,935,488 American Depositary Shares representing BioNTech’s ordinary shares as a stock transaction and including a de minimis cash consideration which was paid to settle Neon’s outstanding stock options.</w:t>
      </w:r>
    </w:p>
    <w:p>
      <w:pPr>
        <w:spacing w:after="0" w:line="19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973" w:right="319" w:bottom="1440" w:gutter="0" w:footer="0" w:header="0"/>
        </w:sectPr>
      </w:pPr>
    </w:p>
    <w:bookmarkStart w:id="30" w:name="page31"/>
    <w:bookmarkEnd w:id="30"/>
    <w:p>
      <w:pPr>
        <w:jc w:val="both"/>
        <w:ind w:right="20"/>
        <w:spacing w:after="0" w:line="26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The provisional fair values and values in accordance with IFRS 3 of the identifiable net assets of BioNTech US Inc. as at the date of acquisition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99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recognized on</w:t>
            </w:r>
          </w:p>
        </w:tc>
      </w:tr>
      <w:tr>
        <w:trPr>
          <w:trHeight w:val="234"/>
        </w:trPr>
        <w:tc>
          <w:tcPr>
            <w:tcW w:w="99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acquisition</w:t>
            </w:r>
          </w:p>
        </w:tc>
      </w:tr>
      <w:tr>
        <w:trPr>
          <w:trHeight w:val="215"/>
        </w:trPr>
        <w:tc>
          <w:tcPr>
            <w:tcW w:w="9920" w:type="dxa"/>
            <w:vAlign w:val="bottom"/>
            <w:tcBorders>
              <w:right w:val="single" w:sz="8" w:color="70AD47"/>
            </w:tcBorders>
          </w:tcPr>
          <w:p>
            <w:pPr>
              <w:spacing w:after="0"/>
              <w:rPr>
                <w:sz w:val="18"/>
                <w:szCs w:val="18"/>
                <w:color w:val="auto"/>
              </w:rPr>
            </w:pPr>
          </w:p>
        </w:tc>
        <w:tc>
          <w:tcPr>
            <w:tcW w:w="1340" w:type="dxa"/>
            <w:vAlign w:val="bottom"/>
            <w:tcBorders>
              <w:right w:val="single" w:sz="8" w:color="70AD47"/>
            </w:tcBorders>
          </w:tcPr>
          <w:p>
            <w:pPr>
              <w:jc w:val="center"/>
              <w:spacing w:after="0"/>
              <w:rPr>
                <w:sz w:val="20"/>
                <w:szCs w:val="20"/>
                <w:color w:val="auto"/>
              </w:rPr>
            </w:pPr>
            <w:r>
              <w:rPr>
                <w:rFonts w:ascii="Arial" w:cs="Arial" w:eastAsia="Arial" w:hAnsi="Arial"/>
                <w:sz w:val="18"/>
                <w:szCs w:val="18"/>
                <w:color w:val="auto"/>
                <w:w w:val="93"/>
              </w:rPr>
              <w:t>BioNTech US</w:t>
            </w:r>
          </w:p>
        </w:tc>
      </w:tr>
      <w:tr>
        <w:trPr>
          <w:trHeight w:val="230"/>
        </w:trPr>
        <w:tc>
          <w:tcPr>
            <w:tcW w:w="992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18"/>
                <w:szCs w:val="18"/>
                <w:color w:val="auto"/>
                <w:w w:val="89"/>
              </w:rPr>
              <w:t>Inc.</w:t>
            </w:r>
          </w:p>
        </w:tc>
      </w:tr>
      <w:tr>
        <w:trPr>
          <w:trHeight w:val="222"/>
        </w:trPr>
        <w:tc>
          <w:tcPr>
            <w:tcW w:w="9920" w:type="dxa"/>
            <w:vAlign w:val="bottom"/>
            <w:tcBorders>
              <w:right w:val="single" w:sz="8" w:color="70AD47"/>
            </w:tcBorders>
          </w:tcPr>
          <w:p>
            <w:pPr>
              <w:spacing w:after="0"/>
              <w:rPr>
                <w:sz w:val="20"/>
                <w:szCs w:val="20"/>
                <w:color w:val="auto"/>
              </w:rPr>
            </w:pPr>
            <w:r>
              <w:rPr>
                <w:rFonts w:ascii="Arial" w:cs="Arial" w:eastAsia="Arial" w:hAnsi="Arial"/>
                <w:sz w:val="18"/>
                <w:szCs w:val="18"/>
                <w:b w:val="1"/>
                <w:bCs w:val="1"/>
                <w:color w:val="auto"/>
              </w:rPr>
              <w:t>Assets</w:t>
            </w:r>
          </w:p>
        </w:tc>
        <w:tc>
          <w:tcPr>
            <w:tcW w:w="1340" w:type="dxa"/>
            <w:vAlign w:val="bottom"/>
            <w:tcBorders>
              <w:right w:val="single" w:sz="8" w:color="70AD47"/>
            </w:tcBorders>
          </w:tcPr>
          <w:p>
            <w:pPr>
              <w:spacing w:after="0"/>
              <w:rPr>
                <w:sz w:val="19"/>
                <w:szCs w:val="19"/>
                <w:color w:val="auto"/>
              </w:rPr>
            </w:pPr>
          </w:p>
        </w:tc>
      </w:tr>
      <w:tr>
        <w:trPr>
          <w:trHeight w:val="229"/>
        </w:trPr>
        <w:tc>
          <w:tcPr>
            <w:tcW w:w="9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Intangible assets</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€29,867</w:t>
            </w:r>
          </w:p>
        </w:tc>
      </w:tr>
      <w:tr>
        <w:trPr>
          <w:trHeight w:val="230"/>
        </w:trPr>
        <w:tc>
          <w:tcPr>
            <w:tcW w:w="9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Property, plant and equipment</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5,617</w:t>
            </w:r>
          </w:p>
        </w:tc>
      </w:tr>
      <w:tr>
        <w:trPr>
          <w:trHeight w:val="229"/>
        </w:trPr>
        <w:tc>
          <w:tcPr>
            <w:tcW w:w="9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Right-of-use assets</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6,896</w:t>
            </w:r>
          </w:p>
        </w:tc>
      </w:tr>
      <w:tr>
        <w:trPr>
          <w:trHeight w:val="229"/>
        </w:trPr>
        <w:tc>
          <w:tcPr>
            <w:tcW w:w="9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Other assets non-current and current</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2,704</w:t>
            </w:r>
          </w:p>
        </w:tc>
      </w:tr>
      <w:tr>
        <w:trPr>
          <w:trHeight w:val="230"/>
        </w:trPr>
        <w:tc>
          <w:tcPr>
            <w:tcW w:w="9920" w:type="dxa"/>
            <w:vAlign w:val="bottom"/>
            <w:tcBorders>
              <w:bottom w:val="single" w:sz="8" w:color="70AD47"/>
              <w:right w:val="single" w:sz="8" w:color="70AD47"/>
            </w:tcBorders>
          </w:tcPr>
          <w:p>
            <w:pPr>
              <w:ind w:left="140"/>
              <w:spacing w:after="0"/>
              <w:rPr>
                <w:sz w:val="20"/>
                <w:szCs w:val="20"/>
                <w:color w:val="auto"/>
              </w:rPr>
            </w:pPr>
            <w:r>
              <w:rPr>
                <w:rFonts w:ascii="Arial" w:cs="Arial" w:eastAsia="Arial" w:hAnsi="Arial"/>
                <w:sz w:val="18"/>
                <w:szCs w:val="18"/>
                <w:color w:val="auto"/>
              </w:rPr>
              <w:t>Cash</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8"/>
                <w:szCs w:val="18"/>
                <w:color w:val="auto"/>
              </w:rPr>
              <w:t>7,749</w:t>
            </w:r>
          </w:p>
        </w:tc>
      </w:tr>
      <w:tr>
        <w:trPr>
          <w:trHeight w:val="223"/>
        </w:trPr>
        <w:tc>
          <w:tcPr>
            <w:tcW w:w="992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Total assets</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8"/>
                <w:szCs w:val="18"/>
                <w:b w:val="1"/>
                <w:bCs w:val="1"/>
                <w:color w:val="auto"/>
              </w:rPr>
              <w:t>€52,833</w:t>
            </w:r>
          </w:p>
        </w:tc>
      </w:tr>
      <w:tr>
        <w:trPr>
          <w:trHeight w:val="452"/>
        </w:trPr>
        <w:tc>
          <w:tcPr>
            <w:tcW w:w="9920" w:type="dxa"/>
            <w:vAlign w:val="bottom"/>
            <w:tcBorders>
              <w:right w:val="single" w:sz="8" w:color="70AD47"/>
            </w:tcBorders>
          </w:tcPr>
          <w:p>
            <w:pPr>
              <w:spacing w:after="0"/>
              <w:rPr>
                <w:sz w:val="20"/>
                <w:szCs w:val="20"/>
                <w:color w:val="auto"/>
              </w:rPr>
            </w:pPr>
            <w:r>
              <w:rPr>
                <w:rFonts w:ascii="Arial" w:cs="Arial" w:eastAsia="Arial" w:hAnsi="Arial"/>
                <w:sz w:val="18"/>
                <w:szCs w:val="18"/>
                <w:b w:val="1"/>
                <w:bCs w:val="1"/>
                <w:color w:val="auto"/>
              </w:rPr>
              <w:t>Liabilities</w:t>
            </w:r>
          </w:p>
        </w:tc>
        <w:tc>
          <w:tcPr>
            <w:tcW w:w="1340" w:type="dxa"/>
            <w:vAlign w:val="bottom"/>
            <w:tcBorders>
              <w:right w:val="single" w:sz="8" w:color="70AD47"/>
            </w:tcBorders>
          </w:tcPr>
          <w:p>
            <w:pPr>
              <w:spacing w:after="0"/>
              <w:rPr>
                <w:sz w:val="24"/>
                <w:szCs w:val="24"/>
                <w:color w:val="auto"/>
              </w:rPr>
            </w:pPr>
          </w:p>
        </w:tc>
      </w:tr>
      <w:tr>
        <w:trPr>
          <w:trHeight w:val="230"/>
        </w:trPr>
        <w:tc>
          <w:tcPr>
            <w:tcW w:w="9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Trade payables</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1,723</w:t>
            </w:r>
          </w:p>
        </w:tc>
      </w:tr>
      <w:tr>
        <w:trPr>
          <w:trHeight w:val="229"/>
        </w:trPr>
        <w:tc>
          <w:tcPr>
            <w:tcW w:w="9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Deferred tax liability</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8,043</w:t>
            </w:r>
          </w:p>
        </w:tc>
      </w:tr>
      <w:tr>
        <w:trPr>
          <w:trHeight w:val="230"/>
        </w:trPr>
        <w:tc>
          <w:tcPr>
            <w:tcW w:w="9920" w:type="dxa"/>
            <w:vAlign w:val="bottom"/>
            <w:tcBorders>
              <w:bottom w:val="single" w:sz="8" w:color="70AD47"/>
              <w:right w:val="single" w:sz="8" w:color="70AD47"/>
            </w:tcBorders>
          </w:tcPr>
          <w:p>
            <w:pPr>
              <w:ind w:left="140"/>
              <w:spacing w:after="0"/>
              <w:rPr>
                <w:sz w:val="20"/>
                <w:szCs w:val="20"/>
                <w:color w:val="auto"/>
              </w:rPr>
            </w:pPr>
            <w:r>
              <w:rPr>
                <w:rFonts w:ascii="Arial" w:cs="Arial" w:eastAsia="Arial" w:hAnsi="Arial"/>
                <w:sz w:val="18"/>
                <w:szCs w:val="18"/>
                <w:color w:val="auto"/>
              </w:rPr>
              <w:t>Other liabilities non-current and current</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8"/>
                <w:szCs w:val="18"/>
                <w:color w:val="auto"/>
              </w:rPr>
              <w:t>17,793</w:t>
            </w:r>
          </w:p>
        </w:tc>
      </w:tr>
      <w:tr>
        <w:trPr>
          <w:trHeight w:val="223"/>
        </w:trPr>
        <w:tc>
          <w:tcPr>
            <w:tcW w:w="992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Total liabilities</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8"/>
                <w:szCs w:val="18"/>
                <w:b w:val="1"/>
                <w:bCs w:val="1"/>
                <w:color w:val="auto"/>
              </w:rPr>
              <w:t>€27,559</w:t>
            </w:r>
          </w:p>
        </w:tc>
      </w:tr>
      <w:tr>
        <w:trPr>
          <w:trHeight w:val="223"/>
        </w:trPr>
        <w:tc>
          <w:tcPr>
            <w:tcW w:w="9920" w:type="dxa"/>
            <w:vAlign w:val="bottom"/>
            <w:tcBorders>
              <w:bottom w:val="single" w:sz="8" w:color="70AD47"/>
              <w:right w:val="single" w:sz="8" w:color="70AD47"/>
            </w:tcBorders>
          </w:tcPr>
          <w:p>
            <w:pPr>
              <w:spacing w:after="0"/>
              <w:rPr>
                <w:sz w:val="19"/>
                <w:szCs w:val="19"/>
                <w:color w:val="auto"/>
              </w:rPr>
            </w:pPr>
          </w:p>
        </w:tc>
        <w:tc>
          <w:tcPr>
            <w:tcW w:w="1340" w:type="dxa"/>
            <w:vAlign w:val="bottom"/>
            <w:tcBorders>
              <w:bottom w:val="single" w:sz="8" w:color="70AD47"/>
              <w:right w:val="single" w:sz="8" w:color="70AD47"/>
            </w:tcBorders>
          </w:tcPr>
          <w:p>
            <w:pPr>
              <w:spacing w:after="0"/>
              <w:rPr>
                <w:sz w:val="19"/>
                <w:szCs w:val="19"/>
                <w:color w:val="auto"/>
              </w:rPr>
            </w:pPr>
          </w:p>
        </w:tc>
      </w:tr>
      <w:tr>
        <w:trPr>
          <w:trHeight w:val="223"/>
        </w:trPr>
        <w:tc>
          <w:tcPr>
            <w:tcW w:w="992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Total identifiable net assets at fair value</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8"/>
                <w:szCs w:val="18"/>
                <w:b w:val="1"/>
                <w:bCs w:val="1"/>
                <w:color w:val="auto"/>
              </w:rPr>
              <w:t>€25,274</w:t>
            </w:r>
          </w:p>
        </w:tc>
      </w:tr>
      <w:tr>
        <w:trPr>
          <w:trHeight w:val="453"/>
        </w:trPr>
        <w:tc>
          <w:tcPr>
            <w:tcW w:w="992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color w:val="auto"/>
              </w:rPr>
              <w:t>Provisional goodwill from the acquisition</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8"/>
                <w:szCs w:val="18"/>
                <w:color w:val="auto"/>
              </w:rPr>
              <w:t>64,616</w:t>
            </w:r>
          </w:p>
        </w:tc>
      </w:tr>
      <w:tr>
        <w:trPr>
          <w:trHeight w:val="223"/>
        </w:trPr>
        <w:tc>
          <w:tcPr>
            <w:tcW w:w="992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Consideration transferred</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8"/>
                <w:szCs w:val="18"/>
                <w:b w:val="1"/>
                <w:bCs w:val="1"/>
                <w:color w:val="auto"/>
              </w:rPr>
              <w:t>€89,890</w:t>
            </w:r>
          </w:p>
        </w:tc>
      </w:tr>
      <w:tr>
        <w:trPr>
          <w:trHeight w:val="223"/>
        </w:trPr>
        <w:tc>
          <w:tcPr>
            <w:tcW w:w="9920" w:type="dxa"/>
            <w:vAlign w:val="bottom"/>
            <w:tcBorders>
              <w:bottom w:val="single" w:sz="8" w:color="70AD47"/>
            </w:tcBorders>
          </w:tcPr>
          <w:p>
            <w:pPr>
              <w:spacing w:after="0"/>
              <w:rPr>
                <w:sz w:val="19"/>
                <w:szCs w:val="19"/>
                <w:color w:val="auto"/>
              </w:rPr>
            </w:pPr>
          </w:p>
        </w:tc>
        <w:tc>
          <w:tcPr>
            <w:tcW w:w="1340" w:type="dxa"/>
            <w:vAlign w:val="bottom"/>
            <w:tcBorders>
              <w:bottom w:val="single" w:sz="8" w:color="70AD47"/>
            </w:tcBorders>
          </w:tcPr>
          <w:p>
            <w:pPr>
              <w:spacing w:after="0"/>
              <w:rPr>
                <w:sz w:val="19"/>
                <w:szCs w:val="19"/>
                <w:color w:val="auto"/>
              </w:rPr>
            </w:pPr>
          </w:p>
        </w:tc>
      </w:tr>
      <w:tr>
        <w:trPr>
          <w:trHeight w:val="222"/>
        </w:trPr>
        <w:tc>
          <w:tcPr>
            <w:tcW w:w="9920" w:type="dxa"/>
            <w:vAlign w:val="bottom"/>
            <w:tcBorders>
              <w:right w:val="single" w:sz="8" w:color="70AD47"/>
            </w:tcBorders>
          </w:tcPr>
          <w:p>
            <w:pPr>
              <w:spacing w:after="0"/>
              <w:rPr>
                <w:sz w:val="20"/>
                <w:szCs w:val="20"/>
                <w:color w:val="auto"/>
              </w:rPr>
            </w:pPr>
            <w:r>
              <w:rPr>
                <w:rFonts w:ascii="Arial" w:cs="Arial" w:eastAsia="Arial" w:hAnsi="Arial"/>
                <w:sz w:val="18"/>
                <w:szCs w:val="18"/>
                <w:b w:val="1"/>
                <w:bCs w:val="1"/>
                <w:color w:val="auto"/>
              </w:rPr>
              <w:t>Consideration</w:t>
            </w:r>
          </w:p>
        </w:tc>
        <w:tc>
          <w:tcPr>
            <w:tcW w:w="1340" w:type="dxa"/>
            <w:vAlign w:val="bottom"/>
            <w:tcBorders>
              <w:right w:val="single" w:sz="8" w:color="70AD47"/>
            </w:tcBorders>
          </w:tcPr>
          <w:p>
            <w:pPr>
              <w:spacing w:after="0"/>
              <w:rPr>
                <w:sz w:val="19"/>
                <w:szCs w:val="19"/>
                <w:color w:val="auto"/>
              </w:rPr>
            </w:pPr>
          </w:p>
        </w:tc>
      </w:tr>
      <w:tr>
        <w:trPr>
          <w:trHeight w:val="230"/>
        </w:trPr>
        <w:tc>
          <w:tcPr>
            <w:tcW w:w="9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Shares issued, at fair value</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89,548</w:t>
            </w:r>
          </w:p>
        </w:tc>
      </w:tr>
      <w:tr>
        <w:trPr>
          <w:trHeight w:val="230"/>
        </w:trPr>
        <w:tc>
          <w:tcPr>
            <w:tcW w:w="9920" w:type="dxa"/>
            <w:vAlign w:val="bottom"/>
            <w:tcBorders>
              <w:bottom w:val="single" w:sz="8" w:color="70AD47"/>
              <w:right w:val="single" w:sz="8" w:color="70AD47"/>
            </w:tcBorders>
          </w:tcPr>
          <w:p>
            <w:pPr>
              <w:ind w:left="140"/>
              <w:spacing w:after="0"/>
              <w:rPr>
                <w:sz w:val="20"/>
                <w:szCs w:val="20"/>
                <w:color w:val="auto"/>
              </w:rPr>
            </w:pPr>
            <w:r>
              <w:rPr>
                <w:rFonts w:ascii="Arial" w:cs="Arial" w:eastAsia="Arial" w:hAnsi="Arial"/>
                <w:sz w:val="18"/>
                <w:szCs w:val="18"/>
                <w:color w:val="auto"/>
              </w:rPr>
              <w:t>Cash paid</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8"/>
                <w:szCs w:val="18"/>
                <w:color w:val="auto"/>
              </w:rPr>
              <w:t>342</w:t>
            </w:r>
          </w:p>
        </w:tc>
      </w:tr>
      <w:tr>
        <w:trPr>
          <w:trHeight w:val="223"/>
        </w:trPr>
        <w:tc>
          <w:tcPr>
            <w:tcW w:w="992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Total consideration</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8"/>
                <w:szCs w:val="18"/>
                <w:b w:val="1"/>
                <w:bCs w:val="1"/>
                <w:color w:val="auto"/>
              </w:rPr>
              <w:t>€89,890</w:t>
            </w:r>
          </w:p>
        </w:tc>
      </w:tr>
    </w:tbl>
    <w:p>
      <w:pPr>
        <w:spacing w:after="0" w:line="200" w:lineRule="exact"/>
        <w:rPr>
          <w:sz w:val="20"/>
          <w:szCs w:val="20"/>
          <w:color w:val="auto"/>
        </w:rPr>
      </w:pPr>
    </w:p>
    <w:p>
      <w:pPr>
        <w:spacing w:after="0" w:line="242"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During the measurement period, further considerations will be made especially with respect to the recoverability of tax losses carried forward. This will potentially have an impact on the identifiable net assets and the respective goodwill.</w:t>
      </w:r>
    </w:p>
    <w:p>
      <w:pPr>
        <w:spacing w:after="0" w:line="177"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The interim condensed consolidated statement of operations includes the result of BioNTech US since the acquisition date. From the date of acquisition through June 30. 2020, BioNTech US contributed k€7,353 to the operating loss in all biotech business unit operating segments of the Group, primarily in the Technology Platform segment. If the transaction had occurred at the beginning of the reporting period, k€38,643 would have contributed to the operating loss. This amount includes expenses resulting from the Merger and should not necessarily be considered representative of the future consolidated results of operations or financial condition on a consolidated basis. From the date of acquisition, BioNTech US did not generate any revenue and no revenue would have been generated if the transaction had occurred at the beginning of the reporting period.</w:t>
      </w:r>
    </w:p>
    <w:p>
      <w:pPr>
        <w:spacing w:after="0" w:line="193"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Provisional goodwill recognized is primarily attributable to the expected synergies and other benefits from combining two organizations with a common culture of pioneering translational science and a shared vision for the future of cancer immunotherapy as described above. The provisional goodwill resulting from the BioNTech US acquisition during the six months ended June 30, 2020 was provisionally allocated to the Technology Platform segment.</w:t>
      </w:r>
    </w:p>
    <w:p>
      <w:pPr>
        <w:spacing w:after="0" w:line="198" w:lineRule="exact"/>
        <w:rPr>
          <w:sz w:val="20"/>
          <w:szCs w:val="20"/>
          <w:color w:val="auto"/>
        </w:rPr>
      </w:pPr>
    </w:p>
    <w:p>
      <w:pPr>
        <w:ind w:left="110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973" w:right="319" w:bottom="1440" w:gutter="0" w:footer="0" w:header="0"/>
        </w:sectPr>
      </w:pPr>
    </w:p>
    <w:bookmarkStart w:id="31" w:name="page32"/>
    <w:bookmarkEnd w:id="31"/>
    <w:p>
      <w:pPr>
        <w:jc w:val="both"/>
        <w:ind w:right="20"/>
        <w:spacing w:after="0" w:line="26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Transaction costs of k€1,044 relating to the acquisition have been expensed and are included in the general and administrative expenses in the interim condensed consolidated statement of operations. To the extent that costs have already been invoiced and paid, k€1,007, they are included in cash flows used in operating activities in the interim condensed consolidated statement of cash flows. The attributable costs of the issuance of the shares of k€1,320 were recorded in equity as a deduction from the capital reserve and are included in cash flows from financing activities in the interim condensed consolidated statement of cash flows.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Lipocalyx GmbH</w:t>
      </w:r>
    </w:p>
    <w:p>
      <w:pPr>
        <w:spacing w:after="0" w:line="114" w:lineRule="exact"/>
        <w:rPr>
          <w:sz w:val="20"/>
          <w:szCs w:val="20"/>
          <w:color w:val="auto"/>
        </w:rPr>
      </w:pPr>
    </w:p>
    <w:p>
      <w:pPr>
        <w:jc w:val="both"/>
        <w:ind w:right="20"/>
        <w:spacing w:after="0" w:line="260" w:lineRule="auto"/>
        <w:rPr>
          <w:sz w:val="20"/>
          <w:szCs w:val="20"/>
          <w:color w:val="auto"/>
        </w:rPr>
      </w:pPr>
      <w:r>
        <w:rPr>
          <w:rFonts w:ascii="Arial" w:cs="Arial" w:eastAsia="Arial" w:hAnsi="Arial"/>
          <w:sz w:val="19"/>
          <w:szCs w:val="19"/>
          <w:color w:val="auto"/>
        </w:rPr>
        <w:t>In December 2019, BioNTech Delivery Technologies GmbH (previously BioNTech Protein Therapeutics GmbH), or BioNTech Delivery Technologies, a wholly owned subsidiary of BioNTech SE, entered into an agreement to acquire all assets, employees and proprietary know-how of Lipocalyx GmbH, or Lipocalyx, and its related parties in exchange for a total consideration of cash at an amount of k€6,516 and additional contingent consideration estimated at the closing date of January 6, 2020 at an amount of k€572. The employees of Lipocalyx were transferred automatically to BioNTech Delivery Technologies with effect as of the closing date.</w:t>
      </w:r>
    </w:p>
    <w:p>
      <w:pPr>
        <w:spacing w:after="0" w:line="18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Group acquired the assets of Lipocalyx and its related parties to combine the acquired technologies and the related know-how with already existing product candidates of the Group to improve their functionality and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final fair values of the identifiable net assets of Lipocalyx as at the date of acquisition were: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99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recognized on</w:t>
            </w:r>
          </w:p>
        </w:tc>
      </w:tr>
      <w:tr>
        <w:trPr>
          <w:trHeight w:val="234"/>
        </w:trPr>
        <w:tc>
          <w:tcPr>
            <w:tcW w:w="99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acquisition</w:t>
            </w:r>
          </w:p>
        </w:tc>
      </w:tr>
      <w:tr>
        <w:trPr>
          <w:trHeight w:val="230"/>
        </w:trPr>
        <w:tc>
          <w:tcPr>
            <w:tcW w:w="992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18"/>
                <w:szCs w:val="18"/>
                <w:color w:val="auto"/>
                <w:w w:val="95"/>
              </w:rPr>
              <w:t>Lipocalyx GmbH</w:t>
            </w:r>
          </w:p>
        </w:tc>
      </w:tr>
      <w:tr>
        <w:trPr>
          <w:trHeight w:val="222"/>
        </w:trPr>
        <w:tc>
          <w:tcPr>
            <w:tcW w:w="9920" w:type="dxa"/>
            <w:vAlign w:val="bottom"/>
            <w:tcBorders>
              <w:right w:val="single" w:sz="8" w:color="70AD47"/>
            </w:tcBorders>
          </w:tcPr>
          <w:p>
            <w:pPr>
              <w:spacing w:after="0"/>
              <w:rPr>
                <w:sz w:val="20"/>
                <w:szCs w:val="20"/>
                <w:color w:val="auto"/>
              </w:rPr>
            </w:pPr>
            <w:r>
              <w:rPr>
                <w:rFonts w:ascii="Arial" w:cs="Arial" w:eastAsia="Arial" w:hAnsi="Arial"/>
                <w:sz w:val="18"/>
                <w:szCs w:val="18"/>
                <w:b w:val="1"/>
                <w:bCs w:val="1"/>
                <w:color w:val="auto"/>
              </w:rPr>
              <w:t>Assets</w:t>
            </w:r>
          </w:p>
        </w:tc>
        <w:tc>
          <w:tcPr>
            <w:tcW w:w="1340" w:type="dxa"/>
            <w:vAlign w:val="bottom"/>
            <w:tcBorders>
              <w:right w:val="single" w:sz="8" w:color="70AD47"/>
            </w:tcBorders>
          </w:tcPr>
          <w:p>
            <w:pPr>
              <w:spacing w:after="0"/>
              <w:rPr>
                <w:sz w:val="19"/>
                <w:szCs w:val="19"/>
                <w:color w:val="auto"/>
              </w:rPr>
            </w:pPr>
          </w:p>
        </w:tc>
      </w:tr>
      <w:tr>
        <w:trPr>
          <w:trHeight w:val="230"/>
        </w:trPr>
        <w:tc>
          <w:tcPr>
            <w:tcW w:w="9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Goodwill</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€896</w:t>
            </w:r>
          </w:p>
        </w:tc>
      </w:tr>
      <w:tr>
        <w:trPr>
          <w:trHeight w:val="229"/>
        </w:trPr>
        <w:tc>
          <w:tcPr>
            <w:tcW w:w="9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Other intangible assets</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5,978</w:t>
            </w:r>
          </w:p>
        </w:tc>
      </w:tr>
      <w:tr>
        <w:trPr>
          <w:trHeight w:val="230"/>
        </w:trPr>
        <w:tc>
          <w:tcPr>
            <w:tcW w:w="9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Property, plant and equipment</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9920" w:type="dxa"/>
            <w:vAlign w:val="bottom"/>
            <w:tcBorders>
              <w:bottom w:val="single" w:sz="8" w:color="70AD47"/>
              <w:right w:val="single" w:sz="8" w:color="70AD47"/>
            </w:tcBorders>
          </w:tcPr>
          <w:p>
            <w:pPr>
              <w:ind w:left="140"/>
              <w:spacing w:after="0"/>
              <w:rPr>
                <w:sz w:val="20"/>
                <w:szCs w:val="20"/>
                <w:color w:val="auto"/>
              </w:rPr>
            </w:pPr>
            <w:r>
              <w:rPr>
                <w:rFonts w:ascii="Arial" w:cs="Arial" w:eastAsia="Arial" w:hAnsi="Arial"/>
                <w:sz w:val="18"/>
                <w:szCs w:val="18"/>
                <w:color w:val="auto"/>
              </w:rPr>
              <w:t>Inventories</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8"/>
                <w:szCs w:val="18"/>
                <w:color w:val="auto"/>
              </w:rPr>
              <w:t>139</w:t>
            </w:r>
          </w:p>
        </w:tc>
      </w:tr>
      <w:tr>
        <w:trPr>
          <w:trHeight w:val="223"/>
        </w:trPr>
        <w:tc>
          <w:tcPr>
            <w:tcW w:w="992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Total identifiable net assets at fair value</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8"/>
                <w:szCs w:val="18"/>
                <w:b w:val="1"/>
                <w:bCs w:val="1"/>
                <w:color w:val="auto"/>
              </w:rPr>
              <w:t>€7,088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40575" cy="6083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0575" cy="608330"/>
                    </a:xfrm>
                    <a:prstGeom prst="rect">
                      <a:avLst/>
                    </a:prstGeom>
                    <a:noFill/>
                  </pic:spPr>
                </pic:pic>
              </a:graphicData>
            </a:graphic>
          </wp:anchor>
        </w:drawing>
      </w:r>
    </w:p>
    <w:p>
      <w:pPr>
        <w:sectPr>
          <w:pgSz w:w="11900" w:h="16838" w:orient="portrait"/>
          <w:cols w:equalWidth="0" w:num="1">
            <w:col w:w="11260"/>
          </w:cols>
          <w:pgMar w:left="320" w:top="973" w:right="31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Cash paid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Contingent consideration liability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€6,516</w:t>
      </w:r>
    </w:p>
    <w:p>
      <w:pPr>
        <w:spacing w:after="0" w:line="5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572</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€7,088</w:t>
      </w:r>
    </w:p>
    <w:p>
      <w:pPr>
        <w:spacing w:after="0" w:line="234" w:lineRule="exact"/>
        <w:rPr>
          <w:sz w:val="20"/>
          <w:szCs w:val="20"/>
          <w:color w:val="auto"/>
        </w:rPr>
      </w:pPr>
    </w:p>
    <w:p>
      <w:pPr>
        <w:sectPr>
          <w:pgSz w:w="11900" w:h="16838" w:orient="portrait"/>
          <w:cols w:equalWidth="0" w:num="2">
            <w:col w:w="10020" w:space="720"/>
            <w:col w:w="520"/>
          </w:cols>
          <w:pgMar w:left="320" w:top="973" w:right="319" w:bottom="1440" w:gutter="0" w:footer="0" w:header="0"/>
          <w:type w:val="continuous"/>
        </w:sectPr>
      </w:pPr>
    </w:p>
    <w:p>
      <w:pPr>
        <w:spacing w:after="0" w:line="283"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The interim condensed consolidated statement of operations includes the result of Lipocalyx since the acquisition date. From the date of acquisition, Lipocalyx contributed k€707 to operating loss in the Technology Platform business segment of the Group. From the date of acquisition through June 30, 2020, Lipocalyx generated k€176 in revenues. Given the timing of closing, the contribution to operating loss and revenues, if the transaction had occurred at the beginning of the reporting period, would not differ materially. Goodwill recognized is primarily attributed to the expected synergies and other benefits from combining the assets and activities of Lipocalyx with those of the Group. The goodwill resulting from the Lipocalyx acquisition during the six months ended June 30, 2020 was allocated to the Technology Platform segment.</w:t>
      </w:r>
    </w:p>
    <w:p>
      <w:pPr>
        <w:spacing w:after="0" w:line="20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973" w:right="319" w:bottom="1440" w:gutter="0" w:footer="0" w:header="0"/>
          <w:type w:val="continuous"/>
        </w:sectPr>
      </w:pPr>
    </w:p>
    <w:bookmarkStart w:id="32" w:name="page33"/>
    <w:bookmarkEnd w:id="32"/>
    <w:p>
      <w:pPr>
        <w:jc w:val="both"/>
        <w:spacing w:after="0" w:line="25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Transaction costs of k€17 relating to the acquisition have been expensed and are included in the general and administrative expenses in the interim condensed consolidated statement of operations and are included in cash flows used in operating activities in the interim condensed consolidated statement of cash flows.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The purchase agreement with Lipocalyx includes the following contingent cash considerations to the previous owners:</w:t>
      </w:r>
    </w:p>
    <w:p>
      <w:pPr>
        <w:spacing w:after="0" w:line="108" w:lineRule="exact"/>
        <w:rPr>
          <w:sz w:val="20"/>
          <w:szCs w:val="20"/>
          <w:color w:val="auto"/>
        </w:rPr>
      </w:pPr>
    </w:p>
    <w:p>
      <w:pPr>
        <w:jc w:val="both"/>
        <w:ind w:left="900" w:hanging="447"/>
        <w:spacing w:after="0" w:line="245" w:lineRule="auto"/>
        <w:tabs>
          <w:tab w:leader="none" w:pos="9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k€1,000 upon successful completion of a Phase 1 clinical trial designed to show and establish a sufficient safety margin justifying further development of the first pharmaceutical product relating to acquired technologies formulated in a manner covered by a valid granted claim in a major country of a patent within the assigned IP rights; and</w:t>
      </w:r>
    </w:p>
    <w:p>
      <w:pPr>
        <w:jc w:val="both"/>
        <w:ind w:left="900" w:hanging="447"/>
        <w:spacing w:after="0" w:line="29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k€1,000 upon successful completion of the first Phase 2 clinical trial of the first pharmaceutical product relating to acquired technologies formulated in a manner covered by a valid granted claim in a major country of a patent within the assigned IP rights.</w:t>
      </w:r>
    </w:p>
    <w:p>
      <w:pPr>
        <w:spacing w:after="0" w:line="14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At the acquisition date, the fair value of the contingent consideration was k€572. The contingent consideration is presented in ‘non-current financial liabilities’ in the interim condensed consolidated statements of financial position.</w:t>
      </w:r>
    </w:p>
    <w:p>
      <w:pPr>
        <w:spacing w:after="0" w:line="385" w:lineRule="exact"/>
        <w:rPr>
          <w:sz w:val="20"/>
          <w:szCs w:val="20"/>
          <w:color w:val="auto"/>
        </w:rPr>
      </w:pPr>
    </w:p>
    <w:p>
      <w:pPr>
        <w:ind w:left="720" w:hanging="712"/>
        <w:spacing w:after="0"/>
        <w:tabs>
          <w:tab w:leader="none" w:pos="720" w:val="left"/>
        </w:tabs>
        <w:numPr>
          <w:ilvl w:val="0"/>
          <w:numId w:val="35"/>
        </w:numPr>
        <w:rPr>
          <w:rFonts w:ascii="Arial" w:cs="Arial" w:eastAsia="Arial" w:hAnsi="Arial"/>
          <w:sz w:val="29"/>
          <w:szCs w:val="29"/>
          <w:color w:val="auto"/>
        </w:rPr>
      </w:pPr>
      <w:r>
        <w:rPr>
          <w:rFonts w:ascii="Arial" w:cs="Arial" w:eastAsia="Arial" w:hAnsi="Arial"/>
          <w:sz w:val="29"/>
          <w:szCs w:val="29"/>
          <w:color w:val="auto"/>
        </w:rPr>
        <w:t>Income Tax</w:t>
      </w:r>
    </w:p>
    <w:p>
      <w:pPr>
        <w:spacing w:after="0" w:line="11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Group calculates the interim income tax expense using the tax rate that would be applicable to the expected total annual earnings. Deferred tax assets on tax losses of subsidiaries incorporated in Germany have not been capitalized as there is not sufficient probability that there will be future taxable profits against which the unused tax losses can be utilized. Deferred tax assets calculated from tax losses of subsidiaries incorporated in the United States incurred since the acquisition of BioNTech US have been recorded in an amount of k€2,317. Deferred tax assets have been offset with deferred tax liabilities recognized as part of the acquisition of BioNTech US (see Note 5) given that the conditions to offset were fulfilled. Accumulated tax losses relate to Germany and the United States. There is no expiration date for any of the accumulated tax losses under German tax law. With respect to accumulated losses incurred at the level of BioNTech USA Holding LLC and BioNTech Research and Development Inc. since their incorporation and tax losses of BioNTech US since the acquisition of BioNTech US there is no expiration date under U.S. tax law.</w:t>
      </w:r>
    </w:p>
    <w:p>
      <w:pPr>
        <w:spacing w:after="0" w:line="393" w:lineRule="exact"/>
        <w:rPr>
          <w:sz w:val="20"/>
          <w:szCs w:val="20"/>
          <w:color w:val="auto"/>
        </w:rPr>
      </w:pPr>
    </w:p>
    <w:p>
      <w:pPr>
        <w:ind w:left="720" w:hanging="712"/>
        <w:spacing w:after="0"/>
        <w:tabs>
          <w:tab w:leader="none" w:pos="720" w:val="left"/>
        </w:tabs>
        <w:numPr>
          <w:ilvl w:val="0"/>
          <w:numId w:val="36"/>
        </w:numPr>
        <w:rPr>
          <w:rFonts w:ascii="Arial" w:cs="Arial" w:eastAsia="Arial" w:hAnsi="Arial"/>
          <w:sz w:val="29"/>
          <w:szCs w:val="29"/>
          <w:color w:val="auto"/>
        </w:rPr>
      </w:pPr>
      <w:r>
        <w:rPr>
          <w:rFonts w:ascii="Arial" w:cs="Arial" w:eastAsia="Arial" w:hAnsi="Arial"/>
          <w:sz w:val="29"/>
          <w:szCs w:val="29"/>
          <w:color w:val="auto"/>
        </w:rPr>
        <w:t>Intangible Assets</w:t>
      </w:r>
    </w:p>
    <w:p>
      <w:pPr>
        <w:spacing w:after="0" w:line="11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During the six months ended June 30, 2020, the Group acquired intangible assets with a cost of k€4,175 (six months ended June 30, 2019: k€10,451), excluding intangible assets acquired through business combinations (see Note 5). The acquisitions during the six months ended June 30, 2020 mainly related to advance payments (k€2,957) as well as concessions, licenses, in-process R&amp;D and similar rights (k€1,218). During the six months ended June 30, 2019, the acquisitions mainly related to concessions, licenses, in-process R&amp;D and similar rights (k€7,029) as well as to advance payments (k€3,422).</w:t>
      </w:r>
    </w:p>
    <w:p>
      <w:pPr>
        <w:spacing w:after="0" w:line="200" w:lineRule="exact"/>
        <w:rPr>
          <w:sz w:val="20"/>
          <w:szCs w:val="20"/>
          <w:color w:val="auto"/>
        </w:rPr>
      </w:pPr>
    </w:p>
    <w:p>
      <w:pPr>
        <w:spacing w:after="0" w:line="203" w:lineRule="exact"/>
        <w:rPr>
          <w:sz w:val="20"/>
          <w:szCs w:val="20"/>
          <w:color w:val="auto"/>
        </w:rPr>
      </w:pPr>
    </w:p>
    <w:p>
      <w:pPr>
        <w:ind w:left="720" w:hanging="712"/>
        <w:spacing w:after="0"/>
        <w:tabs>
          <w:tab w:leader="none" w:pos="720" w:val="left"/>
        </w:tabs>
        <w:numPr>
          <w:ilvl w:val="0"/>
          <w:numId w:val="37"/>
        </w:numPr>
        <w:rPr>
          <w:rFonts w:ascii="Arial" w:cs="Arial" w:eastAsia="Arial" w:hAnsi="Arial"/>
          <w:sz w:val="29"/>
          <w:szCs w:val="29"/>
          <w:color w:val="auto"/>
        </w:rPr>
      </w:pPr>
      <w:r>
        <w:rPr>
          <w:rFonts w:ascii="Arial" w:cs="Arial" w:eastAsia="Arial" w:hAnsi="Arial"/>
          <w:sz w:val="29"/>
          <w:szCs w:val="29"/>
          <w:color w:val="auto"/>
        </w:rPr>
        <w:t>Property, Plant and Equipment</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During the six months ended June 30, 2020, the Group acquired property, plant and equipment with a cost of k€21,396 (six months ended June 30, 2019: k€10,609), excluding property, plant and equipment acquired through business combinations (see Note 5). The acquisitions during the six months ended June 30, 2020 were related to construction in progress and advance payments (k€14,780), equipment, tools and installations (k€4,201) as well as land and buildings (k€2,415). During the six months ended</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33" w:name="page34"/>
    <w:bookmarkEnd w:id="33"/>
    <w:p>
      <w:pPr>
        <w:ind w:right="20"/>
        <w:spacing w:after="0" w:line="26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June 30, 2019, the acquisitions were related to equipment, tools and installations (k€5,743), construction in progress and advance payments (k€4,224) as well as land and buildings (k€642).</w:t>
      </w:r>
    </w:p>
    <w:p>
      <w:pPr>
        <w:spacing w:after="0" w:line="385" w:lineRule="exact"/>
        <w:rPr>
          <w:sz w:val="20"/>
          <w:szCs w:val="20"/>
          <w:color w:val="auto"/>
        </w:rPr>
      </w:pPr>
    </w:p>
    <w:p>
      <w:pPr>
        <w:ind w:left="720" w:hanging="712"/>
        <w:spacing w:after="0"/>
        <w:tabs>
          <w:tab w:leader="none" w:pos="720" w:val="left"/>
        </w:tabs>
        <w:numPr>
          <w:ilvl w:val="0"/>
          <w:numId w:val="38"/>
        </w:numPr>
        <w:rPr>
          <w:rFonts w:ascii="Arial" w:cs="Arial" w:eastAsia="Arial" w:hAnsi="Arial"/>
          <w:sz w:val="29"/>
          <w:szCs w:val="29"/>
          <w:color w:val="auto"/>
        </w:rPr>
      </w:pPr>
      <w:r>
        <w:rPr>
          <w:rFonts w:ascii="Arial" w:cs="Arial" w:eastAsia="Arial" w:hAnsi="Arial"/>
          <w:sz w:val="29"/>
          <w:szCs w:val="29"/>
          <w:color w:val="auto"/>
        </w:rPr>
        <w:t>Financial Assets and Financial Liabilities</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color w:val="auto"/>
        </w:rPr>
        <w:t>Set out below, is an overview of financial assets, other than cash and cash equivalents, held by the Group as of June 30, 2020 and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2019:</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r>
              <w:rPr>
                <w:rFonts w:ascii="Arial" w:cs="Arial" w:eastAsia="Arial" w:hAnsi="Arial"/>
                <w:sz w:val="18"/>
                <w:szCs w:val="18"/>
                <w:b w:val="1"/>
                <w:bCs w:val="1"/>
                <w:color w:val="auto"/>
              </w:rPr>
              <w:t>Financial assets at amortized cost</w:t>
            </w:r>
          </w:p>
        </w:tc>
        <w:tc>
          <w:tcPr>
            <w:tcW w:w="1340" w:type="dxa"/>
            <w:vAlign w:val="bottom"/>
          </w:tcPr>
          <w:p>
            <w:pPr>
              <w:spacing w:after="0"/>
              <w:rPr>
                <w:sz w:val="20"/>
                <w:szCs w:val="20"/>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8580" w:type="dxa"/>
            <w:vAlign w:val="bottom"/>
            <w:tcBorders>
              <w:right w:val="single" w:sz="8" w:color="70AD47"/>
            </w:tcBorders>
            <w:vMerge w:val="restart"/>
          </w:tcPr>
          <w:p>
            <w:pPr>
              <w:spacing w:after="0"/>
              <w:rPr>
                <w:sz w:val="20"/>
                <w:szCs w:val="20"/>
                <w:color w:val="auto"/>
              </w:rPr>
            </w:pPr>
            <w:r>
              <w:rPr>
                <w:rFonts w:ascii="Arial" w:cs="Arial" w:eastAsia="Arial" w:hAnsi="Arial"/>
                <w:sz w:val="18"/>
                <w:szCs w:val="18"/>
                <w:i w:val="1"/>
                <w:iCs w:val="1"/>
                <w:color w:val="auto"/>
              </w:rPr>
              <w:t>Purchased services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June 30,</w:t>
            </w:r>
          </w:p>
        </w:tc>
        <w:tc>
          <w:tcPr>
            <w:tcW w:w="1320" w:type="dxa"/>
            <w:vAlign w:val="bottom"/>
            <w:vMerge w:val="continue"/>
          </w:tcPr>
          <w:p>
            <w:pPr>
              <w:spacing w:after="0"/>
              <w:rPr>
                <w:sz w:val="18"/>
                <w:szCs w:val="18"/>
                <w:color w:val="auto"/>
              </w:rPr>
            </w:pP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8580" w:type="dxa"/>
            <w:vAlign w:val="bottom"/>
            <w:tcBorders>
              <w:right w:val="single" w:sz="8" w:color="70AD47"/>
            </w:tcBorders>
            <w:vMerge w:val="continue"/>
          </w:tcPr>
          <w:p>
            <w:pPr>
              <w:spacing w:after="0"/>
              <w:rPr>
                <w:sz w:val="10"/>
                <w:szCs w:val="10"/>
                <w:color w:val="auto"/>
              </w:rPr>
            </w:pPr>
          </w:p>
        </w:tc>
        <w:tc>
          <w:tcPr>
            <w:tcW w:w="134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0" w:type="dxa"/>
            <w:vAlign w:val="bottom"/>
            <w:shd w:val="clear" w:color="auto" w:fill="70AD47"/>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580" w:type="dxa"/>
            <w:vAlign w:val="bottom"/>
            <w:tcBorders>
              <w:bottom w:val="single" w:sz="8" w:color="70AD47"/>
              <w:right w:val="single" w:sz="8" w:color="70AD47"/>
            </w:tcBorders>
          </w:tcPr>
          <w:p>
            <w:pPr>
              <w:spacing w:after="0"/>
              <w:rPr>
                <w:sz w:val="9"/>
                <w:szCs w:val="9"/>
                <w:color w:val="auto"/>
              </w:rPr>
            </w:pPr>
          </w:p>
        </w:tc>
        <w:tc>
          <w:tcPr>
            <w:tcW w:w="1340" w:type="dxa"/>
            <w:vAlign w:val="bottom"/>
            <w:tcBorders>
              <w:bottom w:val="single" w:sz="8" w:color="70AD47"/>
              <w:right w:val="single" w:sz="8" w:color="70AD47"/>
            </w:tcBorders>
            <w:vMerge w:val="continue"/>
            <w:shd w:val="clear" w:color="auto" w:fill="C6E0B4"/>
          </w:tcPr>
          <w:p>
            <w:pPr>
              <w:spacing w:after="0"/>
              <w:rPr>
                <w:sz w:val="9"/>
                <w:szCs w:val="9"/>
                <w:color w:val="auto"/>
              </w:rPr>
            </w:pPr>
          </w:p>
        </w:tc>
        <w:tc>
          <w:tcPr>
            <w:tcW w:w="1320" w:type="dxa"/>
            <w:vAlign w:val="bottom"/>
            <w:tcBorders>
              <w:bottom w:val="single" w:sz="8" w:color="70AD47"/>
            </w:tcBorders>
            <w:vMerge w:val="continue"/>
          </w:tcPr>
          <w:p>
            <w:pPr>
              <w:spacing w:after="0"/>
              <w:rPr>
                <w:sz w:val="9"/>
                <w:szCs w:val="9"/>
                <w:color w:val="auto"/>
              </w:rPr>
            </w:pPr>
          </w:p>
        </w:tc>
        <w:tc>
          <w:tcPr>
            <w:tcW w:w="20" w:type="dxa"/>
            <w:vAlign w:val="bottom"/>
            <w:tcBorders>
              <w:bottom w:val="single" w:sz="8" w:color="70AD47"/>
            </w:tcBorders>
            <w:shd w:val="clear" w:color="auto" w:fill="70AD47"/>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Trade receivables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€7,679</w:t>
            </w:r>
          </w:p>
        </w:tc>
        <w:tc>
          <w:tcPr>
            <w:tcW w:w="1320" w:type="dxa"/>
            <w:vAlign w:val="bottom"/>
          </w:tcPr>
          <w:p>
            <w:pPr>
              <w:jc w:val="right"/>
              <w:spacing w:after="0"/>
              <w:rPr>
                <w:sz w:val="20"/>
                <w:szCs w:val="20"/>
                <w:color w:val="auto"/>
              </w:rPr>
            </w:pPr>
            <w:r>
              <w:rPr>
                <w:rFonts w:ascii="Arial" w:cs="Arial" w:eastAsia="Arial" w:hAnsi="Arial"/>
                <w:sz w:val="18"/>
                <w:szCs w:val="18"/>
                <w:color w:val="auto"/>
              </w:rPr>
              <w:t>€11,913</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color w:val="auto"/>
              </w:rPr>
              <w:t>Other financial assets</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1,953</w:t>
            </w:r>
          </w:p>
        </w:tc>
        <w:tc>
          <w:tcPr>
            <w:tcW w:w="132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1,680</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€9,632</w:t>
            </w:r>
          </w:p>
        </w:tc>
        <w:tc>
          <w:tcPr>
            <w:tcW w:w="132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rPr>
              <w:t>€13,593</w:t>
            </w: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Total current</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9,632</w:t>
            </w:r>
          </w:p>
        </w:tc>
        <w:tc>
          <w:tcPr>
            <w:tcW w:w="1320" w:type="dxa"/>
            <w:vAlign w:val="bottom"/>
          </w:tcPr>
          <w:p>
            <w:pPr>
              <w:jc w:val="right"/>
              <w:spacing w:after="0"/>
              <w:rPr>
                <w:sz w:val="20"/>
                <w:szCs w:val="20"/>
                <w:color w:val="auto"/>
              </w:rPr>
            </w:pPr>
            <w:r>
              <w:rPr>
                <w:rFonts w:ascii="Arial" w:cs="Arial" w:eastAsia="Arial" w:hAnsi="Arial"/>
                <w:sz w:val="18"/>
                <w:szCs w:val="18"/>
                <w:color w:val="auto"/>
              </w:rPr>
              <w:t>13,593</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color w:val="auto"/>
              </w:rPr>
              <w:t>Total non-current</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Set out below, is an overview of financial liabilities held by the Group as of June 30, 2020 and December 31, 2019:</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Arial" w:cs="Arial" w:eastAsia="Arial" w:hAnsi="Arial"/>
                <w:sz w:val="18"/>
                <w:szCs w:val="18"/>
                <w:b w:val="1"/>
                <w:bCs w:val="1"/>
                <w:color w:val="auto"/>
                <w:w w:val="96"/>
              </w:rPr>
              <w:t>Financial liabilities at amortized cost (including interest-bearing loans and borrowings)</w:t>
            </w:r>
          </w:p>
        </w:tc>
        <w:tc>
          <w:tcPr>
            <w:tcW w:w="1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200" w:type="dxa"/>
            <w:vAlign w:val="bottom"/>
            <w:vMerge w:val="restart"/>
          </w:tcPr>
          <w:p>
            <w:pPr>
              <w:spacing w:after="0"/>
              <w:rPr>
                <w:sz w:val="20"/>
                <w:szCs w:val="20"/>
                <w:color w:val="auto"/>
              </w:rPr>
            </w:pPr>
            <w:r>
              <w:rPr>
                <w:rFonts w:ascii="Arial" w:cs="Arial" w:eastAsia="Arial" w:hAnsi="Arial"/>
                <w:sz w:val="18"/>
                <w:szCs w:val="18"/>
                <w:i w:val="1"/>
                <w:iCs w:val="1"/>
                <w:color w:val="auto"/>
              </w:rPr>
              <w:t>Purchased services</w:t>
            </w:r>
          </w:p>
        </w:tc>
        <w:tc>
          <w:tcPr>
            <w:tcW w:w="1380" w:type="dxa"/>
            <w:vAlign w:val="bottom"/>
            <w:tcBorders>
              <w:right w:val="single" w:sz="8" w:color="70AD47"/>
            </w:tcBorders>
            <w:vMerge w:val="restart"/>
          </w:tcPr>
          <w:p>
            <w:pPr>
              <w:jc w:val="right"/>
              <w:spacing w:after="0"/>
              <w:rPr>
                <w:sz w:val="20"/>
                <w:szCs w:val="20"/>
                <w:color w:val="auto"/>
              </w:rPr>
            </w:pPr>
            <w:r>
              <w:rPr>
                <w:rFonts w:ascii="Arial" w:cs="Arial" w:eastAsia="Arial" w:hAnsi="Arial"/>
                <w:sz w:val="18"/>
                <w:szCs w:val="18"/>
                <w:b w:val="1"/>
                <w:bCs w:val="1"/>
                <w:color w:val="auto"/>
              </w:rPr>
              <w:t>Maturity</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June 30,</w:t>
            </w:r>
          </w:p>
        </w:tc>
        <w:tc>
          <w:tcPr>
            <w:tcW w:w="1320" w:type="dxa"/>
            <w:vAlign w:val="bottom"/>
            <w:vMerge w:val="continue"/>
          </w:tcPr>
          <w:p>
            <w:pPr>
              <w:spacing w:after="0"/>
              <w:rPr>
                <w:sz w:val="18"/>
                <w:szCs w:val="18"/>
                <w:color w:val="auto"/>
              </w:rPr>
            </w:pP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7200" w:type="dxa"/>
            <w:vAlign w:val="bottom"/>
            <w:vMerge w:val="continue"/>
          </w:tcPr>
          <w:p>
            <w:pPr>
              <w:spacing w:after="0"/>
              <w:rPr>
                <w:sz w:val="10"/>
                <w:szCs w:val="10"/>
                <w:color w:val="auto"/>
              </w:rPr>
            </w:pPr>
          </w:p>
        </w:tc>
        <w:tc>
          <w:tcPr>
            <w:tcW w:w="1380" w:type="dxa"/>
            <w:vAlign w:val="bottom"/>
            <w:tcBorders>
              <w:right w:val="single" w:sz="8" w:color="70AD47"/>
            </w:tcBorders>
            <w:vMerge w:val="continue"/>
          </w:tcPr>
          <w:p>
            <w:pPr>
              <w:spacing w:after="0"/>
              <w:rPr>
                <w:sz w:val="10"/>
                <w:szCs w:val="10"/>
                <w:color w:val="auto"/>
              </w:rPr>
            </w:pPr>
          </w:p>
        </w:tc>
        <w:tc>
          <w:tcPr>
            <w:tcW w:w="134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0" w:type="dxa"/>
            <w:vAlign w:val="bottom"/>
            <w:shd w:val="clear" w:color="auto" w:fill="70AD47"/>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0" w:type="dxa"/>
            <w:vAlign w:val="bottom"/>
            <w:tcBorders>
              <w:bottom w:val="single" w:sz="8" w:color="70AD47"/>
            </w:tcBorders>
          </w:tcPr>
          <w:p>
            <w:pPr>
              <w:spacing w:after="0"/>
              <w:rPr>
                <w:sz w:val="9"/>
                <w:szCs w:val="9"/>
                <w:color w:val="auto"/>
              </w:rPr>
            </w:pPr>
          </w:p>
        </w:tc>
        <w:tc>
          <w:tcPr>
            <w:tcW w:w="1380" w:type="dxa"/>
            <w:vAlign w:val="bottom"/>
            <w:tcBorders>
              <w:bottom w:val="single" w:sz="8" w:color="70AD47"/>
              <w:right w:val="single" w:sz="8" w:color="70AD47"/>
            </w:tcBorders>
          </w:tcPr>
          <w:p>
            <w:pPr>
              <w:spacing w:after="0"/>
              <w:rPr>
                <w:sz w:val="9"/>
                <w:szCs w:val="9"/>
                <w:color w:val="auto"/>
              </w:rPr>
            </w:pPr>
          </w:p>
        </w:tc>
        <w:tc>
          <w:tcPr>
            <w:tcW w:w="1340" w:type="dxa"/>
            <w:vAlign w:val="bottom"/>
            <w:tcBorders>
              <w:bottom w:val="single" w:sz="8" w:color="70AD47"/>
              <w:right w:val="single" w:sz="8" w:color="70AD47"/>
            </w:tcBorders>
            <w:vMerge w:val="continue"/>
            <w:shd w:val="clear" w:color="auto" w:fill="C6E0B4"/>
          </w:tcPr>
          <w:p>
            <w:pPr>
              <w:spacing w:after="0"/>
              <w:rPr>
                <w:sz w:val="9"/>
                <w:szCs w:val="9"/>
                <w:color w:val="auto"/>
              </w:rPr>
            </w:pPr>
          </w:p>
        </w:tc>
        <w:tc>
          <w:tcPr>
            <w:tcW w:w="1320" w:type="dxa"/>
            <w:vAlign w:val="bottom"/>
            <w:tcBorders>
              <w:bottom w:val="single" w:sz="8" w:color="70AD47"/>
            </w:tcBorders>
            <w:vMerge w:val="continue"/>
          </w:tcPr>
          <w:p>
            <w:pPr>
              <w:spacing w:after="0"/>
              <w:rPr>
                <w:sz w:val="9"/>
                <w:szCs w:val="9"/>
                <w:color w:val="auto"/>
              </w:rPr>
            </w:pPr>
          </w:p>
        </w:tc>
        <w:tc>
          <w:tcPr>
            <w:tcW w:w="20" w:type="dxa"/>
            <w:vAlign w:val="bottom"/>
            <w:tcBorders>
              <w:bottom w:val="single" w:sz="8" w:color="70AD47"/>
            </w:tcBorders>
            <w:shd w:val="clear" w:color="auto" w:fill="70AD47"/>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Trade payables</w:t>
            </w:r>
          </w:p>
        </w:tc>
        <w:tc>
          <w:tcPr>
            <w:tcW w:w="1380" w:type="dxa"/>
            <w:vAlign w:val="bottom"/>
            <w:tcBorders>
              <w:right w:val="single" w:sz="8" w:color="70AD47"/>
            </w:tcBorders>
          </w:tcPr>
          <w:p>
            <w:pPr>
              <w:spacing w:after="0"/>
              <w:rPr>
                <w:sz w:val="19"/>
                <w:szCs w:val="19"/>
                <w:color w:val="auto"/>
              </w:rPr>
            </w:pP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€35,690</w:t>
            </w:r>
          </w:p>
        </w:tc>
        <w:tc>
          <w:tcPr>
            <w:tcW w:w="1320" w:type="dxa"/>
            <w:vAlign w:val="bottom"/>
          </w:tcPr>
          <w:p>
            <w:pPr>
              <w:jc w:val="right"/>
              <w:spacing w:after="0"/>
              <w:rPr>
                <w:sz w:val="20"/>
                <w:szCs w:val="20"/>
                <w:color w:val="auto"/>
              </w:rPr>
            </w:pPr>
            <w:r>
              <w:rPr>
                <w:rFonts w:ascii="Arial" w:cs="Arial" w:eastAsia="Arial" w:hAnsi="Arial"/>
                <w:sz w:val="18"/>
                <w:szCs w:val="18"/>
                <w:color w:val="auto"/>
              </w:rPr>
              <w:t>€20,498</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Lease liabilities</w:t>
            </w:r>
          </w:p>
        </w:tc>
        <w:tc>
          <w:tcPr>
            <w:tcW w:w="1380" w:type="dxa"/>
            <w:vAlign w:val="bottom"/>
            <w:tcBorders>
              <w:right w:val="single" w:sz="8" w:color="70AD47"/>
            </w:tcBorders>
          </w:tcPr>
          <w:p>
            <w:pPr>
              <w:spacing w:after="0"/>
              <w:rPr>
                <w:sz w:val="19"/>
                <w:szCs w:val="19"/>
                <w:color w:val="auto"/>
              </w:rPr>
            </w:pP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57,750</w:t>
            </w:r>
          </w:p>
        </w:tc>
        <w:tc>
          <w:tcPr>
            <w:tcW w:w="1320" w:type="dxa"/>
            <w:vAlign w:val="bottom"/>
          </w:tcPr>
          <w:p>
            <w:pPr>
              <w:jc w:val="right"/>
              <w:spacing w:after="0"/>
              <w:rPr>
                <w:sz w:val="20"/>
                <w:szCs w:val="20"/>
                <w:color w:val="auto"/>
              </w:rPr>
            </w:pPr>
            <w:r>
              <w:rPr>
                <w:rFonts w:ascii="Arial" w:cs="Arial" w:eastAsia="Arial" w:hAnsi="Arial"/>
                <w:sz w:val="18"/>
                <w:szCs w:val="18"/>
                <w:color w:val="auto"/>
              </w:rPr>
              <w:t>57,612</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2.15% € 10,000,000 secured bank loan</w:t>
            </w:r>
          </w:p>
        </w:tc>
        <w:tc>
          <w:tcPr>
            <w:tcW w:w="13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12/30/2027</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9,731</w:t>
            </w:r>
          </w:p>
        </w:tc>
        <w:tc>
          <w:tcPr>
            <w:tcW w:w="1320" w:type="dxa"/>
            <w:vAlign w:val="bottom"/>
          </w:tcPr>
          <w:p>
            <w:pPr>
              <w:jc w:val="right"/>
              <w:spacing w:after="0"/>
              <w:rPr>
                <w:sz w:val="20"/>
                <w:szCs w:val="20"/>
                <w:color w:val="auto"/>
              </w:rPr>
            </w:pPr>
            <w:r>
              <w:rPr>
                <w:rFonts w:ascii="Arial" w:cs="Arial" w:eastAsia="Arial" w:hAnsi="Arial"/>
                <w:sz w:val="18"/>
                <w:szCs w:val="18"/>
                <w:color w:val="auto"/>
              </w:rPr>
              <w:t>9,000</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Pr>
          <w:p>
            <w:pPr>
              <w:spacing w:after="0"/>
              <w:rPr>
                <w:sz w:val="20"/>
                <w:szCs w:val="20"/>
                <w:color w:val="auto"/>
              </w:rPr>
            </w:pPr>
            <w:r>
              <w:rPr>
                <w:rFonts w:ascii="Arial" w:cs="Arial" w:eastAsia="Arial" w:hAnsi="Arial"/>
                <w:sz w:val="18"/>
                <w:szCs w:val="18"/>
                <w:color w:val="auto"/>
              </w:rPr>
              <w:t>2.08% € 9,450,000 secured bank loan</w:t>
            </w:r>
          </w:p>
        </w:tc>
        <w:tc>
          <w:tcPr>
            <w:tcW w:w="13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09/30/2028</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9,508</w:t>
            </w:r>
          </w:p>
        </w:tc>
        <w:tc>
          <w:tcPr>
            <w:tcW w:w="1320" w:type="dxa"/>
            <w:vAlign w:val="bottom"/>
          </w:tcPr>
          <w:p>
            <w:pPr>
              <w:jc w:val="right"/>
              <w:spacing w:after="0"/>
              <w:rPr>
                <w:sz w:val="20"/>
                <w:szCs w:val="20"/>
                <w:color w:val="auto"/>
              </w:rPr>
            </w:pPr>
            <w:r>
              <w:rPr>
                <w:rFonts w:ascii="Arial" w:cs="Arial" w:eastAsia="Arial" w:hAnsi="Arial"/>
                <w:sz w:val="18"/>
                <w:szCs w:val="18"/>
                <w:color w:val="auto"/>
              </w:rPr>
              <w:t>7,600</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70AD47"/>
            </w:tcBorders>
          </w:tcPr>
          <w:p>
            <w:pPr>
              <w:spacing w:after="0"/>
              <w:rPr>
                <w:sz w:val="20"/>
                <w:szCs w:val="20"/>
                <w:color w:val="auto"/>
              </w:rPr>
            </w:pPr>
            <w:r>
              <w:rPr>
                <w:rFonts w:ascii="Arial" w:cs="Arial" w:eastAsia="Arial" w:hAnsi="Arial"/>
                <w:sz w:val="18"/>
                <w:szCs w:val="18"/>
                <w:color w:val="auto"/>
              </w:rPr>
              <w:t>Other financial liabilities</w:t>
            </w:r>
          </w:p>
        </w:tc>
        <w:tc>
          <w:tcPr>
            <w:tcW w:w="1380" w:type="dxa"/>
            <w:vAlign w:val="bottom"/>
            <w:tcBorders>
              <w:bottom w:val="single" w:sz="8" w:color="70AD47"/>
              <w:right w:val="single" w:sz="8" w:color="70AD47"/>
            </w:tcBorders>
          </w:tcPr>
          <w:p>
            <w:pPr>
              <w:spacing w:after="0"/>
              <w:rPr>
                <w:sz w:val="20"/>
                <w:szCs w:val="20"/>
                <w:color w:val="auto"/>
              </w:rPr>
            </w:pP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29,654</w:t>
            </w:r>
          </w:p>
        </w:tc>
        <w:tc>
          <w:tcPr>
            <w:tcW w:w="132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10,351</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00" w:type="dxa"/>
            <w:vAlign w:val="bottom"/>
            <w:tcBorders>
              <w:bottom w:val="single" w:sz="8" w:color="70AD47"/>
            </w:tcBorders>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70AD47"/>
              <w:right w:val="single" w:sz="8" w:color="70AD47"/>
            </w:tcBorders>
          </w:tcPr>
          <w:p>
            <w:pPr>
              <w:spacing w:after="0"/>
              <w:rPr>
                <w:sz w:val="19"/>
                <w:szCs w:val="19"/>
                <w:color w:val="auto"/>
              </w:rPr>
            </w:pP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€142,333</w:t>
            </w:r>
          </w:p>
        </w:tc>
        <w:tc>
          <w:tcPr>
            <w:tcW w:w="132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rPr>
              <w:t>€105,061</w:t>
            </w: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Total current</w:t>
            </w:r>
          </w:p>
        </w:tc>
        <w:tc>
          <w:tcPr>
            <w:tcW w:w="1380" w:type="dxa"/>
            <w:vAlign w:val="bottom"/>
            <w:tcBorders>
              <w:right w:val="single" w:sz="8" w:color="70AD47"/>
            </w:tcBorders>
          </w:tcPr>
          <w:p>
            <w:pPr>
              <w:spacing w:after="0"/>
              <w:rPr>
                <w:sz w:val="19"/>
                <w:szCs w:val="19"/>
                <w:color w:val="auto"/>
              </w:rPr>
            </w:pP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72,044</w:t>
            </w:r>
          </w:p>
        </w:tc>
        <w:tc>
          <w:tcPr>
            <w:tcW w:w="1320" w:type="dxa"/>
            <w:vAlign w:val="bottom"/>
          </w:tcPr>
          <w:p>
            <w:pPr>
              <w:jc w:val="right"/>
              <w:spacing w:after="0"/>
              <w:rPr>
                <w:sz w:val="20"/>
                <w:szCs w:val="20"/>
                <w:color w:val="auto"/>
              </w:rPr>
            </w:pPr>
            <w:r>
              <w:rPr>
                <w:rFonts w:ascii="Arial" w:cs="Arial" w:eastAsia="Arial" w:hAnsi="Arial"/>
                <w:sz w:val="18"/>
                <w:szCs w:val="18"/>
                <w:color w:val="auto"/>
              </w:rPr>
              <w:t>36,157</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70AD47"/>
            </w:tcBorders>
          </w:tcPr>
          <w:p>
            <w:pPr>
              <w:spacing w:after="0"/>
              <w:rPr>
                <w:sz w:val="20"/>
                <w:szCs w:val="20"/>
                <w:color w:val="auto"/>
              </w:rPr>
            </w:pPr>
            <w:r>
              <w:rPr>
                <w:rFonts w:ascii="Arial" w:cs="Arial" w:eastAsia="Arial" w:hAnsi="Arial"/>
                <w:sz w:val="18"/>
                <w:szCs w:val="18"/>
                <w:color w:val="auto"/>
              </w:rPr>
              <w:t>Total non-current</w:t>
            </w:r>
          </w:p>
        </w:tc>
        <w:tc>
          <w:tcPr>
            <w:tcW w:w="1380" w:type="dxa"/>
            <w:vAlign w:val="bottom"/>
            <w:tcBorders>
              <w:bottom w:val="single" w:sz="8" w:color="70AD47"/>
              <w:right w:val="single" w:sz="8" w:color="70AD47"/>
            </w:tcBorders>
          </w:tcPr>
          <w:p>
            <w:pPr>
              <w:spacing w:after="0"/>
              <w:rPr>
                <w:sz w:val="20"/>
                <w:szCs w:val="20"/>
                <w:color w:val="auto"/>
              </w:rPr>
            </w:pP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70,289</w:t>
            </w:r>
          </w:p>
        </w:tc>
        <w:tc>
          <w:tcPr>
            <w:tcW w:w="132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68,904</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management activities</w:t>
      </w:r>
    </w:p>
    <w:p>
      <w:pPr>
        <w:spacing w:after="0" w:line="108"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No changes have occurred regarding the Group’s risk management activities as disclosed in the notes to the consolidated financial statements as of December 31, 2019.</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values</w:t>
      </w:r>
    </w:p>
    <w:p>
      <w:pPr>
        <w:spacing w:after="0" w:line="10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Fair values of cash and cash equivalents, trade receivables, trade payables, and other current liabilities approximate their carrying amounts largely due to the short-term maturities of these instruments.</w:t>
      </w:r>
    </w:p>
    <w:p>
      <w:pPr>
        <w:spacing w:after="0" w:line="177"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liabilities include two fixed-interest rate loans. The fair value of the two fixed-interest rate loans is calculated based on significant observable inputs (Level 2). As of June 30, 2020 and December 31, 2019, the carrying value approximates their fair values as there have been no significant changes in relevant interest rates since inception of the respective loans.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Manufacturing Financing</w:t>
      </w:r>
    </w:p>
    <w:p>
      <w:pPr>
        <w:spacing w:after="0" w:line="114"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BioNTech entered into an agreement with the European Investment Bank (EIB) for a €100 million credit facility to partially support the development of BNT162 and fund expansion of BioNTech’s manufacturing capacity to provide worldwide supply of BNT162 in response to the COVID-19 pandemic.</w:t>
      </w:r>
    </w:p>
    <w:p>
      <w:pPr>
        <w:spacing w:after="0" w:line="19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865" w:right="319" w:bottom="1440" w:gutter="0" w:footer="0" w:header="0"/>
        </w:sectPr>
      </w:pPr>
    </w:p>
    <w:bookmarkStart w:id="34" w:name="page35"/>
    <w:bookmarkEnd w:id="34"/>
    <w:p>
      <w:pPr>
        <w:jc w:val="both"/>
        <w:spacing w:after="0" w:line="25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2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28270"/>
                    </a:xfrm>
                    <a:prstGeom prst="rect">
                      <a:avLst/>
                    </a:prstGeom>
                    <a:noFill/>
                  </pic:spPr>
                </pic:pic>
              </a:graphicData>
            </a:graphic>
          </wp:anchor>
        </w:drawing>
        <w:t>Under this arrangement, the EIB agreed to provide BioNTech with a credit in an amount up to €100 million to partially finance such development and expansion. The credit consists of (i) a term loan in the amount of €50 million that may be drawn in a single tranche upon the achievement of certain milestone events, not all of which have been achieved (Credit A), and (ii) a term loan in the amount of €50 million that may be drawn in a single tranche (Credit B). Credit B may only be drawn after Credit A has been drawn down and upon the achievement of certain milestone events. Each tranche under Credit A and Credit B must be repaid within six years from the date on which the tranche is disbursed. The closing of the financing agreement, subject to achieving certain milestone events, was not fulfilled before June 30, 2020 and had no accounting impact within the three and six months ended June 30, 2020.</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June 2020 Private Placement</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On June 29, 2020, BioNTech announced the signing of a private investment of €223.9 million ($250.7 million; this and the following amounts calculated using the exchange rate in effect as of June 30, 2020 as published by the German Central Bank (</w:t>
      </w:r>
      <w:r>
        <w:rPr>
          <w:rFonts w:ascii="Arial" w:cs="Arial" w:eastAsia="Arial" w:hAnsi="Arial"/>
          <w:sz w:val="18"/>
          <w:szCs w:val="18"/>
          <w:i w:val="1"/>
          <w:iCs w:val="1"/>
          <w:color w:val="auto"/>
        </w:rPr>
        <w:t>Deutsche Bundesbank</w:t>
      </w:r>
      <w:r>
        <w:rPr>
          <w:rFonts w:ascii="Arial" w:cs="Arial" w:eastAsia="Arial" w:hAnsi="Arial"/>
          <w:sz w:val="18"/>
          <w:szCs w:val="18"/>
          <w:color w:val="auto"/>
        </w:rPr>
        <w:t>)) by a fund associated with Temasek Capital Management Pte. Ltd., or Temasek, and another accredited investor, which investment BioNTech refers to as the June 2020 Private Placement. The private placement includes an investment of approximately €123.9 million ($138.7 million) in ordinary shares and a €100.0 million ($112.0 million) investment in 4-year mandatory convertible notes. Upon the closing of the June 2020 Private Placement, the investors will receive an aggregate of 2,595,996 ordinary shares in BioNTech, which will be subject to a 180-day lock-up agreement. The four-year mandatory convertible note will have a coupon of 4.5% per annum and a conversion premium of 20% above the reference price. The closing of the investment, subject to customary closing conditions, was not fulfilled before June 30, 2020 and had no accounting impact within the three and six months ended June 30, 2020.</w:t>
      </w:r>
    </w:p>
    <w:p>
      <w:pPr>
        <w:spacing w:after="0" w:line="379" w:lineRule="exact"/>
        <w:rPr>
          <w:sz w:val="20"/>
          <w:szCs w:val="20"/>
          <w:color w:val="auto"/>
        </w:rPr>
      </w:pPr>
    </w:p>
    <w:p>
      <w:pPr>
        <w:spacing w:after="0"/>
        <w:tabs>
          <w:tab w:leader="none" w:pos="700" w:val="left"/>
        </w:tabs>
        <w:rPr>
          <w:sz w:val="20"/>
          <w:szCs w:val="20"/>
          <w:color w:val="auto"/>
        </w:rPr>
      </w:pPr>
      <w:r>
        <w:rPr>
          <w:rFonts w:ascii="Arial" w:cs="Arial" w:eastAsia="Arial" w:hAnsi="Arial"/>
          <w:sz w:val="29"/>
          <w:szCs w:val="29"/>
          <w:color w:val="auto"/>
        </w:rPr>
        <w:t>10</w:t>
        <w:tab/>
        <w:t>Issued Capital and Reserves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On September 18, 2019, BioNTech effected a 1:18 share split by issuing 206,595,492 shares by way of a capital increase from its own funds; thus, no outside proceeds were received. This capital increase came into effect upon registration with the commercial register (</w:t>
      </w:r>
      <w:r>
        <w:rPr>
          <w:rFonts w:ascii="Arial" w:cs="Arial" w:eastAsia="Arial" w:hAnsi="Arial"/>
          <w:sz w:val="19"/>
          <w:szCs w:val="19"/>
          <w:i w:val="1"/>
          <w:iCs w:val="1"/>
          <w:color w:val="auto"/>
        </w:rPr>
        <w:t>Handelsregister</w:t>
      </w:r>
      <w:r>
        <w:rPr>
          <w:rFonts w:ascii="Arial" w:cs="Arial" w:eastAsia="Arial" w:hAnsi="Arial"/>
          <w:sz w:val="19"/>
          <w:szCs w:val="19"/>
          <w:color w:val="auto"/>
        </w:rPr>
        <w:t>). The accompanying unaudited interim condensed consolidated financial statements and notes to the unaudited interim condensed consolidated financial statements give retroactive effect to the share split for all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transactions during the six months ended June 30, 2020</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During the six months ended June 30, 2020, the issued share capital of BioNTech increased by k€5,894. Each share has a nominal value of €1.00. As a result of the financing transactions the capital reserve increased by k€233,113. Costs of k€1,653 related to these equity transactions were recorded in equity as deduction from the capital reserve. The financing transactions that occurred during the six months ended June 30, 2020, were as follows: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Shanghai Fosun Pharmaceuticals (Group) Co., Ltd</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As part of the BNT162 program, BioNTech entered a strategic alliance with Fosun Pharma to develop COVID-19 vaccine candidates in China. Fosun Pharma agreed to make an equity investment of k€45,568 (k$50,000) for 1,580,777 ordinary shares in BioNTech via Fosun Industrial Co., Limited, Hong Kong. The increase in share capital with a nominal amount of k€1,581 was subject to execution of share subscription documentation and approval from regulatory authorities in China and became effective with the registration with the commercial register (</w:t>
      </w:r>
      <w:r>
        <w:rPr>
          <w:rFonts w:ascii="Arial" w:cs="Arial" w:eastAsia="Arial" w:hAnsi="Arial"/>
          <w:sz w:val="19"/>
          <w:szCs w:val="19"/>
          <w:i w:val="1"/>
          <w:iCs w:val="1"/>
          <w:color w:val="auto"/>
        </w:rPr>
        <w:t>Handelsregister</w:t>
      </w:r>
      <w:r>
        <w:rPr>
          <w:rFonts w:ascii="Arial" w:cs="Arial" w:eastAsia="Arial" w:hAnsi="Arial"/>
          <w:sz w:val="19"/>
          <w:szCs w:val="19"/>
          <w:color w:val="auto"/>
        </w:rPr>
        <w:t>) on April 23, 2020. As result of the transaction the capital reserve increased by k€43,987.</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Pfizer Inc., New York, New York, United States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part of the collaboration between BioNTech and Pfizer, for the co-development of BNT162, Pfizer agreed to make an equity investment of k€103,890 (k$113,000). The issuance of 2,377,446 ordinary</w:t>
      </w:r>
    </w:p>
    <w:p>
      <w:pPr>
        <w:spacing w:after="0" w:line="184"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35" w:name="page36"/>
    <w:bookmarkEnd w:id="35"/>
    <w:p>
      <w:pPr>
        <w:jc w:val="both"/>
        <w:spacing w:after="0" w:line="26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2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28270"/>
                    </a:xfrm>
                    <a:prstGeom prst="rect">
                      <a:avLst/>
                    </a:prstGeom>
                    <a:noFill/>
                  </pic:spPr>
                </pic:pic>
              </a:graphicData>
            </a:graphic>
          </wp:anchor>
        </w:drawing>
        <w:t>shares with the nominal amount of k€ 2,377 was registered with the commercial register (</w:t>
      </w:r>
      <w:r>
        <w:rPr>
          <w:rFonts w:ascii="Arial" w:cs="Arial" w:eastAsia="Arial" w:hAnsi="Arial"/>
          <w:sz w:val="20"/>
          <w:szCs w:val="20"/>
          <w:i w:val="1"/>
          <w:iCs w:val="1"/>
          <w:color w:val="auto"/>
        </w:rPr>
        <w:t>Handelsregister</w:t>
      </w:r>
      <w:r>
        <w:rPr>
          <w:rFonts w:ascii="Arial" w:cs="Arial" w:eastAsia="Arial" w:hAnsi="Arial"/>
          <w:sz w:val="20"/>
          <w:szCs w:val="20"/>
          <w:color w:val="auto"/>
        </w:rPr>
        <w:t>) on May 5, 2020. As result of the transaction the capital reserve increased by k€101,513.</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Neon Therapeutics, Inc., Cambridge, Massachusetts, United States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BioNTech acquired Neon by issuing 1,935,488 American Depositary Shares representing BioNTech’s ordinary shares with the nominal amount of k€ 1,935 to former stockholders of Neon in the Merger. The capital increase was registered with the commercial register (</w:t>
      </w:r>
      <w:r>
        <w:rPr>
          <w:rFonts w:ascii="Arial" w:cs="Arial" w:eastAsia="Arial" w:hAnsi="Arial"/>
          <w:sz w:val="20"/>
          <w:szCs w:val="20"/>
          <w:i w:val="1"/>
          <w:iCs w:val="1"/>
          <w:color w:val="auto"/>
        </w:rPr>
        <w:t>Handelsregister</w:t>
      </w:r>
      <w:r>
        <w:rPr>
          <w:rFonts w:ascii="Arial" w:cs="Arial" w:eastAsia="Arial" w:hAnsi="Arial"/>
          <w:sz w:val="20"/>
          <w:szCs w:val="20"/>
          <w:color w:val="auto"/>
        </w:rPr>
        <w:t>) on May 8, 2020. As result of the transaction the capital reserve increased by k€87,613.</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transactions during the six months ended June 30, 2019</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During the comparative period of six months ended June 30, 2019, the issued share capital of BioNTech increased by k€19,453. Each share has a par value of €1.00. Of the amount issued in 2019, k€11,990 relates to a new financing round (referred to as the Series B round) with existing and new investors. As a result of the Series B financing, the capital reserve increased during the six months ended June 30, 2019 by k€178,845. As of March 14, 2019, BioNTech acquired the remaining 5.5% of non-controlling interests in BioNTech Cell &amp; Gene Therapies GmbH previously held by Eli Lilly Nederland B.V. in exchange for issuing 2,374,794 new ordinary shares with an imputed nominal value of €1.00 each. This acquisition was recognized within equity and resulted in the derecognition of the non-controlling interest of k€731 as well as an increase in share capital of k€2,375. The net effect of the transaction of k€1,644 was recognized as a decrease in the capital reserve. Costs of k€501 related to the equity transactions that occurred during the six months ended June 30, 2019, were recorded in equity as deduction from the capital reserve.</w:t>
      </w:r>
    </w:p>
    <w:p>
      <w:pPr>
        <w:spacing w:after="0" w:line="393" w:lineRule="exact"/>
        <w:rPr>
          <w:sz w:val="20"/>
          <w:szCs w:val="20"/>
          <w:color w:val="auto"/>
        </w:rPr>
      </w:pPr>
    </w:p>
    <w:p>
      <w:pPr>
        <w:spacing w:after="0"/>
        <w:tabs>
          <w:tab w:leader="none" w:pos="700" w:val="left"/>
        </w:tabs>
        <w:rPr>
          <w:sz w:val="20"/>
          <w:szCs w:val="20"/>
          <w:color w:val="auto"/>
        </w:rPr>
      </w:pPr>
      <w:r>
        <w:rPr>
          <w:rFonts w:ascii="Arial" w:cs="Arial" w:eastAsia="Arial" w:hAnsi="Arial"/>
          <w:sz w:val="29"/>
          <w:szCs w:val="29"/>
          <w:color w:val="auto"/>
        </w:rPr>
        <w:t>11</w:t>
        <w:tab/>
        <w:t>Share-Based Payments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 Board Grant (Cash-Settled)</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Since the beginning of 2020, the first year following the completion of BioNTech’s initial public offering (“IPO”), the current service agreements with BioNTech’s Management Board have provided for a short-term incentive compensation of up to a maximum of fifty percent of the annual base salary for the years 2020, 2021 and 2022. The amount of such short-term incentive compensation will depend on the achievement of certain company goals in the particular fiscal year, which goals will be set uniformly for all members of the Management Board. Fifty percent of the incentive compensation will be paid promptly upon achievement of the applicable company goals (first installment), with the remaining amount payable one year later, subject to adjustment relative to the performance of the price of the American Depositary Shares representing BioNTech’s ordinary shares during that year (second installment).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For each of the three yearly awards, the second installment of the short-term incentive compensation that is dependent on the price of the American Depositary Shares representing BioNTech’s ordinary shares, represents a cash-settled share-based payment arrangement. The fair values of the liabilities are recognized over the award’s vesting period beginning as of the service commencement date (January 1, 2020) until each separate determination date and are remeasured until settlement date.</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the three months ended June 30, 2020, the Group recognized share-based payment expenses of k€83 as research &amp; development expenses and of k€124 as general &amp; administrative expenses in the interim condensed consolidated statement of operations (three months ended June 30, 2019: Nil).</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the six months ended June 30, 2020, the Group recognized share-based payment expenses of k€165 as research &amp; development expenses and of k€248 as general &amp; administrative expenses in the interim condensed consolidated statement of operations (six months ended June 30, 2019: Nil).</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36" w:name="page37"/>
    <w:bookmarkEnd w:id="36"/>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2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t>Management Board Grant (Equity-Settled)</w:t>
      </w:r>
    </w:p>
    <w:p>
      <w:pPr>
        <w:spacing w:after="0" w:line="114"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From the beginning of 2020, the first year following the completion of BioNTech’s IPO, until the end of the term of the Management Board member’s employment agreement, the service agreements with BioNTech’s Management Board provide for a long-term incentive compensation in terms of a yearly grant of options to purchase BioNTech shares. The right to receive options in 2020, 2021 and 2022 represents an equity-settled share-based payment arrangement.</w:t>
      </w:r>
    </w:p>
    <w:p>
      <w:pPr>
        <w:spacing w:after="0" w:line="191" w:lineRule="exact"/>
        <w:rPr>
          <w:sz w:val="20"/>
          <w:szCs w:val="20"/>
          <w:color w:val="auto"/>
        </w:rPr>
      </w:pPr>
    </w:p>
    <w:p>
      <w:pPr>
        <w:jc w:val="both"/>
        <w:ind w:right="20"/>
        <w:spacing w:after="0" w:line="260" w:lineRule="auto"/>
        <w:rPr>
          <w:sz w:val="20"/>
          <w:szCs w:val="20"/>
          <w:color w:val="auto"/>
        </w:rPr>
      </w:pPr>
      <w:r>
        <w:rPr>
          <w:rFonts w:ascii="Arial" w:cs="Arial" w:eastAsia="Arial" w:hAnsi="Arial"/>
          <w:sz w:val="19"/>
          <w:szCs w:val="19"/>
          <w:color w:val="auto"/>
        </w:rPr>
        <w:t>The options allocated each year will be subject to the terms, conditions, definitions and provisions of the Employee Stock Ownership Plan (“ESOP”) and the applicable option agreement thereunder. The number of options to be allocated each year to Prof. Ugur Sahin, Sean Marett, Dr. Sierk Poetting, Dr. Özlem Türeci and Ryan Richardson is to be calculated based on a value of €750,000, €300,000, €300,000, €300,000 and €260,000, respectively, in each case divided by the amount by which a certain target share price exceeds the exercise price. The value used to calculate the number of options for Ryan Richardson increases to €280,000 for the year 2022.</w:t>
      </w:r>
    </w:p>
    <w:p>
      <w:pPr>
        <w:spacing w:after="0" w:line="18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allocation of the number of options to be received in 2020 took place on February 13, 2020 (allocation date). The allocations of the number of options to be received in 2021 and 2022 are estimated to take place on the first and second anniversary of the allocation date (estimated allocation dates).</w:t>
      </w:r>
    </w:p>
    <w:p>
      <w:pPr>
        <w:spacing w:after="0" w:line="186"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The share options allocated and expected to be allocated to BioNTech’s Management Board as of the dates indicated are presented in the tables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580" w:type="dxa"/>
            <w:vAlign w:val="bottom"/>
            <w:tcBorders>
              <w:right w:val="single" w:sz="8" w:color="70AD47"/>
            </w:tcBorders>
          </w:tcPr>
          <w:p>
            <w:pPr>
              <w:spacing w:after="0"/>
              <w:rPr>
                <w:sz w:val="18"/>
                <w:szCs w:val="18"/>
                <w:color w:val="auto"/>
              </w:rPr>
            </w:pPr>
          </w:p>
        </w:tc>
        <w:tc>
          <w:tcPr>
            <w:tcW w:w="132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8"/>
                <w:szCs w:val="18"/>
                <w:b w:val="1"/>
                <w:bCs w:val="1"/>
                <w:color w:val="auto"/>
              </w:rPr>
              <w:t>Share options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Weighted-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580" w:type="dxa"/>
            <w:vAlign w:val="bottom"/>
            <w:tcBorders>
              <w:right w:val="single" w:sz="8" w:color="70AD47"/>
            </w:tcBorders>
            <w:vMerge w:val="restart"/>
          </w:tcPr>
          <w:p>
            <w:pPr>
              <w:spacing w:after="0"/>
              <w:rPr>
                <w:sz w:val="20"/>
                <w:szCs w:val="20"/>
                <w:color w:val="auto"/>
              </w:rPr>
            </w:pPr>
            <w:r>
              <w:rPr>
                <w:rFonts w:ascii="Arial" w:cs="Arial" w:eastAsia="Arial" w:hAnsi="Arial"/>
                <w:sz w:val="18"/>
                <w:szCs w:val="18"/>
                <w:b w:val="1"/>
                <w:bCs w:val="1"/>
                <w:color w:val="auto"/>
              </w:rPr>
              <w:t>Allocation date February 13, 2020</w:t>
            </w:r>
          </w:p>
        </w:tc>
        <w:tc>
          <w:tcPr>
            <w:tcW w:w="1320" w:type="dxa"/>
            <w:vAlign w:val="bottom"/>
            <w:tcBorders>
              <w:right w:val="single" w:sz="8" w:color="70AD47"/>
            </w:tcBorders>
            <w:vMerge w:val="continue"/>
            <w:shd w:val="clear" w:color="auto" w:fill="C6E0B4"/>
          </w:tcPr>
          <w:p>
            <w:pPr>
              <w:spacing w:after="0"/>
              <w:rPr>
                <w:sz w:val="9"/>
                <w:szCs w:val="9"/>
                <w:color w:val="auto"/>
              </w:rPr>
            </w:pPr>
          </w:p>
        </w:tc>
        <w:tc>
          <w:tcPr>
            <w:tcW w:w="134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8"/>
                <w:szCs w:val="18"/>
                <w:b w:val="1"/>
                <w:bCs w:val="1"/>
                <w:color w:val="auto"/>
                <w:w w:val="89"/>
              </w:rPr>
              <w:t>average exercise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580" w:type="dxa"/>
            <w:vAlign w:val="bottom"/>
            <w:tcBorders>
              <w:right w:val="single" w:sz="8" w:color="70AD47"/>
            </w:tcBorders>
            <w:vMerge w:val="continue"/>
          </w:tcPr>
          <w:p>
            <w:pPr>
              <w:spacing w:after="0"/>
              <w:rPr>
                <w:sz w:val="15"/>
                <w:szCs w:val="15"/>
                <w:color w:val="auto"/>
              </w:rPr>
            </w:pPr>
          </w:p>
        </w:tc>
        <w:tc>
          <w:tcPr>
            <w:tcW w:w="1320" w:type="dxa"/>
            <w:vAlign w:val="bottom"/>
            <w:tcBorders>
              <w:right w:val="single" w:sz="8" w:color="70AD47"/>
            </w:tcBorders>
            <w:shd w:val="clear" w:color="auto" w:fill="C6E0B4"/>
          </w:tcPr>
          <w:p>
            <w:pPr>
              <w:jc w:val="right"/>
              <w:spacing w:after="0" w:line="181" w:lineRule="exact"/>
              <w:rPr>
                <w:sz w:val="20"/>
                <w:szCs w:val="20"/>
                <w:color w:val="auto"/>
              </w:rPr>
            </w:pPr>
            <w:r>
              <w:rPr>
                <w:rFonts w:ascii="Arial" w:cs="Arial" w:eastAsia="Arial" w:hAnsi="Arial"/>
                <w:sz w:val="18"/>
                <w:szCs w:val="18"/>
                <w:b w:val="1"/>
                <w:bCs w:val="1"/>
                <w:color w:val="auto"/>
              </w:rPr>
              <w:t>outstanding</w:t>
            </w:r>
          </w:p>
        </w:tc>
        <w:tc>
          <w:tcPr>
            <w:tcW w:w="1340" w:type="dxa"/>
            <w:vAlign w:val="bottom"/>
            <w:tcBorders>
              <w:right w:val="single" w:sz="8" w:color="70AD47"/>
            </w:tcBorders>
            <w:vMerge w:val="continue"/>
            <w:shd w:val="clear" w:color="auto" w:fill="C6E0B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580" w:type="dxa"/>
            <w:vAlign w:val="bottom"/>
            <w:tcBorders>
              <w:bottom w:val="single" w:sz="8" w:color="70AD47"/>
              <w:right w:val="single" w:sz="8" w:color="70AD47"/>
            </w:tcBorders>
          </w:tcPr>
          <w:p>
            <w:pPr>
              <w:spacing w:after="0"/>
              <w:rPr>
                <w:sz w:val="14"/>
                <w:szCs w:val="14"/>
                <w:color w:val="auto"/>
              </w:rPr>
            </w:pPr>
          </w:p>
        </w:tc>
        <w:tc>
          <w:tcPr>
            <w:tcW w:w="1320" w:type="dxa"/>
            <w:vAlign w:val="bottom"/>
            <w:tcBorders>
              <w:bottom w:val="single" w:sz="8" w:color="70AD47"/>
              <w:right w:val="single" w:sz="8" w:color="70AD47"/>
            </w:tcBorders>
            <w:shd w:val="clear" w:color="auto" w:fill="C6E0B4"/>
          </w:tcPr>
          <w:p>
            <w:pPr>
              <w:spacing w:after="0"/>
              <w:rPr>
                <w:sz w:val="14"/>
                <w:szCs w:val="14"/>
                <w:color w:val="auto"/>
              </w:rPr>
            </w:pPr>
          </w:p>
        </w:tc>
        <w:tc>
          <w:tcPr>
            <w:tcW w:w="1340" w:type="dxa"/>
            <w:vAlign w:val="bottom"/>
            <w:tcBorders>
              <w:bottom w:val="single" w:sz="8" w:color="70AD47"/>
              <w:right w:val="single" w:sz="8" w:color="70AD47"/>
            </w:tcBorders>
            <w:shd w:val="clear" w:color="auto" w:fill="C6E0B4"/>
          </w:tcPr>
          <w:p>
            <w:pPr>
              <w:jc w:val="right"/>
              <w:spacing w:after="0" w:line="162" w:lineRule="exact"/>
              <w:rPr>
                <w:sz w:val="20"/>
                <w:szCs w:val="20"/>
                <w:color w:val="auto"/>
              </w:rPr>
            </w:pPr>
            <w:r>
              <w:rPr>
                <w:rFonts w:ascii="Arial" w:cs="Arial" w:eastAsia="Arial" w:hAnsi="Arial"/>
                <w:sz w:val="18"/>
                <w:szCs w:val="18"/>
                <w:b w:val="1"/>
                <w:bCs w:val="1"/>
                <w:color w:val="auto"/>
              </w:rPr>
              <w:t>price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Prof. Ugur Sahin, M.D.</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97,420</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28.32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Sean Marett</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38,968</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28.32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Dr. Sierk Poetting</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38,968</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28.32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Dr. Özlem Türeci</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38,968</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28.32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color w:val="auto"/>
              </w:rPr>
              <w:t>Ryan Richardson</w:t>
            </w: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33,772</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28.32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8580" w:type="dxa"/>
            <w:vAlign w:val="bottom"/>
            <w:tcBorders>
              <w:right w:val="single" w:sz="8" w:color="70AD47"/>
            </w:tcBorders>
          </w:tcPr>
          <w:p>
            <w:pPr>
              <w:spacing w:after="0"/>
              <w:rPr>
                <w:sz w:val="18"/>
                <w:szCs w:val="18"/>
                <w:color w:val="auto"/>
              </w:rPr>
            </w:pP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Share options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Weighted-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b w:val="1"/>
                <w:bCs w:val="1"/>
                <w:color w:val="auto"/>
              </w:rPr>
              <w:t>Estimated allocation date February 13, 2021</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expected to be</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w w:val="89"/>
              </w:rPr>
              <w:t>average exercise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80" w:type="dxa"/>
            <w:vAlign w:val="bottom"/>
            <w:tcBorders>
              <w:bottom w:val="single" w:sz="8" w:color="70AD47"/>
              <w:right w:val="single" w:sz="8" w:color="70AD47"/>
            </w:tcBorders>
          </w:tcPr>
          <w:p>
            <w:pPr>
              <w:spacing w:after="0"/>
              <w:rPr>
                <w:sz w:val="20"/>
                <w:szCs w:val="20"/>
                <w:color w:val="auto"/>
              </w:rPr>
            </w:pP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allocated</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price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Prof. Ugur Sahin, M.D.</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44,830</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59.75*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Sean Marett</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17,932</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59.75*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Dr. Sierk Poetting</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17,932</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59.75*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Dr. Özlem Türeci</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17,932</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59.75*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color w:val="auto"/>
              </w:rPr>
              <w:t>Ryan Richardson</w:t>
            </w: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15,541</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59.75*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8580" w:type="dxa"/>
            <w:vAlign w:val="bottom"/>
          </w:tcPr>
          <w:p>
            <w:pPr>
              <w:spacing w:after="0"/>
              <w:rPr>
                <w:sz w:val="20"/>
                <w:szCs w:val="20"/>
                <w:color w:val="auto"/>
              </w:rPr>
            </w:pPr>
            <w:r>
              <w:rPr>
                <w:rFonts w:ascii="Arial" w:cs="Arial" w:eastAsia="Arial" w:hAnsi="Arial"/>
                <w:sz w:val="16"/>
                <w:szCs w:val="16"/>
                <w:color w:val="auto"/>
              </w:rPr>
              <w:t>* Valuation parameter derived from the Monte-Carlo simulation model</w:t>
            </w: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8580" w:type="dxa"/>
            <w:vAlign w:val="bottom"/>
            <w:tcBorders>
              <w:right w:val="single" w:sz="8" w:color="70AD47"/>
            </w:tcBorders>
          </w:tcPr>
          <w:p>
            <w:pPr>
              <w:spacing w:after="0"/>
              <w:rPr>
                <w:sz w:val="18"/>
                <w:szCs w:val="18"/>
                <w:color w:val="auto"/>
              </w:rPr>
            </w:pP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Share options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Weighted-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b w:val="1"/>
                <w:bCs w:val="1"/>
                <w:color w:val="auto"/>
              </w:rPr>
              <w:t>Estimated allocation date February 13, 2022</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expected to be</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w w:val="89"/>
              </w:rPr>
              <w:t>average exercise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80" w:type="dxa"/>
            <w:vAlign w:val="bottom"/>
            <w:tcBorders>
              <w:bottom w:val="single" w:sz="8" w:color="70AD47"/>
              <w:right w:val="single" w:sz="8" w:color="70AD47"/>
            </w:tcBorders>
          </w:tcPr>
          <w:p>
            <w:pPr>
              <w:spacing w:after="0"/>
              <w:rPr>
                <w:sz w:val="20"/>
                <w:szCs w:val="20"/>
                <w:color w:val="auto"/>
              </w:rPr>
            </w:pP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allocated</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price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Prof. Ugur Sahin, M.D.</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44,516</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60.17*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Sean Marett</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17,806</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60.17*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Dr. Sierk Poetting</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17,806</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60.17*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Dr. Özlem Türeci</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17,806</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60.17*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color w:val="auto"/>
              </w:rPr>
              <w:t>Ryan Richardson</w:t>
            </w: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16,619</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60.17*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8580" w:type="dxa"/>
            <w:vAlign w:val="bottom"/>
          </w:tcPr>
          <w:p>
            <w:pPr>
              <w:spacing w:after="0"/>
              <w:rPr>
                <w:sz w:val="20"/>
                <w:szCs w:val="20"/>
                <w:color w:val="auto"/>
              </w:rPr>
            </w:pPr>
            <w:r>
              <w:rPr>
                <w:rFonts w:ascii="Arial" w:cs="Arial" w:eastAsia="Arial" w:hAnsi="Arial"/>
                <w:sz w:val="16"/>
                <w:szCs w:val="16"/>
                <w:color w:val="auto"/>
              </w:rPr>
              <w:t>* Valuation parameter derived from the Monte-Carlo simulation model</w:t>
            </w: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2"/>
        </w:trPr>
        <w:tc>
          <w:tcPr>
            <w:tcW w:w="8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85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967" w:right="319" w:bottom="1440"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2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28270"/>
                    </a:xfrm>
                    <a:prstGeom prst="rect">
                      <a:avLst/>
                    </a:prstGeom>
                    <a:noFill/>
                  </pic:spPr>
                </pic:pic>
              </a:graphicData>
            </a:graphic>
          </wp:anchor>
        </w:drawing>
        <w:t>For the awards with estimated allocation dates, the numbers of awards expected to be allocated have been calculated using the valuation parameter derived from the Monte-Carlo simulation model. The numbers will be adjusted until the actual allocation has occurred and the number of options granted has ultimately been determined. The options will vest annually in equal installments over four years commencing on the first anniversary of the allocation date and will be exercisable four years after the allocation date.</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The options will be subject to the terms, conditions, definitions and provisions of the ESOP and the applicable option agreement thereunder. The vested options can only be exercised if and to the extent that each of the following performance criteria has been achieved: (i) at the time of exercise, the current price is equal to or greater than the threshold amount (that is, the exercise price, provided that such amount increases by seven percentage points on each anniversary of the allocation date); (ii) at the time of exercise, the current price is at least equal to the target price (that is, (a) for the twelve-month period starting on the fourth anniversary of the allocation date, $8.5 billion divided by the total number of the ordinary shares outstanding immediately following the initial public offering (other than ordinary shares owned by BioNTech), and (b) for each twelve-month period starting on the fifth or subsequent anniversary of the allocation date, 107% of the target share price applicable for the prior twelve-month period); and (iii) the closing price for the fifth trading day prior to the start of the relevant exercise window is higher than the exercise price by at least the same percentage by which the Nasdaq Biotechnology Index or a comparable successor index as of such time is higher than such index was as of the last trading day before the allocation date. The options can be exercised at the latest ten years after the allocation date. If they have not been exercised by that date, they will lapse without compensation.</w:t>
      </w:r>
    </w:p>
    <w:p>
      <w:pPr>
        <w:spacing w:after="0" w:line="37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 Monte-Carlo simulation model has been used to measure the fair values at the (estimated) allocation dates of the Management Board Grant. This model incorporates the impact of the performance criteria regarding share price and index development described above. The parameters used for measuring the fair values as of the respective (estimated) allocation dates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260" w:type="dxa"/>
            <w:vAlign w:val="bottom"/>
            <w:tcBorders>
              <w:right w:val="single" w:sz="8" w:color="70AD47"/>
            </w:tcBorders>
          </w:tcPr>
          <w:p>
            <w:pPr>
              <w:spacing w:after="0"/>
              <w:rPr>
                <w:sz w:val="18"/>
                <w:szCs w:val="18"/>
                <w:color w:val="auto"/>
              </w:rPr>
            </w:pPr>
          </w:p>
        </w:tc>
        <w:tc>
          <w:tcPr>
            <w:tcW w:w="132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8"/>
                <w:szCs w:val="18"/>
                <w:b w:val="1"/>
                <w:bCs w:val="1"/>
                <w:color w:val="auto"/>
                <w:w w:val="99"/>
              </w:rPr>
              <w:t>Allocation date</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Estimated</w:t>
            </w:r>
          </w:p>
        </w:tc>
        <w:tc>
          <w:tcPr>
            <w:tcW w:w="1320" w:type="dxa"/>
            <w:vAlign w:val="bottom"/>
            <w:shd w:val="clear" w:color="auto" w:fill="C6E0B4"/>
          </w:tcPr>
          <w:p>
            <w:pPr>
              <w:jc w:val="right"/>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108"/>
        </w:trPr>
        <w:tc>
          <w:tcPr>
            <w:tcW w:w="7260" w:type="dxa"/>
            <w:vAlign w:val="bottom"/>
            <w:tcBorders>
              <w:right w:val="single" w:sz="8" w:color="70AD47"/>
            </w:tcBorders>
          </w:tcPr>
          <w:p>
            <w:pPr>
              <w:spacing w:after="0"/>
              <w:rPr>
                <w:sz w:val="9"/>
                <w:szCs w:val="9"/>
                <w:color w:val="auto"/>
              </w:rPr>
            </w:pPr>
          </w:p>
        </w:tc>
        <w:tc>
          <w:tcPr>
            <w:tcW w:w="1320" w:type="dxa"/>
            <w:vAlign w:val="bottom"/>
            <w:tcBorders>
              <w:right w:val="single" w:sz="8" w:color="70AD47"/>
            </w:tcBorders>
            <w:vMerge w:val="continue"/>
            <w:shd w:val="clear" w:color="auto" w:fill="C6E0B4"/>
          </w:tcPr>
          <w:p>
            <w:pPr>
              <w:spacing w:after="0"/>
              <w:rPr>
                <w:sz w:val="9"/>
                <w:szCs w:val="9"/>
                <w:color w:val="auto"/>
              </w:rPr>
            </w:pPr>
          </w:p>
        </w:tc>
        <w:tc>
          <w:tcPr>
            <w:tcW w:w="134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8"/>
                <w:szCs w:val="18"/>
                <w:b w:val="1"/>
                <w:bCs w:val="1"/>
                <w:color w:val="auto"/>
              </w:rPr>
              <w:t>allocation date</w:t>
            </w:r>
          </w:p>
        </w:tc>
        <w:tc>
          <w:tcPr>
            <w:tcW w:w="1320" w:type="dxa"/>
            <w:vAlign w:val="bottom"/>
            <w:vMerge w:val="restart"/>
            <w:shd w:val="clear" w:color="auto" w:fill="C6E0B4"/>
          </w:tcPr>
          <w:p>
            <w:pPr>
              <w:jc w:val="right"/>
              <w:spacing w:after="0"/>
              <w:rPr>
                <w:sz w:val="20"/>
                <w:szCs w:val="20"/>
                <w:color w:val="auto"/>
              </w:rPr>
            </w:pPr>
            <w:r>
              <w:rPr>
                <w:rFonts w:ascii="Arial" w:cs="Arial" w:eastAsia="Arial" w:hAnsi="Arial"/>
                <w:sz w:val="18"/>
                <w:szCs w:val="18"/>
                <w:b w:val="1"/>
                <w:bCs w:val="1"/>
                <w:color w:val="auto"/>
              </w:rPr>
              <w:t>allocation date</w:t>
            </w:r>
          </w:p>
        </w:tc>
        <w:tc>
          <w:tcPr>
            <w:tcW w:w="0" w:type="dxa"/>
            <w:vAlign w:val="bottom"/>
          </w:tcPr>
          <w:p>
            <w:pPr>
              <w:spacing w:after="0"/>
              <w:rPr>
                <w:sz w:val="1"/>
                <w:szCs w:val="1"/>
                <w:color w:val="auto"/>
              </w:rPr>
            </w:pPr>
          </w:p>
        </w:tc>
      </w:tr>
      <w:tr>
        <w:trPr>
          <w:trHeight w:val="108"/>
        </w:trPr>
        <w:tc>
          <w:tcPr>
            <w:tcW w:w="7260" w:type="dxa"/>
            <w:vAlign w:val="bottom"/>
            <w:tcBorders>
              <w:right w:val="single" w:sz="8" w:color="70AD47"/>
            </w:tcBorders>
          </w:tcPr>
          <w:p>
            <w:pPr>
              <w:spacing w:after="0"/>
              <w:rPr>
                <w:sz w:val="9"/>
                <w:szCs w:val="9"/>
                <w:color w:val="auto"/>
              </w:rPr>
            </w:pPr>
          </w:p>
        </w:tc>
        <w:tc>
          <w:tcPr>
            <w:tcW w:w="132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8"/>
                <w:szCs w:val="18"/>
                <w:b w:val="1"/>
                <w:bCs w:val="1"/>
                <w:color w:val="auto"/>
              </w:rPr>
              <w:t>February 13,</w:t>
            </w:r>
          </w:p>
        </w:tc>
        <w:tc>
          <w:tcPr>
            <w:tcW w:w="1340" w:type="dxa"/>
            <w:vAlign w:val="bottom"/>
            <w:tcBorders>
              <w:right w:val="single" w:sz="8" w:color="70AD47"/>
            </w:tcBorders>
            <w:vMerge w:val="continue"/>
            <w:shd w:val="clear" w:color="auto" w:fill="C6E0B4"/>
          </w:tcPr>
          <w:p>
            <w:pPr>
              <w:spacing w:after="0"/>
              <w:rPr>
                <w:sz w:val="9"/>
                <w:szCs w:val="9"/>
                <w:color w:val="auto"/>
              </w:rPr>
            </w:pPr>
          </w:p>
        </w:tc>
        <w:tc>
          <w:tcPr>
            <w:tcW w:w="1320" w:type="dxa"/>
            <w:vAlign w:val="bottom"/>
            <w:vMerge w:val="continue"/>
            <w:shd w:val="clear" w:color="auto" w:fill="C6E0B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260" w:type="dxa"/>
            <w:vAlign w:val="bottom"/>
            <w:tcBorders>
              <w:right w:val="single" w:sz="8" w:color="70AD47"/>
            </w:tcBorders>
          </w:tcPr>
          <w:p>
            <w:pPr>
              <w:spacing w:after="0"/>
              <w:rPr>
                <w:sz w:val="9"/>
                <w:szCs w:val="9"/>
                <w:color w:val="auto"/>
              </w:rPr>
            </w:pPr>
          </w:p>
        </w:tc>
        <w:tc>
          <w:tcPr>
            <w:tcW w:w="1320" w:type="dxa"/>
            <w:vAlign w:val="bottom"/>
            <w:tcBorders>
              <w:right w:val="single" w:sz="8" w:color="70AD47"/>
            </w:tcBorders>
            <w:vMerge w:val="continue"/>
            <w:shd w:val="clear" w:color="auto" w:fill="C6E0B4"/>
          </w:tcPr>
          <w:p>
            <w:pPr>
              <w:spacing w:after="0"/>
              <w:rPr>
                <w:sz w:val="9"/>
                <w:szCs w:val="9"/>
                <w:color w:val="auto"/>
              </w:rPr>
            </w:pPr>
          </w:p>
        </w:tc>
        <w:tc>
          <w:tcPr>
            <w:tcW w:w="134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8"/>
                <w:szCs w:val="18"/>
                <w:b w:val="1"/>
                <w:bCs w:val="1"/>
                <w:color w:val="auto"/>
              </w:rPr>
              <w:t>February 13,</w:t>
            </w:r>
          </w:p>
        </w:tc>
        <w:tc>
          <w:tcPr>
            <w:tcW w:w="1320" w:type="dxa"/>
            <w:vAlign w:val="bottom"/>
            <w:vMerge w:val="restart"/>
            <w:shd w:val="clear" w:color="auto" w:fill="C6E0B4"/>
          </w:tcPr>
          <w:p>
            <w:pPr>
              <w:jc w:val="right"/>
              <w:spacing w:after="0"/>
              <w:rPr>
                <w:sz w:val="20"/>
                <w:szCs w:val="20"/>
                <w:color w:val="auto"/>
              </w:rPr>
            </w:pPr>
            <w:r>
              <w:rPr>
                <w:rFonts w:ascii="Arial" w:cs="Arial" w:eastAsia="Arial" w:hAnsi="Arial"/>
                <w:sz w:val="18"/>
                <w:szCs w:val="18"/>
                <w:b w:val="1"/>
                <w:bCs w:val="1"/>
                <w:color w:val="auto"/>
              </w:rPr>
              <w:t>February 13,</w:t>
            </w:r>
          </w:p>
        </w:tc>
        <w:tc>
          <w:tcPr>
            <w:tcW w:w="0" w:type="dxa"/>
            <w:vAlign w:val="bottom"/>
          </w:tcPr>
          <w:p>
            <w:pPr>
              <w:spacing w:after="0"/>
              <w:rPr>
                <w:sz w:val="1"/>
                <w:szCs w:val="1"/>
                <w:color w:val="auto"/>
              </w:rPr>
            </w:pPr>
          </w:p>
        </w:tc>
      </w:tr>
      <w:tr>
        <w:trPr>
          <w:trHeight w:val="108"/>
        </w:trPr>
        <w:tc>
          <w:tcPr>
            <w:tcW w:w="7260" w:type="dxa"/>
            <w:vAlign w:val="bottom"/>
            <w:tcBorders>
              <w:right w:val="single" w:sz="8" w:color="70AD47"/>
            </w:tcBorders>
          </w:tcPr>
          <w:p>
            <w:pPr>
              <w:spacing w:after="0"/>
              <w:rPr>
                <w:sz w:val="9"/>
                <w:szCs w:val="9"/>
                <w:color w:val="auto"/>
              </w:rPr>
            </w:pPr>
          </w:p>
        </w:tc>
        <w:tc>
          <w:tcPr>
            <w:tcW w:w="132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1340" w:type="dxa"/>
            <w:vAlign w:val="bottom"/>
            <w:tcBorders>
              <w:right w:val="single" w:sz="8" w:color="70AD47"/>
            </w:tcBorders>
            <w:vMerge w:val="continue"/>
            <w:shd w:val="clear" w:color="auto" w:fill="C6E0B4"/>
          </w:tcPr>
          <w:p>
            <w:pPr>
              <w:spacing w:after="0"/>
              <w:rPr>
                <w:sz w:val="9"/>
                <w:szCs w:val="9"/>
                <w:color w:val="auto"/>
              </w:rPr>
            </w:pPr>
          </w:p>
        </w:tc>
        <w:tc>
          <w:tcPr>
            <w:tcW w:w="1320" w:type="dxa"/>
            <w:vAlign w:val="bottom"/>
            <w:vMerge w:val="continue"/>
            <w:shd w:val="clear" w:color="auto" w:fill="C6E0B4"/>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260" w:type="dxa"/>
            <w:vAlign w:val="bottom"/>
            <w:tcBorders>
              <w:right w:val="single" w:sz="8" w:color="70AD47"/>
            </w:tcBorders>
          </w:tcPr>
          <w:p>
            <w:pPr>
              <w:spacing w:after="0"/>
              <w:rPr>
                <w:sz w:val="10"/>
                <w:szCs w:val="10"/>
                <w:color w:val="auto"/>
              </w:rPr>
            </w:pPr>
          </w:p>
        </w:tc>
        <w:tc>
          <w:tcPr>
            <w:tcW w:w="1320" w:type="dxa"/>
            <w:vAlign w:val="bottom"/>
            <w:tcBorders>
              <w:right w:val="single" w:sz="8" w:color="70AD47"/>
            </w:tcBorders>
            <w:vMerge w:val="continue"/>
            <w:shd w:val="clear" w:color="auto" w:fill="C6E0B4"/>
          </w:tcPr>
          <w:p>
            <w:pPr>
              <w:spacing w:after="0"/>
              <w:rPr>
                <w:sz w:val="10"/>
                <w:szCs w:val="10"/>
                <w:color w:val="auto"/>
              </w:rPr>
            </w:pPr>
          </w:p>
        </w:tc>
        <w:tc>
          <w:tcPr>
            <w:tcW w:w="134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8"/>
                <w:szCs w:val="18"/>
                <w:b w:val="1"/>
                <w:bCs w:val="1"/>
                <w:color w:val="auto"/>
              </w:rPr>
              <w:t>2021</w:t>
            </w:r>
          </w:p>
        </w:tc>
        <w:tc>
          <w:tcPr>
            <w:tcW w:w="1320" w:type="dxa"/>
            <w:vAlign w:val="bottom"/>
            <w:vMerge w:val="restart"/>
            <w:shd w:val="clear" w:color="auto" w:fill="C6E0B4"/>
          </w:tcPr>
          <w:p>
            <w:pPr>
              <w:jc w:val="right"/>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08"/>
        </w:trPr>
        <w:tc>
          <w:tcPr>
            <w:tcW w:w="7260" w:type="dxa"/>
            <w:vAlign w:val="bottom"/>
            <w:tcBorders>
              <w:bottom w:val="single" w:sz="8" w:color="70AD47"/>
              <w:right w:val="single" w:sz="8" w:color="70AD47"/>
            </w:tcBorders>
          </w:tcPr>
          <w:p>
            <w:pPr>
              <w:spacing w:after="0"/>
              <w:rPr>
                <w:sz w:val="9"/>
                <w:szCs w:val="9"/>
                <w:color w:val="auto"/>
              </w:rPr>
            </w:pPr>
          </w:p>
        </w:tc>
        <w:tc>
          <w:tcPr>
            <w:tcW w:w="1320" w:type="dxa"/>
            <w:vAlign w:val="bottom"/>
            <w:tcBorders>
              <w:bottom w:val="single" w:sz="8" w:color="70AD47"/>
              <w:right w:val="single" w:sz="8" w:color="70AD47"/>
            </w:tcBorders>
            <w:shd w:val="clear" w:color="auto" w:fill="C6E0B4"/>
          </w:tcPr>
          <w:p>
            <w:pPr>
              <w:spacing w:after="0"/>
              <w:rPr>
                <w:sz w:val="9"/>
                <w:szCs w:val="9"/>
                <w:color w:val="auto"/>
              </w:rPr>
            </w:pPr>
          </w:p>
        </w:tc>
        <w:tc>
          <w:tcPr>
            <w:tcW w:w="1340" w:type="dxa"/>
            <w:vAlign w:val="bottom"/>
            <w:tcBorders>
              <w:bottom w:val="single" w:sz="8" w:color="70AD47"/>
              <w:right w:val="single" w:sz="8" w:color="70AD47"/>
            </w:tcBorders>
            <w:vMerge w:val="continue"/>
            <w:shd w:val="clear" w:color="auto" w:fill="C6E0B4"/>
          </w:tcPr>
          <w:p>
            <w:pPr>
              <w:spacing w:after="0"/>
              <w:rPr>
                <w:sz w:val="9"/>
                <w:szCs w:val="9"/>
                <w:color w:val="auto"/>
              </w:rPr>
            </w:pPr>
          </w:p>
        </w:tc>
        <w:tc>
          <w:tcPr>
            <w:tcW w:w="1320" w:type="dxa"/>
            <w:vAlign w:val="bottom"/>
            <w:tcBorders>
              <w:bottom w:val="single" w:sz="8" w:color="70AD47"/>
            </w:tcBorders>
            <w:vMerge w:val="continue"/>
            <w:shd w:val="clear" w:color="auto" w:fill="C6E0B4"/>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726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Weighted average fair value*</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€10.83</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€22.15</w:t>
            </w:r>
          </w:p>
        </w:tc>
        <w:tc>
          <w:tcPr>
            <w:tcW w:w="1320" w:type="dxa"/>
            <w:vAlign w:val="bottom"/>
            <w:shd w:val="clear" w:color="auto" w:fill="C6E0B4"/>
          </w:tcPr>
          <w:p>
            <w:pPr>
              <w:jc w:val="right"/>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29"/>
        </w:trPr>
        <w:tc>
          <w:tcPr>
            <w:tcW w:w="726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Weighted average share price</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€28.20</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€59.60*</w:t>
            </w:r>
          </w:p>
        </w:tc>
        <w:tc>
          <w:tcPr>
            <w:tcW w:w="1320" w:type="dxa"/>
            <w:vAlign w:val="bottom"/>
            <w:shd w:val="clear" w:color="auto" w:fill="C6E0B4"/>
          </w:tcPr>
          <w:p>
            <w:pPr>
              <w:jc w:val="right"/>
              <w:spacing w:after="0"/>
              <w:rPr>
                <w:sz w:val="20"/>
                <w:szCs w:val="20"/>
                <w:color w:val="auto"/>
              </w:rPr>
            </w:pPr>
            <w:r>
              <w:rPr>
                <w:rFonts w:ascii="Arial" w:cs="Arial" w:eastAsia="Arial" w:hAnsi="Arial"/>
                <w:sz w:val="18"/>
                <w:szCs w:val="18"/>
                <w:color w:val="auto"/>
              </w:rPr>
              <w:t>€59.60*</w:t>
            </w:r>
          </w:p>
        </w:tc>
        <w:tc>
          <w:tcPr>
            <w:tcW w:w="0" w:type="dxa"/>
            <w:vAlign w:val="bottom"/>
          </w:tcPr>
          <w:p>
            <w:pPr>
              <w:spacing w:after="0"/>
              <w:rPr>
                <w:sz w:val="1"/>
                <w:szCs w:val="1"/>
                <w:color w:val="auto"/>
              </w:rPr>
            </w:pPr>
          </w:p>
        </w:tc>
      </w:tr>
      <w:tr>
        <w:trPr>
          <w:trHeight w:val="230"/>
        </w:trPr>
        <w:tc>
          <w:tcPr>
            <w:tcW w:w="726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Exercise price</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€28.32</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€59.75*</w:t>
            </w:r>
          </w:p>
        </w:tc>
        <w:tc>
          <w:tcPr>
            <w:tcW w:w="1320" w:type="dxa"/>
            <w:vAlign w:val="bottom"/>
            <w:shd w:val="clear" w:color="auto" w:fill="C6E0B4"/>
          </w:tcPr>
          <w:p>
            <w:pPr>
              <w:jc w:val="right"/>
              <w:spacing w:after="0"/>
              <w:rPr>
                <w:sz w:val="20"/>
                <w:szCs w:val="20"/>
                <w:color w:val="auto"/>
              </w:rPr>
            </w:pPr>
            <w:r>
              <w:rPr>
                <w:rFonts w:ascii="Arial" w:cs="Arial" w:eastAsia="Arial" w:hAnsi="Arial"/>
                <w:sz w:val="18"/>
                <w:szCs w:val="18"/>
                <w:color w:val="auto"/>
              </w:rPr>
              <w:t>€60.17*</w:t>
            </w:r>
          </w:p>
        </w:tc>
        <w:tc>
          <w:tcPr>
            <w:tcW w:w="0" w:type="dxa"/>
            <w:vAlign w:val="bottom"/>
          </w:tcPr>
          <w:p>
            <w:pPr>
              <w:spacing w:after="0"/>
              <w:rPr>
                <w:sz w:val="1"/>
                <w:szCs w:val="1"/>
                <w:color w:val="auto"/>
              </w:rPr>
            </w:pPr>
          </w:p>
        </w:tc>
      </w:tr>
      <w:tr>
        <w:trPr>
          <w:trHeight w:val="230"/>
        </w:trPr>
        <w:tc>
          <w:tcPr>
            <w:tcW w:w="726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Expected volatility (%)</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36.6%</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35.2%</w:t>
            </w:r>
          </w:p>
        </w:tc>
        <w:tc>
          <w:tcPr>
            <w:tcW w:w="1320" w:type="dxa"/>
            <w:vAlign w:val="bottom"/>
            <w:shd w:val="clear" w:color="auto" w:fill="C6E0B4"/>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9"/>
        </w:trPr>
        <w:tc>
          <w:tcPr>
            <w:tcW w:w="726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Expected life (years)*</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4.75</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5.45</w:t>
            </w:r>
          </w:p>
        </w:tc>
        <w:tc>
          <w:tcPr>
            <w:tcW w:w="1320" w:type="dxa"/>
            <w:vAlign w:val="bottom"/>
            <w:shd w:val="clear" w:color="auto" w:fill="C6E0B4"/>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color w:val="auto"/>
              </w:rPr>
              <w:t>Risk-free interest rate (%)</w:t>
            </w: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1.61 %</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0.62%</w:t>
            </w:r>
          </w:p>
        </w:tc>
        <w:tc>
          <w:tcPr>
            <w:tcW w:w="132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0"/>
        </w:trPr>
        <w:tc>
          <w:tcPr>
            <w:tcW w:w="7260" w:type="dxa"/>
            <w:vAlign w:val="bottom"/>
          </w:tcPr>
          <w:p>
            <w:pPr>
              <w:spacing w:after="0"/>
              <w:rPr>
                <w:sz w:val="20"/>
                <w:szCs w:val="20"/>
                <w:color w:val="auto"/>
              </w:rPr>
            </w:pPr>
            <w:r>
              <w:rPr>
                <w:rFonts w:ascii="Arial" w:cs="Arial" w:eastAsia="Arial" w:hAnsi="Arial"/>
                <w:sz w:val="16"/>
                <w:szCs w:val="16"/>
                <w:color w:val="auto"/>
              </w:rPr>
              <w:t>* Valuation parameter derived from the Monte-Carlo simulation model</w:t>
            </w: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exercise of the option rights in accordance with the terms of the ESOP gives the Management Board members the right to obtain shares against payment of the exercise price. The per share exercise price of the options is the Euro equivalent of the arithmetic mean of the closing prices of the ten last trading days prior to the allocation date. For the award allocated as of February 13, 2020 the exercise price has been determined to be $30.78 (€28.32). The exercise prices for the awards with estimated allocation dates as of February 13, 2021 and February 13, 2022 have been derived from the Monte-Carlo simulation model. Expected volatility was based on an evaluation of the historical volatilities of comparable companies over the historical period commensurate with the expected option term. The expected term was based on general optionholder behavior for employee options.</w:t>
      </w:r>
    </w:p>
    <w:p>
      <w:pPr>
        <w:spacing w:after="0" w:line="192"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38" w:name="page39"/>
    <w:bookmarkEnd w:id="38"/>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The share options allocated and expected to be allocated under the Management Board Grant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580" w:type="dxa"/>
            <w:vAlign w:val="bottom"/>
            <w:tcBorders>
              <w:right w:val="single" w:sz="8" w:color="70AD47"/>
            </w:tcBorders>
          </w:tcPr>
          <w:p>
            <w:pPr>
              <w:spacing w:after="0"/>
              <w:rPr>
                <w:sz w:val="18"/>
                <w:szCs w:val="18"/>
                <w:color w:val="auto"/>
              </w:rPr>
            </w:pP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Share options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8580" w:type="dxa"/>
            <w:vAlign w:val="bottom"/>
            <w:tcBorders>
              <w:right w:val="single" w:sz="8" w:color="70AD47"/>
            </w:tcBorders>
          </w:tcPr>
          <w:p>
            <w:pPr>
              <w:spacing w:after="0"/>
              <w:rPr>
                <w:sz w:val="18"/>
                <w:szCs w:val="18"/>
                <w:color w:val="auto"/>
              </w:rPr>
            </w:pP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w w:val="96"/>
              </w:rPr>
              <w:t>(expected to be</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w w:val="89"/>
              </w:rPr>
              <w:t>average exercise</w:t>
            </w:r>
          </w:p>
        </w:tc>
      </w:tr>
      <w:tr>
        <w:trPr>
          <w:trHeight w:val="234"/>
        </w:trPr>
        <w:tc>
          <w:tcPr>
            <w:tcW w:w="8580" w:type="dxa"/>
            <w:vAlign w:val="bottom"/>
            <w:tcBorders>
              <w:bottom w:val="single" w:sz="8" w:color="70AD47"/>
              <w:right w:val="single" w:sz="8" w:color="70AD47"/>
            </w:tcBorders>
          </w:tcPr>
          <w:p>
            <w:pPr>
              <w:spacing w:after="0"/>
              <w:rPr>
                <w:sz w:val="20"/>
                <w:szCs w:val="20"/>
                <w:color w:val="auto"/>
              </w:rPr>
            </w:pP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allocated)</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price (€)</w:t>
            </w:r>
          </w:p>
        </w:tc>
      </w:tr>
      <w:tr>
        <w:trPr>
          <w:trHeight w:val="222"/>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As of January 1, 2020</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Granted as of allocation date February 13, 2020</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248,096</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28.32</w:t>
            </w:r>
          </w:p>
        </w:tc>
      </w:tr>
      <w:tr>
        <w:trPr>
          <w:trHeight w:val="229"/>
        </w:trPr>
        <w:tc>
          <w:tcPr>
            <w:tcW w:w="85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Expected to be allocated as of estimated allocation date February 13, 2021</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114,167</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59.75*</w:t>
            </w:r>
          </w:p>
        </w:tc>
      </w:tr>
      <w:tr>
        <w:trPr>
          <w:trHeight w:val="230"/>
        </w:trPr>
        <w:tc>
          <w:tcPr>
            <w:tcW w:w="85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color w:val="auto"/>
              </w:rPr>
              <w:t>Expected to be allocated as of estimated allocation date February 13, 2022</w:t>
            </w: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114,553</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60.17*</w:t>
            </w:r>
          </w:p>
        </w:tc>
      </w:tr>
      <w:tr>
        <w:trPr>
          <w:trHeight w:val="223"/>
        </w:trPr>
        <w:tc>
          <w:tcPr>
            <w:tcW w:w="85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As of June 30, 2020</w:t>
            </w: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476,816</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43.50</w:t>
            </w:r>
          </w:p>
        </w:tc>
      </w:tr>
      <w:tr>
        <w:trPr>
          <w:trHeight w:val="200"/>
        </w:trPr>
        <w:tc>
          <w:tcPr>
            <w:tcW w:w="8580" w:type="dxa"/>
            <w:vAlign w:val="bottom"/>
          </w:tcPr>
          <w:p>
            <w:pPr>
              <w:spacing w:after="0"/>
              <w:rPr>
                <w:sz w:val="20"/>
                <w:szCs w:val="20"/>
                <w:color w:val="auto"/>
              </w:rPr>
            </w:pPr>
            <w:r>
              <w:rPr>
                <w:rFonts w:ascii="Arial" w:cs="Arial" w:eastAsia="Arial" w:hAnsi="Arial"/>
                <w:sz w:val="16"/>
                <w:szCs w:val="16"/>
                <w:color w:val="auto"/>
              </w:rPr>
              <w:t>* Valuation parameter derived from the Monte-Carlo simulation model</w:t>
            </w: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 share options allocated and expected to be allocated had a remaining weighted-average expected life of 5.30 years.</w:t>
      </w:r>
    </w:p>
    <w:p>
      <w:pPr>
        <w:spacing w:after="0" w:line="23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expenses recognized for employee services received during the three and six months ended June 30, 2020 are shown in the following table: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Three months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Six months</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ended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34"/>
        </w:trPr>
        <w:tc>
          <w:tcPr>
            <w:tcW w:w="85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70AD47"/>
            </w:tcBorders>
            <w:vMerge w:val="continue"/>
          </w:tcPr>
          <w:p>
            <w:pPr>
              <w:spacing w:after="0"/>
              <w:rPr>
                <w:sz w:val="19"/>
                <w:szCs w:val="19"/>
                <w:color w:val="auto"/>
              </w:rPr>
            </w:pPr>
          </w:p>
        </w:tc>
        <w:tc>
          <w:tcPr>
            <w:tcW w:w="136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85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€349</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70AD47"/>
            </w:tcBorders>
          </w:tcPr>
          <w:p>
            <w:pPr>
              <w:spacing w:after="0"/>
              <w:rPr>
                <w:sz w:val="20"/>
                <w:szCs w:val="20"/>
                <w:color w:val="auto"/>
              </w:rPr>
            </w:pPr>
            <w:r>
              <w:rPr>
                <w:rFonts w:ascii="Arial" w:cs="Arial" w:eastAsia="Arial" w:hAnsi="Arial"/>
                <w:sz w:val="18"/>
                <w:szCs w:val="18"/>
                <w:color w:val="auto"/>
              </w:rPr>
              <w:t>General and administrative expenses</w:t>
            </w:r>
          </w:p>
        </w:tc>
        <w:tc>
          <w:tcPr>
            <w:tcW w:w="136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287</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70AD47"/>
            </w:tcBorders>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€636</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€1,309</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Chief Executive Officer Grant (Equity-Settled)</w:t>
      </w:r>
    </w:p>
    <w:p>
      <w:pPr>
        <w:spacing w:after="0" w:line="114"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In September 2019, BioNTech agreed to grant Prof. Ugur Sahin, M.D. an option to purchase 4,374,963 ordinary shares, subject to Prof. Sahin’s continuous employment with BioNTech. As disclosed in the notes to the consolidated financial statements as of December 31, 2019, the option will be subject to the terms, conditions, definitions and provisions of the ESOP and the applicable option agreement thereunder.</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During the three and six months ended June 30, 2020, no further options were granted or forfeited.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As of June 30, 2020, the share options outstanding had a remaining expected life of 4.62 years.</w:t>
      </w:r>
    </w:p>
    <w:p>
      <w:pPr>
        <w:spacing w:after="0" w:line="216"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During the three months ended June 30, 2020 the Group has recognized k€3,208 of share-based payment expenses as research &amp; development expenses in the interim condensed consolidated statement of operations (three months ended June 30, 2019: Nil).</w:t>
      </w:r>
    </w:p>
    <w:p>
      <w:pPr>
        <w:spacing w:after="0" w:line="152" w:lineRule="exact"/>
        <w:rPr>
          <w:sz w:val="20"/>
          <w:szCs w:val="20"/>
          <w:color w:val="auto"/>
        </w:rPr>
      </w:pPr>
    </w:p>
    <w:p>
      <w:pPr>
        <w:jc w:val="both"/>
        <w:ind w:right="40"/>
        <w:spacing w:after="0" w:line="287" w:lineRule="auto"/>
        <w:rPr>
          <w:sz w:val="20"/>
          <w:szCs w:val="20"/>
          <w:color w:val="auto"/>
        </w:rPr>
      </w:pPr>
      <w:r>
        <w:rPr>
          <w:rFonts w:ascii="Arial" w:cs="Arial" w:eastAsia="Arial" w:hAnsi="Arial"/>
          <w:sz w:val="19"/>
          <w:szCs w:val="19"/>
          <w:color w:val="auto"/>
        </w:rPr>
        <w:t>During the six months ended June 30, 2020 the Group has recognized k€6,416 of share-based payment expenses as research &amp; development expenses in the interim condensed consolidated statement of operations (six months ended June 30, 2019: Nil).</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Stock Ownership Plan (Equity-Settled)</w:t>
      </w:r>
    </w:p>
    <w:p>
      <w:pPr>
        <w:spacing w:after="0" w:line="114"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On November 15, 2018, the Group established a share option program that grants selected employees options to receive shares in the company. The program is designed as an Employee Stock Ownership Plan (ESOP) as disclosed in the notes to the consolidated financial statements as of December 31, 2019. The amounts disclosed in this note have been retrospectively adjusted to reflect the share split as described in note 10.</w:t>
      </w:r>
    </w:p>
    <w:p>
      <w:pPr>
        <w:spacing w:after="0" w:line="198"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973" w:right="319" w:bottom="1440" w:gutter="0" w:footer="0" w:header="0"/>
        </w:sectPr>
      </w:pPr>
    </w:p>
    <w:bookmarkStart w:id="39" w:name="page40"/>
    <w:bookmarkEnd w:id="39"/>
    <w:p>
      <w:pPr>
        <w:jc w:val="both"/>
        <w:ind w:right="40"/>
        <w:spacing w:after="0" w:line="26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Set out below is an overview of changes to share options outstanding and number of ordinary shares underlying these options that occurred during the six months ended June 30,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240" w:type="dxa"/>
            <w:vAlign w:val="bottom"/>
            <w:tcBorders>
              <w:right w:val="single" w:sz="8" w:color="70AD47"/>
            </w:tcBorders>
          </w:tcPr>
          <w:p>
            <w:pPr>
              <w:spacing w:after="0"/>
              <w:rPr>
                <w:sz w:val="18"/>
                <w:szCs w:val="18"/>
                <w:color w:val="auto"/>
              </w:rPr>
            </w:pPr>
          </w:p>
        </w:tc>
        <w:tc>
          <w:tcPr>
            <w:tcW w:w="1340" w:type="dxa"/>
            <w:vAlign w:val="bottom"/>
            <w:tcBorders>
              <w:right w:val="single" w:sz="8" w:color="70AD47"/>
            </w:tcBorders>
            <w:shd w:val="clear" w:color="auto" w:fill="C6E0B4"/>
          </w:tcPr>
          <w:p>
            <w:pPr>
              <w:spacing w:after="0"/>
              <w:rPr>
                <w:sz w:val="18"/>
                <w:szCs w:val="18"/>
                <w:color w:val="auto"/>
              </w:rPr>
            </w:pP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Number of</w:t>
            </w:r>
          </w:p>
        </w:tc>
        <w:tc>
          <w:tcPr>
            <w:tcW w:w="134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08"/>
        </w:trPr>
        <w:tc>
          <w:tcPr>
            <w:tcW w:w="7240" w:type="dxa"/>
            <w:vAlign w:val="bottom"/>
            <w:tcBorders>
              <w:right w:val="single" w:sz="8" w:color="70AD47"/>
            </w:tcBorders>
          </w:tcPr>
          <w:p>
            <w:pPr>
              <w:spacing w:after="0"/>
              <w:rPr>
                <w:sz w:val="9"/>
                <w:szCs w:val="9"/>
                <w:color w:val="auto"/>
              </w:rPr>
            </w:pPr>
          </w:p>
        </w:tc>
        <w:tc>
          <w:tcPr>
            <w:tcW w:w="134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8"/>
                <w:szCs w:val="18"/>
                <w:b w:val="1"/>
                <w:bCs w:val="1"/>
                <w:color w:val="auto"/>
              </w:rPr>
              <w:t>Share options</w:t>
            </w:r>
          </w:p>
        </w:tc>
        <w:tc>
          <w:tcPr>
            <w:tcW w:w="132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8"/>
                <w:szCs w:val="18"/>
                <w:b w:val="1"/>
                <w:bCs w:val="1"/>
                <w:color w:val="auto"/>
                <w:w w:val="94"/>
              </w:rPr>
              <w:t>ordinary shares</w:t>
            </w:r>
          </w:p>
        </w:tc>
        <w:tc>
          <w:tcPr>
            <w:tcW w:w="1340" w:type="dxa"/>
            <w:vAlign w:val="bottom"/>
            <w:tcBorders>
              <w:right w:val="single" w:sz="8" w:color="70AD47"/>
            </w:tcBorders>
            <w:vMerge w:val="continue"/>
            <w:shd w:val="clear" w:color="auto" w:fill="C6E0B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240" w:type="dxa"/>
            <w:vAlign w:val="bottom"/>
            <w:tcBorders>
              <w:right w:val="single" w:sz="8" w:color="70AD47"/>
            </w:tcBorders>
          </w:tcPr>
          <w:p>
            <w:pPr>
              <w:spacing w:after="0"/>
              <w:rPr>
                <w:sz w:val="9"/>
                <w:szCs w:val="9"/>
                <w:color w:val="auto"/>
              </w:rPr>
            </w:pPr>
          </w:p>
        </w:tc>
        <w:tc>
          <w:tcPr>
            <w:tcW w:w="1340" w:type="dxa"/>
            <w:vAlign w:val="bottom"/>
            <w:tcBorders>
              <w:right w:val="single" w:sz="8" w:color="70AD47"/>
            </w:tcBorders>
            <w:vMerge w:val="continue"/>
            <w:shd w:val="clear" w:color="auto" w:fill="C6E0B4"/>
          </w:tcPr>
          <w:p>
            <w:pPr>
              <w:spacing w:after="0"/>
              <w:rPr>
                <w:sz w:val="9"/>
                <w:szCs w:val="9"/>
                <w:color w:val="auto"/>
              </w:rPr>
            </w:pPr>
          </w:p>
        </w:tc>
        <w:tc>
          <w:tcPr>
            <w:tcW w:w="1320" w:type="dxa"/>
            <w:vAlign w:val="bottom"/>
            <w:tcBorders>
              <w:right w:val="single" w:sz="8" w:color="70AD47"/>
            </w:tcBorders>
            <w:vMerge w:val="continue"/>
            <w:shd w:val="clear" w:color="auto" w:fill="C6E0B4"/>
          </w:tcPr>
          <w:p>
            <w:pPr>
              <w:spacing w:after="0"/>
              <w:rPr>
                <w:sz w:val="9"/>
                <w:szCs w:val="9"/>
                <w:color w:val="auto"/>
              </w:rPr>
            </w:pPr>
          </w:p>
        </w:tc>
        <w:tc>
          <w:tcPr>
            <w:tcW w:w="134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8"/>
                <w:szCs w:val="18"/>
                <w:b w:val="1"/>
                <w:bCs w:val="1"/>
                <w:color w:val="auto"/>
                <w:w w:val="89"/>
              </w:rPr>
              <w:t>average exercise</w:t>
            </w:r>
          </w:p>
        </w:tc>
        <w:tc>
          <w:tcPr>
            <w:tcW w:w="0" w:type="dxa"/>
            <w:vAlign w:val="bottom"/>
          </w:tcPr>
          <w:p>
            <w:pPr>
              <w:spacing w:after="0"/>
              <w:rPr>
                <w:sz w:val="1"/>
                <w:szCs w:val="1"/>
                <w:color w:val="auto"/>
              </w:rPr>
            </w:pPr>
          </w:p>
        </w:tc>
      </w:tr>
      <w:tr>
        <w:trPr>
          <w:trHeight w:val="180"/>
        </w:trPr>
        <w:tc>
          <w:tcPr>
            <w:tcW w:w="7240" w:type="dxa"/>
            <w:vAlign w:val="bottom"/>
            <w:tcBorders>
              <w:right w:val="single" w:sz="8" w:color="70AD47"/>
            </w:tcBorders>
          </w:tcPr>
          <w:p>
            <w:pPr>
              <w:spacing w:after="0"/>
              <w:rPr>
                <w:sz w:val="15"/>
                <w:szCs w:val="15"/>
                <w:color w:val="auto"/>
              </w:rPr>
            </w:pPr>
          </w:p>
        </w:tc>
        <w:tc>
          <w:tcPr>
            <w:tcW w:w="1340" w:type="dxa"/>
            <w:vAlign w:val="bottom"/>
            <w:tcBorders>
              <w:right w:val="single" w:sz="8" w:color="70AD47"/>
            </w:tcBorders>
            <w:shd w:val="clear" w:color="auto" w:fill="C6E0B4"/>
          </w:tcPr>
          <w:p>
            <w:pPr>
              <w:jc w:val="right"/>
              <w:spacing w:after="0" w:line="181" w:lineRule="exact"/>
              <w:rPr>
                <w:sz w:val="20"/>
                <w:szCs w:val="20"/>
                <w:color w:val="auto"/>
              </w:rPr>
            </w:pPr>
            <w:r>
              <w:rPr>
                <w:rFonts w:ascii="Arial" w:cs="Arial" w:eastAsia="Arial" w:hAnsi="Arial"/>
                <w:sz w:val="18"/>
                <w:szCs w:val="18"/>
                <w:b w:val="1"/>
                <w:bCs w:val="1"/>
                <w:color w:val="auto"/>
              </w:rPr>
              <w:t>outstanding</w:t>
            </w:r>
          </w:p>
        </w:tc>
        <w:tc>
          <w:tcPr>
            <w:tcW w:w="1320" w:type="dxa"/>
            <w:vAlign w:val="bottom"/>
            <w:tcBorders>
              <w:right w:val="single" w:sz="8" w:color="70AD47"/>
            </w:tcBorders>
            <w:shd w:val="clear" w:color="auto" w:fill="C6E0B4"/>
          </w:tcPr>
          <w:p>
            <w:pPr>
              <w:jc w:val="right"/>
              <w:spacing w:after="0" w:line="181" w:lineRule="exact"/>
              <w:rPr>
                <w:sz w:val="20"/>
                <w:szCs w:val="20"/>
                <w:color w:val="auto"/>
              </w:rPr>
            </w:pPr>
            <w:r>
              <w:rPr>
                <w:rFonts w:ascii="Arial" w:cs="Arial" w:eastAsia="Arial" w:hAnsi="Arial"/>
                <w:sz w:val="18"/>
                <w:szCs w:val="18"/>
                <w:b w:val="1"/>
                <w:bCs w:val="1"/>
                <w:color w:val="auto"/>
              </w:rPr>
              <w:t>underlying</w:t>
            </w:r>
          </w:p>
        </w:tc>
        <w:tc>
          <w:tcPr>
            <w:tcW w:w="1340" w:type="dxa"/>
            <w:vAlign w:val="bottom"/>
            <w:tcBorders>
              <w:right w:val="single" w:sz="8" w:color="70AD47"/>
            </w:tcBorders>
            <w:vMerge w:val="continue"/>
            <w:shd w:val="clear" w:color="auto" w:fill="C6E0B4"/>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7240" w:type="dxa"/>
            <w:vAlign w:val="bottom"/>
            <w:tcBorders>
              <w:right w:val="single" w:sz="8" w:color="70AD47"/>
            </w:tcBorders>
          </w:tcPr>
          <w:p>
            <w:pPr>
              <w:spacing w:after="0"/>
              <w:rPr>
                <w:sz w:val="23"/>
                <w:szCs w:val="23"/>
                <w:color w:val="auto"/>
              </w:rPr>
            </w:pPr>
          </w:p>
        </w:tc>
        <w:tc>
          <w:tcPr>
            <w:tcW w:w="1340" w:type="dxa"/>
            <w:vAlign w:val="bottom"/>
            <w:tcBorders>
              <w:bottom w:val="single" w:sz="8" w:color="C6E0B4"/>
              <w:right w:val="single" w:sz="8" w:color="70AD47"/>
            </w:tcBorders>
            <w:shd w:val="clear" w:color="auto" w:fill="C6E0B4"/>
          </w:tcPr>
          <w:p>
            <w:pPr>
              <w:spacing w:after="0"/>
              <w:rPr>
                <w:sz w:val="23"/>
                <w:szCs w:val="23"/>
                <w:color w:val="auto"/>
              </w:rPr>
            </w:pPr>
          </w:p>
        </w:tc>
        <w:tc>
          <w:tcPr>
            <w:tcW w:w="132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options</w:t>
            </w:r>
          </w:p>
        </w:tc>
        <w:tc>
          <w:tcPr>
            <w:tcW w:w="13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price (€)</w:t>
            </w:r>
          </w:p>
        </w:tc>
        <w:tc>
          <w:tcPr>
            <w:tcW w:w="0" w:type="dxa"/>
            <w:vAlign w:val="bottom"/>
          </w:tcPr>
          <w:p>
            <w:pPr>
              <w:spacing w:after="0"/>
              <w:rPr>
                <w:sz w:val="1"/>
                <w:szCs w:val="1"/>
                <w:color w:val="auto"/>
              </w:rPr>
            </w:pPr>
          </w:p>
        </w:tc>
      </w:tr>
      <w:tr>
        <w:trPr>
          <w:trHeight w:val="223"/>
        </w:trPr>
        <w:tc>
          <w:tcPr>
            <w:tcW w:w="7240" w:type="dxa"/>
            <w:vAlign w:val="bottom"/>
            <w:tcBorders>
              <w:top w:val="single" w:sz="8" w:color="70AD47"/>
              <w:right w:val="single" w:sz="8" w:color="70AD47"/>
            </w:tcBorders>
          </w:tcPr>
          <w:p>
            <w:pPr>
              <w:spacing w:after="0"/>
              <w:rPr>
                <w:sz w:val="20"/>
                <w:szCs w:val="20"/>
                <w:color w:val="auto"/>
              </w:rPr>
            </w:pPr>
            <w:r>
              <w:rPr>
                <w:rFonts w:ascii="Arial" w:cs="Arial" w:eastAsia="Arial" w:hAnsi="Arial"/>
                <w:sz w:val="18"/>
                <w:szCs w:val="18"/>
                <w:color w:val="auto"/>
              </w:rPr>
              <w:t>As of January 1, 2020</w:t>
            </w:r>
          </w:p>
        </w:tc>
        <w:tc>
          <w:tcPr>
            <w:tcW w:w="134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655,383</w:t>
            </w:r>
          </w:p>
        </w:tc>
        <w:tc>
          <w:tcPr>
            <w:tcW w:w="132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11,796,894</w:t>
            </w:r>
          </w:p>
        </w:tc>
        <w:tc>
          <w:tcPr>
            <w:tcW w:w="134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(8,971)</w:t>
            </w: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(161,478)</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As of June 30, 2020</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646,412</w:t>
            </w: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11,635,416</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10.23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During the six months ended June 30, 2020 no further options were granted but 8,971 share options were forfeited.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As of June 30, 2020, the share options outstanding had a remaining weighted-average expected life of 4.23 years.</w:t>
      </w:r>
    </w:p>
    <w:p>
      <w:pPr>
        <w:spacing w:after="0" w:line="21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expenses recognized for employee services received during the three and six months ended June 30, 2020 and June 30, 2019 are shown in the following table: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216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auto"/>
                <w:w w:val="89"/>
              </w:rPr>
              <w:t>Three months ended</w:t>
            </w:r>
          </w:p>
        </w:tc>
        <w:tc>
          <w:tcPr>
            <w:tcW w:w="520" w:type="dxa"/>
            <w:vAlign w:val="bottom"/>
          </w:tcPr>
          <w:p>
            <w:pPr>
              <w:spacing w:after="0"/>
              <w:rPr>
                <w:sz w:val="18"/>
                <w:szCs w:val="18"/>
                <w:color w:val="auto"/>
              </w:rPr>
            </w:pPr>
          </w:p>
        </w:tc>
        <w:tc>
          <w:tcPr>
            <w:tcW w:w="204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7"/>
              </w:rPr>
              <w:t>Six months ended</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16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04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80" w:type="dxa"/>
            <w:vAlign w:val="bottom"/>
            <w:tcBorders>
              <w:bottom w:val="single" w:sz="8" w:color="70AD47"/>
            </w:tcBorders>
            <w:vMerge w:val="continue"/>
          </w:tcPr>
          <w:p>
            <w:pPr>
              <w:spacing w:after="0"/>
              <w:rPr>
                <w:sz w:val="19"/>
                <w:szCs w:val="19"/>
                <w:color w:val="auto"/>
              </w:rPr>
            </w:pPr>
          </w:p>
        </w:tc>
        <w:tc>
          <w:tcPr>
            <w:tcW w:w="13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780" w:type="dxa"/>
            <w:vAlign w:val="bottom"/>
            <w:tcBorders>
              <w:bottom w:val="single" w:sz="8" w:color="70AD47"/>
            </w:tcBorders>
          </w:tcPr>
          <w:p>
            <w:pPr>
              <w:spacing w:after="0"/>
              <w:rPr>
                <w:sz w:val="19"/>
                <w:szCs w:val="19"/>
                <w:color w:val="auto"/>
              </w:rPr>
            </w:pPr>
          </w:p>
        </w:tc>
        <w:tc>
          <w:tcPr>
            <w:tcW w:w="520" w:type="dxa"/>
            <w:vAlign w:val="bottom"/>
            <w:tcBorders>
              <w:bottom w:val="single" w:sz="8" w:color="70AD47"/>
            </w:tcBorders>
            <w:vMerge w:val="continue"/>
          </w:tcPr>
          <w:p>
            <w:pPr>
              <w:spacing w:after="0"/>
              <w:rPr>
                <w:sz w:val="19"/>
                <w:szCs w:val="19"/>
                <w:color w:val="auto"/>
              </w:rPr>
            </w:pPr>
          </w:p>
        </w:tc>
        <w:tc>
          <w:tcPr>
            <w:tcW w:w="136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70AD47"/>
            </w:tcBorders>
          </w:tcPr>
          <w:p>
            <w:pPr>
              <w:spacing w:after="0"/>
              <w:rPr>
                <w:sz w:val="19"/>
                <w:szCs w:val="19"/>
                <w:color w:val="auto"/>
              </w:rPr>
            </w:pPr>
          </w:p>
        </w:tc>
        <w:tc>
          <w:tcPr>
            <w:tcW w:w="640" w:type="dxa"/>
            <w:vAlign w:val="bottom"/>
            <w:tcBorders>
              <w:bottom w:val="single" w:sz="8" w:color="70AD47"/>
            </w:tcBorders>
            <w:vMerge w:val="continue"/>
          </w:tcPr>
          <w:p>
            <w:pPr>
              <w:spacing w:after="0"/>
              <w:rPr>
                <w:sz w:val="19"/>
                <w:szCs w:val="19"/>
                <w:color w:val="auto"/>
              </w:rPr>
            </w:pP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Cost of sales</w:t>
            </w:r>
          </w:p>
        </w:tc>
        <w:tc>
          <w:tcPr>
            <w:tcW w:w="13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€213</w:t>
            </w:r>
          </w:p>
        </w:tc>
        <w:tc>
          <w:tcPr>
            <w:tcW w:w="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€228</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€426</w:t>
            </w:r>
          </w:p>
        </w:tc>
        <w:tc>
          <w:tcPr>
            <w:tcW w:w="6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€456</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2,787</w:t>
            </w:r>
          </w:p>
        </w:tc>
        <w:tc>
          <w:tcPr>
            <w:tcW w:w="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2,733</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5,573</w:t>
            </w:r>
          </w:p>
        </w:tc>
        <w:tc>
          <w:tcPr>
            <w:tcW w:w="6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14,503</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3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27</w:t>
            </w:r>
          </w:p>
        </w:tc>
        <w:tc>
          <w:tcPr>
            <w:tcW w:w="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55</w:t>
            </w:r>
          </w:p>
        </w:tc>
        <w:tc>
          <w:tcPr>
            <w:tcW w:w="6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Borders>
              <w:bottom w:val="single" w:sz="8" w:color="70AD47"/>
            </w:tcBorders>
          </w:tcPr>
          <w:p>
            <w:pPr>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1,242</w:t>
            </w:r>
          </w:p>
        </w:tc>
        <w:tc>
          <w:tcPr>
            <w:tcW w:w="780" w:type="dxa"/>
            <w:vAlign w:val="bottom"/>
            <w:tcBorders>
              <w:bottom w:val="single" w:sz="8" w:color="70AD47"/>
            </w:tcBorders>
          </w:tcPr>
          <w:p>
            <w:pPr>
              <w:spacing w:after="0"/>
              <w:rPr>
                <w:sz w:val="20"/>
                <w:szCs w:val="20"/>
                <w:color w:val="auto"/>
              </w:rPr>
            </w:pPr>
          </w:p>
        </w:tc>
        <w:tc>
          <w:tcPr>
            <w:tcW w:w="52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1,502</w:t>
            </w:r>
          </w:p>
        </w:tc>
        <w:tc>
          <w:tcPr>
            <w:tcW w:w="136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2,484</w:t>
            </w:r>
          </w:p>
        </w:tc>
        <w:tc>
          <w:tcPr>
            <w:tcW w:w="680" w:type="dxa"/>
            <w:vAlign w:val="bottom"/>
            <w:tcBorders>
              <w:bottom w:val="single" w:sz="8" w:color="70AD47"/>
            </w:tcBorders>
          </w:tcPr>
          <w:p>
            <w:pPr>
              <w:spacing w:after="0"/>
              <w:rPr>
                <w:sz w:val="20"/>
                <w:szCs w:val="20"/>
                <w:color w:val="auto"/>
              </w:rPr>
            </w:pPr>
          </w:p>
        </w:tc>
        <w:tc>
          <w:tcPr>
            <w:tcW w:w="64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2,972</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70AD47"/>
            </w:tcBorders>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€4,269</w:t>
            </w:r>
          </w:p>
        </w:tc>
        <w:tc>
          <w:tcPr>
            <w:tcW w:w="780" w:type="dxa"/>
            <w:vAlign w:val="bottom"/>
            <w:tcBorders>
              <w:bottom w:val="single" w:sz="8" w:color="70AD47"/>
            </w:tcBorders>
          </w:tcPr>
          <w:p>
            <w:pPr>
              <w:spacing w:after="0"/>
              <w:rPr>
                <w:sz w:val="19"/>
                <w:szCs w:val="19"/>
                <w:color w:val="auto"/>
              </w:rPr>
            </w:pPr>
          </w:p>
        </w:tc>
        <w:tc>
          <w:tcPr>
            <w:tcW w:w="52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w w:val="90"/>
              </w:rPr>
              <w:t>€4,490</w:t>
            </w:r>
          </w:p>
        </w:tc>
        <w:tc>
          <w:tcPr>
            <w:tcW w:w="136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€8,538</w:t>
            </w:r>
          </w:p>
        </w:tc>
        <w:tc>
          <w:tcPr>
            <w:tcW w:w="680" w:type="dxa"/>
            <w:vAlign w:val="bottom"/>
            <w:tcBorders>
              <w:bottom w:val="single" w:sz="8" w:color="70AD47"/>
            </w:tcBorders>
          </w:tcPr>
          <w:p>
            <w:pPr>
              <w:spacing w:after="0"/>
              <w:rPr>
                <w:sz w:val="19"/>
                <w:szCs w:val="19"/>
                <w:color w:val="auto"/>
              </w:rPr>
            </w:pPr>
          </w:p>
        </w:tc>
        <w:tc>
          <w:tcPr>
            <w:tcW w:w="64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w w:val="92"/>
              </w:rPr>
              <w:t>€17,986</w:t>
            </w: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29"/>
          <w:szCs w:val="29"/>
          <w:color w:val="auto"/>
        </w:rPr>
        <w:t>12</w:t>
        <w:tab/>
        <w:t>Related Party Disclosures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Management Personnel Transactions</w:t>
      </w:r>
    </w:p>
    <w:p>
      <w:pPr>
        <w:spacing w:after="0" w:line="114"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A number of key management personnel or their related parties hold positions in other companies that results in them having control or significant influence over these companies. A number of these companies have consummated transactions with the Group during the period.</w:t>
      </w:r>
    </w:p>
    <w:p>
      <w:pPr>
        <w:spacing w:after="0" w:line="130"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BioNTech has a longstanding relationship with Translational Oncology at the University Medical Center of the Johannes Gutenberg University Mainz (</w:t>
      </w:r>
      <w:r>
        <w:rPr>
          <w:rFonts w:ascii="Arial" w:cs="Arial" w:eastAsia="Arial" w:hAnsi="Arial"/>
          <w:sz w:val="20"/>
          <w:szCs w:val="20"/>
          <w:i w:val="1"/>
          <w:iCs w:val="1"/>
          <w:color w:val="auto"/>
        </w:rPr>
        <w:t>Translationale Onkologie an der Universitätsmedizin der Johannes Gutenberg Universität Mainz gemeinnützige GmbH</w:t>
      </w:r>
      <w:r>
        <w:rPr>
          <w:rFonts w:ascii="Arial" w:cs="Arial" w:eastAsia="Arial" w:hAnsi="Arial"/>
          <w:sz w:val="20"/>
          <w:szCs w:val="20"/>
          <w:color w:val="auto"/>
        </w:rPr>
        <w:t>), or TRON. TRON is a non-profit limited liability company engaged in biopharmaceutical research. Prof. Ugur Sahin, M.D., BioNTech’s co-founder and Chief Executive Officer, is a significant shareholder of TRON.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aggregate value of transactions related to key management personnel were as follows for the periods indicated: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216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auto"/>
                <w:w w:val="89"/>
              </w:rPr>
              <w:t>Three months ended</w:t>
            </w:r>
          </w:p>
        </w:tc>
        <w:tc>
          <w:tcPr>
            <w:tcW w:w="520" w:type="dxa"/>
            <w:vAlign w:val="bottom"/>
          </w:tcPr>
          <w:p>
            <w:pPr>
              <w:spacing w:after="0"/>
              <w:rPr>
                <w:sz w:val="18"/>
                <w:szCs w:val="18"/>
                <w:color w:val="auto"/>
              </w:rPr>
            </w:pPr>
          </w:p>
        </w:tc>
        <w:tc>
          <w:tcPr>
            <w:tcW w:w="21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7"/>
              </w:rPr>
              <w:t>Six months ended</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16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1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80" w:type="dxa"/>
            <w:vAlign w:val="bottom"/>
            <w:tcBorders>
              <w:bottom w:val="single" w:sz="8" w:color="70AD47"/>
            </w:tcBorders>
            <w:vMerge w:val="continue"/>
          </w:tcPr>
          <w:p>
            <w:pPr>
              <w:spacing w:after="0"/>
              <w:rPr>
                <w:sz w:val="19"/>
                <w:szCs w:val="19"/>
                <w:color w:val="auto"/>
              </w:rPr>
            </w:pPr>
          </w:p>
        </w:tc>
        <w:tc>
          <w:tcPr>
            <w:tcW w:w="13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780" w:type="dxa"/>
            <w:vAlign w:val="bottom"/>
            <w:tcBorders>
              <w:bottom w:val="single" w:sz="8" w:color="70AD47"/>
            </w:tcBorders>
          </w:tcPr>
          <w:p>
            <w:pPr>
              <w:spacing w:after="0"/>
              <w:rPr>
                <w:sz w:val="19"/>
                <w:szCs w:val="19"/>
                <w:color w:val="auto"/>
              </w:rPr>
            </w:pPr>
          </w:p>
        </w:tc>
        <w:tc>
          <w:tcPr>
            <w:tcW w:w="520" w:type="dxa"/>
            <w:vAlign w:val="bottom"/>
            <w:tcBorders>
              <w:bottom w:val="single" w:sz="8" w:color="70AD47"/>
            </w:tcBorders>
            <w:vMerge w:val="continue"/>
          </w:tcPr>
          <w:p>
            <w:pPr>
              <w:spacing w:after="0"/>
              <w:rPr>
                <w:sz w:val="19"/>
                <w:szCs w:val="19"/>
                <w:color w:val="auto"/>
              </w:rPr>
            </w:pPr>
          </w:p>
        </w:tc>
        <w:tc>
          <w:tcPr>
            <w:tcW w:w="136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70AD47"/>
            </w:tcBorders>
          </w:tcPr>
          <w:p>
            <w:pPr>
              <w:spacing w:after="0"/>
              <w:rPr>
                <w:sz w:val="19"/>
                <w:szCs w:val="19"/>
                <w:color w:val="auto"/>
              </w:rPr>
            </w:pPr>
          </w:p>
        </w:tc>
        <w:tc>
          <w:tcPr>
            <w:tcW w:w="580" w:type="dxa"/>
            <w:vAlign w:val="bottom"/>
            <w:tcBorders>
              <w:bottom w:val="single" w:sz="8" w:color="70AD47"/>
            </w:tcBorders>
            <w:vMerge w:val="continue"/>
          </w:tcPr>
          <w:p>
            <w:pPr>
              <w:spacing w:after="0"/>
              <w:rPr>
                <w:sz w:val="19"/>
                <w:szCs w:val="19"/>
                <w:color w:val="auto"/>
              </w:rPr>
            </w:pP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Consulting services / patent assignment</w:t>
            </w:r>
          </w:p>
        </w:tc>
        <w:tc>
          <w:tcPr>
            <w:tcW w:w="13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€6</w:t>
            </w:r>
          </w:p>
        </w:tc>
        <w:tc>
          <w:tcPr>
            <w:tcW w:w="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Borders>
              <w:bottom w:val="single" w:sz="8" w:color="70AD47"/>
            </w:tcBorders>
          </w:tcPr>
          <w:p>
            <w:pPr>
              <w:spacing w:after="0"/>
              <w:rPr>
                <w:sz w:val="20"/>
                <w:szCs w:val="20"/>
                <w:color w:val="auto"/>
              </w:rPr>
            </w:pPr>
            <w:r>
              <w:rPr>
                <w:rFonts w:ascii="Arial" w:cs="Arial" w:eastAsia="Arial" w:hAnsi="Arial"/>
                <w:sz w:val="18"/>
                <w:szCs w:val="18"/>
                <w:color w:val="auto"/>
              </w:rPr>
              <w:t>Purchases of various goods and services from TRON</w:t>
            </w:r>
          </w:p>
        </w:tc>
        <w:tc>
          <w:tcPr>
            <w:tcW w:w="13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1,602</w:t>
            </w:r>
          </w:p>
        </w:tc>
        <w:tc>
          <w:tcPr>
            <w:tcW w:w="780" w:type="dxa"/>
            <w:vAlign w:val="bottom"/>
            <w:tcBorders>
              <w:bottom w:val="single" w:sz="8" w:color="70AD47"/>
            </w:tcBorders>
          </w:tcPr>
          <w:p>
            <w:pPr>
              <w:spacing w:after="0"/>
              <w:rPr>
                <w:sz w:val="20"/>
                <w:szCs w:val="20"/>
                <w:color w:val="auto"/>
              </w:rPr>
            </w:pPr>
          </w:p>
        </w:tc>
        <w:tc>
          <w:tcPr>
            <w:tcW w:w="52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1,566</w:t>
            </w:r>
          </w:p>
        </w:tc>
        <w:tc>
          <w:tcPr>
            <w:tcW w:w="136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3,835</w:t>
            </w:r>
          </w:p>
        </w:tc>
        <w:tc>
          <w:tcPr>
            <w:tcW w:w="740" w:type="dxa"/>
            <w:vAlign w:val="bottom"/>
            <w:tcBorders>
              <w:bottom w:val="single" w:sz="8" w:color="70AD47"/>
            </w:tcBorders>
          </w:tcPr>
          <w:p>
            <w:pPr>
              <w:spacing w:after="0"/>
              <w:rPr>
                <w:sz w:val="20"/>
                <w:szCs w:val="20"/>
                <w:color w:val="auto"/>
              </w:rPr>
            </w:pPr>
          </w:p>
        </w:tc>
        <w:tc>
          <w:tcPr>
            <w:tcW w:w="58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4,163</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70AD47"/>
            </w:tcBorders>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€1,608</w:t>
            </w:r>
          </w:p>
        </w:tc>
        <w:tc>
          <w:tcPr>
            <w:tcW w:w="780" w:type="dxa"/>
            <w:vAlign w:val="bottom"/>
            <w:tcBorders>
              <w:bottom w:val="single" w:sz="8" w:color="70AD47"/>
            </w:tcBorders>
          </w:tcPr>
          <w:p>
            <w:pPr>
              <w:spacing w:after="0"/>
              <w:rPr>
                <w:sz w:val="19"/>
                <w:szCs w:val="19"/>
                <w:color w:val="auto"/>
              </w:rPr>
            </w:pPr>
          </w:p>
        </w:tc>
        <w:tc>
          <w:tcPr>
            <w:tcW w:w="52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w w:val="90"/>
              </w:rPr>
              <w:t>€1,575</w:t>
            </w:r>
          </w:p>
        </w:tc>
        <w:tc>
          <w:tcPr>
            <w:tcW w:w="136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€3,841</w:t>
            </w:r>
          </w:p>
        </w:tc>
        <w:tc>
          <w:tcPr>
            <w:tcW w:w="740" w:type="dxa"/>
            <w:vAlign w:val="bottom"/>
            <w:tcBorders>
              <w:bottom w:val="single" w:sz="8" w:color="70AD47"/>
            </w:tcBorders>
          </w:tcPr>
          <w:p>
            <w:pPr>
              <w:spacing w:after="0"/>
              <w:rPr>
                <w:sz w:val="19"/>
                <w:szCs w:val="19"/>
                <w:color w:val="auto"/>
              </w:rPr>
            </w:pPr>
          </w:p>
        </w:tc>
        <w:tc>
          <w:tcPr>
            <w:tcW w:w="58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w w:val="98"/>
              </w:rPr>
              <w:t>€4,178</w:t>
            </w: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649"/>
        </w:trPr>
        <w:tc>
          <w:tcPr>
            <w:tcW w:w="5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21"/>
        </w:trPr>
        <w:tc>
          <w:tcPr>
            <w:tcW w:w="58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973" w:right="319" w:bottom="1440" w:gutter="0" w:footer="0" w:header="0"/>
        </w:sectPr>
      </w:pPr>
    </w:p>
    <w:bookmarkStart w:id="40" w:name="page41"/>
    <w:bookmarkEnd w:id="40"/>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The outstanding balances of transactions related to key management personnel were as follows as of the dates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580" w:type="dxa"/>
            <w:vAlign w:val="bottom"/>
            <w:tcBorders>
              <w:right w:val="single" w:sz="8" w:color="70AD47"/>
            </w:tcBorders>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June 30,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26"/>
        </w:trPr>
        <w:tc>
          <w:tcPr>
            <w:tcW w:w="8580" w:type="dxa"/>
            <w:vAlign w:val="bottom"/>
            <w:tcBorders>
              <w:right w:val="single" w:sz="8" w:color="70AD47"/>
            </w:tcBorders>
            <w:vMerge w:val="continue"/>
          </w:tcPr>
          <w:p>
            <w:pPr>
              <w:spacing w:after="0"/>
              <w:rPr>
                <w:sz w:val="10"/>
                <w:szCs w:val="10"/>
                <w:color w:val="auto"/>
              </w:rPr>
            </w:pPr>
          </w:p>
        </w:tc>
        <w:tc>
          <w:tcPr>
            <w:tcW w:w="134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08"/>
        </w:trPr>
        <w:tc>
          <w:tcPr>
            <w:tcW w:w="8580" w:type="dxa"/>
            <w:vAlign w:val="bottom"/>
            <w:tcBorders>
              <w:bottom w:val="single" w:sz="8" w:color="70AD47"/>
              <w:right w:val="single" w:sz="8" w:color="70AD47"/>
            </w:tcBorders>
          </w:tcPr>
          <w:p>
            <w:pPr>
              <w:spacing w:after="0"/>
              <w:rPr>
                <w:sz w:val="9"/>
                <w:szCs w:val="9"/>
                <w:color w:val="auto"/>
              </w:rPr>
            </w:pPr>
          </w:p>
        </w:tc>
        <w:tc>
          <w:tcPr>
            <w:tcW w:w="1340" w:type="dxa"/>
            <w:vAlign w:val="bottom"/>
            <w:tcBorders>
              <w:bottom w:val="single" w:sz="8" w:color="70AD47"/>
              <w:right w:val="single" w:sz="8" w:color="70AD47"/>
            </w:tcBorders>
            <w:vMerge w:val="continue"/>
            <w:shd w:val="clear" w:color="auto" w:fill="C6E0B4"/>
          </w:tcPr>
          <w:p>
            <w:pPr>
              <w:spacing w:after="0"/>
              <w:rPr>
                <w:sz w:val="9"/>
                <w:szCs w:val="9"/>
                <w:color w:val="auto"/>
              </w:rPr>
            </w:pPr>
          </w:p>
        </w:tc>
        <w:tc>
          <w:tcPr>
            <w:tcW w:w="1320" w:type="dxa"/>
            <w:vAlign w:val="bottom"/>
            <w:tcBorders>
              <w:bottom w:val="single" w:sz="8" w:color="70AD4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color w:val="auto"/>
              </w:rPr>
              <w:t>TRON</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€861</w:t>
            </w:r>
          </w:p>
        </w:tc>
        <w:tc>
          <w:tcPr>
            <w:tcW w:w="132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23"/>
        </w:trPr>
        <w:tc>
          <w:tcPr>
            <w:tcW w:w="85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€861</w:t>
            </w:r>
          </w:p>
        </w:tc>
        <w:tc>
          <w:tcPr>
            <w:tcW w:w="132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rPr>
              <w:t>€1,843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Related Party Transactions</w:t>
      </w:r>
    </w:p>
    <w:p>
      <w:pPr>
        <w:spacing w:after="0" w:line="114"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ATHOS KG, Holzkirchen, Germany owns 100% of shares in AT Impf GmbH, Munich, Germany and is the beneficial owner of BioNTech SE. AT Impf GmbH, Munich, Germany is the parent company of the Group. Entities controlled by ATHOS KG mainly provide rental and property management activities and sell property, plant and equipment to BioNTech. The total amount of transactions with ATHOS KG or entities controlled by them was as follows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222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89"/>
              </w:rPr>
              <w:t>Three months ended</w:t>
            </w:r>
          </w:p>
        </w:tc>
        <w:tc>
          <w:tcPr>
            <w:tcW w:w="460" w:type="dxa"/>
            <w:vAlign w:val="bottom"/>
          </w:tcPr>
          <w:p>
            <w:pPr>
              <w:spacing w:after="0"/>
              <w:rPr>
                <w:sz w:val="18"/>
                <w:szCs w:val="18"/>
                <w:color w:val="auto"/>
              </w:rPr>
            </w:pPr>
          </w:p>
        </w:tc>
        <w:tc>
          <w:tcPr>
            <w:tcW w:w="21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7"/>
              </w:rPr>
              <w:t>Six months ended</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22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88"/>
              </w:rPr>
              <w:t>June 30,</w:t>
            </w: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1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80" w:type="dxa"/>
            <w:vAlign w:val="bottom"/>
            <w:tcBorders>
              <w:bottom w:val="single" w:sz="8" w:color="70AD47"/>
            </w:tcBorders>
            <w:vMerge w:val="continue"/>
          </w:tcPr>
          <w:p>
            <w:pPr>
              <w:spacing w:after="0"/>
              <w:rPr>
                <w:sz w:val="19"/>
                <w:szCs w:val="19"/>
                <w:color w:val="auto"/>
              </w:rPr>
            </w:pPr>
          </w:p>
        </w:tc>
        <w:tc>
          <w:tcPr>
            <w:tcW w:w="13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840" w:type="dxa"/>
            <w:vAlign w:val="bottom"/>
            <w:tcBorders>
              <w:bottom w:val="single" w:sz="8" w:color="70AD47"/>
            </w:tcBorders>
          </w:tcPr>
          <w:p>
            <w:pPr>
              <w:spacing w:after="0"/>
              <w:rPr>
                <w:sz w:val="19"/>
                <w:szCs w:val="19"/>
                <w:color w:val="auto"/>
              </w:rPr>
            </w:pPr>
          </w:p>
        </w:tc>
        <w:tc>
          <w:tcPr>
            <w:tcW w:w="460" w:type="dxa"/>
            <w:vAlign w:val="bottom"/>
            <w:tcBorders>
              <w:bottom w:val="single" w:sz="8" w:color="70AD47"/>
            </w:tcBorders>
            <w:vMerge w:val="continue"/>
          </w:tcPr>
          <w:p>
            <w:pPr>
              <w:spacing w:after="0"/>
              <w:rPr>
                <w:sz w:val="19"/>
                <w:szCs w:val="19"/>
                <w:color w:val="auto"/>
              </w:rPr>
            </w:pPr>
          </w:p>
        </w:tc>
        <w:tc>
          <w:tcPr>
            <w:tcW w:w="136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70AD47"/>
            </w:tcBorders>
          </w:tcPr>
          <w:p>
            <w:pPr>
              <w:spacing w:after="0"/>
              <w:rPr>
                <w:sz w:val="19"/>
                <w:szCs w:val="19"/>
                <w:color w:val="auto"/>
              </w:rPr>
            </w:pPr>
          </w:p>
        </w:tc>
        <w:tc>
          <w:tcPr>
            <w:tcW w:w="580" w:type="dxa"/>
            <w:vAlign w:val="bottom"/>
            <w:tcBorders>
              <w:bottom w:val="single" w:sz="8" w:color="70AD47"/>
            </w:tcBorders>
            <w:vMerge w:val="continue"/>
          </w:tcPr>
          <w:p>
            <w:pPr>
              <w:spacing w:after="0"/>
              <w:rPr>
                <w:sz w:val="19"/>
                <w:szCs w:val="19"/>
                <w:color w:val="auto"/>
              </w:rPr>
            </w:pP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80" w:type="dxa"/>
            <w:vAlign w:val="bottom"/>
          </w:tcPr>
          <w:p>
            <w:pPr>
              <w:spacing w:after="0"/>
              <w:rPr>
                <w:sz w:val="20"/>
                <w:szCs w:val="20"/>
                <w:color w:val="auto"/>
              </w:rPr>
            </w:pPr>
            <w:r>
              <w:rPr>
                <w:rFonts w:ascii="Arial" w:cs="Arial" w:eastAsia="Arial" w:hAnsi="Arial"/>
                <w:sz w:val="18"/>
                <w:szCs w:val="18"/>
                <w:color w:val="auto"/>
                <w:w w:val="96"/>
              </w:rPr>
              <w:t>Purchases of various goods and services from entities controlled by ATHOS</w:t>
            </w:r>
          </w:p>
        </w:tc>
        <w:tc>
          <w:tcPr>
            <w:tcW w:w="1380" w:type="dxa"/>
            <w:vAlign w:val="bottom"/>
            <w:tcBorders>
              <w:left w:val="single" w:sz="8" w:color="70AD47"/>
              <w:right w:val="single" w:sz="8" w:color="70AD47"/>
            </w:tcBorders>
            <w:vMerge w:val="restart"/>
            <w:shd w:val="clear" w:color="auto" w:fill="C6E0B4"/>
          </w:tcPr>
          <w:p>
            <w:pPr>
              <w:jc w:val="right"/>
              <w:spacing w:after="0"/>
              <w:rPr>
                <w:sz w:val="20"/>
                <w:szCs w:val="20"/>
                <w:color w:val="auto"/>
              </w:rPr>
            </w:pPr>
            <w:r>
              <w:rPr>
                <w:rFonts w:ascii="Arial" w:cs="Arial" w:eastAsia="Arial" w:hAnsi="Arial"/>
                <w:sz w:val="18"/>
                <w:szCs w:val="18"/>
                <w:color w:val="auto"/>
              </w:rPr>
              <w:t>€961</w:t>
            </w:r>
          </w:p>
        </w:tc>
        <w:tc>
          <w:tcPr>
            <w:tcW w:w="840" w:type="dxa"/>
            <w:vAlign w:val="bottom"/>
          </w:tcPr>
          <w:p>
            <w:pPr>
              <w:spacing w:after="0"/>
              <w:rPr>
                <w:sz w:val="18"/>
                <w:szCs w:val="18"/>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€738</w:t>
            </w:r>
          </w:p>
        </w:tc>
        <w:tc>
          <w:tcPr>
            <w:tcW w:w="1360" w:type="dxa"/>
            <w:vAlign w:val="bottom"/>
            <w:tcBorders>
              <w:left w:val="single" w:sz="8" w:color="70AD47"/>
              <w:right w:val="single" w:sz="8" w:color="70AD47"/>
            </w:tcBorders>
            <w:vMerge w:val="restart"/>
            <w:shd w:val="clear" w:color="auto" w:fill="C6E0B4"/>
          </w:tcPr>
          <w:p>
            <w:pPr>
              <w:jc w:val="right"/>
              <w:spacing w:after="0"/>
              <w:rPr>
                <w:sz w:val="20"/>
                <w:szCs w:val="20"/>
                <w:color w:val="auto"/>
              </w:rPr>
            </w:pPr>
            <w:r>
              <w:rPr>
                <w:rFonts w:ascii="Arial" w:cs="Arial" w:eastAsia="Arial" w:hAnsi="Arial"/>
                <w:sz w:val="18"/>
                <w:szCs w:val="18"/>
                <w:color w:val="auto"/>
              </w:rPr>
              <w:t>€1,450</w:t>
            </w:r>
          </w:p>
        </w:tc>
        <w:tc>
          <w:tcPr>
            <w:tcW w:w="74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98"/>
              </w:rPr>
              <w:t>€1,272</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5880" w:type="dxa"/>
            <w:vAlign w:val="bottom"/>
            <w:vMerge w:val="restart"/>
          </w:tcPr>
          <w:p>
            <w:pPr>
              <w:spacing w:after="0"/>
              <w:rPr>
                <w:sz w:val="20"/>
                <w:szCs w:val="20"/>
                <w:color w:val="auto"/>
              </w:rPr>
            </w:pPr>
            <w:r>
              <w:rPr>
                <w:rFonts w:ascii="Arial" w:cs="Arial" w:eastAsia="Arial" w:hAnsi="Arial"/>
                <w:sz w:val="18"/>
                <w:szCs w:val="18"/>
                <w:color w:val="auto"/>
              </w:rPr>
              <w:t>KG</w:t>
            </w:r>
          </w:p>
        </w:tc>
        <w:tc>
          <w:tcPr>
            <w:tcW w:w="1380" w:type="dxa"/>
            <w:vAlign w:val="bottom"/>
            <w:tcBorders>
              <w:left w:val="single" w:sz="8" w:color="70AD47"/>
              <w:right w:val="single" w:sz="8" w:color="70AD47"/>
            </w:tcBorders>
            <w:vMerge w:val="continue"/>
            <w:shd w:val="clear" w:color="auto" w:fill="C6E0B4"/>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360" w:type="dxa"/>
            <w:vAlign w:val="bottom"/>
            <w:tcBorders>
              <w:left w:val="single" w:sz="8" w:color="70AD47"/>
              <w:right w:val="single" w:sz="8" w:color="70AD47"/>
            </w:tcBorders>
            <w:vMerge w:val="continue"/>
            <w:shd w:val="clear" w:color="auto" w:fill="C6E0B4"/>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20" w:type="dxa"/>
            <w:vAlign w:val="bottom"/>
            <w:shd w:val="clear" w:color="auto" w:fill="70AD47"/>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5880" w:type="dxa"/>
            <w:vAlign w:val="bottom"/>
            <w:vMerge w:val="continue"/>
          </w:tcPr>
          <w:p>
            <w:pPr>
              <w:spacing w:after="0"/>
              <w:rPr>
                <w:sz w:val="9"/>
                <w:szCs w:val="9"/>
                <w:color w:val="auto"/>
              </w:rPr>
            </w:pPr>
          </w:p>
        </w:tc>
        <w:tc>
          <w:tcPr>
            <w:tcW w:w="1380" w:type="dxa"/>
            <w:vAlign w:val="bottom"/>
            <w:tcBorders>
              <w:left w:val="single" w:sz="8" w:color="70AD47"/>
              <w:right w:val="single" w:sz="8" w:color="70AD47"/>
            </w:tcBorders>
            <w:shd w:val="clear" w:color="auto" w:fill="C6E0B4"/>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60" w:type="dxa"/>
            <w:vAlign w:val="bottom"/>
            <w:tcBorders>
              <w:left w:val="single" w:sz="8" w:color="70AD47"/>
              <w:right w:val="single" w:sz="8" w:color="70AD47"/>
            </w:tcBorders>
            <w:shd w:val="clear" w:color="auto" w:fill="C6E0B4"/>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shd w:val="clear" w:color="auto" w:fill="70AD47"/>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880" w:type="dxa"/>
            <w:vAlign w:val="bottom"/>
            <w:tcBorders>
              <w:bottom w:val="single" w:sz="8" w:color="70AD47"/>
            </w:tcBorders>
          </w:tcPr>
          <w:p>
            <w:pPr>
              <w:spacing w:after="0"/>
              <w:rPr>
                <w:sz w:val="20"/>
                <w:szCs w:val="20"/>
                <w:color w:val="auto"/>
              </w:rPr>
            </w:pPr>
            <w:r>
              <w:rPr>
                <w:rFonts w:ascii="Arial" w:cs="Arial" w:eastAsia="Arial" w:hAnsi="Arial"/>
                <w:sz w:val="18"/>
                <w:szCs w:val="18"/>
                <w:color w:val="auto"/>
                <w:w w:val="93"/>
              </w:rPr>
              <w:t>Purchases of property and other assets from entities controlled by ATHOS KG</w:t>
            </w:r>
          </w:p>
        </w:tc>
        <w:tc>
          <w:tcPr>
            <w:tcW w:w="13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2,349</w:t>
            </w:r>
          </w:p>
        </w:tc>
        <w:tc>
          <w:tcPr>
            <w:tcW w:w="840" w:type="dxa"/>
            <w:vAlign w:val="bottom"/>
            <w:tcBorders>
              <w:bottom w:val="single" w:sz="8" w:color="70AD47"/>
            </w:tcBorders>
          </w:tcPr>
          <w:p>
            <w:pPr>
              <w:spacing w:after="0"/>
              <w:rPr>
                <w:sz w:val="20"/>
                <w:szCs w:val="20"/>
                <w:color w:val="auto"/>
              </w:rPr>
            </w:pPr>
          </w:p>
        </w:tc>
        <w:tc>
          <w:tcPr>
            <w:tcW w:w="46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2,349</w:t>
            </w:r>
          </w:p>
        </w:tc>
        <w:tc>
          <w:tcPr>
            <w:tcW w:w="740" w:type="dxa"/>
            <w:vAlign w:val="bottom"/>
            <w:tcBorders>
              <w:bottom w:val="single" w:sz="8" w:color="70AD47"/>
            </w:tcBorders>
          </w:tcPr>
          <w:p>
            <w:pPr>
              <w:spacing w:after="0"/>
              <w:rPr>
                <w:sz w:val="20"/>
                <w:szCs w:val="20"/>
                <w:color w:val="auto"/>
              </w:rPr>
            </w:pPr>
          </w:p>
        </w:tc>
        <w:tc>
          <w:tcPr>
            <w:tcW w:w="58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70AD47"/>
            </w:tcBorders>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€3,310</w:t>
            </w:r>
          </w:p>
        </w:tc>
        <w:tc>
          <w:tcPr>
            <w:tcW w:w="840" w:type="dxa"/>
            <w:vAlign w:val="bottom"/>
            <w:tcBorders>
              <w:bottom w:val="single" w:sz="8" w:color="70AD47"/>
            </w:tcBorders>
          </w:tcPr>
          <w:p>
            <w:pPr>
              <w:spacing w:after="0"/>
              <w:rPr>
                <w:sz w:val="19"/>
                <w:szCs w:val="19"/>
                <w:color w:val="auto"/>
              </w:rPr>
            </w:pPr>
          </w:p>
        </w:tc>
        <w:tc>
          <w:tcPr>
            <w:tcW w:w="46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rPr>
              <w:t>€738</w:t>
            </w:r>
          </w:p>
        </w:tc>
        <w:tc>
          <w:tcPr>
            <w:tcW w:w="136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€3,799</w:t>
            </w:r>
          </w:p>
        </w:tc>
        <w:tc>
          <w:tcPr>
            <w:tcW w:w="740" w:type="dxa"/>
            <w:vAlign w:val="bottom"/>
            <w:tcBorders>
              <w:bottom w:val="single" w:sz="8" w:color="70AD47"/>
            </w:tcBorders>
          </w:tcPr>
          <w:p>
            <w:pPr>
              <w:spacing w:after="0"/>
              <w:rPr>
                <w:sz w:val="19"/>
                <w:szCs w:val="19"/>
                <w:color w:val="auto"/>
              </w:rPr>
            </w:pPr>
          </w:p>
        </w:tc>
        <w:tc>
          <w:tcPr>
            <w:tcW w:w="58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w w:val="98"/>
              </w:rPr>
              <w:t>€1,272</w:t>
            </w: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The outstanding balances of transactions with ATHOS KG or entities controlled by them were as follows as of the dates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580" w:type="dxa"/>
            <w:vAlign w:val="bottom"/>
            <w:tcBorders>
              <w:right w:val="single" w:sz="8" w:color="70AD47"/>
            </w:tcBorders>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June 30,</w:t>
            </w:r>
          </w:p>
        </w:tc>
        <w:tc>
          <w:tcPr>
            <w:tcW w:w="1340" w:type="dxa"/>
            <w:vAlign w:val="bottom"/>
            <w:tcBorders>
              <w:right w:val="single" w:sz="8" w:color="70AD47"/>
            </w:tcBorders>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26"/>
        </w:trPr>
        <w:tc>
          <w:tcPr>
            <w:tcW w:w="8580" w:type="dxa"/>
            <w:vAlign w:val="bottom"/>
            <w:tcBorders>
              <w:right w:val="single" w:sz="8" w:color="70AD47"/>
            </w:tcBorders>
            <w:vMerge w:val="continue"/>
          </w:tcPr>
          <w:p>
            <w:pPr>
              <w:spacing w:after="0"/>
              <w:rPr>
                <w:sz w:val="10"/>
                <w:szCs w:val="10"/>
                <w:color w:val="auto"/>
              </w:rPr>
            </w:pPr>
          </w:p>
        </w:tc>
        <w:tc>
          <w:tcPr>
            <w:tcW w:w="132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1340" w:type="dxa"/>
            <w:vAlign w:val="bottom"/>
            <w:tcBorders>
              <w:right w:val="single" w:sz="8" w:color="70AD47"/>
            </w:tcBorders>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08"/>
        </w:trPr>
        <w:tc>
          <w:tcPr>
            <w:tcW w:w="8580" w:type="dxa"/>
            <w:vAlign w:val="bottom"/>
            <w:tcBorders>
              <w:bottom w:val="single" w:sz="8" w:color="70AD47"/>
              <w:right w:val="single" w:sz="8" w:color="70AD47"/>
            </w:tcBorders>
          </w:tcPr>
          <w:p>
            <w:pPr>
              <w:spacing w:after="0"/>
              <w:rPr>
                <w:sz w:val="9"/>
                <w:szCs w:val="9"/>
                <w:color w:val="auto"/>
              </w:rPr>
            </w:pPr>
          </w:p>
        </w:tc>
        <w:tc>
          <w:tcPr>
            <w:tcW w:w="1320" w:type="dxa"/>
            <w:vAlign w:val="bottom"/>
            <w:tcBorders>
              <w:bottom w:val="single" w:sz="8" w:color="70AD47"/>
              <w:right w:val="single" w:sz="8" w:color="70AD47"/>
            </w:tcBorders>
            <w:vMerge w:val="continue"/>
            <w:shd w:val="clear" w:color="auto" w:fill="C6E0B4"/>
          </w:tcPr>
          <w:p>
            <w:pPr>
              <w:spacing w:after="0"/>
              <w:rPr>
                <w:sz w:val="9"/>
                <w:szCs w:val="9"/>
                <w:color w:val="auto"/>
              </w:rPr>
            </w:pPr>
          </w:p>
        </w:tc>
        <w:tc>
          <w:tcPr>
            <w:tcW w:w="1340" w:type="dxa"/>
            <w:vAlign w:val="bottom"/>
            <w:tcBorders>
              <w:bottom w:val="single" w:sz="8" w:color="70AD47"/>
              <w:right w:val="single" w:sz="8" w:color="70AD4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color w:val="auto"/>
              </w:rPr>
              <w:t>ATHOS KG</w:t>
            </w: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€565</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85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Total</w:t>
            </w: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€565</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None of the balances are secured and no bad debt expense has been recognized in respect of amounts owed by related parties.</w:t>
      </w:r>
    </w:p>
    <w:p>
      <w:pPr>
        <w:spacing w:after="0" w:line="200" w:lineRule="exact"/>
        <w:rPr>
          <w:sz w:val="20"/>
          <w:szCs w:val="20"/>
          <w:color w:val="auto"/>
        </w:rPr>
      </w:pPr>
    </w:p>
    <w:p>
      <w:pPr>
        <w:spacing w:after="0" w:line="236" w:lineRule="exact"/>
        <w:rPr>
          <w:sz w:val="20"/>
          <w:szCs w:val="20"/>
          <w:color w:val="auto"/>
        </w:rPr>
      </w:pPr>
    </w:p>
    <w:p>
      <w:pPr>
        <w:spacing w:after="0"/>
        <w:tabs>
          <w:tab w:leader="none" w:pos="700" w:val="left"/>
        </w:tabs>
        <w:rPr>
          <w:sz w:val="20"/>
          <w:szCs w:val="20"/>
          <w:color w:val="auto"/>
        </w:rPr>
      </w:pPr>
      <w:r>
        <w:rPr>
          <w:rFonts w:ascii="Arial" w:cs="Arial" w:eastAsia="Arial" w:hAnsi="Arial"/>
          <w:sz w:val="29"/>
          <w:szCs w:val="29"/>
          <w:color w:val="auto"/>
        </w:rPr>
        <w:t>13</w:t>
        <w:tab/>
        <w:t>Events after the Reporting Period</w:t>
      </w:r>
    </w:p>
    <w:p>
      <w:pPr>
        <w:spacing w:after="0" w:line="227"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color w:val="auto"/>
        </w:rPr>
        <w:t>On July 20, 2020, BioNTech and Pfizer entered into a binding term sheet for a supply agreement with the United Kingdom. Pursuant to the term sheet, BioNTech and Pfizer expect to supply 30 million doses of BNT162, if approved, to the United Kingdom. Under the terms of the binding term sheet, BioNTech and Pfizer are eligible to receive a fully refundable advance payment per dose upon signing of a definitive supply agreement. The advance payment will be treated as a prepayment towards the total cost of the contracted number of doses of BNT162, with the remainder of the contracted price per dose to be paid upon delivery of the contracted doses.</w:t>
      </w:r>
    </w:p>
    <w:p>
      <w:pPr>
        <w:spacing w:after="0" w:line="165"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On July 27, 2020, BioNTech’s underwritten offering (the “Underwritten Offering”) of 5,500,000 American Depositary Shares (“ADSs”), each representing one of BioNTech’s ordinary shares, closed at a public offering price of $93.00 per ADS, for gross proceeds of $511.5 million. The Underwritten Offering is part of a Global Offering that includes the Underwritten Offering and a rights offering (the</w:t>
      </w:r>
    </w:p>
    <w:p>
      <w:pPr>
        <w:spacing w:after="0" w:line="17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757" w:right="319" w:bottom="1440" w:gutter="0" w:footer="0" w:header="0"/>
        </w:sectPr>
      </w:pPr>
    </w:p>
    <w:bookmarkStart w:id="41" w:name="page42"/>
    <w:bookmarkEnd w:id="41"/>
    <w:p>
      <w:pPr>
        <w:jc w:val="both"/>
        <w:spacing w:after="0" w:line="25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“Rights Offering”). In addition, a selling shareholder granted the underwriters a 30-day option to purchase up to 825,000 additional ADSs at the same public offering price, which has not yet been exercised. BioNTech will not receive any of the proceeds from sale of ADSs by the selling shareholder.</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On July 31, 2020, BioNTech entered into a strategic collaboration with Regeneron for a clinical trial combining BioNTech’s BNT111 FixVac product candidate and Libtayo® (cemiplimab), a fully human anti-PD-1 therapy, for the treatment of melanoma. The companies plan to jointly conduct a randomized Phase 2 study in patients with anti-PD1-refractory/relapsed, unresectable Stage III or IV cutaneous melanoma.</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42" w:name="page43"/>
    <w:bookmarkEnd w:id="42"/>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Operating and Financial Review and Prospects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In this report, unless stated or the context otherwise requires, references to the “Company,” “BioNTech,” “we,” “us” and “our” refer to BioNTech SE and its consolidated subsidiaries. The following “Operating and Financial Review and Prospects” should be read together with the unaudited interim condensed consolidated financial statements and related notes as presented above. The following discussion is based on our financial information prepared in accordance with the International Financial Reporting Standards, or IFRS, as issued by the International Accounting Standards Board, or IASB, which may differ in material respects from generally accepted accounting principles in other jurisdictions, including U.S. GAAP.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in “Risk Factors” in our Annual Report on Form 20-F for the year ended December 31, 2019 as well as the “Risk Factors” described in the respective section further below. Please also see “Forward-Looking Statements” included in Exhibit 99.1 of the Form 6-K of which this exhibit forms a part.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color w:val="auto"/>
        </w:rPr>
        <w:t>Operating Results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BioNTech was founded in 2008 on the understanding that every cancer patient’s tumor is unique and that in order to effectively address this challenge, we must create individualized treatments for each patient. To realize this vision, we combine decades of groundbreaking research in immunology, cutting-edge therapeutic platforms and a suite of patient profiling and bioinformatic tools to develop immunotherapies for cancer and other diseases. We leverage powerful new therapeutic mechanisms and exploit a diverse array of biological targets to harness the power of each patient’s immune system to address the unique molecular signature of each patient’s underlying disease. The breadth of our immunotherapy technologies and expertise has also enabled us to develop therapies to address a range of rare and infectious diseases, and we have recently rapidly mobilized these with the aim of addressing the COVID-19 pandemic. We believe we are uniquely positioned to develop and commercialize the next generation of immunotherapies with the potential to significantly improve clinical outcomes for patients and usher in a new era of individualized medicine.</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and our collaborators have advanced a development pipeline of over 20 product candidates, of which 12 have entered into 13 ongoing clinical trials. While we believe our approach is broadly applicable across a number of therapeutic areas, our most advanced programs are focused on oncology, where we have treated over 500 patients across 17 tumor types to date. Our immunotherapy drug classes consist of messenger ribonucleic acid, or mRNA, therapeutics, cell therapies, antibodies and small molecule immunomodulators. Our product candidates span oncology, infectious diseases and rare diseases.</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We have assembled an exceptional team of over 1,400 employees and have established relationships with eight pharmaceutical collaborators, including Genentech, Inc., or Genentech, Sanofi S.A., or Sanofi, Genmab A/S, or Genmab, Genevant Sciences GmbH, or Genevant, Bayer AG, or Bayer, Pfizer Inc., or Pfizer, Shanghai Fosun Pharmaceutical (Group) Co., Ltd., or Fosun Pharma, and Regeneron Pharmaceuticals, Inc., or Regeneron. We have built out comprehensive, highly automated, on-demand in-house manufacturing capabilities that complement the development of our individualized immunotherapies.</w:t>
      </w:r>
    </w:p>
    <w:p>
      <w:pPr>
        <w:spacing w:after="0" w:line="187"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43" w:name="page44"/>
    <w:bookmarkEnd w:id="43"/>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The following table shows our consolidated statements of operations for each period presented: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2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7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234"/>
        </w:trPr>
        <w:tc>
          <w:tcPr>
            <w:tcW w:w="5880" w:type="dxa"/>
            <w:vAlign w:val="bottom"/>
          </w:tcPr>
          <w:p>
            <w:pPr>
              <w:spacing w:after="0"/>
              <w:rPr>
                <w:sz w:val="20"/>
                <w:szCs w:val="20"/>
                <w:color w:val="auto"/>
              </w:rPr>
            </w:pPr>
          </w:p>
        </w:tc>
        <w:tc>
          <w:tcPr>
            <w:tcW w:w="1860" w:type="dxa"/>
            <w:vAlign w:val="bottom"/>
            <w:gridSpan w:val="2"/>
          </w:tcPr>
          <w:p>
            <w:pPr>
              <w:jc w:val="center"/>
              <w:ind w:left="73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1860" w:type="dxa"/>
            <w:vAlign w:val="bottom"/>
            <w:gridSpan w:val="2"/>
          </w:tcPr>
          <w:p>
            <w:pPr>
              <w:jc w:val="center"/>
              <w:ind w:left="73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80" w:type="dxa"/>
            <w:vAlign w:val="bottom"/>
            <w:tcBorders>
              <w:right w:val="single" w:sz="8" w:color="70AD47"/>
            </w:tcBorders>
          </w:tcPr>
          <w:p>
            <w:pPr>
              <w:spacing w:after="0"/>
              <w:rPr>
                <w:sz w:val="19"/>
                <w:szCs w:val="19"/>
                <w:color w:val="auto"/>
              </w:rPr>
            </w:pPr>
          </w:p>
        </w:tc>
        <w:tc>
          <w:tcPr>
            <w:tcW w:w="13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80" w:type="dxa"/>
            <w:vAlign w:val="bottom"/>
            <w:tcBorders>
              <w:right w:val="single" w:sz="8" w:color="70AD47"/>
            </w:tcBorders>
          </w:tcPr>
          <w:p>
            <w:pPr>
              <w:spacing w:after="0"/>
              <w:rPr>
                <w:sz w:val="20"/>
                <w:szCs w:val="20"/>
                <w:color w:val="auto"/>
              </w:rPr>
            </w:pPr>
            <w:r>
              <w:rPr>
                <w:rFonts w:ascii="Arial" w:cs="Arial" w:eastAsia="Arial" w:hAnsi="Arial"/>
                <w:sz w:val="18"/>
                <w:szCs w:val="18"/>
                <w:i w:val="1"/>
                <w:iCs w:val="1"/>
                <w:color w:val="auto"/>
              </w:rPr>
              <w:t>(in thousands)</w:t>
            </w:r>
          </w:p>
        </w:tc>
        <w:tc>
          <w:tcPr>
            <w:tcW w:w="1860" w:type="dxa"/>
            <w:vAlign w:val="bottom"/>
            <w:gridSpan w:val="2"/>
          </w:tcPr>
          <w:p>
            <w:pPr>
              <w:jc w:val="center"/>
              <w:ind w:left="730"/>
              <w:spacing w:after="0"/>
              <w:rPr>
                <w:sz w:val="20"/>
                <w:szCs w:val="20"/>
                <w:color w:val="auto"/>
              </w:rPr>
            </w:pPr>
            <w:r>
              <w:rPr>
                <w:rFonts w:ascii="Arial" w:cs="Arial" w:eastAsia="Arial" w:hAnsi="Arial"/>
                <w:sz w:val="18"/>
                <w:szCs w:val="18"/>
                <w:i w:val="1"/>
                <w:iCs w:val="1"/>
                <w:color w:val="auto"/>
                <w:w w:val="92"/>
              </w:rPr>
              <w:t>(unaudited)</w:t>
            </w:r>
          </w:p>
        </w:tc>
        <w:tc>
          <w:tcPr>
            <w:tcW w:w="820" w:type="dxa"/>
            <w:vAlign w:val="bottom"/>
          </w:tcPr>
          <w:p>
            <w:pPr>
              <w:spacing w:after="0"/>
              <w:rPr>
                <w:sz w:val="22"/>
                <w:szCs w:val="22"/>
                <w:color w:val="auto"/>
              </w:rPr>
            </w:pPr>
          </w:p>
        </w:tc>
        <w:tc>
          <w:tcPr>
            <w:tcW w:w="1860" w:type="dxa"/>
            <w:vAlign w:val="bottom"/>
            <w:tcBorders>
              <w:left w:val="single" w:sz="8" w:color="70AD47"/>
            </w:tcBorders>
            <w:gridSpan w:val="2"/>
          </w:tcPr>
          <w:p>
            <w:pPr>
              <w:jc w:val="center"/>
              <w:ind w:left="730"/>
              <w:spacing w:after="0"/>
              <w:rPr>
                <w:sz w:val="20"/>
                <w:szCs w:val="20"/>
                <w:color w:val="auto"/>
              </w:rPr>
            </w:pPr>
            <w:r>
              <w:rPr>
                <w:rFonts w:ascii="Arial" w:cs="Arial" w:eastAsia="Arial" w:hAnsi="Arial"/>
                <w:sz w:val="18"/>
                <w:szCs w:val="18"/>
                <w:i w:val="1"/>
                <w:iCs w:val="1"/>
                <w:color w:val="auto"/>
                <w:w w:val="92"/>
              </w:rPr>
              <w:t>(unaudited)</w:t>
            </w:r>
          </w:p>
        </w:tc>
        <w:tc>
          <w:tcPr>
            <w:tcW w:w="820" w:type="dxa"/>
            <w:vAlign w:val="bottom"/>
          </w:tcPr>
          <w:p>
            <w:pPr>
              <w:spacing w:after="0"/>
              <w:rPr>
                <w:sz w:val="22"/>
                <w:szCs w:val="22"/>
                <w:color w:val="auto"/>
              </w:rPr>
            </w:pPr>
          </w:p>
        </w:tc>
        <w:tc>
          <w:tcPr>
            <w:tcW w:w="20" w:type="dxa"/>
            <w:vAlign w:val="bottom"/>
            <w:shd w:val="clear" w:color="auto" w:fill="70AD47"/>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880" w:type="dxa"/>
            <w:vAlign w:val="bottom"/>
            <w:tcBorders>
              <w:bottom w:val="single" w:sz="8" w:color="70AD47"/>
              <w:right w:val="single" w:sz="8" w:color="70AD47"/>
            </w:tcBorders>
          </w:tcPr>
          <w:p>
            <w:pPr>
              <w:spacing w:after="0"/>
              <w:rPr>
                <w:sz w:val="2"/>
                <w:szCs w:val="2"/>
                <w:color w:val="auto"/>
              </w:rPr>
            </w:pPr>
          </w:p>
        </w:tc>
        <w:tc>
          <w:tcPr>
            <w:tcW w:w="1360" w:type="dxa"/>
            <w:vAlign w:val="bottom"/>
            <w:tcBorders>
              <w:bottom w:val="single" w:sz="8" w:color="70AD47"/>
            </w:tcBorders>
          </w:tcPr>
          <w:p>
            <w:pPr>
              <w:spacing w:after="0"/>
              <w:rPr>
                <w:sz w:val="2"/>
                <w:szCs w:val="2"/>
                <w:color w:val="auto"/>
              </w:rPr>
            </w:pPr>
          </w:p>
        </w:tc>
        <w:tc>
          <w:tcPr>
            <w:tcW w:w="500" w:type="dxa"/>
            <w:vAlign w:val="bottom"/>
            <w:tcBorders>
              <w:bottom w:val="single" w:sz="8" w:color="70AD47"/>
            </w:tcBorders>
          </w:tcPr>
          <w:p>
            <w:pPr>
              <w:spacing w:after="0"/>
              <w:rPr>
                <w:sz w:val="2"/>
                <w:szCs w:val="2"/>
                <w:color w:val="auto"/>
              </w:rPr>
            </w:pPr>
          </w:p>
        </w:tc>
        <w:tc>
          <w:tcPr>
            <w:tcW w:w="820" w:type="dxa"/>
            <w:vAlign w:val="bottom"/>
            <w:tcBorders>
              <w:bottom w:val="single" w:sz="8" w:color="70AD47"/>
            </w:tcBorders>
          </w:tcPr>
          <w:p>
            <w:pPr>
              <w:spacing w:after="0"/>
              <w:rPr>
                <w:sz w:val="2"/>
                <w:szCs w:val="2"/>
                <w:color w:val="auto"/>
              </w:rPr>
            </w:pPr>
          </w:p>
        </w:tc>
        <w:tc>
          <w:tcPr>
            <w:tcW w:w="1360" w:type="dxa"/>
            <w:vAlign w:val="bottom"/>
            <w:tcBorders>
              <w:left w:val="single" w:sz="8" w:color="70AD47"/>
              <w:bottom w:val="single" w:sz="8" w:color="70AD47"/>
            </w:tcBorders>
          </w:tcPr>
          <w:p>
            <w:pPr>
              <w:spacing w:after="0"/>
              <w:rPr>
                <w:sz w:val="2"/>
                <w:szCs w:val="2"/>
                <w:color w:val="auto"/>
              </w:rPr>
            </w:pPr>
          </w:p>
        </w:tc>
        <w:tc>
          <w:tcPr>
            <w:tcW w:w="500" w:type="dxa"/>
            <w:vAlign w:val="bottom"/>
            <w:tcBorders>
              <w:bottom w:val="single" w:sz="8" w:color="70AD47"/>
            </w:tcBorders>
          </w:tcPr>
          <w:p>
            <w:pPr>
              <w:spacing w:after="0"/>
              <w:rPr>
                <w:sz w:val="2"/>
                <w:szCs w:val="2"/>
                <w:color w:val="auto"/>
              </w:rPr>
            </w:pPr>
          </w:p>
        </w:tc>
        <w:tc>
          <w:tcPr>
            <w:tcW w:w="820" w:type="dxa"/>
            <w:vAlign w:val="bottom"/>
            <w:tcBorders>
              <w:bottom w:val="single" w:sz="8" w:color="70AD47"/>
            </w:tcBorders>
          </w:tcPr>
          <w:p>
            <w:pPr>
              <w:spacing w:after="0"/>
              <w:rPr>
                <w:sz w:val="2"/>
                <w:szCs w:val="2"/>
                <w:color w:val="auto"/>
              </w:rPr>
            </w:pPr>
          </w:p>
        </w:tc>
        <w:tc>
          <w:tcPr>
            <w:tcW w:w="20" w:type="dxa"/>
            <w:vAlign w:val="bottom"/>
            <w:tcBorders>
              <w:bottom w:val="single" w:sz="8" w:color="70AD47"/>
            </w:tcBorders>
            <w:shd w:val="clear" w:color="auto" w:fill="70AD47"/>
          </w:tcPr>
          <w:p>
            <w:pPr>
              <w:spacing w:after="0"/>
              <w:rPr>
                <w:sz w:val="2"/>
                <w:szCs w:val="2"/>
                <w:color w:val="auto"/>
              </w:rPr>
            </w:pPr>
          </w:p>
        </w:tc>
        <w:tc>
          <w:tcPr>
            <w:tcW w:w="0" w:type="dxa"/>
            <w:vAlign w:val="bottom"/>
          </w:tcPr>
          <w:p>
            <w:pPr>
              <w:spacing w:after="0"/>
              <w:rPr>
                <w:sz w:val="1"/>
                <w:szCs w:val="1"/>
                <w:color w:val="auto"/>
              </w:rPr>
            </w:pPr>
          </w:p>
        </w:tc>
      </w:tr>
      <w:tr>
        <w:trPr>
          <w:trHeight w:val="533"/>
        </w:trPr>
        <w:tc>
          <w:tcPr>
            <w:tcW w:w="58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Revenues from contracts with customers</w:t>
            </w:r>
          </w:p>
        </w:tc>
        <w:tc>
          <w:tcPr>
            <w:tcW w:w="13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€41,762</w:t>
            </w: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€25,785</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69,425</w:t>
            </w: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€51,939</w:t>
            </w: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8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Cost of sales</w:t>
            </w:r>
          </w:p>
        </w:tc>
        <w:tc>
          <w:tcPr>
            <w:tcW w:w="13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(5,662)</w:t>
            </w: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(5,489)</w:t>
            </w:r>
          </w:p>
        </w:tc>
        <w:tc>
          <w:tcPr>
            <w:tcW w:w="1360" w:type="dxa"/>
            <w:vAlign w:val="bottom"/>
            <w:tcBorders>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(11,504)</w:t>
            </w: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(8,694)</w:t>
            </w:r>
          </w:p>
        </w:tc>
        <w:tc>
          <w:tcPr>
            <w:tcW w:w="20" w:type="dxa"/>
            <w:vAlign w:val="bottom"/>
            <w:tcBorders>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880" w:type="dxa"/>
            <w:vAlign w:val="bottom"/>
            <w:tcBorders>
              <w:top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Gross profit</w:t>
            </w:r>
          </w:p>
        </w:tc>
        <w:tc>
          <w:tcPr>
            <w:tcW w:w="13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€36,100</w:t>
            </w:r>
          </w:p>
        </w:tc>
        <w:tc>
          <w:tcPr>
            <w:tcW w:w="500" w:type="dxa"/>
            <w:vAlign w:val="bottom"/>
            <w:tcBorders>
              <w:top w:val="single" w:sz="8" w:color="70AD47"/>
            </w:tcBorders>
          </w:tcPr>
          <w:p>
            <w:pPr>
              <w:spacing w:after="0"/>
              <w:rPr>
                <w:sz w:val="24"/>
                <w:szCs w:val="24"/>
                <w:color w:val="auto"/>
              </w:rPr>
            </w:pPr>
          </w:p>
        </w:tc>
        <w:tc>
          <w:tcPr>
            <w:tcW w:w="820" w:type="dxa"/>
            <w:vAlign w:val="bottom"/>
            <w:tcBorders>
              <w:top w:val="single" w:sz="8" w:color="70AD47"/>
            </w:tcBorders>
          </w:tcPr>
          <w:p>
            <w:pPr>
              <w:jc w:val="right"/>
              <w:spacing w:after="0"/>
              <w:rPr>
                <w:sz w:val="20"/>
                <w:szCs w:val="20"/>
                <w:color w:val="auto"/>
              </w:rPr>
            </w:pPr>
            <w:r>
              <w:rPr>
                <w:rFonts w:ascii="Arial" w:cs="Arial" w:eastAsia="Arial" w:hAnsi="Arial"/>
                <w:sz w:val="18"/>
                <w:szCs w:val="18"/>
                <w:b w:val="1"/>
                <w:bCs w:val="1"/>
                <w:color w:val="auto"/>
              </w:rPr>
              <w:t>€20,296</w:t>
            </w:r>
          </w:p>
        </w:tc>
        <w:tc>
          <w:tcPr>
            <w:tcW w:w="1360" w:type="dxa"/>
            <w:vAlign w:val="bottom"/>
            <w:tcBorders>
              <w:top w:val="single" w:sz="8" w:color="70AD47"/>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€57,921</w:t>
            </w:r>
          </w:p>
        </w:tc>
        <w:tc>
          <w:tcPr>
            <w:tcW w:w="500" w:type="dxa"/>
            <w:vAlign w:val="bottom"/>
            <w:tcBorders>
              <w:top w:val="single" w:sz="8" w:color="70AD47"/>
            </w:tcBorders>
          </w:tcPr>
          <w:p>
            <w:pPr>
              <w:spacing w:after="0"/>
              <w:rPr>
                <w:sz w:val="24"/>
                <w:szCs w:val="24"/>
                <w:color w:val="auto"/>
              </w:rPr>
            </w:pPr>
          </w:p>
        </w:tc>
        <w:tc>
          <w:tcPr>
            <w:tcW w:w="820" w:type="dxa"/>
            <w:vAlign w:val="bottom"/>
            <w:tcBorders>
              <w:top w:val="single" w:sz="8" w:color="70AD47"/>
            </w:tcBorders>
          </w:tcPr>
          <w:p>
            <w:pPr>
              <w:jc w:val="right"/>
              <w:spacing w:after="0"/>
              <w:rPr>
                <w:sz w:val="20"/>
                <w:szCs w:val="20"/>
                <w:color w:val="auto"/>
              </w:rPr>
            </w:pPr>
            <w:r>
              <w:rPr>
                <w:rFonts w:ascii="Arial" w:cs="Arial" w:eastAsia="Arial" w:hAnsi="Arial"/>
                <w:sz w:val="18"/>
                <w:szCs w:val="18"/>
                <w:b w:val="1"/>
                <w:bCs w:val="1"/>
                <w:color w:val="auto"/>
              </w:rPr>
              <w:t>€43,245</w:t>
            </w:r>
          </w:p>
        </w:tc>
        <w:tc>
          <w:tcPr>
            <w:tcW w:w="20" w:type="dxa"/>
            <w:vAlign w:val="bottom"/>
            <w:tcBorders>
              <w:top w:val="single" w:sz="8" w:color="70AD47"/>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5880" w:type="dxa"/>
            <w:vAlign w:val="bottom"/>
            <w:tcBorders>
              <w:top w:val="single" w:sz="8" w:color="70AD47"/>
              <w:right w:val="single" w:sz="8" w:color="70AD47"/>
            </w:tcBorders>
          </w:tcPr>
          <w:p>
            <w:pPr>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(95,189)</w:t>
            </w:r>
          </w:p>
        </w:tc>
        <w:tc>
          <w:tcPr>
            <w:tcW w:w="500" w:type="dxa"/>
            <w:vAlign w:val="bottom"/>
            <w:tcBorders>
              <w:top w:val="single" w:sz="8" w:color="70AD47"/>
            </w:tcBorders>
          </w:tcPr>
          <w:p>
            <w:pPr>
              <w:spacing w:after="0"/>
              <w:rPr>
                <w:sz w:val="24"/>
                <w:szCs w:val="24"/>
                <w:color w:val="auto"/>
              </w:rPr>
            </w:pPr>
          </w:p>
        </w:tc>
        <w:tc>
          <w:tcPr>
            <w:tcW w:w="820" w:type="dxa"/>
            <w:vAlign w:val="bottom"/>
            <w:tcBorders>
              <w:top w:val="single" w:sz="8" w:color="70AD47"/>
            </w:tcBorders>
          </w:tcPr>
          <w:p>
            <w:pPr>
              <w:jc w:val="right"/>
              <w:spacing w:after="0"/>
              <w:rPr>
                <w:sz w:val="20"/>
                <w:szCs w:val="20"/>
                <w:color w:val="auto"/>
              </w:rPr>
            </w:pPr>
            <w:r>
              <w:rPr>
                <w:rFonts w:ascii="Arial" w:cs="Arial" w:eastAsia="Arial" w:hAnsi="Arial"/>
                <w:sz w:val="18"/>
                <w:szCs w:val="18"/>
                <w:color w:val="auto"/>
              </w:rPr>
              <w:t>(53,402)</w:t>
            </w:r>
          </w:p>
        </w:tc>
        <w:tc>
          <w:tcPr>
            <w:tcW w:w="1360" w:type="dxa"/>
            <w:vAlign w:val="bottom"/>
            <w:tcBorders>
              <w:top w:val="single" w:sz="8" w:color="70AD47"/>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(160,311)</w:t>
            </w:r>
          </w:p>
        </w:tc>
        <w:tc>
          <w:tcPr>
            <w:tcW w:w="500" w:type="dxa"/>
            <w:vAlign w:val="bottom"/>
            <w:tcBorders>
              <w:top w:val="single" w:sz="8" w:color="70AD47"/>
            </w:tcBorders>
          </w:tcPr>
          <w:p>
            <w:pPr>
              <w:spacing w:after="0"/>
              <w:rPr>
                <w:sz w:val="24"/>
                <w:szCs w:val="24"/>
                <w:color w:val="auto"/>
              </w:rPr>
            </w:pPr>
          </w:p>
        </w:tc>
        <w:tc>
          <w:tcPr>
            <w:tcW w:w="820" w:type="dxa"/>
            <w:vAlign w:val="bottom"/>
            <w:tcBorders>
              <w:top w:val="single" w:sz="8" w:color="70AD47"/>
            </w:tcBorders>
          </w:tcPr>
          <w:p>
            <w:pPr>
              <w:jc w:val="right"/>
              <w:spacing w:after="0"/>
              <w:rPr>
                <w:sz w:val="20"/>
                <w:szCs w:val="20"/>
                <w:color w:val="auto"/>
              </w:rPr>
            </w:pPr>
            <w:r>
              <w:rPr>
                <w:rFonts w:ascii="Arial" w:cs="Arial" w:eastAsia="Arial" w:hAnsi="Arial"/>
                <w:sz w:val="18"/>
                <w:szCs w:val="18"/>
                <w:color w:val="auto"/>
              </w:rPr>
              <w:t>(110,643)</w:t>
            </w:r>
          </w:p>
        </w:tc>
        <w:tc>
          <w:tcPr>
            <w:tcW w:w="20" w:type="dxa"/>
            <w:vAlign w:val="bottom"/>
            <w:tcBorders>
              <w:top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8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Sales and marketing expenses</w:t>
            </w:r>
          </w:p>
        </w:tc>
        <w:tc>
          <w:tcPr>
            <w:tcW w:w="13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(3,054)</w:t>
            </w: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(678)</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(3,540)</w:t>
            </w: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(1,238)</w:t>
            </w: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8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General and administrative expenses</w:t>
            </w:r>
          </w:p>
        </w:tc>
        <w:tc>
          <w:tcPr>
            <w:tcW w:w="13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(18,813)</w:t>
            </w: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(14,623)</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(34,628)</w:t>
            </w: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(23,899)</w:t>
            </w: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8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Other operating income</w:t>
            </w:r>
          </w:p>
        </w:tc>
        <w:tc>
          <w:tcPr>
            <w:tcW w:w="13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773</w:t>
            </w: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660</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1,198</w:t>
            </w: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991</w:t>
            </w: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8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Other operating expenses</w:t>
            </w:r>
          </w:p>
        </w:tc>
        <w:tc>
          <w:tcPr>
            <w:tcW w:w="13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(759)</w:t>
            </w: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w:t>
            </w:r>
          </w:p>
        </w:tc>
        <w:tc>
          <w:tcPr>
            <w:tcW w:w="1360" w:type="dxa"/>
            <w:vAlign w:val="bottom"/>
            <w:tcBorders>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(859)</w:t>
            </w: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w:t>
            </w:r>
          </w:p>
        </w:tc>
        <w:tc>
          <w:tcPr>
            <w:tcW w:w="20" w:type="dxa"/>
            <w:vAlign w:val="bottom"/>
            <w:tcBorders>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880" w:type="dxa"/>
            <w:vAlign w:val="bottom"/>
            <w:tcBorders>
              <w:top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Operating loss</w:t>
            </w:r>
          </w:p>
        </w:tc>
        <w:tc>
          <w:tcPr>
            <w:tcW w:w="13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€(80,942)</w:t>
            </w:r>
          </w:p>
        </w:tc>
        <w:tc>
          <w:tcPr>
            <w:tcW w:w="500" w:type="dxa"/>
            <w:vAlign w:val="bottom"/>
            <w:tcBorders>
              <w:top w:val="single" w:sz="8" w:color="70AD47"/>
            </w:tcBorders>
          </w:tcPr>
          <w:p>
            <w:pPr>
              <w:spacing w:after="0"/>
              <w:rPr>
                <w:sz w:val="24"/>
                <w:szCs w:val="24"/>
                <w:color w:val="auto"/>
              </w:rPr>
            </w:pPr>
          </w:p>
        </w:tc>
        <w:tc>
          <w:tcPr>
            <w:tcW w:w="820" w:type="dxa"/>
            <w:vAlign w:val="bottom"/>
            <w:tcBorders>
              <w:top w:val="single" w:sz="8" w:color="70AD47"/>
            </w:tcBorders>
          </w:tcPr>
          <w:p>
            <w:pPr>
              <w:jc w:val="right"/>
              <w:spacing w:after="0"/>
              <w:rPr>
                <w:sz w:val="20"/>
                <w:szCs w:val="20"/>
                <w:color w:val="auto"/>
              </w:rPr>
            </w:pPr>
            <w:r>
              <w:rPr>
                <w:rFonts w:ascii="Arial" w:cs="Arial" w:eastAsia="Arial" w:hAnsi="Arial"/>
                <w:sz w:val="18"/>
                <w:szCs w:val="18"/>
                <w:b w:val="1"/>
                <w:bCs w:val="1"/>
                <w:color w:val="auto"/>
              </w:rPr>
              <w:t>€(47,867)</w:t>
            </w:r>
          </w:p>
        </w:tc>
        <w:tc>
          <w:tcPr>
            <w:tcW w:w="1360" w:type="dxa"/>
            <w:vAlign w:val="bottom"/>
            <w:tcBorders>
              <w:top w:val="single" w:sz="8" w:color="70AD47"/>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€(140,219)</w:t>
            </w:r>
          </w:p>
        </w:tc>
        <w:tc>
          <w:tcPr>
            <w:tcW w:w="500" w:type="dxa"/>
            <w:vAlign w:val="bottom"/>
            <w:tcBorders>
              <w:top w:val="single" w:sz="8" w:color="70AD47"/>
            </w:tcBorders>
          </w:tcPr>
          <w:p>
            <w:pPr>
              <w:spacing w:after="0"/>
              <w:rPr>
                <w:sz w:val="24"/>
                <w:szCs w:val="24"/>
                <w:color w:val="auto"/>
              </w:rPr>
            </w:pPr>
          </w:p>
        </w:tc>
        <w:tc>
          <w:tcPr>
            <w:tcW w:w="820" w:type="dxa"/>
            <w:vAlign w:val="bottom"/>
            <w:tcBorders>
              <w:top w:val="single" w:sz="8" w:color="70AD47"/>
            </w:tcBorders>
          </w:tcPr>
          <w:p>
            <w:pPr>
              <w:jc w:val="right"/>
              <w:spacing w:after="0"/>
              <w:rPr>
                <w:sz w:val="20"/>
                <w:szCs w:val="20"/>
                <w:color w:val="auto"/>
              </w:rPr>
            </w:pPr>
            <w:r>
              <w:rPr>
                <w:rFonts w:ascii="Arial" w:cs="Arial" w:eastAsia="Arial" w:hAnsi="Arial"/>
                <w:sz w:val="18"/>
                <w:szCs w:val="18"/>
                <w:b w:val="1"/>
                <w:bCs w:val="1"/>
                <w:color w:val="auto"/>
              </w:rPr>
              <w:t>€(91,702)</w:t>
            </w:r>
          </w:p>
        </w:tc>
        <w:tc>
          <w:tcPr>
            <w:tcW w:w="20" w:type="dxa"/>
            <w:vAlign w:val="bottom"/>
            <w:tcBorders>
              <w:top w:val="single" w:sz="8" w:color="70AD47"/>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5880" w:type="dxa"/>
            <w:vAlign w:val="bottom"/>
            <w:tcBorders>
              <w:top w:val="single" w:sz="8" w:color="70AD47"/>
              <w:right w:val="single" w:sz="8" w:color="70AD47"/>
            </w:tcBorders>
          </w:tcPr>
          <w:p>
            <w:pPr>
              <w:spacing w:after="0"/>
              <w:rPr>
                <w:sz w:val="20"/>
                <w:szCs w:val="20"/>
                <w:color w:val="auto"/>
              </w:rPr>
            </w:pPr>
            <w:r>
              <w:rPr>
                <w:rFonts w:ascii="Arial" w:cs="Arial" w:eastAsia="Arial" w:hAnsi="Arial"/>
                <w:sz w:val="18"/>
                <w:szCs w:val="18"/>
                <w:color w:val="auto"/>
              </w:rPr>
              <w:t>Finance income</w:t>
            </w:r>
          </w:p>
        </w:tc>
        <w:tc>
          <w:tcPr>
            <w:tcW w:w="136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205</w:t>
            </w:r>
          </w:p>
        </w:tc>
        <w:tc>
          <w:tcPr>
            <w:tcW w:w="500" w:type="dxa"/>
            <w:vAlign w:val="bottom"/>
            <w:tcBorders>
              <w:top w:val="single" w:sz="8" w:color="70AD47"/>
            </w:tcBorders>
          </w:tcPr>
          <w:p>
            <w:pPr>
              <w:spacing w:after="0"/>
              <w:rPr>
                <w:sz w:val="24"/>
                <w:szCs w:val="24"/>
                <w:color w:val="auto"/>
              </w:rPr>
            </w:pPr>
          </w:p>
        </w:tc>
        <w:tc>
          <w:tcPr>
            <w:tcW w:w="820" w:type="dxa"/>
            <w:vAlign w:val="bottom"/>
            <w:tcBorders>
              <w:top w:val="single" w:sz="8" w:color="70AD47"/>
            </w:tcBorders>
          </w:tcPr>
          <w:p>
            <w:pPr>
              <w:jc w:val="right"/>
              <w:spacing w:after="0"/>
              <w:rPr>
                <w:sz w:val="20"/>
                <w:szCs w:val="20"/>
                <w:color w:val="auto"/>
              </w:rPr>
            </w:pPr>
            <w:r>
              <w:rPr>
                <w:rFonts w:ascii="Arial" w:cs="Arial" w:eastAsia="Arial" w:hAnsi="Arial"/>
                <w:sz w:val="18"/>
                <w:szCs w:val="18"/>
                <w:color w:val="auto"/>
              </w:rPr>
              <w:t>425</w:t>
            </w:r>
          </w:p>
        </w:tc>
        <w:tc>
          <w:tcPr>
            <w:tcW w:w="1360" w:type="dxa"/>
            <w:vAlign w:val="bottom"/>
            <w:tcBorders>
              <w:top w:val="single" w:sz="8" w:color="70AD47"/>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593</w:t>
            </w:r>
          </w:p>
        </w:tc>
        <w:tc>
          <w:tcPr>
            <w:tcW w:w="500" w:type="dxa"/>
            <w:vAlign w:val="bottom"/>
            <w:tcBorders>
              <w:top w:val="single" w:sz="8" w:color="70AD47"/>
            </w:tcBorders>
          </w:tcPr>
          <w:p>
            <w:pPr>
              <w:spacing w:after="0"/>
              <w:rPr>
                <w:sz w:val="24"/>
                <w:szCs w:val="24"/>
                <w:color w:val="auto"/>
              </w:rPr>
            </w:pPr>
          </w:p>
        </w:tc>
        <w:tc>
          <w:tcPr>
            <w:tcW w:w="820" w:type="dxa"/>
            <w:vAlign w:val="bottom"/>
            <w:tcBorders>
              <w:top w:val="single" w:sz="8" w:color="70AD47"/>
            </w:tcBorders>
          </w:tcPr>
          <w:p>
            <w:pPr>
              <w:jc w:val="right"/>
              <w:spacing w:after="0"/>
              <w:rPr>
                <w:sz w:val="20"/>
                <w:szCs w:val="20"/>
                <w:color w:val="auto"/>
              </w:rPr>
            </w:pPr>
            <w:r>
              <w:rPr>
                <w:rFonts w:ascii="Arial" w:cs="Arial" w:eastAsia="Arial" w:hAnsi="Arial"/>
                <w:sz w:val="18"/>
                <w:szCs w:val="18"/>
                <w:color w:val="auto"/>
              </w:rPr>
              <w:t>1,876</w:t>
            </w:r>
          </w:p>
        </w:tc>
        <w:tc>
          <w:tcPr>
            <w:tcW w:w="20" w:type="dxa"/>
            <w:vAlign w:val="bottom"/>
            <w:tcBorders>
              <w:top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8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Finance expenses</w:t>
            </w:r>
          </w:p>
        </w:tc>
        <w:tc>
          <w:tcPr>
            <w:tcW w:w="13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(9,300)</w:t>
            </w: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(2,204)</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(3,374)</w:t>
            </w: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88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Interest expense related to lease liability</w:t>
            </w:r>
          </w:p>
        </w:tc>
        <w:tc>
          <w:tcPr>
            <w:tcW w:w="13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(465)</w:t>
            </w: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(425)</w:t>
            </w:r>
          </w:p>
        </w:tc>
        <w:tc>
          <w:tcPr>
            <w:tcW w:w="1360" w:type="dxa"/>
            <w:vAlign w:val="bottom"/>
            <w:tcBorders>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(880)</w:t>
            </w: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(850)</w:t>
            </w:r>
          </w:p>
        </w:tc>
        <w:tc>
          <w:tcPr>
            <w:tcW w:w="20" w:type="dxa"/>
            <w:vAlign w:val="bottom"/>
            <w:tcBorders>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880" w:type="dxa"/>
            <w:vAlign w:val="bottom"/>
            <w:tcBorders>
              <w:top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Loss before tax</w:t>
            </w:r>
          </w:p>
        </w:tc>
        <w:tc>
          <w:tcPr>
            <w:tcW w:w="13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€(90,502)</w:t>
            </w:r>
          </w:p>
        </w:tc>
        <w:tc>
          <w:tcPr>
            <w:tcW w:w="500" w:type="dxa"/>
            <w:vAlign w:val="bottom"/>
            <w:tcBorders>
              <w:top w:val="single" w:sz="8" w:color="70AD47"/>
            </w:tcBorders>
          </w:tcPr>
          <w:p>
            <w:pPr>
              <w:spacing w:after="0"/>
              <w:rPr>
                <w:sz w:val="24"/>
                <w:szCs w:val="24"/>
                <w:color w:val="auto"/>
              </w:rPr>
            </w:pPr>
          </w:p>
        </w:tc>
        <w:tc>
          <w:tcPr>
            <w:tcW w:w="820" w:type="dxa"/>
            <w:vAlign w:val="bottom"/>
            <w:tcBorders>
              <w:top w:val="single" w:sz="8" w:color="70AD47"/>
            </w:tcBorders>
          </w:tcPr>
          <w:p>
            <w:pPr>
              <w:jc w:val="right"/>
              <w:spacing w:after="0"/>
              <w:rPr>
                <w:sz w:val="20"/>
                <w:szCs w:val="20"/>
                <w:color w:val="auto"/>
              </w:rPr>
            </w:pPr>
            <w:r>
              <w:rPr>
                <w:rFonts w:ascii="Arial" w:cs="Arial" w:eastAsia="Arial" w:hAnsi="Arial"/>
                <w:sz w:val="18"/>
                <w:szCs w:val="18"/>
                <w:b w:val="1"/>
                <w:bCs w:val="1"/>
                <w:color w:val="auto"/>
              </w:rPr>
              <w:t>€(50,071)</w:t>
            </w:r>
          </w:p>
        </w:tc>
        <w:tc>
          <w:tcPr>
            <w:tcW w:w="1360" w:type="dxa"/>
            <w:vAlign w:val="bottom"/>
            <w:tcBorders>
              <w:top w:val="single" w:sz="8" w:color="70AD47"/>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€(143,880)</w:t>
            </w:r>
          </w:p>
        </w:tc>
        <w:tc>
          <w:tcPr>
            <w:tcW w:w="500" w:type="dxa"/>
            <w:vAlign w:val="bottom"/>
            <w:tcBorders>
              <w:top w:val="single" w:sz="8" w:color="70AD47"/>
            </w:tcBorders>
          </w:tcPr>
          <w:p>
            <w:pPr>
              <w:spacing w:after="0"/>
              <w:rPr>
                <w:sz w:val="24"/>
                <w:szCs w:val="24"/>
                <w:color w:val="auto"/>
              </w:rPr>
            </w:pPr>
          </w:p>
        </w:tc>
        <w:tc>
          <w:tcPr>
            <w:tcW w:w="820" w:type="dxa"/>
            <w:vAlign w:val="bottom"/>
            <w:tcBorders>
              <w:top w:val="single" w:sz="8" w:color="70AD47"/>
            </w:tcBorders>
          </w:tcPr>
          <w:p>
            <w:pPr>
              <w:jc w:val="right"/>
              <w:spacing w:after="0"/>
              <w:rPr>
                <w:sz w:val="20"/>
                <w:szCs w:val="20"/>
                <w:color w:val="auto"/>
              </w:rPr>
            </w:pPr>
            <w:r>
              <w:rPr>
                <w:rFonts w:ascii="Arial" w:cs="Arial" w:eastAsia="Arial" w:hAnsi="Arial"/>
                <w:sz w:val="18"/>
                <w:szCs w:val="18"/>
                <w:b w:val="1"/>
                <w:bCs w:val="1"/>
                <w:color w:val="auto"/>
              </w:rPr>
              <w:t>€(90,827)</w:t>
            </w:r>
          </w:p>
        </w:tc>
        <w:tc>
          <w:tcPr>
            <w:tcW w:w="20" w:type="dxa"/>
            <w:vAlign w:val="bottom"/>
            <w:tcBorders>
              <w:top w:val="single" w:sz="8" w:color="70AD47"/>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880" w:type="dxa"/>
            <w:vAlign w:val="bottom"/>
            <w:tcBorders>
              <w:top w:val="single" w:sz="8" w:color="70AD47"/>
              <w:right w:val="single" w:sz="8" w:color="70AD47"/>
            </w:tcBorders>
          </w:tcPr>
          <w:p>
            <w:pPr>
              <w:spacing w:after="0"/>
              <w:rPr>
                <w:sz w:val="20"/>
                <w:szCs w:val="20"/>
                <w:color w:val="auto"/>
              </w:rPr>
            </w:pPr>
            <w:r>
              <w:rPr>
                <w:rFonts w:ascii="Arial" w:cs="Arial" w:eastAsia="Arial" w:hAnsi="Arial"/>
                <w:sz w:val="18"/>
                <w:szCs w:val="18"/>
                <w:color w:val="auto"/>
              </w:rPr>
              <w:t>Income taxes</w:t>
            </w:r>
          </w:p>
        </w:tc>
        <w:tc>
          <w:tcPr>
            <w:tcW w:w="13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2,206</w:t>
            </w:r>
          </w:p>
        </w:tc>
        <w:tc>
          <w:tcPr>
            <w:tcW w:w="500" w:type="dxa"/>
            <w:vAlign w:val="bottom"/>
            <w:tcBorders>
              <w:top w:val="single" w:sz="8" w:color="70AD47"/>
            </w:tcBorders>
          </w:tcPr>
          <w:p>
            <w:pPr>
              <w:spacing w:after="0"/>
              <w:rPr>
                <w:sz w:val="24"/>
                <w:szCs w:val="24"/>
                <w:color w:val="auto"/>
              </w:rPr>
            </w:pPr>
          </w:p>
        </w:tc>
        <w:tc>
          <w:tcPr>
            <w:tcW w:w="820" w:type="dxa"/>
            <w:vAlign w:val="bottom"/>
            <w:tcBorders>
              <w:top w:val="single" w:sz="8" w:color="70AD47"/>
            </w:tcBorders>
          </w:tcPr>
          <w:p>
            <w:pPr>
              <w:jc w:val="right"/>
              <w:spacing w:after="0"/>
              <w:rPr>
                <w:sz w:val="20"/>
                <w:szCs w:val="20"/>
                <w:color w:val="auto"/>
              </w:rPr>
            </w:pPr>
            <w:r>
              <w:rPr>
                <w:rFonts w:ascii="Arial" w:cs="Arial" w:eastAsia="Arial" w:hAnsi="Arial"/>
                <w:sz w:val="18"/>
                <w:szCs w:val="18"/>
                <w:color w:val="auto"/>
              </w:rPr>
              <w:t>(13)</w:t>
            </w:r>
          </w:p>
        </w:tc>
        <w:tc>
          <w:tcPr>
            <w:tcW w:w="1360" w:type="dxa"/>
            <w:vAlign w:val="bottom"/>
            <w:tcBorders>
              <w:top w:val="single" w:sz="8" w:color="70AD47"/>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2,198</w:t>
            </w:r>
          </w:p>
        </w:tc>
        <w:tc>
          <w:tcPr>
            <w:tcW w:w="500" w:type="dxa"/>
            <w:vAlign w:val="bottom"/>
            <w:tcBorders>
              <w:top w:val="single" w:sz="8" w:color="70AD47"/>
            </w:tcBorders>
          </w:tcPr>
          <w:p>
            <w:pPr>
              <w:spacing w:after="0"/>
              <w:rPr>
                <w:sz w:val="24"/>
                <w:szCs w:val="24"/>
                <w:color w:val="auto"/>
              </w:rPr>
            </w:pPr>
          </w:p>
        </w:tc>
        <w:tc>
          <w:tcPr>
            <w:tcW w:w="820" w:type="dxa"/>
            <w:vAlign w:val="bottom"/>
            <w:tcBorders>
              <w:top w:val="single" w:sz="8" w:color="70AD47"/>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top w:val="single" w:sz="8" w:color="70AD47"/>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880" w:type="dxa"/>
            <w:vAlign w:val="bottom"/>
            <w:tcBorders>
              <w:top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Loss for the period</w:t>
            </w:r>
          </w:p>
        </w:tc>
        <w:tc>
          <w:tcPr>
            <w:tcW w:w="13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€(88,296)</w:t>
            </w:r>
          </w:p>
        </w:tc>
        <w:tc>
          <w:tcPr>
            <w:tcW w:w="500" w:type="dxa"/>
            <w:vAlign w:val="bottom"/>
            <w:tcBorders>
              <w:top w:val="single" w:sz="8" w:color="70AD47"/>
            </w:tcBorders>
          </w:tcPr>
          <w:p>
            <w:pPr>
              <w:spacing w:after="0"/>
              <w:rPr>
                <w:sz w:val="22"/>
                <w:szCs w:val="22"/>
                <w:color w:val="auto"/>
              </w:rPr>
            </w:pPr>
          </w:p>
        </w:tc>
        <w:tc>
          <w:tcPr>
            <w:tcW w:w="820" w:type="dxa"/>
            <w:vAlign w:val="bottom"/>
            <w:tcBorders>
              <w:top w:val="single" w:sz="8" w:color="70AD47"/>
            </w:tcBorders>
          </w:tcPr>
          <w:p>
            <w:pPr>
              <w:jc w:val="right"/>
              <w:spacing w:after="0"/>
              <w:rPr>
                <w:sz w:val="20"/>
                <w:szCs w:val="20"/>
                <w:color w:val="auto"/>
              </w:rPr>
            </w:pPr>
            <w:r>
              <w:rPr>
                <w:rFonts w:ascii="Arial" w:cs="Arial" w:eastAsia="Arial" w:hAnsi="Arial"/>
                <w:sz w:val="18"/>
                <w:szCs w:val="18"/>
                <w:b w:val="1"/>
                <w:bCs w:val="1"/>
                <w:color w:val="auto"/>
              </w:rPr>
              <w:t>€(50,084)</w:t>
            </w:r>
          </w:p>
        </w:tc>
        <w:tc>
          <w:tcPr>
            <w:tcW w:w="1360" w:type="dxa"/>
            <w:vAlign w:val="bottom"/>
            <w:tcBorders>
              <w:top w:val="single" w:sz="8" w:color="70AD47"/>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€(141,682)</w:t>
            </w:r>
          </w:p>
        </w:tc>
        <w:tc>
          <w:tcPr>
            <w:tcW w:w="500" w:type="dxa"/>
            <w:vAlign w:val="bottom"/>
            <w:tcBorders>
              <w:top w:val="single" w:sz="8" w:color="70AD47"/>
            </w:tcBorders>
          </w:tcPr>
          <w:p>
            <w:pPr>
              <w:spacing w:after="0"/>
              <w:rPr>
                <w:sz w:val="22"/>
                <w:szCs w:val="22"/>
                <w:color w:val="auto"/>
              </w:rPr>
            </w:pPr>
          </w:p>
        </w:tc>
        <w:tc>
          <w:tcPr>
            <w:tcW w:w="820" w:type="dxa"/>
            <w:vAlign w:val="bottom"/>
            <w:tcBorders>
              <w:top w:val="single" w:sz="8" w:color="70AD47"/>
            </w:tcBorders>
          </w:tcPr>
          <w:p>
            <w:pPr>
              <w:jc w:val="right"/>
              <w:spacing w:after="0"/>
              <w:rPr>
                <w:sz w:val="20"/>
                <w:szCs w:val="20"/>
                <w:color w:val="auto"/>
              </w:rPr>
            </w:pPr>
            <w:r>
              <w:rPr>
                <w:rFonts w:ascii="Arial" w:cs="Arial" w:eastAsia="Arial" w:hAnsi="Arial"/>
                <w:sz w:val="18"/>
                <w:szCs w:val="18"/>
                <w:b w:val="1"/>
                <w:bCs w:val="1"/>
                <w:color w:val="auto"/>
              </w:rPr>
              <w:t>€(90,846)</w:t>
            </w:r>
          </w:p>
        </w:tc>
        <w:tc>
          <w:tcPr>
            <w:tcW w:w="20" w:type="dxa"/>
            <w:vAlign w:val="bottom"/>
            <w:tcBorders>
              <w:top w:val="single" w:sz="8" w:color="70AD47"/>
              <w:bottom w:val="single" w:sz="8" w:color="70AD47"/>
            </w:tcBorders>
            <w:shd w:val="clear" w:color="auto" w:fill="70AD4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80" w:type="dxa"/>
            <w:vAlign w:val="bottom"/>
            <w:tcBorders>
              <w:right w:val="single" w:sz="8" w:color="70AD47"/>
            </w:tcBorders>
            <w:shd w:val="clear" w:color="auto" w:fill="70AD47"/>
          </w:tcPr>
          <w:p>
            <w:pPr>
              <w:spacing w:after="0" w:line="20" w:lineRule="exact"/>
              <w:rPr>
                <w:sz w:val="1"/>
                <w:szCs w:val="1"/>
                <w:color w:val="auto"/>
              </w:rPr>
            </w:pPr>
          </w:p>
        </w:tc>
        <w:tc>
          <w:tcPr>
            <w:tcW w:w="1360" w:type="dxa"/>
            <w:vAlign w:val="bottom"/>
            <w:tcBorders>
              <w:right w:val="single" w:sz="8" w:color="70AD47"/>
            </w:tcBorders>
            <w:shd w:val="clear" w:color="auto" w:fill="70AD47"/>
          </w:tcPr>
          <w:p>
            <w:pPr>
              <w:spacing w:after="0" w:line="20" w:lineRule="exact"/>
              <w:rPr>
                <w:sz w:val="1"/>
                <w:szCs w:val="1"/>
                <w:color w:val="auto"/>
              </w:rPr>
            </w:pPr>
          </w:p>
        </w:tc>
        <w:tc>
          <w:tcPr>
            <w:tcW w:w="500" w:type="dxa"/>
            <w:vAlign w:val="bottom"/>
            <w:shd w:val="clear" w:color="auto" w:fill="70AD47"/>
          </w:tcPr>
          <w:p>
            <w:pPr>
              <w:spacing w:after="0" w:line="20" w:lineRule="exact"/>
              <w:rPr>
                <w:sz w:val="1"/>
                <w:szCs w:val="1"/>
                <w:color w:val="auto"/>
              </w:rPr>
            </w:pPr>
          </w:p>
        </w:tc>
        <w:tc>
          <w:tcPr>
            <w:tcW w:w="820" w:type="dxa"/>
            <w:vAlign w:val="bottom"/>
            <w:shd w:val="clear" w:color="auto" w:fill="70AD47"/>
          </w:tcPr>
          <w:p>
            <w:pPr>
              <w:spacing w:after="0" w:line="20" w:lineRule="exact"/>
              <w:rPr>
                <w:sz w:val="1"/>
                <w:szCs w:val="1"/>
                <w:color w:val="auto"/>
              </w:rPr>
            </w:pPr>
          </w:p>
        </w:tc>
        <w:tc>
          <w:tcPr>
            <w:tcW w:w="1360" w:type="dxa"/>
            <w:vAlign w:val="bottom"/>
            <w:tcBorders>
              <w:left w:val="single" w:sz="8" w:color="70AD47"/>
              <w:right w:val="single" w:sz="8" w:color="70AD47"/>
            </w:tcBorders>
            <w:shd w:val="clear" w:color="auto" w:fill="70AD47"/>
          </w:tcPr>
          <w:p>
            <w:pPr>
              <w:spacing w:after="0" w:line="20" w:lineRule="exact"/>
              <w:rPr>
                <w:sz w:val="1"/>
                <w:szCs w:val="1"/>
                <w:color w:val="auto"/>
              </w:rPr>
            </w:pPr>
          </w:p>
        </w:tc>
        <w:tc>
          <w:tcPr>
            <w:tcW w:w="500" w:type="dxa"/>
            <w:vAlign w:val="bottom"/>
            <w:shd w:val="clear" w:color="auto" w:fill="70AD47"/>
          </w:tcPr>
          <w:p>
            <w:pPr>
              <w:spacing w:after="0" w:line="20" w:lineRule="exact"/>
              <w:rPr>
                <w:sz w:val="1"/>
                <w:szCs w:val="1"/>
                <w:color w:val="auto"/>
              </w:rPr>
            </w:pPr>
          </w:p>
        </w:tc>
        <w:tc>
          <w:tcPr>
            <w:tcW w:w="820" w:type="dxa"/>
            <w:vAlign w:val="bottom"/>
            <w:shd w:val="clear" w:color="auto" w:fill="70AD47"/>
          </w:tcPr>
          <w:p>
            <w:pPr>
              <w:spacing w:after="0" w:line="20" w:lineRule="exact"/>
              <w:rPr>
                <w:sz w:val="1"/>
                <w:szCs w:val="1"/>
                <w:color w:val="auto"/>
              </w:rPr>
            </w:pPr>
          </w:p>
        </w:tc>
        <w:tc>
          <w:tcPr>
            <w:tcW w:w="20" w:type="dxa"/>
            <w:vAlign w:val="bottom"/>
            <w:shd w:val="clear" w:color="auto" w:fill="70AD4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w:t>
      </w:r>
    </w:p>
    <w:p>
      <w:pPr>
        <w:spacing w:after="0" w:line="108"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To date, we have not generated any revenue from the sale of pharmaceutical products. Our revenue has been primarily derived from our collaborations and the sale of diagnostic products, peptides, retroviral vectors for clinical supply, and development and manufacturing services that are sold to third-party customers.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summary of revenue recognized for the periods indicated: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2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04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7"/>
              </w:rPr>
              <w:t>Six months ended</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80" w:type="dxa"/>
            <w:vAlign w:val="bottom"/>
          </w:tcPr>
          <w:p>
            <w:pPr>
              <w:spacing w:after="0"/>
              <w:rPr>
                <w:sz w:val="20"/>
                <w:szCs w:val="20"/>
                <w:color w:val="auto"/>
              </w:rPr>
            </w:pPr>
          </w:p>
        </w:tc>
        <w:tc>
          <w:tcPr>
            <w:tcW w:w="19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04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80" w:type="dxa"/>
            <w:vAlign w:val="bottom"/>
            <w:tcBorders>
              <w:right w:val="single" w:sz="8" w:color="70AD47"/>
            </w:tcBorders>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3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Borders>
              <w:bottom w:val="single" w:sz="8" w:color="70AD47"/>
              <w:right w:val="single" w:sz="8" w:color="70AD47"/>
            </w:tcBorders>
            <w:vMerge w:val="continue"/>
          </w:tcPr>
          <w:p>
            <w:pPr>
              <w:spacing w:after="0"/>
              <w:rPr>
                <w:sz w:val="19"/>
                <w:szCs w:val="19"/>
                <w:color w:val="auto"/>
              </w:rPr>
            </w:pPr>
          </w:p>
        </w:tc>
        <w:tc>
          <w:tcPr>
            <w:tcW w:w="1920" w:type="dxa"/>
            <w:vAlign w:val="bottom"/>
            <w:tcBorders>
              <w:bottom w:val="single" w:sz="8" w:color="70AD47"/>
            </w:tcBorders>
            <w:gridSpan w:val="2"/>
          </w:tcPr>
          <w:p>
            <w:pPr>
              <w:jc w:val="center"/>
              <w:ind w:left="670"/>
              <w:spacing w:after="0"/>
              <w:rPr>
                <w:sz w:val="20"/>
                <w:szCs w:val="20"/>
                <w:color w:val="auto"/>
              </w:rPr>
            </w:pPr>
            <w:r>
              <w:rPr>
                <w:rFonts w:ascii="Arial" w:cs="Arial" w:eastAsia="Arial" w:hAnsi="Arial"/>
                <w:sz w:val="18"/>
                <w:szCs w:val="18"/>
                <w:i w:val="1"/>
                <w:iCs w:val="1"/>
                <w:color w:val="auto"/>
                <w:w w:val="92"/>
              </w:rPr>
              <w:t>(unaudited)</w:t>
            </w:r>
          </w:p>
        </w:tc>
        <w:tc>
          <w:tcPr>
            <w:tcW w:w="760" w:type="dxa"/>
            <w:vAlign w:val="bottom"/>
            <w:tcBorders>
              <w:bottom w:val="single" w:sz="8" w:color="70AD47"/>
            </w:tcBorders>
          </w:tcPr>
          <w:p>
            <w:pPr>
              <w:spacing w:after="0"/>
              <w:rPr>
                <w:sz w:val="19"/>
                <w:szCs w:val="19"/>
                <w:color w:val="auto"/>
              </w:rPr>
            </w:pPr>
          </w:p>
        </w:tc>
        <w:tc>
          <w:tcPr>
            <w:tcW w:w="2040" w:type="dxa"/>
            <w:vAlign w:val="bottom"/>
            <w:tcBorders>
              <w:left w:val="single" w:sz="8" w:color="70AD47"/>
              <w:bottom w:val="single" w:sz="8" w:color="70AD47"/>
            </w:tcBorders>
            <w:gridSpan w:val="2"/>
          </w:tcPr>
          <w:p>
            <w:pPr>
              <w:jc w:val="center"/>
              <w:ind w:left="550"/>
              <w:spacing w:after="0"/>
              <w:rPr>
                <w:sz w:val="20"/>
                <w:szCs w:val="20"/>
                <w:color w:val="auto"/>
              </w:rPr>
            </w:pPr>
            <w:r>
              <w:rPr>
                <w:rFonts w:ascii="Arial" w:cs="Arial" w:eastAsia="Arial" w:hAnsi="Arial"/>
                <w:sz w:val="18"/>
                <w:szCs w:val="18"/>
                <w:i w:val="1"/>
                <w:iCs w:val="1"/>
                <w:color w:val="auto"/>
                <w:w w:val="92"/>
              </w:rPr>
              <w:t>(unaudited)</w:t>
            </w:r>
          </w:p>
        </w:tc>
        <w:tc>
          <w:tcPr>
            <w:tcW w:w="640" w:type="dxa"/>
            <w:vAlign w:val="bottom"/>
            <w:tcBorders>
              <w:bottom w:val="single" w:sz="8" w:color="70AD47"/>
            </w:tcBorders>
          </w:tcPr>
          <w:p>
            <w:pPr>
              <w:spacing w:after="0"/>
              <w:rPr>
                <w:sz w:val="19"/>
                <w:szCs w:val="19"/>
                <w:color w:val="auto"/>
              </w:rPr>
            </w:pP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tcBorders>
              <w:right w:val="single" w:sz="8" w:color="70AD47"/>
            </w:tcBorders>
          </w:tcPr>
          <w:p>
            <w:pPr>
              <w:spacing w:after="0"/>
              <w:rPr>
                <w:sz w:val="20"/>
                <w:szCs w:val="20"/>
                <w:color w:val="auto"/>
              </w:rPr>
            </w:pPr>
            <w:r>
              <w:rPr>
                <w:rFonts w:ascii="Arial" w:cs="Arial" w:eastAsia="Arial" w:hAnsi="Arial"/>
                <w:sz w:val="18"/>
                <w:szCs w:val="18"/>
                <w:b w:val="1"/>
                <w:bCs w:val="1"/>
                <w:color w:val="auto"/>
              </w:rPr>
              <w:t>Revenues from contracts with customers</w:t>
            </w:r>
          </w:p>
        </w:tc>
        <w:tc>
          <w:tcPr>
            <w:tcW w:w="1360" w:type="dxa"/>
            <w:vAlign w:val="bottom"/>
            <w:tcBorders>
              <w:right w:val="single" w:sz="8" w:color="70AD47"/>
            </w:tcBorders>
            <w:shd w:val="clear" w:color="auto" w:fill="C6E0B4"/>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60" w:type="dxa"/>
            <w:vAlign w:val="bottom"/>
            <w:tcBorders>
              <w:left w:val="single" w:sz="8" w:color="70AD47"/>
              <w:right w:val="single" w:sz="8" w:color="70AD47"/>
            </w:tcBorders>
            <w:shd w:val="clear" w:color="auto" w:fill="C6E0B4"/>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Revenues resulting from collaboration and license agreements</w:t>
            </w:r>
          </w:p>
        </w:tc>
        <w:tc>
          <w:tcPr>
            <w:tcW w:w="13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€32,585</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€20,125</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€53,746</w:t>
            </w:r>
          </w:p>
        </w:tc>
        <w:tc>
          <w:tcPr>
            <w:tcW w:w="6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€42,023</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Borders>
              <w:bottom w:val="single" w:sz="8" w:color="70AD47"/>
              <w:right w:val="single" w:sz="8" w:color="70AD47"/>
            </w:tcBorders>
          </w:tcPr>
          <w:p>
            <w:pPr>
              <w:ind w:left="140"/>
              <w:spacing w:after="0"/>
              <w:rPr>
                <w:sz w:val="20"/>
                <w:szCs w:val="20"/>
                <w:color w:val="auto"/>
              </w:rPr>
            </w:pPr>
            <w:r>
              <w:rPr>
                <w:rFonts w:ascii="Arial" w:cs="Arial" w:eastAsia="Arial" w:hAnsi="Arial"/>
                <w:sz w:val="18"/>
                <w:szCs w:val="18"/>
                <w:color w:val="auto"/>
              </w:rPr>
              <w:t>Revenues from other sales transactions</w:t>
            </w:r>
          </w:p>
        </w:tc>
        <w:tc>
          <w:tcPr>
            <w:tcW w:w="13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9,177</w:t>
            </w:r>
          </w:p>
        </w:tc>
        <w:tc>
          <w:tcPr>
            <w:tcW w:w="560" w:type="dxa"/>
            <w:vAlign w:val="bottom"/>
            <w:tcBorders>
              <w:bottom w:val="single" w:sz="8" w:color="70AD47"/>
            </w:tcBorders>
          </w:tcPr>
          <w:p>
            <w:pPr>
              <w:spacing w:after="0"/>
              <w:rPr>
                <w:sz w:val="20"/>
                <w:szCs w:val="20"/>
                <w:color w:val="auto"/>
              </w:rPr>
            </w:pPr>
          </w:p>
        </w:tc>
        <w:tc>
          <w:tcPr>
            <w:tcW w:w="76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5,660</w:t>
            </w:r>
          </w:p>
        </w:tc>
        <w:tc>
          <w:tcPr>
            <w:tcW w:w="136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15,679</w:t>
            </w:r>
          </w:p>
        </w:tc>
        <w:tc>
          <w:tcPr>
            <w:tcW w:w="680" w:type="dxa"/>
            <w:vAlign w:val="bottom"/>
            <w:tcBorders>
              <w:bottom w:val="single" w:sz="8" w:color="70AD47"/>
            </w:tcBorders>
          </w:tcPr>
          <w:p>
            <w:pPr>
              <w:spacing w:after="0"/>
              <w:rPr>
                <w:sz w:val="20"/>
                <w:szCs w:val="20"/>
                <w:color w:val="auto"/>
              </w:rPr>
            </w:pPr>
          </w:p>
        </w:tc>
        <w:tc>
          <w:tcPr>
            <w:tcW w:w="64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9,916</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Total revenues from contracts with customers</w:t>
            </w:r>
          </w:p>
        </w:tc>
        <w:tc>
          <w:tcPr>
            <w:tcW w:w="13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€41,762</w:t>
            </w:r>
          </w:p>
        </w:tc>
        <w:tc>
          <w:tcPr>
            <w:tcW w:w="560" w:type="dxa"/>
            <w:vAlign w:val="bottom"/>
            <w:tcBorders>
              <w:bottom w:val="single" w:sz="8" w:color="70AD47"/>
            </w:tcBorders>
          </w:tcPr>
          <w:p>
            <w:pPr>
              <w:spacing w:after="0"/>
              <w:rPr>
                <w:sz w:val="19"/>
                <w:szCs w:val="19"/>
                <w:color w:val="auto"/>
              </w:rPr>
            </w:pPr>
          </w:p>
        </w:tc>
        <w:tc>
          <w:tcPr>
            <w:tcW w:w="76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rPr>
              <w:t>€25,785</w:t>
            </w:r>
          </w:p>
        </w:tc>
        <w:tc>
          <w:tcPr>
            <w:tcW w:w="136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€69,425</w:t>
            </w:r>
          </w:p>
        </w:tc>
        <w:tc>
          <w:tcPr>
            <w:tcW w:w="680" w:type="dxa"/>
            <w:vAlign w:val="bottom"/>
            <w:tcBorders>
              <w:bottom w:val="single" w:sz="8" w:color="70AD47"/>
            </w:tcBorders>
          </w:tcPr>
          <w:p>
            <w:pPr>
              <w:spacing w:after="0"/>
              <w:rPr>
                <w:sz w:val="19"/>
                <w:szCs w:val="19"/>
                <w:color w:val="auto"/>
              </w:rPr>
            </w:pPr>
          </w:p>
        </w:tc>
        <w:tc>
          <w:tcPr>
            <w:tcW w:w="64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w w:val="92"/>
              </w:rPr>
              <w:t>€51,939</w:t>
            </w: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649"/>
        </w:trPr>
        <w:tc>
          <w:tcPr>
            <w:tcW w:w="5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21"/>
        </w:trPr>
        <w:tc>
          <w:tcPr>
            <w:tcW w:w="58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973" w:right="319" w:bottom="1440" w:gutter="0" w:footer="0" w:header="0"/>
        </w:sectPr>
      </w:pPr>
    </w:p>
    <w:bookmarkStart w:id="44" w:name="page45"/>
    <w:bookmarkEnd w:id="44"/>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The following table summarizes our collaboration revenue for the periods indicated: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04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7"/>
              </w:rPr>
              <w:t>Six months ended</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9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04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740" w:type="dxa"/>
            <w:vAlign w:val="bottom"/>
            <w:tcBorders>
              <w:right w:val="single" w:sz="8" w:color="70AD47"/>
            </w:tcBorders>
          </w:tcPr>
          <w:p>
            <w:pPr>
              <w:spacing w:after="0"/>
              <w:rPr>
                <w:sz w:val="19"/>
                <w:szCs w:val="19"/>
                <w:color w:val="auto"/>
              </w:rPr>
            </w:pPr>
          </w:p>
        </w:tc>
        <w:tc>
          <w:tcPr>
            <w:tcW w:w="13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Borders>
              <w:bottom w:val="single" w:sz="8" w:color="70AD47"/>
            </w:tcBorders>
            <w:vMerge w:val="continue"/>
          </w:tcPr>
          <w:p>
            <w:pPr>
              <w:spacing w:after="0"/>
              <w:rPr>
                <w:sz w:val="19"/>
                <w:szCs w:val="19"/>
                <w:color w:val="auto"/>
              </w:rPr>
            </w:pPr>
          </w:p>
        </w:tc>
        <w:tc>
          <w:tcPr>
            <w:tcW w:w="1740" w:type="dxa"/>
            <w:vAlign w:val="bottom"/>
            <w:tcBorders>
              <w:bottom w:val="single" w:sz="8" w:color="70AD47"/>
              <w:right w:val="single" w:sz="8" w:color="70AD47"/>
            </w:tcBorders>
          </w:tcPr>
          <w:p>
            <w:pPr>
              <w:spacing w:after="0"/>
              <w:rPr>
                <w:sz w:val="19"/>
                <w:szCs w:val="19"/>
                <w:color w:val="auto"/>
              </w:rPr>
            </w:pPr>
          </w:p>
        </w:tc>
        <w:tc>
          <w:tcPr>
            <w:tcW w:w="1920" w:type="dxa"/>
            <w:vAlign w:val="bottom"/>
            <w:tcBorders>
              <w:bottom w:val="single" w:sz="8" w:color="70AD47"/>
            </w:tcBorders>
            <w:gridSpan w:val="2"/>
          </w:tcPr>
          <w:p>
            <w:pPr>
              <w:jc w:val="center"/>
              <w:ind w:left="670"/>
              <w:spacing w:after="0"/>
              <w:rPr>
                <w:sz w:val="20"/>
                <w:szCs w:val="20"/>
                <w:color w:val="auto"/>
              </w:rPr>
            </w:pPr>
            <w:r>
              <w:rPr>
                <w:rFonts w:ascii="Arial" w:cs="Arial" w:eastAsia="Arial" w:hAnsi="Arial"/>
                <w:sz w:val="18"/>
                <w:szCs w:val="18"/>
                <w:i w:val="1"/>
                <w:iCs w:val="1"/>
                <w:color w:val="auto"/>
                <w:w w:val="92"/>
              </w:rPr>
              <w:t>(unaudited)</w:t>
            </w:r>
          </w:p>
        </w:tc>
        <w:tc>
          <w:tcPr>
            <w:tcW w:w="760" w:type="dxa"/>
            <w:vAlign w:val="bottom"/>
            <w:tcBorders>
              <w:bottom w:val="single" w:sz="8" w:color="70AD47"/>
            </w:tcBorders>
          </w:tcPr>
          <w:p>
            <w:pPr>
              <w:spacing w:after="0"/>
              <w:rPr>
                <w:sz w:val="19"/>
                <w:szCs w:val="19"/>
                <w:color w:val="auto"/>
              </w:rPr>
            </w:pPr>
          </w:p>
        </w:tc>
        <w:tc>
          <w:tcPr>
            <w:tcW w:w="2040" w:type="dxa"/>
            <w:vAlign w:val="bottom"/>
            <w:tcBorders>
              <w:left w:val="single" w:sz="8" w:color="70AD47"/>
              <w:bottom w:val="single" w:sz="8" w:color="70AD47"/>
            </w:tcBorders>
            <w:gridSpan w:val="2"/>
          </w:tcPr>
          <w:p>
            <w:pPr>
              <w:jc w:val="center"/>
              <w:ind w:left="550"/>
              <w:spacing w:after="0"/>
              <w:rPr>
                <w:sz w:val="20"/>
                <w:szCs w:val="20"/>
                <w:color w:val="auto"/>
              </w:rPr>
            </w:pPr>
            <w:r>
              <w:rPr>
                <w:rFonts w:ascii="Arial" w:cs="Arial" w:eastAsia="Arial" w:hAnsi="Arial"/>
                <w:sz w:val="18"/>
                <w:szCs w:val="18"/>
                <w:i w:val="1"/>
                <w:iCs w:val="1"/>
                <w:color w:val="auto"/>
                <w:w w:val="92"/>
              </w:rPr>
              <w:t>(unaudited)</w:t>
            </w:r>
          </w:p>
        </w:tc>
        <w:tc>
          <w:tcPr>
            <w:tcW w:w="640" w:type="dxa"/>
            <w:vAlign w:val="bottom"/>
            <w:tcBorders>
              <w:bottom w:val="single" w:sz="8" w:color="70AD47"/>
            </w:tcBorders>
          </w:tcPr>
          <w:p>
            <w:pPr>
              <w:spacing w:after="0"/>
              <w:rPr>
                <w:sz w:val="19"/>
                <w:szCs w:val="19"/>
                <w:color w:val="auto"/>
              </w:rPr>
            </w:pP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80" w:type="dxa"/>
            <w:vAlign w:val="bottom"/>
            <w:tcBorders>
              <w:right w:val="single" w:sz="8" w:color="70AD47"/>
            </w:tcBorders>
            <w:gridSpan w:val="2"/>
          </w:tcPr>
          <w:p>
            <w:pPr>
              <w:spacing w:after="0" w:line="205" w:lineRule="exact"/>
              <w:rPr>
                <w:sz w:val="20"/>
                <w:szCs w:val="20"/>
                <w:color w:val="auto"/>
              </w:rPr>
            </w:pPr>
            <w:r>
              <w:rPr>
                <w:rFonts w:ascii="Arial" w:cs="Arial" w:eastAsia="Arial" w:hAnsi="Arial"/>
                <w:sz w:val="18"/>
                <w:szCs w:val="18"/>
                <w:b w:val="1"/>
                <w:bCs w:val="1"/>
                <w:color w:val="auto"/>
              </w:rPr>
              <w:t>Revenues   resulting   from   collaboration   and   license</w:t>
            </w:r>
          </w:p>
        </w:tc>
        <w:tc>
          <w:tcPr>
            <w:tcW w:w="1360" w:type="dxa"/>
            <w:vAlign w:val="bottom"/>
            <w:tcBorders>
              <w:right w:val="single" w:sz="8" w:color="70AD47"/>
            </w:tcBorders>
            <w:shd w:val="clear" w:color="auto" w:fill="C6E0B4"/>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60" w:type="dxa"/>
            <w:vAlign w:val="bottom"/>
            <w:tcBorders>
              <w:left w:val="single" w:sz="8" w:color="70AD47"/>
              <w:right w:val="single" w:sz="8" w:color="70AD47"/>
            </w:tcBorders>
            <w:shd w:val="clear" w:color="auto" w:fill="C6E0B4"/>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shd w:val="clear" w:color="auto" w:fill="70AD47"/>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140" w:type="dxa"/>
            <w:vAlign w:val="bottom"/>
          </w:tcPr>
          <w:p>
            <w:pPr>
              <w:spacing w:after="0"/>
              <w:rPr>
                <w:sz w:val="20"/>
                <w:szCs w:val="20"/>
                <w:color w:val="auto"/>
              </w:rPr>
            </w:pPr>
            <w:r>
              <w:rPr>
                <w:rFonts w:ascii="Arial" w:cs="Arial" w:eastAsia="Arial" w:hAnsi="Arial"/>
                <w:sz w:val="18"/>
                <w:szCs w:val="18"/>
                <w:b w:val="1"/>
                <w:bCs w:val="1"/>
                <w:color w:val="auto"/>
              </w:rPr>
              <w:t>agreements</w:t>
            </w:r>
          </w:p>
        </w:tc>
        <w:tc>
          <w:tcPr>
            <w:tcW w:w="1740" w:type="dxa"/>
            <w:vAlign w:val="bottom"/>
            <w:tcBorders>
              <w:right w:val="single" w:sz="8" w:color="70AD47"/>
            </w:tcBorders>
          </w:tcPr>
          <w:p>
            <w:pPr>
              <w:spacing w:after="0"/>
              <w:rPr>
                <w:sz w:val="20"/>
                <w:szCs w:val="20"/>
                <w:color w:val="auto"/>
              </w:rPr>
            </w:pPr>
          </w:p>
        </w:tc>
        <w:tc>
          <w:tcPr>
            <w:tcW w:w="1360" w:type="dxa"/>
            <w:vAlign w:val="bottom"/>
            <w:tcBorders>
              <w:right w:val="single" w:sz="8" w:color="70AD47"/>
            </w:tcBorders>
            <w:shd w:val="clear" w:color="auto" w:fill="C6E0B4"/>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60" w:type="dxa"/>
            <w:vAlign w:val="bottom"/>
            <w:tcBorders>
              <w:left w:val="single" w:sz="8" w:color="70AD47"/>
              <w:right w:val="single" w:sz="8" w:color="70AD47"/>
            </w:tcBorders>
            <w:shd w:val="clear" w:color="auto" w:fill="C6E0B4"/>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140"/>
              <w:spacing w:after="0"/>
              <w:rPr>
                <w:sz w:val="20"/>
                <w:szCs w:val="20"/>
                <w:color w:val="auto"/>
              </w:rPr>
            </w:pPr>
            <w:r>
              <w:rPr>
                <w:rFonts w:ascii="Arial" w:cs="Arial" w:eastAsia="Arial" w:hAnsi="Arial"/>
                <w:sz w:val="18"/>
                <w:szCs w:val="18"/>
                <w:color w:val="auto"/>
              </w:rPr>
              <w:t>Genentech Inc.</w:t>
            </w:r>
          </w:p>
        </w:tc>
        <w:tc>
          <w:tcPr>
            <w:tcW w:w="1740" w:type="dxa"/>
            <w:vAlign w:val="bottom"/>
            <w:tcBorders>
              <w:right w:val="single" w:sz="8" w:color="70AD47"/>
            </w:tcBorders>
          </w:tcPr>
          <w:p>
            <w:pPr>
              <w:spacing w:after="0"/>
              <w:rPr>
                <w:sz w:val="19"/>
                <w:szCs w:val="19"/>
                <w:color w:val="auto"/>
              </w:rPr>
            </w:pPr>
          </w:p>
        </w:tc>
        <w:tc>
          <w:tcPr>
            <w:tcW w:w="13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€11,258</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€15,619</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€26,886</w:t>
            </w:r>
          </w:p>
        </w:tc>
        <w:tc>
          <w:tcPr>
            <w:tcW w:w="6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€31,750</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40"/>
              <w:spacing w:after="0"/>
              <w:rPr>
                <w:sz w:val="20"/>
                <w:szCs w:val="20"/>
                <w:color w:val="auto"/>
              </w:rPr>
            </w:pPr>
            <w:r>
              <w:rPr>
                <w:rFonts w:ascii="Arial" w:cs="Arial" w:eastAsia="Arial" w:hAnsi="Arial"/>
                <w:sz w:val="18"/>
                <w:szCs w:val="18"/>
                <w:color w:val="auto"/>
              </w:rPr>
              <w:t>Pfizer Inc.</w:t>
            </w:r>
          </w:p>
        </w:tc>
        <w:tc>
          <w:tcPr>
            <w:tcW w:w="1740" w:type="dxa"/>
            <w:vAlign w:val="bottom"/>
            <w:tcBorders>
              <w:right w:val="single" w:sz="8" w:color="70AD47"/>
            </w:tcBorders>
          </w:tcPr>
          <w:p>
            <w:pPr>
              <w:spacing w:after="0"/>
              <w:rPr>
                <w:sz w:val="19"/>
                <w:szCs w:val="19"/>
                <w:color w:val="auto"/>
              </w:rPr>
            </w:pPr>
          </w:p>
        </w:tc>
        <w:tc>
          <w:tcPr>
            <w:tcW w:w="13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20,613</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3,587</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24,200</w:t>
            </w:r>
          </w:p>
        </w:tc>
        <w:tc>
          <w:tcPr>
            <w:tcW w:w="6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7,174</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140"/>
              <w:spacing w:after="0"/>
              <w:rPr>
                <w:sz w:val="20"/>
                <w:szCs w:val="20"/>
                <w:color w:val="auto"/>
              </w:rPr>
            </w:pPr>
            <w:r>
              <w:rPr>
                <w:rFonts w:ascii="Arial" w:cs="Arial" w:eastAsia="Arial" w:hAnsi="Arial"/>
                <w:sz w:val="18"/>
                <w:szCs w:val="18"/>
                <w:color w:val="auto"/>
              </w:rPr>
              <w:t>Sanofi S.A.</w:t>
            </w:r>
          </w:p>
        </w:tc>
        <w:tc>
          <w:tcPr>
            <w:tcW w:w="1740" w:type="dxa"/>
            <w:vAlign w:val="bottom"/>
            <w:tcBorders>
              <w:right w:val="single" w:sz="8" w:color="70AD47"/>
            </w:tcBorders>
          </w:tcPr>
          <w:p>
            <w:pPr>
              <w:spacing w:after="0"/>
              <w:rPr>
                <w:sz w:val="19"/>
                <w:szCs w:val="19"/>
                <w:color w:val="auto"/>
              </w:rPr>
            </w:pPr>
          </w:p>
        </w:tc>
        <w:tc>
          <w:tcPr>
            <w:tcW w:w="13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257</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919</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1,759</w:t>
            </w:r>
          </w:p>
        </w:tc>
        <w:tc>
          <w:tcPr>
            <w:tcW w:w="6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3,099</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Borders>
              <w:bottom w:val="single" w:sz="8" w:color="70AD47"/>
            </w:tcBorders>
          </w:tcPr>
          <w:p>
            <w:pPr>
              <w:ind w:left="140"/>
              <w:spacing w:after="0"/>
              <w:rPr>
                <w:sz w:val="20"/>
                <w:szCs w:val="20"/>
                <w:color w:val="auto"/>
              </w:rPr>
            </w:pPr>
            <w:r>
              <w:rPr>
                <w:rFonts w:ascii="Arial" w:cs="Arial" w:eastAsia="Arial" w:hAnsi="Arial"/>
                <w:sz w:val="18"/>
                <w:szCs w:val="18"/>
                <w:color w:val="auto"/>
              </w:rPr>
              <w:t>Shanghai Fosun Pharmaceutical (Group) Co., Ltd</w:t>
            </w:r>
          </w:p>
        </w:tc>
        <w:tc>
          <w:tcPr>
            <w:tcW w:w="1740" w:type="dxa"/>
            <w:vAlign w:val="bottom"/>
            <w:tcBorders>
              <w:bottom w:val="single" w:sz="8" w:color="70AD47"/>
              <w:right w:val="single" w:sz="8" w:color="70AD47"/>
            </w:tcBorders>
          </w:tcPr>
          <w:p>
            <w:pPr>
              <w:spacing w:after="0"/>
              <w:rPr>
                <w:sz w:val="20"/>
                <w:szCs w:val="20"/>
                <w:color w:val="auto"/>
              </w:rPr>
            </w:pPr>
          </w:p>
        </w:tc>
        <w:tc>
          <w:tcPr>
            <w:tcW w:w="13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457</w:t>
            </w:r>
          </w:p>
        </w:tc>
        <w:tc>
          <w:tcPr>
            <w:tcW w:w="560" w:type="dxa"/>
            <w:vAlign w:val="bottom"/>
            <w:tcBorders>
              <w:bottom w:val="single" w:sz="8" w:color="70AD47"/>
            </w:tcBorders>
          </w:tcPr>
          <w:p>
            <w:pPr>
              <w:spacing w:after="0"/>
              <w:rPr>
                <w:sz w:val="20"/>
                <w:szCs w:val="20"/>
                <w:color w:val="auto"/>
              </w:rPr>
            </w:pPr>
          </w:p>
        </w:tc>
        <w:tc>
          <w:tcPr>
            <w:tcW w:w="76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901</w:t>
            </w:r>
          </w:p>
        </w:tc>
        <w:tc>
          <w:tcPr>
            <w:tcW w:w="680" w:type="dxa"/>
            <w:vAlign w:val="bottom"/>
            <w:tcBorders>
              <w:bottom w:val="single" w:sz="8" w:color="70AD47"/>
            </w:tcBorders>
          </w:tcPr>
          <w:p>
            <w:pPr>
              <w:spacing w:after="0"/>
              <w:rPr>
                <w:sz w:val="20"/>
                <w:szCs w:val="20"/>
                <w:color w:val="auto"/>
              </w:rPr>
            </w:pPr>
          </w:p>
        </w:tc>
        <w:tc>
          <w:tcPr>
            <w:tcW w:w="64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140" w:type="dxa"/>
            <w:vAlign w:val="bottom"/>
          </w:tcPr>
          <w:p>
            <w:pPr>
              <w:spacing w:after="0" w:line="205" w:lineRule="exact"/>
              <w:rPr>
                <w:sz w:val="20"/>
                <w:szCs w:val="20"/>
                <w:color w:val="auto"/>
              </w:rPr>
            </w:pPr>
            <w:r>
              <w:rPr>
                <w:rFonts w:ascii="Arial" w:cs="Arial" w:eastAsia="Arial" w:hAnsi="Arial"/>
                <w:sz w:val="18"/>
                <w:szCs w:val="18"/>
                <w:b w:val="1"/>
                <w:bCs w:val="1"/>
                <w:color w:val="auto"/>
                <w:w w:val="95"/>
              </w:rPr>
              <w:t>Total  revenues  resulting  from  collaboration  and</w:t>
            </w:r>
          </w:p>
        </w:tc>
        <w:tc>
          <w:tcPr>
            <w:tcW w:w="1740" w:type="dxa"/>
            <w:vAlign w:val="bottom"/>
            <w:tcBorders>
              <w:right w:val="single" w:sz="8" w:color="70AD47"/>
            </w:tcBorders>
          </w:tcPr>
          <w:p>
            <w:pPr>
              <w:ind w:left="60"/>
              <w:spacing w:after="0" w:line="205" w:lineRule="exact"/>
              <w:rPr>
                <w:sz w:val="20"/>
                <w:szCs w:val="20"/>
                <w:color w:val="auto"/>
              </w:rPr>
            </w:pPr>
            <w:r>
              <w:rPr>
                <w:rFonts w:ascii="Arial" w:cs="Arial" w:eastAsia="Arial" w:hAnsi="Arial"/>
                <w:sz w:val="18"/>
                <w:szCs w:val="18"/>
                <w:b w:val="1"/>
                <w:bCs w:val="1"/>
                <w:color w:val="auto"/>
              </w:rPr>
              <w:t>license</w:t>
            </w:r>
          </w:p>
        </w:tc>
        <w:tc>
          <w:tcPr>
            <w:tcW w:w="136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8"/>
                <w:szCs w:val="18"/>
                <w:b w:val="1"/>
                <w:bCs w:val="1"/>
                <w:color w:val="auto"/>
              </w:rPr>
              <w:t>€32,585</w:t>
            </w:r>
          </w:p>
        </w:tc>
        <w:tc>
          <w:tcPr>
            <w:tcW w:w="56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€20,125</w:t>
            </w:r>
          </w:p>
        </w:tc>
        <w:tc>
          <w:tcPr>
            <w:tcW w:w="1360" w:type="dxa"/>
            <w:vAlign w:val="bottom"/>
            <w:tcBorders>
              <w:left w:val="single" w:sz="8" w:color="70AD47"/>
              <w:right w:val="single" w:sz="8" w:color="70AD47"/>
            </w:tcBorders>
            <w:vMerge w:val="restart"/>
            <w:shd w:val="clear" w:color="auto" w:fill="C6E0B4"/>
          </w:tcPr>
          <w:p>
            <w:pPr>
              <w:jc w:val="right"/>
              <w:spacing w:after="0"/>
              <w:rPr>
                <w:sz w:val="20"/>
                <w:szCs w:val="20"/>
                <w:color w:val="auto"/>
              </w:rPr>
            </w:pPr>
            <w:r>
              <w:rPr>
                <w:rFonts w:ascii="Arial" w:cs="Arial" w:eastAsia="Arial" w:hAnsi="Arial"/>
                <w:sz w:val="18"/>
                <w:szCs w:val="18"/>
                <w:b w:val="1"/>
                <w:bCs w:val="1"/>
                <w:color w:val="auto"/>
              </w:rPr>
              <w:t>€53,746</w:t>
            </w:r>
          </w:p>
        </w:tc>
        <w:tc>
          <w:tcPr>
            <w:tcW w:w="68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2"/>
              </w:rPr>
              <w:t>€42,023</w:t>
            </w:r>
          </w:p>
        </w:tc>
        <w:tc>
          <w:tcPr>
            <w:tcW w:w="20" w:type="dxa"/>
            <w:vAlign w:val="bottom"/>
            <w:shd w:val="clear" w:color="auto" w:fill="70AD47"/>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4140" w:type="dxa"/>
            <w:vAlign w:val="bottom"/>
            <w:vMerge w:val="restart"/>
          </w:tcPr>
          <w:p>
            <w:pPr>
              <w:spacing w:after="0"/>
              <w:rPr>
                <w:sz w:val="20"/>
                <w:szCs w:val="20"/>
                <w:color w:val="auto"/>
              </w:rPr>
            </w:pPr>
            <w:r>
              <w:rPr>
                <w:rFonts w:ascii="Arial" w:cs="Arial" w:eastAsia="Arial" w:hAnsi="Arial"/>
                <w:sz w:val="18"/>
                <w:szCs w:val="18"/>
                <w:b w:val="1"/>
                <w:bCs w:val="1"/>
                <w:color w:val="auto"/>
              </w:rPr>
              <w:t>agreements</w:t>
            </w:r>
          </w:p>
        </w:tc>
        <w:tc>
          <w:tcPr>
            <w:tcW w:w="1740" w:type="dxa"/>
            <w:vAlign w:val="bottom"/>
            <w:tcBorders>
              <w:right w:val="single" w:sz="8" w:color="70AD47"/>
            </w:tcBorders>
          </w:tcPr>
          <w:p>
            <w:pPr>
              <w:spacing w:after="0"/>
              <w:rPr>
                <w:sz w:val="10"/>
                <w:szCs w:val="10"/>
                <w:color w:val="auto"/>
              </w:rPr>
            </w:pPr>
          </w:p>
        </w:tc>
        <w:tc>
          <w:tcPr>
            <w:tcW w:w="1360" w:type="dxa"/>
            <w:vAlign w:val="bottom"/>
            <w:tcBorders>
              <w:right w:val="single" w:sz="8" w:color="70AD47"/>
            </w:tcBorders>
            <w:vMerge w:val="continue"/>
            <w:shd w:val="clear" w:color="auto" w:fill="C6E0B4"/>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360" w:type="dxa"/>
            <w:vAlign w:val="bottom"/>
            <w:tcBorders>
              <w:left w:val="single" w:sz="8" w:color="70AD47"/>
              <w:right w:val="single" w:sz="8" w:color="70AD47"/>
            </w:tcBorders>
            <w:vMerge w:val="continue"/>
            <w:shd w:val="clear" w:color="auto" w:fill="C6E0B4"/>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0" w:type="dxa"/>
            <w:vAlign w:val="bottom"/>
            <w:shd w:val="clear" w:color="auto" w:fill="70AD47"/>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40" w:type="dxa"/>
            <w:vAlign w:val="bottom"/>
            <w:tcBorders>
              <w:bottom w:val="single" w:sz="8" w:color="70AD47"/>
            </w:tcBorders>
            <w:vMerge w:val="continue"/>
          </w:tcPr>
          <w:p>
            <w:pPr>
              <w:spacing w:after="0"/>
              <w:rPr>
                <w:sz w:val="9"/>
                <w:szCs w:val="9"/>
                <w:color w:val="auto"/>
              </w:rPr>
            </w:pPr>
          </w:p>
        </w:tc>
        <w:tc>
          <w:tcPr>
            <w:tcW w:w="1740" w:type="dxa"/>
            <w:vAlign w:val="bottom"/>
            <w:tcBorders>
              <w:bottom w:val="single" w:sz="8" w:color="70AD47"/>
              <w:right w:val="single" w:sz="8" w:color="70AD47"/>
            </w:tcBorders>
          </w:tcPr>
          <w:p>
            <w:pPr>
              <w:spacing w:after="0"/>
              <w:rPr>
                <w:sz w:val="9"/>
                <w:szCs w:val="9"/>
                <w:color w:val="auto"/>
              </w:rPr>
            </w:pPr>
          </w:p>
        </w:tc>
        <w:tc>
          <w:tcPr>
            <w:tcW w:w="1360" w:type="dxa"/>
            <w:vAlign w:val="bottom"/>
            <w:tcBorders>
              <w:bottom w:val="single" w:sz="8" w:color="70AD47"/>
              <w:right w:val="single" w:sz="8" w:color="70AD47"/>
            </w:tcBorders>
            <w:shd w:val="clear" w:color="auto" w:fill="C6E0B4"/>
          </w:tcPr>
          <w:p>
            <w:pPr>
              <w:spacing w:after="0"/>
              <w:rPr>
                <w:sz w:val="9"/>
                <w:szCs w:val="9"/>
                <w:color w:val="auto"/>
              </w:rPr>
            </w:pPr>
          </w:p>
        </w:tc>
        <w:tc>
          <w:tcPr>
            <w:tcW w:w="560" w:type="dxa"/>
            <w:vAlign w:val="bottom"/>
            <w:tcBorders>
              <w:bottom w:val="single" w:sz="8" w:color="70AD47"/>
            </w:tcBorders>
          </w:tcPr>
          <w:p>
            <w:pPr>
              <w:spacing w:after="0"/>
              <w:rPr>
                <w:sz w:val="9"/>
                <w:szCs w:val="9"/>
                <w:color w:val="auto"/>
              </w:rPr>
            </w:pPr>
          </w:p>
        </w:tc>
        <w:tc>
          <w:tcPr>
            <w:tcW w:w="760" w:type="dxa"/>
            <w:vAlign w:val="bottom"/>
            <w:tcBorders>
              <w:bottom w:val="single" w:sz="8" w:color="70AD47"/>
            </w:tcBorders>
          </w:tcPr>
          <w:p>
            <w:pPr>
              <w:spacing w:after="0"/>
              <w:rPr>
                <w:sz w:val="9"/>
                <w:szCs w:val="9"/>
                <w:color w:val="auto"/>
              </w:rPr>
            </w:pPr>
          </w:p>
        </w:tc>
        <w:tc>
          <w:tcPr>
            <w:tcW w:w="1360" w:type="dxa"/>
            <w:vAlign w:val="bottom"/>
            <w:tcBorders>
              <w:left w:val="single" w:sz="8" w:color="70AD47"/>
              <w:bottom w:val="single" w:sz="8" w:color="70AD47"/>
              <w:right w:val="single" w:sz="8" w:color="70AD47"/>
            </w:tcBorders>
            <w:shd w:val="clear" w:color="auto" w:fill="C6E0B4"/>
          </w:tcPr>
          <w:p>
            <w:pPr>
              <w:spacing w:after="0"/>
              <w:rPr>
                <w:sz w:val="9"/>
                <w:szCs w:val="9"/>
                <w:color w:val="auto"/>
              </w:rPr>
            </w:pPr>
          </w:p>
        </w:tc>
        <w:tc>
          <w:tcPr>
            <w:tcW w:w="680" w:type="dxa"/>
            <w:vAlign w:val="bottom"/>
            <w:tcBorders>
              <w:bottom w:val="single" w:sz="8" w:color="70AD47"/>
            </w:tcBorders>
          </w:tcPr>
          <w:p>
            <w:pPr>
              <w:spacing w:after="0"/>
              <w:rPr>
                <w:sz w:val="9"/>
                <w:szCs w:val="9"/>
                <w:color w:val="auto"/>
              </w:rPr>
            </w:pPr>
          </w:p>
        </w:tc>
        <w:tc>
          <w:tcPr>
            <w:tcW w:w="640" w:type="dxa"/>
            <w:vAlign w:val="bottom"/>
            <w:tcBorders>
              <w:bottom w:val="single" w:sz="8" w:color="70AD47"/>
            </w:tcBorders>
          </w:tcPr>
          <w:p>
            <w:pPr>
              <w:spacing w:after="0"/>
              <w:rPr>
                <w:sz w:val="9"/>
                <w:szCs w:val="9"/>
                <w:color w:val="auto"/>
              </w:rPr>
            </w:pPr>
          </w:p>
        </w:tc>
        <w:tc>
          <w:tcPr>
            <w:tcW w:w="20" w:type="dxa"/>
            <w:vAlign w:val="bottom"/>
            <w:tcBorders>
              <w:bottom w:val="single" w:sz="8" w:color="70AD47"/>
            </w:tcBorders>
            <w:shd w:val="clear" w:color="auto" w:fill="70AD47"/>
          </w:tcPr>
          <w:p>
            <w:pPr>
              <w:spacing w:after="0"/>
              <w:rPr>
                <w:sz w:val="9"/>
                <w:szCs w:val="9"/>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Our collaboration revenue consists of milestone payments, upfront licensing payments and reimbursement of development expenses. Certain of these payments are initially recorded as contract liabilities on our statement of financial position and are subsequently recognized as revenue in accordance with our accounting policy as described in “—Critical Accounting Policies and Use of Estimates” and Note 2.3.4 to our consolidated financial statements included in our Annual Report on Form 20-F for the year ended December 31, 2019.</w:t>
      </w:r>
    </w:p>
    <w:p>
      <w:pPr>
        <w:spacing w:after="0" w:line="161"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From the three months ended June 30, 2019 to the three months ended June 30, 2020, total revenues resulting from collaboration and license agreements increased from €20.1 million to €32.6 million. Total revenues resulting from collaboration and license agreement for the six months ended June 30, 2020 increased from €42.0 million for the comparative prior year period to €53.7 million.</w:t>
      </w:r>
    </w:p>
    <w:p>
      <w:pPr>
        <w:spacing w:after="0" w:line="170" w:lineRule="exact"/>
        <w:rPr>
          <w:sz w:val="20"/>
          <w:szCs w:val="20"/>
          <w:color w:val="auto"/>
        </w:rPr>
      </w:pPr>
    </w:p>
    <w:p>
      <w:pPr>
        <w:jc w:val="both"/>
        <w:ind w:right="20"/>
        <w:spacing w:after="0" w:line="255" w:lineRule="auto"/>
        <w:rPr>
          <w:sz w:val="20"/>
          <w:szCs w:val="20"/>
          <w:color w:val="auto"/>
        </w:rPr>
      </w:pPr>
      <w:r>
        <w:rPr>
          <w:rFonts w:ascii="Arial" w:cs="Arial" w:eastAsia="Arial" w:hAnsi="Arial"/>
          <w:sz w:val="19"/>
          <w:szCs w:val="19"/>
          <w:color w:val="auto"/>
        </w:rPr>
        <w:t>During the three and six months ended June 30, 2020, revenues from our two new collaboration agreements were recognized for the first time. As part of the BNT162 program, our vaccine program against COVID-19, we collaborate with Pfizer and Fosun Pharma. The BNT162 program is evaluating at least four experimental vaccines, each of which represent a unique combination of messenger RNA format and target antigen. During the three months ended March 31, 2020, upon signing the agreement, a non-refundable upfront cash payment of €0.9 million was received from Fosun Pharma, of which €0.4 million was recognized as revenue during the three months ended March 31, 2020 and the remaining €0.5 million was recognized as revenue during the three months ended June 30, 2020. During the three months ended June 30, 2020, a non-refundable upfront cash payment of €66.3 million was received from Pfizer which has a restricted purpose by being dedicated to activities to be performed under the collaboration and license agreement. Based on costs incurred, €20.6 million revenue was recognized of which €14.2 million were directly incurred by us and €6.4 million have been accrued based on our 50% share of the shared development costs incurred. As services are performed under a collaboration agreement, revenue recognition will be continued in future periods in accordance with our accounting policy.</w:t>
      </w:r>
    </w:p>
    <w:p>
      <w:pPr>
        <w:spacing w:after="0" w:line="187"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In light of recent developments relating to the COVID-19 pandemic, the primary focus of healthcare providers and hospitals remains on fighting the novel coronavirus. For certain of our earlier stage programs we have delayed commencement of trials, experienced slowed patient enrollment or experienced other delays as a result of the COVID-19 pandemic. Accordingly, during the three and six months ended June 30, 2020, revenues from our collaboration programs with Genentech, Sanofi and from the non-COVID-19 collaboration with Pfizer have decreased compared to the prior year periods. We will continue to monitor this temporary partial disruption and will continue to evaluate potential effects of the COVID-19 pandemic. Our collaborations with Bayer, Genevant and Genmab did not generate any revenue in the three and six months ended June 30, 2020 and 2019.</w:t>
      </w:r>
    </w:p>
    <w:p>
      <w:pPr>
        <w:spacing w:after="0" w:line="200" w:lineRule="exact"/>
        <w:rPr>
          <w:sz w:val="20"/>
          <w:szCs w:val="20"/>
          <w:color w:val="auto"/>
        </w:rPr>
      </w:pPr>
    </w:p>
    <w:p>
      <w:pPr>
        <w:ind w:left="1108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757" w:right="319" w:bottom="1440" w:gutter="0" w:footer="0" w:header="0"/>
        </w:sectPr>
      </w:pPr>
    </w:p>
    <w:bookmarkStart w:id="45" w:name="page46"/>
    <w:bookmarkEnd w:id="45"/>
    <w:p>
      <w:pPr>
        <w:jc w:val="both"/>
        <w:ind w:right="20"/>
        <w:spacing w:after="0" w:line="25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Our revenue from other sales transactions consists of sales of diagnostic products, peptides, retroviral vectors for clinical supply, and development and manufacturing services sold to third-party customers. During the three and six months ended June 30, 2020, those revenues increased due to increased orders.</w:t>
      </w:r>
    </w:p>
    <w:p>
      <w:pPr>
        <w:spacing w:after="0" w:line="186"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Our ability to generate revenue from sales of pharmaceutical products and become profitable depends upon our and our collaborators’ ability to successfully commercialize our product candidates. We do not expect revenue from pharmaceutical product sales before the fourth quarter of 2020. Our ability to generate sales revenue from our BNT162 program is subject to regulatory authorization or approval. If the vaccine candidate is approved, we and our collaboration partner Pfizer expect to manufacture up to 100 million doses by the end of 2020 and potentially more than 1.3 billion doses by the end of 2021. To the extent that existing or potential future collaborations generate revenue, our revenue may vary due to many uncertainties in the development of our product candidates and other factors.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Sales</w:t>
      </w:r>
    </w:p>
    <w:p>
      <w:pPr>
        <w:spacing w:after="0" w:line="108"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Our cost of sales includes wages, benefits and social security expenses, laboratory supplies, purchased services, depreciation and other expenses incurred in connection with the manufacturing of our external products.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our cost of sales for the periods indicated: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14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89"/>
              </w:rPr>
              <w:t>Three months ended</w:t>
            </w:r>
          </w:p>
        </w:tc>
        <w:tc>
          <w:tcPr>
            <w:tcW w:w="540" w:type="dxa"/>
            <w:vAlign w:val="bottom"/>
          </w:tcPr>
          <w:p>
            <w:pPr>
              <w:spacing w:after="0"/>
              <w:rPr>
                <w:sz w:val="18"/>
                <w:szCs w:val="18"/>
                <w:color w:val="auto"/>
              </w:rPr>
            </w:pPr>
          </w:p>
        </w:tc>
        <w:tc>
          <w:tcPr>
            <w:tcW w:w="204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7"/>
              </w:rPr>
              <w:t>Six months ended</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214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04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40" w:type="dxa"/>
            <w:vAlign w:val="bottom"/>
            <w:tcBorders>
              <w:right w:val="single" w:sz="8" w:color="70AD47"/>
            </w:tcBorders>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3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78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3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70AD47"/>
              <w:right w:val="single" w:sz="8" w:color="70AD47"/>
            </w:tcBorders>
            <w:vMerge w:val="continue"/>
          </w:tcPr>
          <w:p>
            <w:pPr>
              <w:spacing w:after="0"/>
              <w:rPr>
                <w:sz w:val="19"/>
                <w:szCs w:val="19"/>
                <w:color w:val="auto"/>
              </w:rPr>
            </w:pPr>
          </w:p>
        </w:tc>
        <w:tc>
          <w:tcPr>
            <w:tcW w:w="2140" w:type="dxa"/>
            <w:vAlign w:val="bottom"/>
            <w:tcBorders>
              <w:bottom w:val="single" w:sz="8" w:color="70AD47"/>
            </w:tcBorders>
            <w:gridSpan w:val="2"/>
          </w:tcPr>
          <w:p>
            <w:pPr>
              <w:jc w:val="center"/>
              <w:ind w:left="450"/>
              <w:spacing w:after="0"/>
              <w:rPr>
                <w:sz w:val="20"/>
                <w:szCs w:val="20"/>
                <w:color w:val="auto"/>
              </w:rPr>
            </w:pPr>
            <w:r>
              <w:rPr>
                <w:rFonts w:ascii="Arial" w:cs="Arial" w:eastAsia="Arial" w:hAnsi="Arial"/>
                <w:sz w:val="18"/>
                <w:szCs w:val="18"/>
                <w:i w:val="1"/>
                <w:iCs w:val="1"/>
                <w:color w:val="auto"/>
                <w:w w:val="92"/>
              </w:rPr>
              <w:t>(unaudited)</w:t>
            </w:r>
          </w:p>
        </w:tc>
        <w:tc>
          <w:tcPr>
            <w:tcW w:w="540" w:type="dxa"/>
            <w:vAlign w:val="bottom"/>
            <w:tcBorders>
              <w:bottom w:val="single" w:sz="8" w:color="70AD47"/>
            </w:tcBorders>
          </w:tcPr>
          <w:p>
            <w:pPr>
              <w:spacing w:after="0"/>
              <w:rPr>
                <w:sz w:val="19"/>
                <w:szCs w:val="19"/>
                <w:color w:val="auto"/>
              </w:rPr>
            </w:pPr>
          </w:p>
        </w:tc>
        <w:tc>
          <w:tcPr>
            <w:tcW w:w="2040" w:type="dxa"/>
            <w:vAlign w:val="bottom"/>
            <w:tcBorders>
              <w:left w:val="single" w:sz="8" w:color="70AD47"/>
              <w:bottom w:val="single" w:sz="8" w:color="70AD47"/>
            </w:tcBorders>
            <w:gridSpan w:val="2"/>
          </w:tcPr>
          <w:p>
            <w:pPr>
              <w:jc w:val="center"/>
              <w:ind w:left="510"/>
              <w:spacing w:after="0"/>
              <w:rPr>
                <w:sz w:val="20"/>
                <w:szCs w:val="20"/>
                <w:color w:val="auto"/>
              </w:rPr>
            </w:pPr>
            <w:r>
              <w:rPr>
                <w:rFonts w:ascii="Arial" w:cs="Arial" w:eastAsia="Arial" w:hAnsi="Arial"/>
                <w:sz w:val="18"/>
                <w:szCs w:val="18"/>
                <w:i w:val="1"/>
                <w:iCs w:val="1"/>
                <w:color w:val="auto"/>
                <w:w w:val="92"/>
              </w:rPr>
              <w:t>(unaudited)</w:t>
            </w:r>
          </w:p>
        </w:tc>
        <w:tc>
          <w:tcPr>
            <w:tcW w:w="580" w:type="dxa"/>
            <w:vAlign w:val="bottom"/>
            <w:tcBorders>
              <w:bottom w:val="single" w:sz="8" w:color="70AD47"/>
            </w:tcBorders>
          </w:tcPr>
          <w:p>
            <w:pPr>
              <w:spacing w:after="0"/>
              <w:rPr>
                <w:sz w:val="19"/>
                <w:szCs w:val="19"/>
                <w:color w:val="auto"/>
              </w:rPr>
            </w:pP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940" w:type="dxa"/>
            <w:vAlign w:val="bottom"/>
            <w:tcBorders>
              <w:right w:val="single" w:sz="8" w:color="70AD47"/>
            </w:tcBorders>
          </w:tcPr>
          <w:p>
            <w:pPr>
              <w:spacing w:after="0"/>
              <w:rPr>
                <w:sz w:val="20"/>
                <w:szCs w:val="20"/>
                <w:color w:val="auto"/>
              </w:rPr>
            </w:pPr>
            <w:r>
              <w:rPr>
                <w:rFonts w:ascii="Arial" w:cs="Arial" w:eastAsia="Arial" w:hAnsi="Arial"/>
                <w:sz w:val="18"/>
                <w:szCs w:val="18"/>
                <w:b w:val="1"/>
                <w:bCs w:val="1"/>
                <w:color w:val="auto"/>
              </w:rPr>
              <w:t>Cost of sales</w:t>
            </w:r>
          </w:p>
        </w:tc>
        <w:tc>
          <w:tcPr>
            <w:tcW w:w="1360" w:type="dxa"/>
            <w:vAlign w:val="bottom"/>
            <w:tcBorders>
              <w:right w:val="single" w:sz="8" w:color="70AD47"/>
            </w:tcBorders>
            <w:shd w:val="clear" w:color="auto" w:fill="C6E0B4"/>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tcBorders>
              <w:left w:val="single" w:sz="8" w:color="70AD47"/>
              <w:right w:val="single" w:sz="8" w:color="70AD47"/>
            </w:tcBorders>
            <w:shd w:val="clear" w:color="auto" w:fill="C6E0B4"/>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Wages, benefits and social security expense</w:t>
            </w:r>
          </w:p>
        </w:tc>
        <w:tc>
          <w:tcPr>
            <w:tcW w:w="13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€3,327</w:t>
            </w:r>
          </w:p>
        </w:tc>
        <w:tc>
          <w:tcPr>
            <w:tcW w:w="7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€2,101</w:t>
            </w:r>
          </w:p>
        </w:tc>
        <w:tc>
          <w:tcPr>
            <w:tcW w:w="13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€6,023</w:t>
            </w: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€3,783</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Laboratory supplies</w:t>
            </w:r>
          </w:p>
        </w:tc>
        <w:tc>
          <w:tcPr>
            <w:tcW w:w="13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449</w:t>
            </w:r>
          </w:p>
        </w:tc>
        <w:tc>
          <w:tcPr>
            <w:tcW w:w="7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1,837</w:t>
            </w:r>
          </w:p>
        </w:tc>
        <w:tc>
          <w:tcPr>
            <w:tcW w:w="13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1,969</w:t>
            </w: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Purchased services</w:t>
            </w:r>
          </w:p>
        </w:tc>
        <w:tc>
          <w:tcPr>
            <w:tcW w:w="13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658</w:t>
            </w:r>
          </w:p>
        </w:tc>
        <w:tc>
          <w:tcPr>
            <w:tcW w:w="7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527</w:t>
            </w:r>
          </w:p>
        </w:tc>
        <w:tc>
          <w:tcPr>
            <w:tcW w:w="13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1,270</w:t>
            </w: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1,009</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13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388</w:t>
            </w:r>
          </w:p>
        </w:tc>
        <w:tc>
          <w:tcPr>
            <w:tcW w:w="7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349</w:t>
            </w:r>
          </w:p>
        </w:tc>
        <w:tc>
          <w:tcPr>
            <w:tcW w:w="13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773</w:t>
            </w: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694</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70AD47"/>
              <w:right w:val="single" w:sz="8" w:color="70AD47"/>
            </w:tcBorders>
          </w:tcPr>
          <w:p>
            <w:pPr>
              <w:ind w:left="14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840</w:t>
            </w:r>
          </w:p>
        </w:tc>
        <w:tc>
          <w:tcPr>
            <w:tcW w:w="780" w:type="dxa"/>
            <w:vAlign w:val="bottom"/>
            <w:tcBorders>
              <w:bottom w:val="single" w:sz="8" w:color="70AD47"/>
            </w:tcBorders>
          </w:tcPr>
          <w:p>
            <w:pPr>
              <w:spacing w:after="0"/>
              <w:rPr>
                <w:sz w:val="20"/>
                <w:szCs w:val="20"/>
                <w:color w:val="auto"/>
              </w:rPr>
            </w:pPr>
          </w:p>
        </w:tc>
        <w:tc>
          <w:tcPr>
            <w:tcW w:w="54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675</w:t>
            </w:r>
          </w:p>
        </w:tc>
        <w:tc>
          <w:tcPr>
            <w:tcW w:w="13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1,469</w:t>
            </w:r>
          </w:p>
        </w:tc>
        <w:tc>
          <w:tcPr>
            <w:tcW w:w="660" w:type="dxa"/>
            <w:vAlign w:val="bottom"/>
            <w:tcBorders>
              <w:bottom w:val="single" w:sz="8" w:color="70AD47"/>
            </w:tcBorders>
          </w:tcPr>
          <w:p>
            <w:pPr>
              <w:spacing w:after="0"/>
              <w:rPr>
                <w:sz w:val="20"/>
                <w:szCs w:val="20"/>
                <w:color w:val="auto"/>
              </w:rPr>
            </w:pPr>
          </w:p>
        </w:tc>
        <w:tc>
          <w:tcPr>
            <w:tcW w:w="58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1,184</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Total cost of sales</w:t>
            </w:r>
          </w:p>
        </w:tc>
        <w:tc>
          <w:tcPr>
            <w:tcW w:w="13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€5,662</w:t>
            </w:r>
          </w:p>
        </w:tc>
        <w:tc>
          <w:tcPr>
            <w:tcW w:w="780" w:type="dxa"/>
            <w:vAlign w:val="bottom"/>
            <w:tcBorders>
              <w:bottom w:val="single" w:sz="8" w:color="70AD47"/>
            </w:tcBorders>
          </w:tcPr>
          <w:p>
            <w:pPr>
              <w:spacing w:after="0"/>
              <w:rPr>
                <w:sz w:val="19"/>
                <w:szCs w:val="19"/>
                <w:color w:val="auto"/>
              </w:rPr>
            </w:pPr>
          </w:p>
        </w:tc>
        <w:tc>
          <w:tcPr>
            <w:tcW w:w="54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w w:val="90"/>
              </w:rPr>
              <w:t>€5,489</w:t>
            </w:r>
          </w:p>
        </w:tc>
        <w:tc>
          <w:tcPr>
            <w:tcW w:w="13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€11,504</w:t>
            </w:r>
          </w:p>
        </w:tc>
        <w:tc>
          <w:tcPr>
            <w:tcW w:w="660" w:type="dxa"/>
            <w:vAlign w:val="bottom"/>
            <w:tcBorders>
              <w:bottom w:val="single" w:sz="8" w:color="70AD47"/>
            </w:tcBorders>
          </w:tcPr>
          <w:p>
            <w:pPr>
              <w:spacing w:after="0"/>
              <w:rPr>
                <w:sz w:val="19"/>
                <w:szCs w:val="19"/>
                <w:color w:val="auto"/>
              </w:rPr>
            </w:pPr>
          </w:p>
        </w:tc>
        <w:tc>
          <w:tcPr>
            <w:tcW w:w="58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w w:val="98"/>
              </w:rPr>
              <w:t>€8,694</w:t>
            </w: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From the three months ended June 30, 2019 to the three months ended June 30, 2020, cost of sales slightly increased from €5.5 million to €5.7 million. Cost of sales for the six months ended June 30, 2020 increased from €8.7 million for the comparative prior year period to €11.5 million. The increase was mainly due to an increase in headcount leading to higher wages, benefits and social security expenses as well as an increase in expenses for contract manufacturing services.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Research and Development Expenses</w:t>
      </w:r>
    </w:p>
    <w:p>
      <w:pPr>
        <w:spacing w:after="0" w:line="108"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The nature of our business and primary focus of our activities generate a significant amount of research and development expenses. All research and development expenses are expensed as incurred. Research and development expenses include our share of expenses payable by us under the terms of our collaboration agreements and 100% of the expenses for our wholly owned product candidates. Research and development expenses represent costs incurred by us for the following:</w:t>
      </w:r>
    </w:p>
    <w:p>
      <w:pPr>
        <w:spacing w:after="0" w:line="83" w:lineRule="exact"/>
        <w:rPr>
          <w:sz w:val="20"/>
          <w:szCs w:val="20"/>
          <w:color w:val="auto"/>
        </w:rPr>
      </w:pPr>
    </w:p>
    <w:p>
      <w:pPr>
        <w:ind w:left="900" w:hanging="447"/>
        <w:spacing w:after="0"/>
        <w:tabs>
          <w:tab w:leader="none" w:pos="9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cost to develop our platforms;</w:t>
      </w:r>
    </w:p>
    <w:p>
      <w:pPr>
        <w:spacing w:after="0" w:line="15" w:lineRule="exact"/>
        <w:rPr>
          <w:rFonts w:ascii="Arial" w:cs="Arial" w:eastAsia="Arial" w:hAnsi="Arial"/>
          <w:sz w:val="20"/>
          <w:szCs w:val="20"/>
          <w:color w:val="auto"/>
        </w:rPr>
      </w:pPr>
    </w:p>
    <w:p>
      <w:pPr>
        <w:ind w:left="900" w:hanging="447"/>
        <w:spacing w:after="0"/>
        <w:tabs>
          <w:tab w:leader="none" w:pos="9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discovery efforts leading to product candidates;</w:t>
      </w:r>
    </w:p>
    <w:p>
      <w:pPr>
        <w:ind w:left="900" w:hanging="447"/>
        <w:spacing w:after="0"/>
        <w:tabs>
          <w:tab w:leader="none" w:pos="9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clinical development expenses for our programs;</w:t>
      </w:r>
    </w:p>
    <w:p>
      <w:pPr>
        <w:ind w:left="900" w:hanging="447"/>
        <w:spacing w:after="0"/>
        <w:tabs>
          <w:tab w:leader="none" w:pos="9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cost to develop our manufacturing technology and infrastructure; and</w:t>
      </w:r>
    </w:p>
    <w:p>
      <w:pPr>
        <w:ind w:left="900" w:hanging="447"/>
        <w:spacing w:after="0"/>
        <w:tabs>
          <w:tab w:leader="none" w:pos="9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digital infrastructure costs.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costs above comprise the following categories:</w:t>
      </w:r>
    </w:p>
    <w:p>
      <w:pPr>
        <w:spacing w:after="0" w:line="22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973" w:right="319" w:bottom="1440" w:gutter="0" w:footer="0" w:header="0"/>
        </w:sectPr>
      </w:pPr>
    </w:p>
    <w:bookmarkStart w:id="46" w:name="page47"/>
    <w:bookmarkEnd w:id="46"/>
    <w:p>
      <w:pPr>
        <w:ind w:left="900" w:hanging="447"/>
        <w:spacing w:after="0"/>
        <w:tabs>
          <w:tab w:leader="none" w:pos="900" w:val="left"/>
        </w:tabs>
        <w:numPr>
          <w:ilvl w:val="0"/>
          <w:numId w:val="40"/>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personnel-related expenses, including salaries, benefits, share-based compensation expense and social security expense;</w:t>
      </w:r>
    </w:p>
    <w:p>
      <w:pPr>
        <w:spacing w:after="0" w:line="27" w:lineRule="exact"/>
        <w:rPr>
          <w:rFonts w:ascii="Arial" w:cs="Arial" w:eastAsia="Arial" w:hAnsi="Arial"/>
          <w:sz w:val="19"/>
          <w:szCs w:val="19"/>
          <w:color w:val="auto"/>
        </w:rPr>
      </w:pPr>
    </w:p>
    <w:p>
      <w:pPr>
        <w:ind w:left="900" w:right="40" w:hanging="447"/>
        <w:spacing w:after="0" w:line="239" w:lineRule="auto"/>
        <w:tabs>
          <w:tab w:leader="none" w:pos="9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expenses incurred under agreements with third parties, such as consultants, investigative sites, contract research organizations, or CROs, that conduct our preclinical studies and clinical trials, and in-licensing arrangements;</w:t>
      </w:r>
    </w:p>
    <w:p>
      <w:pPr>
        <w:ind w:left="900" w:right="40" w:hanging="447"/>
        <w:spacing w:after="0" w:line="239" w:lineRule="auto"/>
        <w:tabs>
          <w:tab w:leader="none" w:pos="9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costs of acquiring, developing and manufacturing materials for preclinical studies and clinical trials, including both internal manufacturing and third-party contract manufacturing organizations, or CMOs;</w:t>
      </w:r>
    </w:p>
    <w:p>
      <w:pPr>
        <w:ind w:left="900" w:right="20" w:hanging="447"/>
        <w:spacing w:after="0" w:line="239" w:lineRule="auto"/>
        <w:tabs>
          <w:tab w:leader="none" w:pos="9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expenses incurred for the procurement of materials, laboratory supplies and non-capital equipment used in the research and development process; and</w:t>
      </w:r>
    </w:p>
    <w:p>
      <w:pPr>
        <w:ind w:left="900" w:right="20" w:hanging="447"/>
        <w:spacing w:after="0" w:line="244" w:lineRule="auto"/>
        <w:tabs>
          <w:tab w:leader="none" w:pos="9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facilities, depreciation and amortization, and other direct and allocated expenses incurred as a result of research and development activities.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our research and development expenses for the periods indicated: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2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7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234"/>
        </w:trPr>
        <w:tc>
          <w:tcPr>
            <w:tcW w:w="5920" w:type="dxa"/>
            <w:vAlign w:val="bottom"/>
          </w:tcPr>
          <w:p>
            <w:pPr>
              <w:spacing w:after="0"/>
              <w:rPr>
                <w:sz w:val="20"/>
                <w:szCs w:val="20"/>
                <w:color w:val="auto"/>
              </w:rPr>
            </w:pPr>
          </w:p>
        </w:tc>
        <w:tc>
          <w:tcPr>
            <w:tcW w:w="1880" w:type="dxa"/>
            <w:vAlign w:val="bottom"/>
            <w:gridSpan w:val="2"/>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1880" w:type="dxa"/>
            <w:vAlign w:val="bottom"/>
            <w:gridSpan w:val="2"/>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20" w:type="dxa"/>
            <w:vAlign w:val="bottom"/>
            <w:tcBorders>
              <w:right w:val="single" w:sz="8" w:color="70AD47"/>
            </w:tcBorders>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Borders>
              <w:bottom w:val="single" w:sz="8" w:color="70AD47"/>
              <w:right w:val="single" w:sz="8" w:color="70AD47"/>
            </w:tcBorders>
            <w:vMerge w:val="continue"/>
          </w:tcPr>
          <w:p>
            <w:pPr>
              <w:spacing w:after="0"/>
              <w:rPr>
                <w:sz w:val="19"/>
                <w:szCs w:val="19"/>
                <w:color w:val="auto"/>
              </w:rPr>
            </w:pPr>
          </w:p>
        </w:tc>
        <w:tc>
          <w:tcPr>
            <w:tcW w:w="1880" w:type="dxa"/>
            <w:vAlign w:val="bottom"/>
            <w:tcBorders>
              <w:bottom w:val="single" w:sz="8" w:color="70AD47"/>
            </w:tcBorders>
            <w:gridSpan w:val="2"/>
          </w:tcPr>
          <w:p>
            <w:pPr>
              <w:jc w:val="center"/>
              <w:ind w:left="670"/>
              <w:spacing w:after="0"/>
              <w:rPr>
                <w:sz w:val="20"/>
                <w:szCs w:val="20"/>
                <w:color w:val="auto"/>
              </w:rPr>
            </w:pPr>
            <w:r>
              <w:rPr>
                <w:rFonts w:ascii="Arial" w:cs="Arial" w:eastAsia="Arial" w:hAnsi="Arial"/>
                <w:sz w:val="18"/>
                <w:szCs w:val="18"/>
                <w:i w:val="1"/>
                <w:iCs w:val="1"/>
                <w:color w:val="auto"/>
                <w:w w:val="92"/>
              </w:rPr>
              <w:t>(unaudited)</w:t>
            </w:r>
          </w:p>
        </w:tc>
        <w:tc>
          <w:tcPr>
            <w:tcW w:w="760" w:type="dxa"/>
            <w:vAlign w:val="bottom"/>
            <w:tcBorders>
              <w:bottom w:val="single" w:sz="8" w:color="70AD47"/>
            </w:tcBorders>
          </w:tcPr>
          <w:p>
            <w:pPr>
              <w:spacing w:after="0"/>
              <w:rPr>
                <w:sz w:val="19"/>
                <w:szCs w:val="19"/>
                <w:color w:val="auto"/>
              </w:rPr>
            </w:pPr>
          </w:p>
        </w:tc>
        <w:tc>
          <w:tcPr>
            <w:tcW w:w="1880" w:type="dxa"/>
            <w:vAlign w:val="bottom"/>
            <w:tcBorders>
              <w:left w:val="single" w:sz="8" w:color="70AD47"/>
              <w:bottom w:val="single" w:sz="8" w:color="70AD47"/>
            </w:tcBorders>
            <w:gridSpan w:val="2"/>
          </w:tcPr>
          <w:p>
            <w:pPr>
              <w:jc w:val="center"/>
              <w:ind w:left="710"/>
              <w:spacing w:after="0"/>
              <w:rPr>
                <w:sz w:val="20"/>
                <w:szCs w:val="20"/>
                <w:color w:val="auto"/>
              </w:rPr>
            </w:pPr>
            <w:r>
              <w:rPr>
                <w:rFonts w:ascii="Arial" w:cs="Arial" w:eastAsia="Arial" w:hAnsi="Arial"/>
                <w:sz w:val="18"/>
                <w:szCs w:val="18"/>
                <w:i w:val="1"/>
                <w:iCs w:val="1"/>
                <w:color w:val="auto"/>
                <w:w w:val="92"/>
              </w:rPr>
              <w:t>(unaudited)</w:t>
            </w:r>
          </w:p>
        </w:tc>
        <w:tc>
          <w:tcPr>
            <w:tcW w:w="800" w:type="dxa"/>
            <w:vAlign w:val="bottom"/>
            <w:tcBorders>
              <w:bottom w:val="single" w:sz="8" w:color="70AD47"/>
            </w:tcBorders>
          </w:tcPr>
          <w:p>
            <w:pPr>
              <w:spacing w:after="0"/>
              <w:rPr>
                <w:sz w:val="19"/>
                <w:szCs w:val="19"/>
                <w:color w:val="auto"/>
              </w:rPr>
            </w:pP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920" w:type="dxa"/>
            <w:vAlign w:val="bottom"/>
            <w:tcBorders>
              <w:right w:val="single" w:sz="8" w:color="70AD47"/>
            </w:tcBorders>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1340" w:type="dxa"/>
            <w:vAlign w:val="bottom"/>
            <w:tcBorders>
              <w:right w:val="single" w:sz="8" w:color="70AD47"/>
            </w:tcBorders>
            <w:shd w:val="clear" w:color="auto" w:fill="C6E0B4"/>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60" w:type="dxa"/>
            <w:vAlign w:val="bottom"/>
            <w:tcBorders>
              <w:left w:val="single" w:sz="8" w:color="70AD47"/>
              <w:right w:val="single" w:sz="8" w:color="70AD47"/>
            </w:tcBorders>
            <w:shd w:val="clear" w:color="auto" w:fill="C6E0B4"/>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Wages, benefits and social security expense</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€32,408</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€19,143</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€59,517</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€44,447</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Purchased services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39,609</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14,893</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58,038</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30,313</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Laboratory supplies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13,026</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9,928</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21,177</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18,294</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6,818</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6,493</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13,911</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12,351</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IT costs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1,062</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597</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2,429</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869</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Lease and lease related cost</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674</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703</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1,665</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1,263</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Transport costs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483</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282</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819</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520</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Travel costs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115</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433</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572</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70AD47"/>
              <w:right w:val="single" w:sz="8" w:color="70AD47"/>
            </w:tcBorders>
          </w:tcPr>
          <w:p>
            <w:pPr>
              <w:ind w:left="14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994</w:t>
            </w:r>
          </w:p>
        </w:tc>
        <w:tc>
          <w:tcPr>
            <w:tcW w:w="540" w:type="dxa"/>
            <w:vAlign w:val="bottom"/>
            <w:tcBorders>
              <w:bottom w:val="single" w:sz="8" w:color="70AD47"/>
            </w:tcBorders>
          </w:tcPr>
          <w:p>
            <w:pPr>
              <w:spacing w:after="0"/>
              <w:rPr>
                <w:sz w:val="20"/>
                <w:szCs w:val="20"/>
                <w:color w:val="auto"/>
              </w:rPr>
            </w:pPr>
          </w:p>
        </w:tc>
        <w:tc>
          <w:tcPr>
            <w:tcW w:w="76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1,082</w:t>
            </w:r>
          </w:p>
        </w:tc>
        <w:tc>
          <w:tcPr>
            <w:tcW w:w="136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2,322</w:t>
            </w:r>
          </w:p>
        </w:tc>
        <w:tc>
          <w:tcPr>
            <w:tcW w:w="520" w:type="dxa"/>
            <w:vAlign w:val="bottom"/>
            <w:tcBorders>
              <w:bottom w:val="single" w:sz="8" w:color="70AD47"/>
            </w:tcBorders>
          </w:tcPr>
          <w:p>
            <w:pPr>
              <w:spacing w:after="0"/>
              <w:rPr>
                <w:sz w:val="20"/>
                <w:szCs w:val="20"/>
                <w:color w:val="auto"/>
              </w:rPr>
            </w:pPr>
          </w:p>
        </w:tc>
        <w:tc>
          <w:tcPr>
            <w:tcW w:w="80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2,014</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2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€95,189</w:t>
            </w:r>
          </w:p>
        </w:tc>
        <w:tc>
          <w:tcPr>
            <w:tcW w:w="540" w:type="dxa"/>
            <w:vAlign w:val="bottom"/>
            <w:tcBorders>
              <w:bottom w:val="single" w:sz="8" w:color="70AD47"/>
            </w:tcBorders>
          </w:tcPr>
          <w:p>
            <w:pPr>
              <w:spacing w:after="0"/>
              <w:rPr>
                <w:sz w:val="19"/>
                <w:szCs w:val="19"/>
                <w:color w:val="auto"/>
              </w:rPr>
            </w:pPr>
          </w:p>
        </w:tc>
        <w:tc>
          <w:tcPr>
            <w:tcW w:w="76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rPr>
              <w:t>€53,402</w:t>
            </w:r>
          </w:p>
        </w:tc>
        <w:tc>
          <w:tcPr>
            <w:tcW w:w="136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€160,311</w:t>
            </w:r>
          </w:p>
        </w:tc>
        <w:tc>
          <w:tcPr>
            <w:tcW w:w="520" w:type="dxa"/>
            <w:vAlign w:val="bottom"/>
            <w:tcBorders>
              <w:bottom w:val="single" w:sz="8" w:color="70AD47"/>
            </w:tcBorders>
          </w:tcPr>
          <w:p>
            <w:pPr>
              <w:spacing w:after="0"/>
              <w:rPr>
                <w:sz w:val="19"/>
                <w:szCs w:val="19"/>
                <w:color w:val="auto"/>
              </w:rPr>
            </w:pPr>
          </w:p>
        </w:tc>
        <w:tc>
          <w:tcPr>
            <w:tcW w:w="80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rPr>
              <w:t>€110,643</w:t>
            </w: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largest component of our total operating expenses has historically been our investment in research and development activities, including development of our platforms and manufacturing technologies. We cannot reasonably estimate the nature, timing and amount of research and development expenses required to complete the development of the product candidates we are currently developing or may develop in the future. A change in expectations or outcomes of any of the known or unknown risks and uncertainties may materially impact our expected research and development expenditures.</w:t>
      </w:r>
    </w:p>
    <w:p>
      <w:pPr>
        <w:spacing w:after="0" w:line="194"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Continued research and development is central to the ongoing activities of our business. Product candidates in later stages of clinical development generally have higher development expenses than those in earlier stages of clinical development, primarily due to the increased size and duration of later-stage clinical trials. We expect these costs to continue to increase in the future as our product candidates progress through the development phases and as we identify and develop additional programs.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80"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From the three months ended June 30, 2019 to the three months ended June 30, 2020, research and development expenses increased from €53.4 million to €95.2 million. Research and development expenses for the six months ended June 30, 2020 increased from €110.6 million for the comparative prior year period to €160.3 million. The increase was mainly due to an increase in headcount leading to higher</w:t>
      </w:r>
    </w:p>
    <w:p>
      <w:pPr>
        <w:spacing w:after="0" w:line="159" w:lineRule="exact"/>
        <w:rPr>
          <w:sz w:val="20"/>
          <w:szCs w:val="20"/>
          <w:color w:val="auto"/>
        </w:rPr>
      </w:pPr>
    </w:p>
    <w:p>
      <w:pPr>
        <w:ind w:left="1108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865" w:right="319" w:bottom="1440" w:gutter="0" w:footer="0" w:header="0"/>
        </w:sectPr>
      </w:pPr>
    </w:p>
    <w:bookmarkStart w:id="47" w:name="page48"/>
    <w:bookmarkEnd w:id="47"/>
    <w:p>
      <w:pPr>
        <w:jc w:val="both"/>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wages, benefits and social security expenses as well as an increase in expenses for purchased research and development services, especially with respect to our BNT162 program, our vaccine program against COVID-19. In addition, from May 6, 2020, the date of acquisition, our new U.S.-based subsidiary, BioNTech US Inc., contributed €5.8 million to the research and development expenses of the Group.</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 and Marketing Expenses</w:t>
      </w:r>
    </w:p>
    <w:p>
      <w:pPr>
        <w:spacing w:after="0" w:line="108"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Our sales and marketing expenses mainly consist of personnel-related costs and expenses for purchased services. If we obtain regulatory approval for any of our product candidates and do not enter into any third-party commercialization collaborations, we expect to incur significant expenses related to building a sales and marketing team to support sales, marketing and distribution activities.</w:t>
      </w:r>
    </w:p>
    <w:p>
      <w:pPr>
        <w:spacing w:after="0" w:line="44"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From the three months ended June 30, 2019 to the three months ended June 30, 2020, sales and marketing expenses increased from €0.7 million to €3.1 million. Sales and marketing expenses for the six months ended June 30, 2020 increased from €1.2 million for the comparative prior year period to €3.5 million. The increase was mainly due to increased marketing consulting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Expenses</w:t>
      </w:r>
    </w:p>
    <w:p>
      <w:pPr>
        <w:spacing w:after="0" w:line="108"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General and administrative expenses consist primarily of personnel-related costs for finance, legal, human resources, business development and other administrative and operational functions, professional fees, accounting and legal services, information technology and facility-related costs. These costs relate to the operation of the business, unrelated to the research and development function or any individual program.</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our general and administrative expenses for the periods indicated: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2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04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7"/>
              </w:rPr>
              <w:t>Six months ended</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20" w:type="dxa"/>
            <w:vAlign w:val="bottom"/>
          </w:tcPr>
          <w:p>
            <w:pPr>
              <w:spacing w:after="0"/>
              <w:rPr>
                <w:sz w:val="20"/>
                <w:szCs w:val="20"/>
                <w:color w:val="auto"/>
              </w:rPr>
            </w:pPr>
          </w:p>
        </w:tc>
        <w:tc>
          <w:tcPr>
            <w:tcW w:w="1880" w:type="dxa"/>
            <w:vAlign w:val="bottom"/>
            <w:gridSpan w:val="2"/>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04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20" w:type="dxa"/>
            <w:vAlign w:val="bottom"/>
            <w:tcBorders>
              <w:right w:val="single" w:sz="8" w:color="70AD47"/>
            </w:tcBorders>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70AD47"/>
              <w:right w:val="single" w:sz="8" w:color="70AD47"/>
            </w:tcBorders>
            <w:vMerge w:val="continue"/>
          </w:tcPr>
          <w:p>
            <w:pPr>
              <w:spacing w:after="0"/>
              <w:rPr>
                <w:sz w:val="19"/>
                <w:szCs w:val="19"/>
                <w:color w:val="auto"/>
              </w:rPr>
            </w:pPr>
          </w:p>
        </w:tc>
        <w:tc>
          <w:tcPr>
            <w:tcW w:w="1880" w:type="dxa"/>
            <w:vAlign w:val="bottom"/>
            <w:tcBorders>
              <w:bottom w:val="single" w:sz="8" w:color="70AD47"/>
            </w:tcBorders>
            <w:gridSpan w:val="2"/>
          </w:tcPr>
          <w:p>
            <w:pPr>
              <w:jc w:val="center"/>
              <w:ind w:left="670"/>
              <w:spacing w:after="0"/>
              <w:rPr>
                <w:sz w:val="20"/>
                <w:szCs w:val="20"/>
                <w:color w:val="auto"/>
              </w:rPr>
            </w:pPr>
            <w:r>
              <w:rPr>
                <w:rFonts w:ascii="Arial" w:cs="Arial" w:eastAsia="Arial" w:hAnsi="Arial"/>
                <w:sz w:val="18"/>
                <w:szCs w:val="18"/>
                <w:i w:val="1"/>
                <w:iCs w:val="1"/>
                <w:color w:val="auto"/>
                <w:w w:val="92"/>
              </w:rPr>
              <w:t>(unaudited)</w:t>
            </w:r>
          </w:p>
        </w:tc>
        <w:tc>
          <w:tcPr>
            <w:tcW w:w="760" w:type="dxa"/>
            <w:vAlign w:val="bottom"/>
            <w:tcBorders>
              <w:bottom w:val="single" w:sz="8" w:color="70AD47"/>
            </w:tcBorders>
          </w:tcPr>
          <w:p>
            <w:pPr>
              <w:spacing w:after="0"/>
              <w:rPr>
                <w:sz w:val="19"/>
                <w:szCs w:val="19"/>
                <w:color w:val="auto"/>
              </w:rPr>
            </w:pPr>
          </w:p>
        </w:tc>
        <w:tc>
          <w:tcPr>
            <w:tcW w:w="2040" w:type="dxa"/>
            <w:vAlign w:val="bottom"/>
            <w:tcBorders>
              <w:left w:val="single" w:sz="8" w:color="70AD47"/>
              <w:bottom w:val="single" w:sz="8" w:color="70AD47"/>
            </w:tcBorders>
            <w:gridSpan w:val="2"/>
          </w:tcPr>
          <w:p>
            <w:pPr>
              <w:jc w:val="center"/>
              <w:ind w:left="550"/>
              <w:spacing w:after="0"/>
              <w:rPr>
                <w:sz w:val="20"/>
                <w:szCs w:val="20"/>
                <w:color w:val="auto"/>
              </w:rPr>
            </w:pPr>
            <w:r>
              <w:rPr>
                <w:rFonts w:ascii="Arial" w:cs="Arial" w:eastAsia="Arial" w:hAnsi="Arial"/>
                <w:sz w:val="18"/>
                <w:szCs w:val="18"/>
                <w:i w:val="1"/>
                <w:iCs w:val="1"/>
                <w:color w:val="auto"/>
                <w:w w:val="92"/>
              </w:rPr>
              <w:t>(unaudited)</w:t>
            </w:r>
          </w:p>
        </w:tc>
        <w:tc>
          <w:tcPr>
            <w:tcW w:w="640" w:type="dxa"/>
            <w:vAlign w:val="bottom"/>
            <w:tcBorders>
              <w:bottom w:val="single" w:sz="8" w:color="70AD47"/>
            </w:tcBorders>
          </w:tcPr>
          <w:p>
            <w:pPr>
              <w:spacing w:after="0"/>
              <w:rPr>
                <w:sz w:val="19"/>
                <w:szCs w:val="19"/>
                <w:color w:val="auto"/>
              </w:rPr>
            </w:pP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920" w:type="dxa"/>
            <w:vAlign w:val="bottom"/>
            <w:tcBorders>
              <w:right w:val="single" w:sz="8" w:color="70AD47"/>
            </w:tcBorders>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1340" w:type="dxa"/>
            <w:vAlign w:val="bottom"/>
            <w:tcBorders>
              <w:right w:val="single" w:sz="8" w:color="70AD47"/>
            </w:tcBorders>
            <w:shd w:val="clear" w:color="auto" w:fill="C6E0B4"/>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60" w:type="dxa"/>
            <w:vAlign w:val="bottom"/>
            <w:tcBorders>
              <w:left w:val="single" w:sz="8" w:color="70AD47"/>
              <w:right w:val="single" w:sz="8" w:color="70AD47"/>
            </w:tcBorders>
            <w:shd w:val="clear" w:color="auto" w:fill="C6E0B4"/>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Wages, benefits and social security expense</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€7,680</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€5,253</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€14,194</w:t>
            </w:r>
          </w:p>
        </w:tc>
        <w:tc>
          <w:tcPr>
            <w:tcW w:w="6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€9,550</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Purchased services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4,110</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1,890</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8,288</w:t>
            </w:r>
          </w:p>
        </w:tc>
        <w:tc>
          <w:tcPr>
            <w:tcW w:w="6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3,116</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IT and office equipment</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1,366</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1,140</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2,710</w:t>
            </w:r>
          </w:p>
        </w:tc>
        <w:tc>
          <w:tcPr>
            <w:tcW w:w="6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2,092</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1,619</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1,558</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2,723</w:t>
            </w:r>
          </w:p>
        </w:tc>
        <w:tc>
          <w:tcPr>
            <w:tcW w:w="6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2,530</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Insurance premiums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862</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1,614</w:t>
            </w:r>
          </w:p>
        </w:tc>
        <w:tc>
          <w:tcPr>
            <w:tcW w:w="6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Lease and lease related cost</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561</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384</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910</w:t>
            </w:r>
          </w:p>
        </w:tc>
        <w:tc>
          <w:tcPr>
            <w:tcW w:w="6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810</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Travel costs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80</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687</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475</w:t>
            </w:r>
          </w:p>
        </w:tc>
        <w:tc>
          <w:tcPr>
            <w:tcW w:w="6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931</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70AD47"/>
              <w:right w:val="single" w:sz="8" w:color="70AD47"/>
            </w:tcBorders>
          </w:tcPr>
          <w:p>
            <w:pPr>
              <w:ind w:left="14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2,535</w:t>
            </w:r>
          </w:p>
        </w:tc>
        <w:tc>
          <w:tcPr>
            <w:tcW w:w="540" w:type="dxa"/>
            <w:vAlign w:val="bottom"/>
            <w:tcBorders>
              <w:bottom w:val="single" w:sz="8" w:color="70AD47"/>
            </w:tcBorders>
          </w:tcPr>
          <w:p>
            <w:pPr>
              <w:spacing w:after="0"/>
              <w:rPr>
                <w:sz w:val="20"/>
                <w:szCs w:val="20"/>
                <w:color w:val="auto"/>
              </w:rPr>
            </w:pPr>
          </w:p>
        </w:tc>
        <w:tc>
          <w:tcPr>
            <w:tcW w:w="76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3,674</w:t>
            </w:r>
          </w:p>
        </w:tc>
        <w:tc>
          <w:tcPr>
            <w:tcW w:w="136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3,714</w:t>
            </w:r>
          </w:p>
        </w:tc>
        <w:tc>
          <w:tcPr>
            <w:tcW w:w="680" w:type="dxa"/>
            <w:vAlign w:val="bottom"/>
            <w:tcBorders>
              <w:bottom w:val="single" w:sz="8" w:color="70AD47"/>
            </w:tcBorders>
          </w:tcPr>
          <w:p>
            <w:pPr>
              <w:spacing w:after="0"/>
              <w:rPr>
                <w:sz w:val="20"/>
                <w:szCs w:val="20"/>
                <w:color w:val="auto"/>
              </w:rPr>
            </w:pPr>
          </w:p>
        </w:tc>
        <w:tc>
          <w:tcPr>
            <w:tcW w:w="64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4,795</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2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€18,813</w:t>
            </w:r>
          </w:p>
        </w:tc>
        <w:tc>
          <w:tcPr>
            <w:tcW w:w="540" w:type="dxa"/>
            <w:vAlign w:val="bottom"/>
            <w:tcBorders>
              <w:bottom w:val="single" w:sz="8" w:color="70AD47"/>
            </w:tcBorders>
          </w:tcPr>
          <w:p>
            <w:pPr>
              <w:spacing w:after="0"/>
              <w:rPr>
                <w:sz w:val="19"/>
                <w:szCs w:val="19"/>
                <w:color w:val="auto"/>
              </w:rPr>
            </w:pPr>
          </w:p>
        </w:tc>
        <w:tc>
          <w:tcPr>
            <w:tcW w:w="76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rPr>
              <w:t>€14,623</w:t>
            </w:r>
          </w:p>
        </w:tc>
        <w:tc>
          <w:tcPr>
            <w:tcW w:w="136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€34,628</w:t>
            </w:r>
          </w:p>
        </w:tc>
        <w:tc>
          <w:tcPr>
            <w:tcW w:w="680" w:type="dxa"/>
            <w:vAlign w:val="bottom"/>
            <w:tcBorders>
              <w:bottom w:val="single" w:sz="8" w:color="70AD47"/>
            </w:tcBorders>
          </w:tcPr>
          <w:p>
            <w:pPr>
              <w:spacing w:after="0"/>
              <w:rPr>
                <w:sz w:val="19"/>
                <w:szCs w:val="19"/>
                <w:color w:val="auto"/>
              </w:rPr>
            </w:pPr>
          </w:p>
        </w:tc>
        <w:tc>
          <w:tcPr>
            <w:tcW w:w="64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w w:val="92"/>
              </w:rPr>
              <w:t>€23,899</w:t>
            </w: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We anticipate general and administrative expenses will increase as research and development expands. These increases will likely relate to additional personnel and increased purchased service costs related in part to finance, legal and intellectual property-related matters along with increased expenses related to operating as a publicly listed company, such as fees related to audit, legal and tax services, regulatory compliance programs, insurance and investor relations.</w:t>
      </w:r>
    </w:p>
    <w:p>
      <w:pPr>
        <w:spacing w:after="0" w:line="191"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From the three months ended June 30, 2019 to the three months ended June 30, 2020, general and administrative expenses increased from €14.6 million to €18.8 million. General and administrative expenses for the six months ended June 30, 2020 increased from €23.9 million for the comparative prior year period to €34.6 million. The increase was mainly influenced by higher expenses for purchased management consulting and legal services as well as an increase in headcount leading to higher wages, benefits and social security expenses. In addition, from May 6, 2020, the date of acquisition, our new</w:t>
      </w:r>
    </w:p>
    <w:p>
      <w:pPr>
        <w:spacing w:after="0" w:line="201" w:lineRule="exact"/>
        <w:rPr>
          <w:sz w:val="20"/>
          <w:szCs w:val="20"/>
          <w:color w:val="auto"/>
        </w:rPr>
      </w:pPr>
    </w:p>
    <w:p>
      <w:pPr>
        <w:ind w:left="1108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973" w:right="319" w:bottom="1440" w:gutter="0" w:footer="0" w:header="0"/>
        </w:sectPr>
      </w:pPr>
    </w:p>
    <w:bookmarkStart w:id="48" w:name="page49"/>
    <w:bookmarkEnd w:id="48"/>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U.S.-based subsidiary, BioNTech US Inc. contributed €1.6 million to the general and administrative expenses of the Group.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Operating Income / Expenses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Other operating income for the three months ended June 30, 2020 amounted to €0.8 million compared to €0.7 million for the three months ended June 30, 2019. Other operating income for the six months ended June 30, 2020 amounted to €1.2 million compared to €1.0 million for the comparative prior year period. The amount mainly included income from collecting certain withholding tax payments for intellectual property licenses related to prior years. Other operating expenses for the three months ended June 30, 2020 amounted to €0.8 million compared to €0.1 million for the three months ended June 30, 2019. Other operating expenses for the six months ended June 30, 2020 amounted to €0.9 million compared to €0.2 million for the comparative prior year period.</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Finance Income / Expenses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finance income and expenses consist of interest income and interest expenses on cash as well as foreign exchange gains and losses. Foreign exchange differences on a cumulative basis, are either shown as finance income or expenses and might switch between those two positions during the year-to-date reporting periods.</w:t>
      </w:r>
    </w:p>
    <w:p>
      <w:pPr>
        <w:spacing w:after="0" w:line="7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Finance income for the six months ended June 30, 2020 amounted to €0.6 million compared to €1.9 million for the six months ended June 30, 2019. The latter included €1.1 million attributable to unrealized foreign exchange gains. Finance expenses for the six months ended June 30, 2020 amounted to €3.4 million compared to €0.2 million for the six months ended June 30, 2019. The former included €3.2 million attributable to unrealized foreign exchange losses.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 Losses</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We calculate the interim income tax expense using the tax rate that would be applicable to the expected total annual earnings. Deferred tax assets on tax losses of subsidiaries incorporated in Germany have not been capitalized as there is not sufficient probability that there will be future taxable profits against which the unused tax losses can be utilized. Deferred tax assets calculated from tax losses of subsidiaries incorporated in the United States incurred since the acquisition of BioNTech US have been recorded in an amount of k€2,317. Deferred tax assets have been offset with deferred tax liabilities recognized as part of the acquisition of BioNTech US given that the conditions to offset were fulfilled. Accumulated tax losses relate to Germany and the United States. There is no expiration date for any of the accumulated tax losses under German tax law. With respect to accumulated losses incurred at the level of BioNTech USA Holding LLC and BioNTech Research and Development Inc. since their incorporation and tax losses of BioNTech US since the acquisition of BioNTech US there is no expiration date under U.S. tax law.</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Information About Our Business Units and Operating Segments</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business is managed in two business units: our biotech business unit and our external services business unit. Our biotech business unit is comprised of the following three operating segments:</w:t>
      </w:r>
    </w:p>
    <w:p>
      <w:pPr>
        <w:spacing w:after="0" w:line="63" w:lineRule="exact"/>
        <w:rPr>
          <w:sz w:val="20"/>
          <w:szCs w:val="20"/>
          <w:color w:val="auto"/>
        </w:rPr>
      </w:pPr>
    </w:p>
    <w:p>
      <w:pPr>
        <w:jc w:val="both"/>
        <w:ind w:left="900" w:hanging="447"/>
        <w:spacing w:after="0" w:line="258" w:lineRule="auto"/>
        <w:tabs>
          <w:tab w:leader="none" w:pos="9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Clinical</w:t>
      </w:r>
      <w:r>
        <w:rPr>
          <w:rFonts w:ascii="Arial" w:cs="Arial" w:eastAsia="Arial" w:hAnsi="Arial"/>
          <w:sz w:val="19"/>
          <w:szCs w:val="19"/>
          <w:color w:val="auto"/>
        </w:rPr>
        <w:t xml:space="preserve"> segment contains all development activities relating to clinical programs. Clinical trials include testing the product candidates on humans. Clinical trials are an essential part of the development and licensing of the pharmaceutical products and are performed before the respective product can be placed on the market. We are actively engaged in many collaborations and licensing deals with leading pharmaceutical companies and academic collaborators.</w:t>
      </w:r>
    </w:p>
    <w:p>
      <w:pPr>
        <w:jc w:val="both"/>
        <w:ind w:left="900" w:hanging="447"/>
        <w:spacing w:after="0" w:line="252" w:lineRule="auto"/>
        <w:tabs>
          <w:tab w:leader="none" w:pos="9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Technology Platform</w:t>
      </w:r>
      <w:r>
        <w:rPr>
          <w:rFonts w:ascii="Arial" w:cs="Arial" w:eastAsia="Arial" w:hAnsi="Arial"/>
          <w:sz w:val="19"/>
          <w:szCs w:val="19"/>
          <w:color w:val="auto"/>
        </w:rPr>
        <w:t xml:space="preserve"> segment contains all development activities relating to preclinical programs. Preclinical development is the stage of research that begins before clinical trials. It is performed to determine the desired pharmacological effects and to identify any unwanted effects that may cause adverse reactions during human exposure.</w:t>
      </w:r>
    </w:p>
    <w:p>
      <w:pPr>
        <w:ind w:left="900" w:hanging="447"/>
        <w:spacing w:after="0" w:line="244" w:lineRule="auto"/>
        <w:tabs>
          <w:tab w:leader="none" w:pos="900" w:val="left"/>
        </w:tabs>
        <w:numPr>
          <w:ilvl w:val="0"/>
          <w:numId w:val="41"/>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Manufacturing</w:t>
      </w:r>
      <w:r>
        <w:rPr>
          <w:rFonts w:ascii="Arial" w:cs="Arial" w:eastAsia="Arial" w:hAnsi="Arial"/>
          <w:sz w:val="20"/>
          <w:szCs w:val="20"/>
          <w:color w:val="auto"/>
        </w:rPr>
        <w:t xml:space="preserve"> segment is an essential part of the research and development process as it includes the manufacturing unit of mRNA and engineered cell therapies. All of the medical</w:t>
      </w:r>
    </w:p>
    <w:p>
      <w:pPr>
        <w:spacing w:after="0" w:line="198"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49" w:name="page50"/>
    <w:bookmarkEnd w:id="49"/>
    <w:p>
      <w:pPr>
        <w:ind w:left="900" w:right="20"/>
        <w:spacing w:after="0" w:line="26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substances and tools that form the basis for the research studies performed by us are manufactured in this segment (i.e., the Manufacturing segment contains only internally produced substances and tools).</w:t>
      </w:r>
    </w:p>
    <w:p>
      <w:pPr>
        <w:spacing w:after="0" w:line="177" w:lineRule="exact"/>
        <w:rPr>
          <w:sz w:val="20"/>
          <w:szCs w:val="20"/>
          <w:color w:val="auto"/>
        </w:rPr>
      </w:pPr>
    </w:p>
    <w:p>
      <w:pPr>
        <w:jc w:val="both"/>
        <w:ind w:right="20"/>
        <w:spacing w:after="0" w:line="260" w:lineRule="auto"/>
        <w:rPr>
          <w:sz w:val="20"/>
          <w:szCs w:val="20"/>
          <w:color w:val="auto"/>
        </w:rPr>
      </w:pPr>
      <w:r>
        <w:rPr>
          <w:rFonts w:ascii="Arial" w:cs="Arial" w:eastAsia="Arial" w:hAnsi="Arial"/>
          <w:sz w:val="19"/>
          <w:szCs w:val="19"/>
          <w:color w:val="auto"/>
        </w:rPr>
        <w:t>Our biotech business unit also includes our business services operations. Our business services operations comprise our central administrative functions, such as finance, procurement, human resources, legal and intellectual property. Revenue and expenses relating to a program are attributed to the Technology Platform segment until the program commences late-stage preclinical studies, including IND-enabling studies, at which time the program revenues and expenses are attributed to the Clinical segment. In addition, the majority of our Manufacturing segment revenue and expenses are related to the development of our clinical product candidates.</w:t>
      </w:r>
    </w:p>
    <w:p>
      <w:pPr>
        <w:spacing w:after="0" w:line="180"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Our external services business unit comprises the external services segment, which includes activities related to the sales of diagnostic products, peptides, retroviral vectors for clinical supply, and development and manufacturing services that are sold to third-party customers.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Biotech Business Unit</w:t>
      </w:r>
    </w:p>
    <w:p>
      <w:pPr>
        <w:spacing w:after="0" w:line="114"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The following table summarizes the statements of operations of our biotech business unit, consisting of the Clinical, Technology Platform and Manufacturing segments and the associated business services operations for each period presented: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2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7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234"/>
        </w:trPr>
        <w:tc>
          <w:tcPr>
            <w:tcW w:w="5920" w:type="dxa"/>
            <w:vAlign w:val="bottom"/>
          </w:tcPr>
          <w:p>
            <w:pPr>
              <w:spacing w:after="0"/>
              <w:rPr>
                <w:sz w:val="20"/>
                <w:szCs w:val="20"/>
                <w:color w:val="auto"/>
              </w:rPr>
            </w:pPr>
          </w:p>
        </w:tc>
        <w:tc>
          <w:tcPr>
            <w:tcW w:w="182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1860" w:type="dxa"/>
            <w:vAlign w:val="bottom"/>
            <w:gridSpan w:val="2"/>
          </w:tcPr>
          <w:p>
            <w:pPr>
              <w:jc w:val="center"/>
              <w:ind w:left="73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20" w:type="dxa"/>
            <w:vAlign w:val="bottom"/>
            <w:tcBorders>
              <w:right w:val="single" w:sz="8" w:color="70AD47"/>
            </w:tcBorders>
          </w:tcPr>
          <w:p>
            <w:pPr>
              <w:spacing w:after="0"/>
              <w:rPr>
                <w:sz w:val="19"/>
                <w:szCs w:val="19"/>
                <w:color w:val="auto"/>
              </w:rPr>
            </w:pP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920" w:type="dxa"/>
            <w:vAlign w:val="bottom"/>
            <w:tcBorders>
              <w:right w:val="single" w:sz="8" w:color="70AD47"/>
            </w:tcBorders>
          </w:tcPr>
          <w:p>
            <w:pPr>
              <w:spacing w:after="0"/>
              <w:rPr>
                <w:sz w:val="20"/>
                <w:szCs w:val="20"/>
                <w:color w:val="auto"/>
              </w:rPr>
            </w:pPr>
            <w:r>
              <w:rPr>
                <w:rFonts w:ascii="Arial" w:cs="Arial" w:eastAsia="Arial" w:hAnsi="Arial"/>
                <w:sz w:val="18"/>
                <w:szCs w:val="18"/>
                <w:i w:val="1"/>
                <w:iCs w:val="1"/>
                <w:color w:val="auto"/>
              </w:rPr>
              <w:t>(in thousands)</w:t>
            </w:r>
          </w:p>
        </w:tc>
        <w:tc>
          <w:tcPr>
            <w:tcW w:w="1820" w:type="dxa"/>
            <w:vAlign w:val="bottom"/>
            <w:gridSpan w:val="2"/>
          </w:tcPr>
          <w:p>
            <w:pPr>
              <w:jc w:val="center"/>
              <w:ind w:left="730"/>
              <w:spacing w:after="0"/>
              <w:rPr>
                <w:sz w:val="20"/>
                <w:szCs w:val="20"/>
                <w:color w:val="auto"/>
              </w:rPr>
            </w:pPr>
            <w:r>
              <w:rPr>
                <w:rFonts w:ascii="Arial" w:cs="Arial" w:eastAsia="Arial" w:hAnsi="Arial"/>
                <w:sz w:val="18"/>
                <w:szCs w:val="18"/>
                <w:i w:val="1"/>
                <w:iCs w:val="1"/>
                <w:color w:val="auto"/>
                <w:w w:val="92"/>
              </w:rPr>
              <w:t>(unaudited)</w:t>
            </w:r>
          </w:p>
        </w:tc>
        <w:tc>
          <w:tcPr>
            <w:tcW w:w="820" w:type="dxa"/>
            <w:vAlign w:val="bottom"/>
          </w:tcPr>
          <w:p>
            <w:pPr>
              <w:spacing w:after="0"/>
              <w:rPr>
                <w:sz w:val="22"/>
                <w:szCs w:val="22"/>
                <w:color w:val="auto"/>
              </w:rPr>
            </w:pPr>
          </w:p>
        </w:tc>
        <w:tc>
          <w:tcPr>
            <w:tcW w:w="1860" w:type="dxa"/>
            <w:vAlign w:val="bottom"/>
            <w:tcBorders>
              <w:left w:val="single" w:sz="8" w:color="70AD47"/>
            </w:tcBorders>
            <w:gridSpan w:val="2"/>
          </w:tcPr>
          <w:p>
            <w:pPr>
              <w:jc w:val="center"/>
              <w:ind w:left="730"/>
              <w:spacing w:after="0"/>
              <w:rPr>
                <w:sz w:val="20"/>
                <w:szCs w:val="20"/>
                <w:color w:val="auto"/>
              </w:rPr>
            </w:pPr>
            <w:r>
              <w:rPr>
                <w:rFonts w:ascii="Arial" w:cs="Arial" w:eastAsia="Arial" w:hAnsi="Arial"/>
                <w:sz w:val="18"/>
                <w:szCs w:val="18"/>
                <w:i w:val="1"/>
                <w:iCs w:val="1"/>
                <w:color w:val="auto"/>
                <w:w w:val="92"/>
              </w:rPr>
              <w:t>(unaudited)</w:t>
            </w:r>
          </w:p>
        </w:tc>
        <w:tc>
          <w:tcPr>
            <w:tcW w:w="820" w:type="dxa"/>
            <w:vAlign w:val="bottom"/>
          </w:tcPr>
          <w:p>
            <w:pPr>
              <w:spacing w:after="0"/>
              <w:rPr>
                <w:sz w:val="22"/>
                <w:szCs w:val="22"/>
                <w:color w:val="auto"/>
              </w:rPr>
            </w:pPr>
          </w:p>
        </w:tc>
        <w:tc>
          <w:tcPr>
            <w:tcW w:w="20" w:type="dxa"/>
            <w:vAlign w:val="bottom"/>
            <w:shd w:val="clear" w:color="auto" w:fill="70AD47"/>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920" w:type="dxa"/>
            <w:vAlign w:val="bottom"/>
            <w:tcBorders>
              <w:bottom w:val="single" w:sz="8" w:color="70AD47"/>
              <w:right w:val="single" w:sz="8" w:color="70AD47"/>
            </w:tcBorders>
          </w:tcPr>
          <w:p>
            <w:pPr>
              <w:spacing w:after="0"/>
              <w:rPr>
                <w:sz w:val="2"/>
                <w:szCs w:val="2"/>
                <w:color w:val="auto"/>
              </w:rPr>
            </w:pPr>
          </w:p>
        </w:tc>
        <w:tc>
          <w:tcPr>
            <w:tcW w:w="1340" w:type="dxa"/>
            <w:vAlign w:val="bottom"/>
            <w:tcBorders>
              <w:bottom w:val="single" w:sz="8" w:color="70AD47"/>
            </w:tcBorders>
          </w:tcPr>
          <w:p>
            <w:pPr>
              <w:spacing w:after="0"/>
              <w:rPr>
                <w:sz w:val="2"/>
                <w:szCs w:val="2"/>
                <w:color w:val="auto"/>
              </w:rPr>
            </w:pPr>
          </w:p>
        </w:tc>
        <w:tc>
          <w:tcPr>
            <w:tcW w:w="480" w:type="dxa"/>
            <w:vAlign w:val="bottom"/>
            <w:tcBorders>
              <w:bottom w:val="single" w:sz="8" w:color="70AD47"/>
            </w:tcBorders>
          </w:tcPr>
          <w:p>
            <w:pPr>
              <w:spacing w:after="0"/>
              <w:rPr>
                <w:sz w:val="2"/>
                <w:szCs w:val="2"/>
                <w:color w:val="auto"/>
              </w:rPr>
            </w:pPr>
          </w:p>
        </w:tc>
        <w:tc>
          <w:tcPr>
            <w:tcW w:w="820" w:type="dxa"/>
            <w:vAlign w:val="bottom"/>
            <w:tcBorders>
              <w:bottom w:val="single" w:sz="8" w:color="70AD47"/>
            </w:tcBorders>
          </w:tcPr>
          <w:p>
            <w:pPr>
              <w:spacing w:after="0"/>
              <w:rPr>
                <w:sz w:val="2"/>
                <w:szCs w:val="2"/>
                <w:color w:val="auto"/>
              </w:rPr>
            </w:pPr>
          </w:p>
        </w:tc>
        <w:tc>
          <w:tcPr>
            <w:tcW w:w="1360" w:type="dxa"/>
            <w:vAlign w:val="bottom"/>
            <w:tcBorders>
              <w:left w:val="single" w:sz="8" w:color="70AD47"/>
              <w:bottom w:val="single" w:sz="8" w:color="70AD47"/>
            </w:tcBorders>
          </w:tcPr>
          <w:p>
            <w:pPr>
              <w:spacing w:after="0"/>
              <w:rPr>
                <w:sz w:val="2"/>
                <w:szCs w:val="2"/>
                <w:color w:val="auto"/>
              </w:rPr>
            </w:pPr>
          </w:p>
        </w:tc>
        <w:tc>
          <w:tcPr>
            <w:tcW w:w="500" w:type="dxa"/>
            <w:vAlign w:val="bottom"/>
            <w:tcBorders>
              <w:bottom w:val="single" w:sz="8" w:color="70AD47"/>
            </w:tcBorders>
          </w:tcPr>
          <w:p>
            <w:pPr>
              <w:spacing w:after="0"/>
              <w:rPr>
                <w:sz w:val="2"/>
                <w:szCs w:val="2"/>
                <w:color w:val="auto"/>
              </w:rPr>
            </w:pPr>
          </w:p>
        </w:tc>
        <w:tc>
          <w:tcPr>
            <w:tcW w:w="820" w:type="dxa"/>
            <w:vAlign w:val="bottom"/>
            <w:tcBorders>
              <w:bottom w:val="single" w:sz="8" w:color="70AD47"/>
            </w:tcBorders>
          </w:tcPr>
          <w:p>
            <w:pPr>
              <w:spacing w:after="0"/>
              <w:rPr>
                <w:sz w:val="2"/>
                <w:szCs w:val="2"/>
                <w:color w:val="auto"/>
              </w:rPr>
            </w:pPr>
          </w:p>
        </w:tc>
        <w:tc>
          <w:tcPr>
            <w:tcW w:w="20" w:type="dxa"/>
            <w:vAlign w:val="bottom"/>
            <w:tcBorders>
              <w:bottom w:val="single" w:sz="8" w:color="70AD47"/>
            </w:tcBorders>
            <w:shd w:val="clear" w:color="auto" w:fill="70AD47"/>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592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Revenues</w:t>
            </w:r>
          </w:p>
        </w:tc>
        <w:tc>
          <w:tcPr>
            <w:tcW w:w="13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€32,673</w:t>
            </w: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€20,458</w:t>
            </w:r>
          </w:p>
        </w:tc>
        <w:tc>
          <w:tcPr>
            <w:tcW w:w="1360" w:type="dxa"/>
            <w:vAlign w:val="bottom"/>
            <w:tcBorders>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€54,094</w:t>
            </w: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€42,496</w:t>
            </w:r>
          </w:p>
        </w:tc>
        <w:tc>
          <w:tcPr>
            <w:tcW w:w="20" w:type="dxa"/>
            <w:vAlign w:val="bottom"/>
            <w:tcBorders>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920" w:type="dxa"/>
            <w:vAlign w:val="bottom"/>
            <w:tcBorders>
              <w:top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Gross profit</w:t>
            </w:r>
          </w:p>
        </w:tc>
        <w:tc>
          <w:tcPr>
            <w:tcW w:w="134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€32,673</w:t>
            </w:r>
          </w:p>
        </w:tc>
        <w:tc>
          <w:tcPr>
            <w:tcW w:w="480" w:type="dxa"/>
            <w:vAlign w:val="bottom"/>
            <w:tcBorders>
              <w:top w:val="single" w:sz="8" w:color="70AD47"/>
            </w:tcBorders>
          </w:tcPr>
          <w:p>
            <w:pPr>
              <w:spacing w:after="0"/>
              <w:rPr>
                <w:sz w:val="24"/>
                <w:szCs w:val="24"/>
                <w:color w:val="auto"/>
              </w:rPr>
            </w:pPr>
          </w:p>
        </w:tc>
        <w:tc>
          <w:tcPr>
            <w:tcW w:w="820" w:type="dxa"/>
            <w:vAlign w:val="bottom"/>
            <w:tcBorders>
              <w:top w:val="single" w:sz="8" w:color="70AD47"/>
            </w:tcBorders>
          </w:tcPr>
          <w:p>
            <w:pPr>
              <w:jc w:val="right"/>
              <w:spacing w:after="0"/>
              <w:rPr>
                <w:sz w:val="20"/>
                <w:szCs w:val="20"/>
                <w:color w:val="auto"/>
              </w:rPr>
            </w:pPr>
            <w:r>
              <w:rPr>
                <w:rFonts w:ascii="Arial" w:cs="Arial" w:eastAsia="Arial" w:hAnsi="Arial"/>
                <w:sz w:val="18"/>
                <w:szCs w:val="18"/>
                <w:b w:val="1"/>
                <w:bCs w:val="1"/>
                <w:color w:val="auto"/>
              </w:rPr>
              <w:t>€20,458</w:t>
            </w:r>
          </w:p>
        </w:tc>
        <w:tc>
          <w:tcPr>
            <w:tcW w:w="1360" w:type="dxa"/>
            <w:vAlign w:val="bottom"/>
            <w:tcBorders>
              <w:top w:val="single" w:sz="8" w:color="70AD47"/>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€54,094</w:t>
            </w:r>
          </w:p>
        </w:tc>
        <w:tc>
          <w:tcPr>
            <w:tcW w:w="500" w:type="dxa"/>
            <w:vAlign w:val="bottom"/>
            <w:tcBorders>
              <w:top w:val="single" w:sz="8" w:color="70AD47"/>
            </w:tcBorders>
          </w:tcPr>
          <w:p>
            <w:pPr>
              <w:spacing w:after="0"/>
              <w:rPr>
                <w:sz w:val="24"/>
                <w:szCs w:val="24"/>
                <w:color w:val="auto"/>
              </w:rPr>
            </w:pPr>
          </w:p>
        </w:tc>
        <w:tc>
          <w:tcPr>
            <w:tcW w:w="820" w:type="dxa"/>
            <w:vAlign w:val="bottom"/>
            <w:tcBorders>
              <w:top w:val="single" w:sz="8" w:color="70AD47"/>
            </w:tcBorders>
          </w:tcPr>
          <w:p>
            <w:pPr>
              <w:jc w:val="right"/>
              <w:spacing w:after="0"/>
              <w:rPr>
                <w:sz w:val="20"/>
                <w:szCs w:val="20"/>
                <w:color w:val="auto"/>
              </w:rPr>
            </w:pPr>
            <w:r>
              <w:rPr>
                <w:rFonts w:ascii="Arial" w:cs="Arial" w:eastAsia="Arial" w:hAnsi="Arial"/>
                <w:sz w:val="18"/>
                <w:szCs w:val="18"/>
                <w:b w:val="1"/>
                <w:bCs w:val="1"/>
                <w:color w:val="auto"/>
              </w:rPr>
              <w:t>€42,496</w:t>
            </w:r>
          </w:p>
        </w:tc>
        <w:tc>
          <w:tcPr>
            <w:tcW w:w="20" w:type="dxa"/>
            <w:vAlign w:val="bottom"/>
            <w:tcBorders>
              <w:top w:val="single" w:sz="8" w:color="70AD47"/>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5920" w:type="dxa"/>
            <w:vAlign w:val="bottom"/>
            <w:tcBorders>
              <w:top w:val="single" w:sz="8" w:color="70AD47"/>
              <w:right w:val="single" w:sz="8" w:color="70AD47"/>
            </w:tcBorders>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(95,925)</w:t>
            </w:r>
          </w:p>
        </w:tc>
        <w:tc>
          <w:tcPr>
            <w:tcW w:w="480" w:type="dxa"/>
            <w:vAlign w:val="bottom"/>
            <w:tcBorders>
              <w:top w:val="single" w:sz="8" w:color="70AD47"/>
            </w:tcBorders>
          </w:tcPr>
          <w:p>
            <w:pPr>
              <w:spacing w:after="0"/>
              <w:rPr>
                <w:sz w:val="24"/>
                <w:szCs w:val="24"/>
                <w:color w:val="auto"/>
              </w:rPr>
            </w:pPr>
          </w:p>
        </w:tc>
        <w:tc>
          <w:tcPr>
            <w:tcW w:w="820" w:type="dxa"/>
            <w:vAlign w:val="bottom"/>
            <w:tcBorders>
              <w:top w:val="single" w:sz="8" w:color="70AD47"/>
            </w:tcBorders>
          </w:tcPr>
          <w:p>
            <w:pPr>
              <w:jc w:val="right"/>
              <w:spacing w:after="0"/>
              <w:rPr>
                <w:sz w:val="20"/>
                <w:szCs w:val="20"/>
                <w:color w:val="auto"/>
              </w:rPr>
            </w:pPr>
            <w:r>
              <w:rPr>
                <w:rFonts w:ascii="Arial" w:cs="Arial" w:eastAsia="Arial" w:hAnsi="Arial"/>
                <w:sz w:val="18"/>
                <w:szCs w:val="18"/>
                <w:color w:val="auto"/>
              </w:rPr>
              <w:t>(53,212)</w:t>
            </w:r>
          </w:p>
        </w:tc>
        <w:tc>
          <w:tcPr>
            <w:tcW w:w="1360" w:type="dxa"/>
            <w:vAlign w:val="bottom"/>
            <w:tcBorders>
              <w:top w:val="single" w:sz="8" w:color="70AD47"/>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(161,073)</w:t>
            </w:r>
          </w:p>
        </w:tc>
        <w:tc>
          <w:tcPr>
            <w:tcW w:w="500" w:type="dxa"/>
            <w:vAlign w:val="bottom"/>
            <w:tcBorders>
              <w:top w:val="single" w:sz="8" w:color="70AD47"/>
            </w:tcBorders>
          </w:tcPr>
          <w:p>
            <w:pPr>
              <w:spacing w:after="0"/>
              <w:rPr>
                <w:sz w:val="24"/>
                <w:szCs w:val="24"/>
                <w:color w:val="auto"/>
              </w:rPr>
            </w:pPr>
          </w:p>
        </w:tc>
        <w:tc>
          <w:tcPr>
            <w:tcW w:w="820" w:type="dxa"/>
            <w:vAlign w:val="bottom"/>
            <w:tcBorders>
              <w:top w:val="single" w:sz="8" w:color="70AD47"/>
            </w:tcBorders>
          </w:tcPr>
          <w:p>
            <w:pPr>
              <w:jc w:val="right"/>
              <w:spacing w:after="0"/>
              <w:rPr>
                <w:sz w:val="20"/>
                <w:szCs w:val="20"/>
                <w:color w:val="auto"/>
              </w:rPr>
            </w:pPr>
            <w:r>
              <w:rPr>
                <w:rFonts w:ascii="Arial" w:cs="Arial" w:eastAsia="Arial" w:hAnsi="Arial"/>
                <w:sz w:val="18"/>
                <w:szCs w:val="18"/>
                <w:color w:val="auto"/>
              </w:rPr>
              <w:t>(110,472)</w:t>
            </w:r>
          </w:p>
        </w:tc>
        <w:tc>
          <w:tcPr>
            <w:tcW w:w="20" w:type="dxa"/>
            <w:vAlign w:val="bottom"/>
            <w:tcBorders>
              <w:top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92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Sales and marketing expenses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(2,459)</w:t>
            </w: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(283)</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(2,623)</w:t>
            </w: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(569)</w:t>
            </w: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92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General and administrative expenses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(17,979)</w:t>
            </w: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(13,977)</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(33,155)</w:t>
            </w: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(22,554)</w:t>
            </w: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92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Other result</w:t>
            </w:r>
          </w:p>
        </w:tc>
        <w:tc>
          <w:tcPr>
            <w:tcW w:w="13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w:t>
            </w:r>
          </w:p>
        </w:tc>
        <w:tc>
          <w:tcPr>
            <w:tcW w:w="1360" w:type="dxa"/>
            <w:vAlign w:val="bottom"/>
            <w:tcBorders>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325</w:t>
            </w: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588</w:t>
            </w:r>
          </w:p>
        </w:tc>
        <w:tc>
          <w:tcPr>
            <w:tcW w:w="20" w:type="dxa"/>
            <w:vAlign w:val="bottom"/>
            <w:tcBorders>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920" w:type="dxa"/>
            <w:vAlign w:val="bottom"/>
            <w:tcBorders>
              <w:top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Operating loss</w:t>
            </w:r>
          </w:p>
        </w:tc>
        <w:tc>
          <w:tcPr>
            <w:tcW w:w="134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€(83,665)</w:t>
            </w:r>
          </w:p>
        </w:tc>
        <w:tc>
          <w:tcPr>
            <w:tcW w:w="480" w:type="dxa"/>
            <w:vAlign w:val="bottom"/>
            <w:tcBorders>
              <w:top w:val="single" w:sz="8" w:color="70AD47"/>
            </w:tcBorders>
          </w:tcPr>
          <w:p>
            <w:pPr>
              <w:spacing w:after="0"/>
              <w:rPr>
                <w:sz w:val="22"/>
                <w:szCs w:val="22"/>
                <w:color w:val="auto"/>
              </w:rPr>
            </w:pPr>
          </w:p>
        </w:tc>
        <w:tc>
          <w:tcPr>
            <w:tcW w:w="820" w:type="dxa"/>
            <w:vAlign w:val="bottom"/>
            <w:tcBorders>
              <w:top w:val="single" w:sz="8" w:color="70AD47"/>
            </w:tcBorders>
          </w:tcPr>
          <w:p>
            <w:pPr>
              <w:jc w:val="right"/>
              <w:spacing w:after="0"/>
              <w:rPr>
                <w:sz w:val="20"/>
                <w:szCs w:val="20"/>
                <w:color w:val="auto"/>
              </w:rPr>
            </w:pPr>
            <w:r>
              <w:rPr>
                <w:rFonts w:ascii="Arial" w:cs="Arial" w:eastAsia="Arial" w:hAnsi="Arial"/>
                <w:sz w:val="18"/>
                <w:szCs w:val="18"/>
                <w:b w:val="1"/>
                <w:bCs w:val="1"/>
                <w:color w:val="auto"/>
              </w:rPr>
              <w:t>€(46,733)</w:t>
            </w:r>
          </w:p>
        </w:tc>
        <w:tc>
          <w:tcPr>
            <w:tcW w:w="1360" w:type="dxa"/>
            <w:vAlign w:val="bottom"/>
            <w:tcBorders>
              <w:top w:val="single" w:sz="8" w:color="70AD47"/>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€(142,432)</w:t>
            </w:r>
          </w:p>
        </w:tc>
        <w:tc>
          <w:tcPr>
            <w:tcW w:w="500" w:type="dxa"/>
            <w:vAlign w:val="bottom"/>
            <w:tcBorders>
              <w:top w:val="single" w:sz="8" w:color="70AD47"/>
            </w:tcBorders>
          </w:tcPr>
          <w:p>
            <w:pPr>
              <w:spacing w:after="0"/>
              <w:rPr>
                <w:sz w:val="22"/>
                <w:szCs w:val="22"/>
                <w:color w:val="auto"/>
              </w:rPr>
            </w:pPr>
          </w:p>
        </w:tc>
        <w:tc>
          <w:tcPr>
            <w:tcW w:w="820" w:type="dxa"/>
            <w:vAlign w:val="bottom"/>
            <w:tcBorders>
              <w:top w:val="single" w:sz="8" w:color="70AD47"/>
            </w:tcBorders>
          </w:tcPr>
          <w:p>
            <w:pPr>
              <w:jc w:val="right"/>
              <w:spacing w:after="0"/>
              <w:rPr>
                <w:sz w:val="20"/>
                <w:szCs w:val="20"/>
                <w:color w:val="auto"/>
              </w:rPr>
            </w:pPr>
            <w:r>
              <w:rPr>
                <w:rFonts w:ascii="Arial" w:cs="Arial" w:eastAsia="Arial" w:hAnsi="Arial"/>
                <w:sz w:val="18"/>
                <w:szCs w:val="18"/>
                <w:b w:val="1"/>
                <w:bCs w:val="1"/>
                <w:color w:val="auto"/>
              </w:rPr>
              <w:t>€(90,511)</w:t>
            </w:r>
          </w:p>
        </w:tc>
        <w:tc>
          <w:tcPr>
            <w:tcW w:w="20" w:type="dxa"/>
            <w:vAlign w:val="bottom"/>
            <w:tcBorders>
              <w:top w:val="single" w:sz="8" w:color="70AD47"/>
              <w:bottom w:val="single" w:sz="8" w:color="70AD47"/>
            </w:tcBorders>
            <w:shd w:val="clear" w:color="auto" w:fill="70AD4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20" w:type="dxa"/>
            <w:vAlign w:val="bottom"/>
            <w:tcBorders>
              <w:right w:val="single" w:sz="8" w:color="70AD47"/>
            </w:tcBorders>
            <w:shd w:val="clear" w:color="auto" w:fill="70AD47"/>
          </w:tcPr>
          <w:p>
            <w:pPr>
              <w:spacing w:after="0" w:line="20" w:lineRule="exact"/>
              <w:rPr>
                <w:sz w:val="1"/>
                <w:szCs w:val="1"/>
                <w:color w:val="auto"/>
              </w:rPr>
            </w:pPr>
          </w:p>
        </w:tc>
        <w:tc>
          <w:tcPr>
            <w:tcW w:w="1340" w:type="dxa"/>
            <w:vAlign w:val="bottom"/>
            <w:tcBorders>
              <w:right w:val="single" w:sz="8" w:color="70AD47"/>
            </w:tcBorders>
            <w:shd w:val="clear" w:color="auto" w:fill="70AD47"/>
          </w:tcPr>
          <w:p>
            <w:pPr>
              <w:spacing w:after="0" w:line="20" w:lineRule="exact"/>
              <w:rPr>
                <w:sz w:val="1"/>
                <w:szCs w:val="1"/>
                <w:color w:val="auto"/>
              </w:rPr>
            </w:pPr>
          </w:p>
        </w:tc>
        <w:tc>
          <w:tcPr>
            <w:tcW w:w="480" w:type="dxa"/>
            <w:vAlign w:val="bottom"/>
            <w:shd w:val="clear" w:color="auto" w:fill="70AD47"/>
          </w:tcPr>
          <w:p>
            <w:pPr>
              <w:spacing w:after="0" w:line="20" w:lineRule="exact"/>
              <w:rPr>
                <w:sz w:val="1"/>
                <w:szCs w:val="1"/>
                <w:color w:val="auto"/>
              </w:rPr>
            </w:pPr>
          </w:p>
        </w:tc>
        <w:tc>
          <w:tcPr>
            <w:tcW w:w="820" w:type="dxa"/>
            <w:vAlign w:val="bottom"/>
            <w:shd w:val="clear" w:color="auto" w:fill="70AD47"/>
          </w:tcPr>
          <w:p>
            <w:pPr>
              <w:spacing w:after="0" w:line="20" w:lineRule="exact"/>
              <w:rPr>
                <w:sz w:val="1"/>
                <w:szCs w:val="1"/>
                <w:color w:val="auto"/>
              </w:rPr>
            </w:pPr>
          </w:p>
        </w:tc>
        <w:tc>
          <w:tcPr>
            <w:tcW w:w="1360" w:type="dxa"/>
            <w:vAlign w:val="bottom"/>
            <w:tcBorders>
              <w:left w:val="single" w:sz="8" w:color="70AD47"/>
              <w:right w:val="single" w:sz="8" w:color="70AD47"/>
            </w:tcBorders>
            <w:shd w:val="clear" w:color="auto" w:fill="70AD47"/>
          </w:tcPr>
          <w:p>
            <w:pPr>
              <w:spacing w:after="0" w:line="20" w:lineRule="exact"/>
              <w:rPr>
                <w:sz w:val="1"/>
                <w:szCs w:val="1"/>
                <w:color w:val="auto"/>
              </w:rPr>
            </w:pPr>
          </w:p>
        </w:tc>
        <w:tc>
          <w:tcPr>
            <w:tcW w:w="500" w:type="dxa"/>
            <w:vAlign w:val="bottom"/>
            <w:shd w:val="clear" w:color="auto" w:fill="70AD47"/>
          </w:tcPr>
          <w:p>
            <w:pPr>
              <w:spacing w:after="0" w:line="20" w:lineRule="exact"/>
              <w:rPr>
                <w:sz w:val="1"/>
                <w:szCs w:val="1"/>
                <w:color w:val="auto"/>
              </w:rPr>
            </w:pPr>
          </w:p>
        </w:tc>
        <w:tc>
          <w:tcPr>
            <w:tcW w:w="820" w:type="dxa"/>
            <w:vAlign w:val="bottom"/>
            <w:shd w:val="clear" w:color="auto" w:fill="70AD47"/>
          </w:tcPr>
          <w:p>
            <w:pPr>
              <w:spacing w:after="0" w:line="20" w:lineRule="exact"/>
              <w:rPr>
                <w:sz w:val="1"/>
                <w:szCs w:val="1"/>
                <w:color w:val="auto"/>
              </w:rPr>
            </w:pPr>
          </w:p>
        </w:tc>
        <w:tc>
          <w:tcPr>
            <w:tcW w:w="20" w:type="dxa"/>
            <w:vAlign w:val="bottom"/>
            <w:shd w:val="clear" w:color="auto" w:fill="70AD4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Comparison of the three and six months ended June 30, 2020 and 2019</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revenue of our biotech business unit by segment for each period presented:</w:t>
      </w:r>
    </w:p>
    <w:p>
      <w:pPr>
        <w:sectPr>
          <w:pgSz w:w="11900" w:h="16838" w:orient="portrait"/>
          <w:cols w:equalWidth="0" w:num="1">
            <w:col w:w="11260"/>
          </w:cols>
          <w:pgMar w:left="320" w:top="75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Clinical</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Technology Platform</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Manufacturing</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Business Service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unit revenues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rPr>
        <w:t>Three months ended</w:t>
      </w:r>
    </w:p>
    <w:p>
      <w:pPr>
        <w:spacing w:after="0" w:line="50"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5715</wp:posOffset>
            </wp:positionV>
            <wp:extent cx="5426075" cy="11912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26075" cy="1191260"/>
                    </a:xfrm>
                    <a:prstGeom prst="rect">
                      <a:avLst/>
                    </a:prstGeom>
                    <a:noFill/>
                  </pic:spPr>
                </pic:pic>
              </a:graphicData>
            </a:graphic>
          </wp:anchor>
        </w:drawing>
      </w:r>
    </w:p>
    <w:p>
      <w:pPr>
        <w:ind w:left="440"/>
        <w:spacing w:after="0"/>
        <w:tabs>
          <w:tab w:leader="none" w:pos="176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(unaudited)</w:t>
      </w:r>
    </w:p>
    <w:p>
      <w:pPr>
        <w:spacing w:after="0" w:line="265"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color w:val="auto"/>
        </w:rPr>
        <w:t>€12,154</w:t>
      </w:r>
      <w:r>
        <w:rPr>
          <w:sz w:val="20"/>
          <w:szCs w:val="20"/>
          <w:color w:val="auto"/>
        </w:rPr>
        <w:tab/>
      </w:r>
      <w:r>
        <w:rPr>
          <w:rFonts w:ascii="Arial" w:cs="Arial" w:eastAsia="Arial" w:hAnsi="Arial"/>
          <w:sz w:val="16"/>
          <w:szCs w:val="16"/>
          <w:color w:val="auto"/>
        </w:rPr>
        <w:t>€9,141</w:t>
      </w:r>
    </w:p>
    <w:p>
      <w:pPr>
        <w:spacing w:after="0" w:line="23" w:lineRule="exact"/>
        <w:rPr>
          <w:sz w:val="20"/>
          <w:szCs w:val="20"/>
          <w:color w:val="auto"/>
        </w:rPr>
      </w:pPr>
    </w:p>
    <w:p>
      <w:pPr>
        <w:jc w:val="both"/>
        <w:ind w:left="380"/>
        <w:spacing w:after="0"/>
        <w:tabs>
          <w:tab w:leader="none" w:pos="1860" w:val="left"/>
        </w:tabs>
        <w:rPr>
          <w:sz w:val="20"/>
          <w:szCs w:val="20"/>
          <w:color w:val="auto"/>
        </w:rPr>
      </w:pPr>
      <w:r>
        <w:rPr>
          <w:rFonts w:ascii="Arial" w:cs="Arial" w:eastAsia="Arial" w:hAnsi="Arial"/>
          <w:sz w:val="18"/>
          <w:szCs w:val="18"/>
          <w:color w:val="auto"/>
        </w:rPr>
        <w:t>5,567</w:t>
      </w:r>
      <w:r>
        <w:rPr>
          <w:sz w:val="20"/>
          <w:szCs w:val="20"/>
          <w:color w:val="auto"/>
        </w:rPr>
        <w:tab/>
      </w:r>
      <w:r>
        <w:rPr>
          <w:rFonts w:ascii="Arial" w:cs="Arial" w:eastAsia="Arial" w:hAnsi="Arial"/>
          <w:sz w:val="18"/>
          <w:szCs w:val="18"/>
          <w:color w:val="auto"/>
        </w:rPr>
        <w:t>323</w:t>
      </w:r>
    </w:p>
    <w:p>
      <w:pPr>
        <w:spacing w:after="0" w:line="23" w:lineRule="exact"/>
        <w:rPr>
          <w:sz w:val="20"/>
          <w:szCs w:val="20"/>
          <w:color w:val="auto"/>
        </w:rPr>
      </w:pPr>
    </w:p>
    <w:p>
      <w:pPr>
        <w:jc w:val="both"/>
        <w:ind w:left="300"/>
        <w:spacing w:after="0"/>
        <w:tabs>
          <w:tab w:leader="none" w:pos="1620" w:val="left"/>
        </w:tabs>
        <w:rPr>
          <w:sz w:val="20"/>
          <w:szCs w:val="20"/>
          <w:color w:val="auto"/>
        </w:rPr>
      </w:pPr>
      <w:r>
        <w:rPr>
          <w:rFonts w:ascii="Arial" w:cs="Arial" w:eastAsia="Arial" w:hAnsi="Arial"/>
          <w:sz w:val="18"/>
          <w:szCs w:val="18"/>
          <w:color w:val="auto"/>
        </w:rPr>
        <w:t>14,952</w:t>
      </w:r>
      <w:r>
        <w:rPr>
          <w:sz w:val="20"/>
          <w:szCs w:val="20"/>
          <w:color w:val="auto"/>
        </w:rPr>
        <w:tab/>
      </w:r>
      <w:r>
        <w:rPr>
          <w:rFonts w:ascii="Arial" w:cs="Arial" w:eastAsia="Arial" w:hAnsi="Arial"/>
          <w:sz w:val="18"/>
          <w:szCs w:val="18"/>
          <w:color w:val="auto"/>
        </w:rPr>
        <w:t>10,986</w:t>
      </w:r>
    </w:p>
    <w:p>
      <w:pPr>
        <w:spacing w:after="0" w:line="23" w:lineRule="exact"/>
        <w:rPr>
          <w:sz w:val="20"/>
          <w:szCs w:val="20"/>
          <w:color w:val="auto"/>
        </w:rPr>
      </w:pPr>
    </w:p>
    <w:p>
      <w:pPr>
        <w:ind w:left="2060" w:hanging="1330"/>
        <w:spacing w:after="0"/>
        <w:tabs>
          <w:tab w:leader="none" w:pos="20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8</w:t>
      </w:r>
    </w:p>
    <w:p>
      <w:pPr>
        <w:spacing w:after="0" w:line="88" w:lineRule="exact"/>
        <w:rPr>
          <w:rFonts w:ascii="Arial" w:cs="Arial" w:eastAsia="Arial" w:hAnsi="Arial"/>
          <w:sz w:val="13"/>
          <w:szCs w:val="13"/>
          <w:color w:val="auto"/>
        </w:rPr>
      </w:pPr>
    </w:p>
    <w:p>
      <w:pPr>
        <w:ind w:left="200"/>
        <w:spacing w:after="0"/>
        <w:rPr>
          <w:rFonts w:ascii="Arial" w:cs="Arial" w:eastAsia="Arial" w:hAnsi="Arial"/>
          <w:sz w:val="13"/>
          <w:szCs w:val="13"/>
          <w:color w:val="auto"/>
        </w:rPr>
      </w:pPr>
      <w:r>
        <w:rPr>
          <w:rFonts w:ascii="Arial" w:cs="Arial" w:eastAsia="Arial" w:hAnsi="Arial"/>
          <w:sz w:val="18"/>
          <w:szCs w:val="18"/>
          <w:b w:val="1"/>
          <w:bCs w:val="1"/>
          <w:color w:val="auto"/>
        </w:rPr>
        <w:t>€32,673</w:t>
      </w:r>
      <w:r>
        <w:rPr>
          <w:rFonts w:ascii="Arial" w:cs="Arial" w:eastAsia="Arial" w:hAnsi="Arial"/>
          <w:sz w:val="16"/>
          <w:szCs w:val="16"/>
          <w:b w:val="1"/>
          <w:bCs w:val="1"/>
          <w:color w:val="auto"/>
        </w:rPr>
        <w:t>€20,458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360045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880" w:type="dxa"/>
            <w:vAlign w:val="bottom"/>
          </w:tcPr>
          <w:p>
            <w:pPr>
              <w:spacing w:after="0"/>
              <w:rPr>
                <w:sz w:val="20"/>
                <w:szCs w:val="20"/>
                <w:color w:val="auto"/>
              </w:rPr>
            </w:pPr>
          </w:p>
        </w:tc>
      </w:tr>
      <w:tr>
        <w:trPr>
          <w:trHeight w:val="234"/>
        </w:trPr>
        <w:tc>
          <w:tcPr>
            <w:tcW w:w="1700" w:type="dxa"/>
            <w:vAlign w:val="bottom"/>
          </w:tcPr>
          <w:p>
            <w:pPr>
              <w:jc w:val="right"/>
              <w:ind w:right="9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right w:val="single" w:sz="8" w:color="70AD47"/>
            </w:tcBorders>
          </w:tcPr>
          <w:p>
            <w:pPr>
              <w:jc w:val="right"/>
              <w:ind w:right="491"/>
              <w:spacing w:after="0"/>
              <w:rPr>
                <w:sz w:val="20"/>
                <w:szCs w:val="20"/>
                <w:color w:val="auto"/>
              </w:rPr>
            </w:pPr>
            <w:r>
              <w:rPr>
                <w:rFonts w:ascii="Arial" w:cs="Arial" w:eastAsia="Arial" w:hAnsi="Arial"/>
                <w:sz w:val="18"/>
                <w:szCs w:val="18"/>
                <w:b w:val="1"/>
                <w:bCs w:val="1"/>
                <w:color w:val="auto"/>
              </w:rPr>
              <w:t>%</w:t>
            </w:r>
          </w:p>
        </w:tc>
      </w:tr>
      <w:tr>
        <w:trPr>
          <w:trHeight w:val="225"/>
        </w:trPr>
        <w:tc>
          <w:tcPr>
            <w:tcW w:w="1700" w:type="dxa"/>
            <w:vAlign w:val="bottom"/>
            <w:tcBorders>
              <w:bottom w:val="single" w:sz="8" w:color="70AD47"/>
            </w:tcBorders>
          </w:tcPr>
          <w:p>
            <w:pPr>
              <w:spacing w:after="0"/>
              <w:rPr>
                <w:sz w:val="19"/>
                <w:szCs w:val="19"/>
                <w:color w:val="auto"/>
              </w:rPr>
            </w:pPr>
          </w:p>
        </w:tc>
        <w:tc>
          <w:tcPr>
            <w:tcW w:w="880" w:type="dxa"/>
            <w:vAlign w:val="bottom"/>
            <w:tcBorders>
              <w:bottom w:val="single" w:sz="8" w:color="70AD47"/>
              <w:right w:val="single" w:sz="8" w:color="70AD47"/>
            </w:tcBorders>
          </w:tcPr>
          <w:p>
            <w:pPr>
              <w:spacing w:after="0"/>
              <w:rPr>
                <w:sz w:val="19"/>
                <w:szCs w:val="19"/>
                <w:color w:val="auto"/>
              </w:rPr>
            </w:pPr>
          </w:p>
        </w:tc>
      </w:tr>
      <w:tr>
        <w:trPr>
          <w:trHeight w:val="452"/>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€3,013</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5,244</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1,624</w:t>
            </w:r>
          </w:p>
        </w:tc>
      </w:tr>
      <w:tr>
        <w:trPr>
          <w:trHeight w:val="230"/>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3,966</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700" w:type="dxa"/>
            <w:vAlign w:val="bottom"/>
            <w:tcBorders>
              <w:bottom w:val="single" w:sz="8" w:color="70AD47"/>
            </w:tcBorders>
          </w:tcPr>
          <w:p>
            <w:pPr>
              <w:jc w:val="right"/>
              <w:ind w:right="350"/>
              <w:spacing w:after="0"/>
              <w:rPr>
                <w:sz w:val="20"/>
                <w:szCs w:val="20"/>
                <w:color w:val="auto"/>
              </w:rPr>
            </w:pPr>
            <w:r>
              <w:rPr>
                <w:rFonts w:ascii="Arial" w:cs="Arial" w:eastAsia="Arial" w:hAnsi="Arial"/>
                <w:sz w:val="18"/>
                <w:szCs w:val="18"/>
                <w:color w:val="auto"/>
              </w:rPr>
              <w:t>(8)</w:t>
            </w:r>
          </w:p>
        </w:tc>
        <w:tc>
          <w:tcPr>
            <w:tcW w:w="88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1700" w:type="dxa"/>
            <w:vAlign w:val="bottom"/>
            <w:tcBorders>
              <w:bottom w:val="single" w:sz="8" w:color="70AD47"/>
            </w:tcBorders>
          </w:tcPr>
          <w:p>
            <w:pPr>
              <w:jc w:val="right"/>
              <w:ind w:right="350"/>
              <w:spacing w:after="0"/>
              <w:rPr>
                <w:sz w:val="20"/>
                <w:szCs w:val="20"/>
                <w:color w:val="auto"/>
              </w:rPr>
            </w:pPr>
            <w:r>
              <w:rPr>
                <w:rFonts w:ascii="Arial" w:cs="Arial" w:eastAsia="Arial" w:hAnsi="Arial"/>
                <w:sz w:val="18"/>
                <w:szCs w:val="18"/>
                <w:b w:val="1"/>
                <w:bCs w:val="1"/>
                <w:color w:val="auto"/>
              </w:rPr>
              <w:t>€12,215</w:t>
            </w:r>
          </w:p>
        </w:tc>
        <w:tc>
          <w:tcPr>
            <w:tcW w:w="88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8"/>
                <w:szCs w:val="18"/>
                <w:b w:val="1"/>
                <w:bCs w:val="1"/>
                <w:color w:val="auto"/>
              </w:rPr>
              <w:t>60</w:t>
            </w:r>
          </w:p>
        </w:tc>
      </w:tr>
      <w:tr>
        <w:trPr>
          <w:trHeight w:val="406"/>
        </w:trPr>
        <w:tc>
          <w:tcPr>
            <w:tcW w:w="17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r>
    </w:tbl>
    <w:p>
      <w:pPr>
        <w:sectPr>
          <w:pgSz w:w="11900" w:h="16838" w:orient="portrait"/>
          <w:cols w:equalWidth="0" w:num="3">
            <w:col w:w="5680" w:space="720"/>
            <w:col w:w="2140" w:space="140"/>
            <w:col w:w="2580"/>
          </w:cols>
          <w:pgMar w:left="320" w:top="757" w:right="319" w:bottom="1440" w:gutter="0" w:footer="0" w:header="0"/>
          <w:type w:val="continuous"/>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805815" cy="1117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805815" cy="1117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Clinical</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Technology Platform</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Manufacturing</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Business Service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unit revenues</w:t>
      </w:r>
    </w:p>
    <w:p>
      <w:pPr>
        <w:spacing w:after="0" w:line="20" w:lineRule="exact"/>
        <w:rPr>
          <w:sz w:val="20"/>
          <w:szCs w:val="20"/>
          <w:color w:val="auto"/>
        </w:rPr>
      </w:pPr>
      <w:r>
        <w:rPr>
          <w:sz w:val="20"/>
          <w:szCs w:val="20"/>
          <w:color w:val="auto"/>
        </w:rPr>
        <w:br w:type="column"/>
      </w:r>
    </w:p>
    <w:p>
      <w:pPr>
        <w:jc w:val="center"/>
        <w:ind w:right="660"/>
        <w:spacing w:after="0"/>
        <w:rPr>
          <w:sz w:val="20"/>
          <w:szCs w:val="20"/>
          <w:color w:val="auto"/>
        </w:rPr>
      </w:pPr>
      <w:r>
        <w:rPr>
          <w:rFonts w:ascii="Arial" w:cs="Arial" w:eastAsia="Arial" w:hAnsi="Arial"/>
          <w:sz w:val="15"/>
          <w:szCs w:val="15"/>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-397510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2"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5715</wp:posOffset>
            </wp:positionV>
            <wp:extent cx="5426075" cy="11918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26075" cy="1191895"/>
                    </a:xfrm>
                    <a:prstGeom prst="rect">
                      <a:avLst/>
                    </a:prstGeom>
                    <a:noFill/>
                  </pic:spPr>
                </pic:pic>
              </a:graphicData>
            </a:graphic>
          </wp:anchor>
        </w:drawing>
      </w:r>
    </w:p>
    <w:p>
      <w:pPr>
        <w:ind w:left="320"/>
        <w:spacing w:after="0"/>
        <w:tabs>
          <w:tab w:leader="none" w:pos="164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(unaudited)</w:t>
      </w:r>
    </w:p>
    <w:p>
      <w:pPr>
        <w:spacing w:after="0" w:line="265" w:lineRule="exact"/>
        <w:rPr>
          <w:sz w:val="20"/>
          <w:szCs w:val="20"/>
          <w:color w:val="auto"/>
        </w:rPr>
      </w:pPr>
    </w:p>
    <w:p>
      <w:pPr>
        <w:ind w:left="80"/>
        <w:spacing w:after="0"/>
        <w:tabs>
          <w:tab w:leader="none" w:pos="1420" w:val="left"/>
        </w:tabs>
        <w:rPr>
          <w:sz w:val="20"/>
          <w:szCs w:val="20"/>
          <w:color w:val="auto"/>
        </w:rPr>
      </w:pPr>
      <w:r>
        <w:rPr>
          <w:rFonts w:ascii="Arial" w:cs="Arial" w:eastAsia="Arial" w:hAnsi="Arial"/>
          <w:sz w:val="18"/>
          <w:szCs w:val="18"/>
          <w:color w:val="auto"/>
        </w:rPr>
        <w:t>€19,066</w:t>
      </w:r>
      <w:r>
        <w:rPr>
          <w:sz w:val="20"/>
          <w:szCs w:val="20"/>
          <w:color w:val="auto"/>
        </w:rPr>
        <w:tab/>
      </w:r>
      <w:r>
        <w:rPr>
          <w:rFonts w:ascii="Arial" w:cs="Arial" w:eastAsia="Arial" w:hAnsi="Arial"/>
          <w:sz w:val="16"/>
          <w:szCs w:val="16"/>
          <w:color w:val="auto"/>
        </w:rPr>
        <w:t>€18,431</w:t>
      </w:r>
    </w:p>
    <w:p>
      <w:pPr>
        <w:spacing w:after="0" w:line="23" w:lineRule="exact"/>
        <w:rPr>
          <w:sz w:val="20"/>
          <w:szCs w:val="20"/>
          <w:color w:val="auto"/>
        </w:rPr>
      </w:pPr>
    </w:p>
    <w:p>
      <w:pPr>
        <w:jc w:val="both"/>
        <w:ind w:left="260"/>
        <w:spacing w:after="0"/>
        <w:tabs>
          <w:tab w:leader="none" w:pos="1740" w:val="left"/>
        </w:tabs>
        <w:rPr>
          <w:sz w:val="20"/>
          <w:szCs w:val="20"/>
          <w:color w:val="auto"/>
        </w:rPr>
      </w:pPr>
      <w:r>
        <w:rPr>
          <w:rFonts w:ascii="Arial" w:cs="Arial" w:eastAsia="Arial" w:hAnsi="Arial"/>
          <w:sz w:val="18"/>
          <w:szCs w:val="18"/>
          <w:color w:val="auto"/>
        </w:rPr>
        <w:t>7,670</w:t>
      </w:r>
      <w:r>
        <w:rPr>
          <w:sz w:val="20"/>
          <w:szCs w:val="20"/>
          <w:color w:val="auto"/>
        </w:rPr>
        <w:tab/>
      </w:r>
      <w:r>
        <w:rPr>
          <w:rFonts w:ascii="Arial" w:cs="Arial" w:eastAsia="Arial" w:hAnsi="Arial"/>
          <w:sz w:val="18"/>
          <w:szCs w:val="18"/>
          <w:color w:val="auto"/>
        </w:rPr>
        <w:t>463</w:t>
      </w:r>
    </w:p>
    <w:p>
      <w:pPr>
        <w:spacing w:after="0" w:line="23" w:lineRule="exact"/>
        <w:rPr>
          <w:sz w:val="20"/>
          <w:szCs w:val="20"/>
          <w:color w:val="auto"/>
        </w:rPr>
      </w:pPr>
    </w:p>
    <w:p>
      <w:pPr>
        <w:ind w:left="180"/>
        <w:spacing w:after="0"/>
        <w:tabs>
          <w:tab w:leader="none" w:pos="1500" w:val="left"/>
        </w:tabs>
        <w:rPr>
          <w:sz w:val="20"/>
          <w:szCs w:val="20"/>
          <w:color w:val="auto"/>
        </w:rPr>
      </w:pPr>
      <w:r>
        <w:rPr>
          <w:rFonts w:ascii="Arial" w:cs="Arial" w:eastAsia="Arial" w:hAnsi="Arial"/>
          <w:sz w:val="16"/>
          <w:szCs w:val="16"/>
          <w:color w:val="auto"/>
        </w:rPr>
        <w:t>27,358</w:t>
      </w:r>
      <w:r>
        <w:rPr>
          <w:sz w:val="20"/>
          <w:szCs w:val="20"/>
          <w:color w:val="auto"/>
        </w:rPr>
        <w:tab/>
      </w:r>
      <w:r>
        <w:rPr>
          <w:rFonts w:ascii="Arial" w:cs="Arial" w:eastAsia="Arial" w:hAnsi="Arial"/>
          <w:sz w:val="16"/>
          <w:szCs w:val="16"/>
          <w:color w:val="auto"/>
        </w:rPr>
        <w:t>23,594</w:t>
      </w:r>
    </w:p>
    <w:p>
      <w:pPr>
        <w:spacing w:after="0" w:line="46" w:lineRule="exact"/>
        <w:rPr>
          <w:sz w:val="20"/>
          <w:szCs w:val="20"/>
          <w:color w:val="auto"/>
        </w:rPr>
      </w:pPr>
    </w:p>
    <w:p>
      <w:pPr>
        <w:ind w:left="1940" w:hanging="1330"/>
        <w:spacing w:after="0"/>
        <w:tabs>
          <w:tab w:leader="none" w:pos="19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8</w:t>
      </w:r>
    </w:p>
    <w:p>
      <w:pPr>
        <w:spacing w:after="0" w:line="88" w:lineRule="exact"/>
        <w:rPr>
          <w:rFonts w:ascii="Arial" w:cs="Arial" w:eastAsia="Arial" w:hAnsi="Arial"/>
          <w:sz w:val="13"/>
          <w:szCs w:val="13"/>
          <w:color w:val="auto"/>
        </w:rPr>
      </w:pPr>
    </w:p>
    <w:p>
      <w:pPr>
        <w:ind w:left="80"/>
        <w:spacing w:after="0"/>
        <w:rPr>
          <w:rFonts w:ascii="Arial" w:cs="Arial" w:eastAsia="Arial" w:hAnsi="Arial"/>
          <w:sz w:val="13"/>
          <w:szCs w:val="13"/>
          <w:color w:val="auto"/>
        </w:rPr>
      </w:pPr>
      <w:r>
        <w:rPr>
          <w:rFonts w:ascii="Arial" w:cs="Arial" w:eastAsia="Arial" w:hAnsi="Arial"/>
          <w:sz w:val="18"/>
          <w:szCs w:val="18"/>
          <w:b w:val="1"/>
          <w:bCs w:val="1"/>
          <w:color w:val="auto"/>
        </w:rPr>
        <w:t>€54,094</w:t>
      </w:r>
      <w:r>
        <w:rPr>
          <w:rFonts w:ascii="Arial" w:cs="Arial" w:eastAsia="Arial" w:hAnsi="Arial"/>
          <w:sz w:val="16"/>
          <w:szCs w:val="16"/>
          <w:b w:val="1"/>
          <w:bCs w:val="1"/>
          <w:color w:val="auto"/>
        </w:rPr>
        <w:t>€42,496</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880" w:type="dxa"/>
            <w:vAlign w:val="bottom"/>
          </w:tcPr>
          <w:p>
            <w:pPr>
              <w:spacing w:after="0"/>
              <w:rPr>
                <w:sz w:val="20"/>
                <w:szCs w:val="20"/>
                <w:color w:val="auto"/>
              </w:rPr>
            </w:pPr>
          </w:p>
        </w:tc>
      </w:tr>
      <w:tr>
        <w:trPr>
          <w:trHeight w:val="234"/>
        </w:trPr>
        <w:tc>
          <w:tcPr>
            <w:tcW w:w="1700" w:type="dxa"/>
            <w:vAlign w:val="bottom"/>
          </w:tcPr>
          <w:p>
            <w:pPr>
              <w:jc w:val="right"/>
              <w:ind w:right="9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right w:val="single" w:sz="8" w:color="70AD47"/>
            </w:tcBorders>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25"/>
        </w:trPr>
        <w:tc>
          <w:tcPr>
            <w:tcW w:w="1700" w:type="dxa"/>
            <w:vAlign w:val="bottom"/>
            <w:tcBorders>
              <w:bottom w:val="single" w:sz="8" w:color="70AD47"/>
            </w:tcBorders>
          </w:tcPr>
          <w:p>
            <w:pPr>
              <w:spacing w:after="0"/>
              <w:rPr>
                <w:sz w:val="19"/>
                <w:szCs w:val="19"/>
                <w:color w:val="auto"/>
              </w:rPr>
            </w:pPr>
          </w:p>
        </w:tc>
        <w:tc>
          <w:tcPr>
            <w:tcW w:w="880" w:type="dxa"/>
            <w:vAlign w:val="bottom"/>
            <w:tcBorders>
              <w:bottom w:val="single" w:sz="8" w:color="70AD47"/>
              <w:right w:val="single" w:sz="8" w:color="70AD47"/>
            </w:tcBorders>
          </w:tcPr>
          <w:p>
            <w:pPr>
              <w:spacing w:after="0"/>
              <w:rPr>
                <w:sz w:val="19"/>
                <w:szCs w:val="19"/>
                <w:color w:val="auto"/>
              </w:rPr>
            </w:pPr>
          </w:p>
        </w:tc>
      </w:tr>
      <w:tr>
        <w:trPr>
          <w:trHeight w:val="452"/>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€635</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7,207</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1,557</w:t>
            </w:r>
          </w:p>
        </w:tc>
      </w:tr>
      <w:tr>
        <w:trPr>
          <w:trHeight w:val="230"/>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3,764</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700" w:type="dxa"/>
            <w:vAlign w:val="bottom"/>
            <w:tcBorders>
              <w:bottom w:val="single" w:sz="8" w:color="70AD47"/>
            </w:tcBorders>
          </w:tcPr>
          <w:p>
            <w:pPr>
              <w:jc w:val="right"/>
              <w:ind w:right="350"/>
              <w:spacing w:after="0"/>
              <w:rPr>
                <w:sz w:val="20"/>
                <w:szCs w:val="20"/>
                <w:color w:val="auto"/>
              </w:rPr>
            </w:pPr>
            <w:r>
              <w:rPr>
                <w:rFonts w:ascii="Arial" w:cs="Arial" w:eastAsia="Arial" w:hAnsi="Arial"/>
                <w:sz w:val="18"/>
                <w:szCs w:val="18"/>
                <w:color w:val="auto"/>
              </w:rPr>
              <w:t>(8)</w:t>
            </w:r>
          </w:p>
        </w:tc>
        <w:tc>
          <w:tcPr>
            <w:tcW w:w="88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1700" w:type="dxa"/>
            <w:vAlign w:val="bottom"/>
            <w:tcBorders>
              <w:bottom w:val="single" w:sz="8" w:color="70AD47"/>
            </w:tcBorders>
          </w:tcPr>
          <w:p>
            <w:pPr>
              <w:jc w:val="right"/>
              <w:ind w:right="350"/>
              <w:spacing w:after="0"/>
              <w:rPr>
                <w:sz w:val="20"/>
                <w:szCs w:val="20"/>
                <w:color w:val="auto"/>
              </w:rPr>
            </w:pPr>
            <w:r>
              <w:rPr>
                <w:rFonts w:ascii="Arial" w:cs="Arial" w:eastAsia="Arial" w:hAnsi="Arial"/>
                <w:sz w:val="18"/>
                <w:szCs w:val="18"/>
                <w:b w:val="1"/>
                <w:bCs w:val="1"/>
                <w:color w:val="auto"/>
              </w:rPr>
              <w:t>€11,598</w:t>
            </w:r>
          </w:p>
        </w:tc>
        <w:tc>
          <w:tcPr>
            <w:tcW w:w="88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8"/>
                <w:szCs w:val="18"/>
                <w:b w:val="1"/>
                <w:bCs w:val="1"/>
                <w:color w:val="auto"/>
              </w:rPr>
              <w:t>27</w:t>
            </w:r>
          </w:p>
        </w:tc>
      </w:tr>
    </w:tbl>
    <w:p>
      <w:pPr>
        <w:spacing w:after="0" w:line="200" w:lineRule="exact"/>
        <w:rPr>
          <w:sz w:val="20"/>
          <w:szCs w:val="20"/>
          <w:color w:val="auto"/>
        </w:rPr>
      </w:pPr>
    </w:p>
    <w:p>
      <w:pPr>
        <w:sectPr>
          <w:pgSz w:w="11900" w:h="16838" w:orient="portrait"/>
          <w:cols w:equalWidth="0" w:num="3">
            <w:col w:w="5800" w:space="720"/>
            <w:col w:w="2020" w:space="140"/>
            <w:col w:w="2580"/>
          </w:cols>
          <w:pgMar w:left="320" w:top="1012" w:right="319" w:bottom="1440" w:gutter="0" w:footer="0" w:header="0"/>
        </w:sectPr>
      </w:pPr>
    </w:p>
    <w:p>
      <w:pPr>
        <w:spacing w:after="0" w:line="242"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auto"/>
        </w:rPr>
        <w:t>Revenue of our biotech business unit increased by €12.2 million, or 60%, to €32.7 million in the three months ended June 30, 2020 from €20.5 million in the three months ended June 30, 2019 as well as by €11.6 million, or 27%, to €54.1 million in the six months ended June 30, 2020 from €42.5 million in the six months ended June 30, 2019. The increase was primarily driven by the increased revenues of the Technology Platform segment accompanied by increased revenues in the Manufacturing segment.</w:t>
      </w:r>
    </w:p>
    <w:p>
      <w:pPr>
        <w:spacing w:after="0" w:line="176" w:lineRule="exact"/>
        <w:rPr>
          <w:sz w:val="20"/>
          <w:szCs w:val="20"/>
          <w:color w:val="auto"/>
        </w:rPr>
      </w:pPr>
    </w:p>
    <w:p>
      <w:pPr>
        <w:jc w:val="both"/>
        <w:ind w:right="20"/>
        <w:spacing w:after="0" w:line="321" w:lineRule="auto"/>
        <w:rPr>
          <w:sz w:val="20"/>
          <w:szCs w:val="20"/>
          <w:color w:val="auto"/>
        </w:rPr>
      </w:pPr>
      <w:r>
        <w:rPr>
          <w:rFonts w:ascii="Arial" w:cs="Arial" w:eastAsia="Arial" w:hAnsi="Arial"/>
          <w:sz w:val="16"/>
          <w:szCs w:val="16"/>
          <w:color w:val="auto"/>
        </w:rPr>
        <w:t>During the six months ended June 30, 2020, revenues from our two new collaboration agreements were recognized for the first time. As part of the BNT162 program, our vaccine program against COVID-19, we collaborate with Pfizer and Fosun Pharma. The BNT162 program is evaluating at least four experimental vaccines, each of which represent a unique combination of messenger RNA format and target antigen. The revenue recognized from the collaboration agreement with Pfizer was recorded in all three operating segments since the underlying costs were also recorded in these segments. The revenue recognized from the collaboration with Fosun affected the Technology Platform segment.</w:t>
      </w:r>
    </w:p>
    <w:p>
      <w:pPr>
        <w:spacing w:after="0" w:line="133"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These effects were offset by decreased revenues from our collaboration programs with Genentech, Sanofi and from the collaboration with Pfizer to develop mRNA-based immunotherapies for the prevention of influenza. This is due to the fact that in light of recent developments relating to the COVID-19 pandemic, the primary focus of healthcare providers and hospitals is currently on fighting the novel coronavirus. For certain of our earlier stage programs we have delayed commencement of trials, experienced slowed patient enrollment or experienced other delays as a result of the COVID-19 pandemic.</w:t>
      </w:r>
    </w:p>
    <w:p>
      <w:pPr>
        <w:spacing w:after="0" w:line="194"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color w:val="auto"/>
        </w:rPr>
        <w:t>As summarized above, the increase in revenue in our Clinical segment of €3.1 million from €9.1 million in the three months ended June 30, 2019 to €12.2 million in the three months ended June 30, 2020 as well as the increase of €0.7 million from €18.4 million in the six months ended June 30, 2019 to €19.1 million in the six months ended June 30, 2020 is mainly derived from the first time recognition of revenue from our Pfizer collaboration agreement to co-develop our potential first-in-class COVID-19 mRNA vaccine program. The effect offsets the decreased revenues from our collaboration agreements with Genentech and Sanofi which are also recorded in the Clinical segment.</w:t>
      </w:r>
    </w:p>
    <w:p>
      <w:pPr>
        <w:spacing w:after="0" w:line="16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Likewise, the increase in revenue in our Technology Platform segment of €5.3 million from €0.3 million in the three months ended June 30, 2019 to €5.6 million in the three months ended June 30, 2020 as well as the increase of €7.2 million from €0.5 million in the six months ended June 30, 2019 to €7.7 million in the six months ended June 30, 2020 is due to the first time recognition of revenues under our two new collaboration agreements aiming at preventing COVID-19 as well as revenue recorded from our Sanofi collaboration.</w:t>
      </w:r>
    </w:p>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auto"/>
        </w:rPr>
        <w:t>The increase in revenue in our Manufacturing segment of €4.0 million from €11.0 million in the three months ended June 30, 2019 to €15.0 million in three months ended June 30, 2020, as well as the increase in revenue of €3.8 million from €23.6 million in the six months ended June 30, 2019 to €27.4 million in six months ended June 30, 2020, results from the first time recognition of revenue from our Pfizer collaboration agreement to co-develop our potential first-in-class COVID-19 mRNA vaccine</w:t>
      </w:r>
    </w:p>
    <w:p>
      <w:pPr>
        <w:spacing w:after="0" w:line="18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1012" w:right="31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program, offsetting the decreased revenue from our Genentech collaboration program due to the reasons mentioned above.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Research and Development Expenses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research and development expenses of our biotech business unit by segment for each period presented:</w:t>
      </w:r>
    </w:p>
    <w:p>
      <w:pPr>
        <w:sectPr>
          <w:pgSz w:w="11900" w:h="16838" w:orient="portrait"/>
          <w:cols w:equalWidth="0" w:num="1">
            <w:col w:w="11260"/>
          </w:cols>
          <w:pgMar w:left="320" w:top="973" w:right="319" w:bottom="1440" w:gutter="0" w:footer="0" w:header="0"/>
        </w:sect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2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34"/>
        </w:trPr>
        <w:tc>
          <w:tcPr>
            <w:tcW w:w="5880" w:type="dxa"/>
            <w:vAlign w:val="bottom"/>
          </w:tcPr>
          <w:p>
            <w:pPr>
              <w:spacing w:after="0"/>
              <w:rPr>
                <w:sz w:val="20"/>
                <w:szCs w:val="20"/>
                <w:color w:val="auto"/>
              </w:rPr>
            </w:pPr>
          </w:p>
        </w:tc>
        <w:tc>
          <w:tcPr>
            <w:tcW w:w="200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9"/>
        </w:trPr>
        <w:tc>
          <w:tcPr>
            <w:tcW w:w="5880" w:type="dxa"/>
            <w:vAlign w:val="bottom"/>
            <w:tcBorders>
              <w:right w:val="single" w:sz="8" w:color="70AD47"/>
            </w:tcBorders>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Borders>
              <w:bottom w:val="single" w:sz="8" w:color="70AD47"/>
              <w:right w:val="single" w:sz="8" w:color="70AD47"/>
            </w:tcBorders>
            <w:vMerge w:val="continue"/>
          </w:tcPr>
          <w:p>
            <w:pPr>
              <w:spacing w:after="0"/>
              <w:rPr>
                <w:sz w:val="19"/>
                <w:szCs w:val="19"/>
                <w:color w:val="auto"/>
              </w:rPr>
            </w:pPr>
          </w:p>
        </w:tc>
        <w:tc>
          <w:tcPr>
            <w:tcW w:w="2000" w:type="dxa"/>
            <w:vAlign w:val="bottom"/>
            <w:tcBorders>
              <w:bottom w:val="single" w:sz="8" w:color="70AD47"/>
            </w:tcBorders>
            <w:gridSpan w:val="2"/>
          </w:tcPr>
          <w:p>
            <w:pPr>
              <w:jc w:val="center"/>
              <w:ind w:left="550"/>
              <w:spacing w:after="0"/>
              <w:rPr>
                <w:sz w:val="20"/>
                <w:szCs w:val="20"/>
                <w:color w:val="auto"/>
              </w:rPr>
            </w:pPr>
            <w:r>
              <w:rPr>
                <w:rFonts w:ascii="Arial" w:cs="Arial" w:eastAsia="Arial" w:hAnsi="Arial"/>
                <w:sz w:val="18"/>
                <w:szCs w:val="18"/>
                <w:i w:val="1"/>
                <w:iCs w:val="1"/>
                <w:color w:val="auto"/>
                <w:w w:val="92"/>
              </w:rPr>
              <w:t>(unaudited)</w:t>
            </w:r>
          </w:p>
        </w:tc>
        <w:tc>
          <w:tcPr>
            <w:tcW w:w="680" w:type="dxa"/>
            <w:vAlign w:val="bottom"/>
            <w:tcBorders>
              <w:bottom w:val="single" w:sz="8" w:color="70AD47"/>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tcBorders>
              <w:right w:val="single" w:sz="8" w:color="70AD47"/>
            </w:tcBorders>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1340" w:type="dxa"/>
            <w:vAlign w:val="bottom"/>
            <w:tcBorders>
              <w:right w:val="single" w:sz="8" w:color="70AD47"/>
            </w:tcBorders>
            <w:shd w:val="clear" w:color="auto" w:fill="C6E0B4"/>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Clinical</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€37,111</w:t>
            </w:r>
          </w:p>
        </w:tc>
        <w:tc>
          <w:tcPr>
            <w:tcW w:w="6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€19,359</w:t>
            </w:r>
          </w:p>
        </w:tc>
        <w:tc>
          <w:tcPr>
            <w:tcW w:w="0" w:type="dxa"/>
            <w:vAlign w:val="bottom"/>
          </w:tcPr>
          <w:p>
            <w:pPr>
              <w:spacing w:after="0"/>
              <w:rPr>
                <w:sz w:val="1"/>
                <w:szCs w:val="1"/>
                <w:color w:val="auto"/>
              </w:rPr>
            </w:pPr>
          </w:p>
        </w:tc>
      </w:tr>
      <w:tr>
        <w:trPr>
          <w:trHeight w:val="229"/>
        </w:trPr>
        <w:tc>
          <w:tcPr>
            <w:tcW w:w="588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Technology Platform</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35,905</w:t>
            </w:r>
          </w:p>
        </w:tc>
        <w:tc>
          <w:tcPr>
            <w:tcW w:w="6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19,813</w:t>
            </w:r>
          </w:p>
        </w:tc>
        <w:tc>
          <w:tcPr>
            <w:tcW w:w="0" w:type="dxa"/>
            <w:vAlign w:val="bottom"/>
          </w:tcPr>
          <w:p>
            <w:pPr>
              <w:spacing w:after="0"/>
              <w:rPr>
                <w:sz w:val="1"/>
                <w:szCs w:val="1"/>
                <w:color w:val="auto"/>
              </w:rPr>
            </w:pPr>
          </w:p>
        </w:tc>
      </w:tr>
      <w:tr>
        <w:trPr>
          <w:trHeight w:val="230"/>
        </w:trPr>
        <w:tc>
          <w:tcPr>
            <w:tcW w:w="588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Manufacturing</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21,026</w:t>
            </w:r>
          </w:p>
        </w:tc>
        <w:tc>
          <w:tcPr>
            <w:tcW w:w="6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12,315</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70AD47"/>
              <w:right w:val="single" w:sz="8" w:color="70AD47"/>
            </w:tcBorders>
          </w:tcPr>
          <w:p>
            <w:pPr>
              <w:ind w:left="140"/>
              <w:spacing w:after="0"/>
              <w:rPr>
                <w:sz w:val="20"/>
                <w:szCs w:val="20"/>
                <w:color w:val="auto"/>
              </w:rPr>
            </w:pPr>
            <w:r>
              <w:rPr>
                <w:rFonts w:ascii="Arial" w:cs="Arial" w:eastAsia="Arial" w:hAnsi="Arial"/>
                <w:sz w:val="18"/>
                <w:szCs w:val="18"/>
                <w:color w:val="auto"/>
              </w:rPr>
              <w:t>Business Service</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1,883</w:t>
            </w:r>
          </w:p>
        </w:tc>
        <w:tc>
          <w:tcPr>
            <w:tcW w:w="660" w:type="dxa"/>
            <w:vAlign w:val="bottom"/>
            <w:tcBorders>
              <w:bottom w:val="single" w:sz="8" w:color="70AD47"/>
            </w:tcBorders>
          </w:tcPr>
          <w:p>
            <w:pPr>
              <w:spacing w:after="0"/>
              <w:rPr>
                <w:sz w:val="20"/>
                <w:szCs w:val="20"/>
                <w:color w:val="auto"/>
              </w:rPr>
            </w:pPr>
          </w:p>
        </w:tc>
        <w:tc>
          <w:tcPr>
            <w:tcW w:w="68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Total unit research and development expenses</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€95,925</w:t>
            </w:r>
          </w:p>
        </w:tc>
        <w:tc>
          <w:tcPr>
            <w:tcW w:w="660" w:type="dxa"/>
            <w:vAlign w:val="bottom"/>
            <w:tcBorders>
              <w:bottom w:val="single" w:sz="8" w:color="70AD47"/>
            </w:tcBorders>
          </w:tcPr>
          <w:p>
            <w:pPr>
              <w:spacing w:after="0"/>
              <w:rPr>
                <w:sz w:val="19"/>
                <w:szCs w:val="19"/>
                <w:color w:val="auto"/>
              </w:rPr>
            </w:pPr>
          </w:p>
        </w:tc>
        <w:tc>
          <w:tcPr>
            <w:tcW w:w="68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w w:val="98"/>
              </w:rPr>
              <w:t>€53,212</w:t>
            </w:r>
          </w:p>
        </w:tc>
        <w:tc>
          <w:tcPr>
            <w:tcW w:w="0" w:type="dxa"/>
            <w:vAlign w:val="bottom"/>
          </w:tcPr>
          <w:p>
            <w:pPr>
              <w:spacing w:after="0"/>
              <w:rPr>
                <w:sz w:val="1"/>
                <w:szCs w:val="1"/>
                <w:color w:val="auto"/>
              </w:rPr>
            </w:pPr>
          </w:p>
        </w:tc>
      </w:tr>
      <w:tr>
        <w:trPr>
          <w:trHeight w:val="448"/>
        </w:trPr>
        <w:tc>
          <w:tcPr>
            <w:tcW w:w="5880" w:type="dxa"/>
            <w:vAlign w:val="bottom"/>
          </w:tcPr>
          <w:p>
            <w:pPr>
              <w:spacing w:after="0"/>
              <w:rPr>
                <w:sz w:val="24"/>
                <w:szCs w:val="24"/>
                <w:color w:val="auto"/>
              </w:rPr>
            </w:pPr>
          </w:p>
        </w:tc>
        <w:tc>
          <w:tcPr>
            <w:tcW w:w="200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7"/>
              </w:rPr>
              <w:t>Six months ended</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80" w:type="dxa"/>
            <w:vAlign w:val="bottom"/>
          </w:tcPr>
          <w:p>
            <w:pPr>
              <w:spacing w:after="0"/>
              <w:rPr>
                <w:sz w:val="20"/>
                <w:szCs w:val="20"/>
                <w:color w:val="auto"/>
              </w:rPr>
            </w:pPr>
          </w:p>
        </w:tc>
        <w:tc>
          <w:tcPr>
            <w:tcW w:w="200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9"/>
        </w:trPr>
        <w:tc>
          <w:tcPr>
            <w:tcW w:w="5880" w:type="dxa"/>
            <w:vAlign w:val="bottom"/>
            <w:tcBorders>
              <w:right w:val="single" w:sz="8" w:color="70AD47"/>
            </w:tcBorders>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Borders>
              <w:bottom w:val="single" w:sz="8" w:color="70AD47"/>
              <w:right w:val="single" w:sz="8" w:color="70AD47"/>
            </w:tcBorders>
            <w:vMerge w:val="continue"/>
          </w:tcPr>
          <w:p>
            <w:pPr>
              <w:spacing w:after="0"/>
              <w:rPr>
                <w:sz w:val="19"/>
                <w:szCs w:val="19"/>
                <w:color w:val="auto"/>
              </w:rPr>
            </w:pPr>
          </w:p>
        </w:tc>
        <w:tc>
          <w:tcPr>
            <w:tcW w:w="2000" w:type="dxa"/>
            <w:vAlign w:val="bottom"/>
            <w:tcBorders>
              <w:bottom w:val="single" w:sz="8" w:color="70AD47"/>
            </w:tcBorders>
            <w:gridSpan w:val="2"/>
          </w:tcPr>
          <w:p>
            <w:pPr>
              <w:jc w:val="center"/>
              <w:ind w:left="550"/>
              <w:spacing w:after="0"/>
              <w:rPr>
                <w:sz w:val="20"/>
                <w:szCs w:val="20"/>
                <w:color w:val="auto"/>
              </w:rPr>
            </w:pPr>
            <w:r>
              <w:rPr>
                <w:rFonts w:ascii="Arial" w:cs="Arial" w:eastAsia="Arial" w:hAnsi="Arial"/>
                <w:sz w:val="18"/>
                <w:szCs w:val="18"/>
                <w:i w:val="1"/>
                <w:iCs w:val="1"/>
                <w:color w:val="auto"/>
                <w:w w:val="92"/>
              </w:rPr>
              <w:t>(unaudited)</w:t>
            </w:r>
          </w:p>
        </w:tc>
        <w:tc>
          <w:tcPr>
            <w:tcW w:w="680" w:type="dxa"/>
            <w:vAlign w:val="bottom"/>
            <w:tcBorders>
              <w:bottom w:val="single" w:sz="8" w:color="70AD47"/>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tcBorders>
              <w:right w:val="single" w:sz="8" w:color="70AD47"/>
            </w:tcBorders>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1340" w:type="dxa"/>
            <w:vAlign w:val="bottom"/>
            <w:tcBorders>
              <w:right w:val="single" w:sz="8" w:color="70AD47"/>
            </w:tcBorders>
            <w:shd w:val="clear" w:color="auto" w:fill="C6E0B4"/>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Clinical</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€58,444</w:t>
            </w:r>
          </w:p>
        </w:tc>
        <w:tc>
          <w:tcPr>
            <w:tcW w:w="6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€43,686</w:t>
            </w:r>
          </w:p>
        </w:tc>
        <w:tc>
          <w:tcPr>
            <w:tcW w:w="0" w:type="dxa"/>
            <w:vAlign w:val="bottom"/>
          </w:tcPr>
          <w:p>
            <w:pPr>
              <w:spacing w:after="0"/>
              <w:rPr>
                <w:sz w:val="1"/>
                <w:szCs w:val="1"/>
                <w:color w:val="auto"/>
              </w:rPr>
            </w:pPr>
          </w:p>
        </w:tc>
      </w:tr>
      <w:tr>
        <w:trPr>
          <w:trHeight w:val="229"/>
        </w:trPr>
        <w:tc>
          <w:tcPr>
            <w:tcW w:w="588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Technology Platform</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62,704</w:t>
            </w:r>
          </w:p>
        </w:tc>
        <w:tc>
          <w:tcPr>
            <w:tcW w:w="6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38,214</w:t>
            </w:r>
          </w:p>
        </w:tc>
        <w:tc>
          <w:tcPr>
            <w:tcW w:w="0" w:type="dxa"/>
            <w:vAlign w:val="bottom"/>
          </w:tcPr>
          <w:p>
            <w:pPr>
              <w:spacing w:after="0"/>
              <w:rPr>
                <w:sz w:val="1"/>
                <w:szCs w:val="1"/>
                <w:color w:val="auto"/>
              </w:rPr>
            </w:pPr>
          </w:p>
        </w:tc>
      </w:tr>
      <w:tr>
        <w:trPr>
          <w:trHeight w:val="230"/>
        </w:trPr>
        <w:tc>
          <w:tcPr>
            <w:tcW w:w="588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Manufacturing</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36,855</w:t>
            </w:r>
          </w:p>
        </w:tc>
        <w:tc>
          <w:tcPr>
            <w:tcW w:w="6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26,237</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70AD47"/>
              <w:right w:val="single" w:sz="8" w:color="70AD47"/>
            </w:tcBorders>
          </w:tcPr>
          <w:p>
            <w:pPr>
              <w:ind w:left="140"/>
              <w:spacing w:after="0"/>
              <w:rPr>
                <w:sz w:val="20"/>
                <w:szCs w:val="20"/>
                <w:color w:val="auto"/>
              </w:rPr>
            </w:pPr>
            <w:r>
              <w:rPr>
                <w:rFonts w:ascii="Arial" w:cs="Arial" w:eastAsia="Arial" w:hAnsi="Arial"/>
                <w:sz w:val="18"/>
                <w:szCs w:val="18"/>
                <w:color w:val="auto"/>
              </w:rPr>
              <w:t>Business Service</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3,070</w:t>
            </w:r>
          </w:p>
        </w:tc>
        <w:tc>
          <w:tcPr>
            <w:tcW w:w="660" w:type="dxa"/>
            <w:vAlign w:val="bottom"/>
            <w:tcBorders>
              <w:bottom w:val="single" w:sz="8" w:color="70AD47"/>
            </w:tcBorders>
          </w:tcPr>
          <w:p>
            <w:pPr>
              <w:spacing w:after="0"/>
              <w:rPr>
                <w:sz w:val="20"/>
                <w:szCs w:val="20"/>
                <w:color w:val="auto"/>
              </w:rPr>
            </w:pPr>
          </w:p>
        </w:tc>
        <w:tc>
          <w:tcPr>
            <w:tcW w:w="68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Total unit research and development expenses</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€161,073</w:t>
            </w:r>
          </w:p>
        </w:tc>
        <w:tc>
          <w:tcPr>
            <w:tcW w:w="660" w:type="dxa"/>
            <w:vAlign w:val="bottom"/>
            <w:tcBorders>
              <w:bottom w:val="single" w:sz="8" w:color="70AD47"/>
            </w:tcBorders>
          </w:tcPr>
          <w:p>
            <w:pPr>
              <w:spacing w:after="0"/>
              <w:rPr>
                <w:sz w:val="19"/>
                <w:szCs w:val="19"/>
                <w:color w:val="auto"/>
              </w:rPr>
            </w:pPr>
          </w:p>
        </w:tc>
        <w:tc>
          <w:tcPr>
            <w:tcW w:w="68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w w:val="85"/>
              </w:rPr>
              <w:t>€110,472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880" w:type="dxa"/>
            <w:vAlign w:val="bottom"/>
          </w:tcPr>
          <w:p>
            <w:pPr>
              <w:spacing w:after="0"/>
              <w:rPr>
                <w:sz w:val="20"/>
                <w:szCs w:val="20"/>
                <w:color w:val="auto"/>
              </w:rPr>
            </w:pPr>
          </w:p>
        </w:tc>
      </w:tr>
      <w:tr>
        <w:trPr>
          <w:trHeight w:val="234"/>
        </w:trPr>
        <w:tc>
          <w:tcPr>
            <w:tcW w:w="1700" w:type="dxa"/>
            <w:vAlign w:val="bottom"/>
          </w:tcPr>
          <w:p>
            <w:pPr>
              <w:jc w:val="right"/>
              <w:ind w:right="9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right w:val="single" w:sz="8" w:color="70AD47"/>
            </w:tcBorders>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25"/>
        </w:trPr>
        <w:tc>
          <w:tcPr>
            <w:tcW w:w="1700" w:type="dxa"/>
            <w:vAlign w:val="bottom"/>
            <w:tcBorders>
              <w:bottom w:val="single" w:sz="8" w:color="70AD47"/>
            </w:tcBorders>
          </w:tcPr>
          <w:p>
            <w:pPr>
              <w:spacing w:after="0"/>
              <w:rPr>
                <w:sz w:val="19"/>
                <w:szCs w:val="19"/>
                <w:color w:val="auto"/>
              </w:rPr>
            </w:pPr>
          </w:p>
        </w:tc>
        <w:tc>
          <w:tcPr>
            <w:tcW w:w="880" w:type="dxa"/>
            <w:vAlign w:val="bottom"/>
            <w:tcBorders>
              <w:bottom w:val="single" w:sz="8" w:color="70AD47"/>
              <w:right w:val="single" w:sz="8" w:color="70AD47"/>
            </w:tcBorders>
          </w:tcPr>
          <w:p>
            <w:pPr>
              <w:spacing w:after="0"/>
              <w:rPr>
                <w:sz w:val="19"/>
                <w:szCs w:val="19"/>
                <w:color w:val="auto"/>
              </w:rPr>
            </w:pPr>
          </w:p>
        </w:tc>
      </w:tr>
      <w:tr>
        <w:trPr>
          <w:trHeight w:val="452"/>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€17,752</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16,092</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8,711</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1700" w:type="dxa"/>
            <w:vAlign w:val="bottom"/>
            <w:tcBorders>
              <w:bottom w:val="single" w:sz="8" w:color="70AD47"/>
            </w:tcBorders>
          </w:tcPr>
          <w:p>
            <w:pPr>
              <w:jc w:val="right"/>
              <w:ind w:right="350"/>
              <w:spacing w:after="0"/>
              <w:rPr>
                <w:sz w:val="20"/>
                <w:szCs w:val="20"/>
                <w:color w:val="auto"/>
              </w:rPr>
            </w:pPr>
            <w:r>
              <w:rPr>
                <w:rFonts w:ascii="Arial" w:cs="Arial" w:eastAsia="Arial" w:hAnsi="Arial"/>
                <w:sz w:val="18"/>
                <w:szCs w:val="18"/>
                <w:color w:val="auto"/>
              </w:rPr>
              <w:t>158</w:t>
            </w:r>
          </w:p>
        </w:tc>
        <w:tc>
          <w:tcPr>
            <w:tcW w:w="88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1700" w:type="dxa"/>
            <w:vAlign w:val="bottom"/>
            <w:tcBorders>
              <w:bottom w:val="single" w:sz="8" w:color="70AD47"/>
            </w:tcBorders>
          </w:tcPr>
          <w:p>
            <w:pPr>
              <w:jc w:val="right"/>
              <w:ind w:right="350"/>
              <w:spacing w:after="0"/>
              <w:rPr>
                <w:sz w:val="20"/>
                <w:szCs w:val="20"/>
                <w:color w:val="auto"/>
              </w:rPr>
            </w:pPr>
            <w:r>
              <w:rPr>
                <w:rFonts w:ascii="Arial" w:cs="Arial" w:eastAsia="Arial" w:hAnsi="Arial"/>
                <w:sz w:val="18"/>
                <w:szCs w:val="18"/>
                <w:b w:val="1"/>
                <w:bCs w:val="1"/>
                <w:color w:val="auto"/>
              </w:rPr>
              <w:t>€42,713</w:t>
            </w:r>
          </w:p>
        </w:tc>
        <w:tc>
          <w:tcPr>
            <w:tcW w:w="88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8"/>
                <w:szCs w:val="18"/>
                <w:b w:val="1"/>
                <w:bCs w:val="1"/>
                <w:color w:val="auto"/>
              </w:rPr>
              <w:t>80</w:t>
            </w:r>
          </w:p>
        </w:tc>
      </w:tr>
      <w:tr>
        <w:trPr>
          <w:trHeight w:val="682"/>
        </w:trPr>
        <w:tc>
          <w:tcPr>
            <w:tcW w:w="1700" w:type="dxa"/>
            <w:vAlign w:val="bottom"/>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880" w:type="dxa"/>
            <w:vAlign w:val="bottom"/>
          </w:tcPr>
          <w:p>
            <w:pPr>
              <w:spacing w:after="0"/>
              <w:rPr>
                <w:sz w:val="24"/>
                <w:szCs w:val="24"/>
                <w:color w:val="auto"/>
              </w:rPr>
            </w:pPr>
          </w:p>
        </w:tc>
      </w:tr>
      <w:tr>
        <w:trPr>
          <w:trHeight w:val="234"/>
        </w:trPr>
        <w:tc>
          <w:tcPr>
            <w:tcW w:w="1700" w:type="dxa"/>
            <w:vAlign w:val="bottom"/>
          </w:tcPr>
          <w:p>
            <w:pPr>
              <w:jc w:val="right"/>
              <w:ind w:right="9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right w:val="single" w:sz="8" w:color="70AD47"/>
            </w:tcBorders>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25"/>
        </w:trPr>
        <w:tc>
          <w:tcPr>
            <w:tcW w:w="1700" w:type="dxa"/>
            <w:vAlign w:val="bottom"/>
            <w:tcBorders>
              <w:bottom w:val="single" w:sz="8" w:color="70AD47"/>
            </w:tcBorders>
          </w:tcPr>
          <w:p>
            <w:pPr>
              <w:spacing w:after="0"/>
              <w:rPr>
                <w:sz w:val="19"/>
                <w:szCs w:val="19"/>
                <w:color w:val="auto"/>
              </w:rPr>
            </w:pPr>
          </w:p>
        </w:tc>
        <w:tc>
          <w:tcPr>
            <w:tcW w:w="880" w:type="dxa"/>
            <w:vAlign w:val="bottom"/>
            <w:tcBorders>
              <w:bottom w:val="single" w:sz="8" w:color="70AD47"/>
              <w:right w:val="single" w:sz="8" w:color="70AD47"/>
            </w:tcBorders>
          </w:tcPr>
          <w:p>
            <w:pPr>
              <w:spacing w:after="0"/>
              <w:rPr>
                <w:sz w:val="19"/>
                <w:szCs w:val="19"/>
                <w:color w:val="auto"/>
              </w:rPr>
            </w:pPr>
          </w:p>
        </w:tc>
      </w:tr>
      <w:tr>
        <w:trPr>
          <w:trHeight w:val="452"/>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€14,758</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24,490</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10,618</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700" w:type="dxa"/>
            <w:vAlign w:val="bottom"/>
            <w:tcBorders>
              <w:bottom w:val="single" w:sz="8" w:color="70AD47"/>
            </w:tcBorders>
          </w:tcPr>
          <w:p>
            <w:pPr>
              <w:jc w:val="right"/>
              <w:ind w:right="350"/>
              <w:spacing w:after="0"/>
              <w:rPr>
                <w:sz w:val="20"/>
                <w:szCs w:val="20"/>
                <w:color w:val="auto"/>
              </w:rPr>
            </w:pPr>
            <w:r>
              <w:rPr>
                <w:rFonts w:ascii="Arial" w:cs="Arial" w:eastAsia="Arial" w:hAnsi="Arial"/>
                <w:sz w:val="18"/>
                <w:szCs w:val="18"/>
                <w:color w:val="auto"/>
              </w:rPr>
              <w:t>735</w:t>
            </w:r>
          </w:p>
        </w:tc>
        <w:tc>
          <w:tcPr>
            <w:tcW w:w="88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1700" w:type="dxa"/>
            <w:vAlign w:val="bottom"/>
            <w:tcBorders>
              <w:bottom w:val="single" w:sz="8" w:color="70AD47"/>
            </w:tcBorders>
          </w:tcPr>
          <w:p>
            <w:pPr>
              <w:jc w:val="right"/>
              <w:ind w:right="350"/>
              <w:spacing w:after="0"/>
              <w:rPr>
                <w:sz w:val="20"/>
                <w:szCs w:val="20"/>
                <w:color w:val="auto"/>
              </w:rPr>
            </w:pPr>
            <w:r>
              <w:rPr>
                <w:rFonts w:ascii="Arial" w:cs="Arial" w:eastAsia="Arial" w:hAnsi="Arial"/>
                <w:sz w:val="18"/>
                <w:szCs w:val="18"/>
                <w:b w:val="1"/>
                <w:bCs w:val="1"/>
                <w:color w:val="auto"/>
              </w:rPr>
              <w:t>€50,601</w:t>
            </w:r>
          </w:p>
        </w:tc>
        <w:tc>
          <w:tcPr>
            <w:tcW w:w="88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8"/>
                <w:szCs w:val="18"/>
                <w:b w:val="1"/>
                <w:bCs w:val="1"/>
                <w:color w:val="auto"/>
              </w:rPr>
              <w:t>46</w:t>
            </w:r>
          </w:p>
        </w:tc>
      </w:tr>
    </w:tbl>
    <w:p>
      <w:pPr>
        <w:spacing w:after="0" w:line="200" w:lineRule="exact"/>
        <w:rPr>
          <w:sz w:val="20"/>
          <w:szCs w:val="20"/>
          <w:color w:val="auto"/>
        </w:rPr>
      </w:pPr>
    </w:p>
    <w:p>
      <w:pPr>
        <w:sectPr>
          <w:pgSz w:w="11900" w:h="16838" w:orient="portrait"/>
          <w:cols w:equalWidth="0" w:num="2">
            <w:col w:w="8560" w:space="120"/>
            <w:col w:w="2580"/>
          </w:cols>
          <w:pgMar w:left="320" w:top="973" w:right="319" w:bottom="1440" w:gutter="0" w:footer="0" w:header="0"/>
          <w:type w:val="continuous"/>
        </w:sectPr>
      </w:pPr>
    </w:p>
    <w:p>
      <w:pPr>
        <w:spacing w:after="0" w:line="242"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Research and development expenses of our biotech business unit increased by €42.7 million, or 80%, to €95.9 million in the three months ended June 30, 2020 from €53.2 million in the three months ended June 30, 2019 as well as by €50.6 million, or 46%, to €161.1 million in the six months ended June 30, 2020 from €110.5 million in the six months ended June 30, 2019. The increase was mainly due to an increase in headcount leading to higher wages, benefits and social security expenses as well as an increase in expenses for purchased research and development services, especially with respect to our BNT162 program, our vaccine program against COVID-19. In addition, from May 6, 2020, the date of acquisition, our new U.S.-based subsidiary, BioNTech US Inc., contributed €5.8 million to the research and development expenses of the Group.</w:t>
      </w:r>
    </w:p>
    <w:p>
      <w:pPr>
        <w:spacing w:after="0" w:line="20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973" w:right="319" w:bottom="1440" w:gutter="0" w:footer="0" w:header="0"/>
          <w:type w:val="continuous"/>
        </w:sectPr>
      </w:pPr>
    </w:p>
    <w:bookmarkStart w:id="52" w:name="page53"/>
    <w:bookmarkEnd w:id="52"/>
    <w:p>
      <w:pPr>
        <w:ind w:right="40"/>
        <w:spacing w:after="0" w:line="26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The following table summarizes our clinical research and development expenses, broken down by drug class and selected platforms, for each period presented:</w:t>
      </w:r>
    </w:p>
    <w:p>
      <w:pPr>
        <w:sectPr>
          <w:pgSz w:w="11900" w:h="16838" w:orient="portrait"/>
          <w:cols w:equalWidth="0" w:num="1">
            <w:col w:w="11260"/>
          </w:cols>
          <w:pgMar w:left="320" w:top="973" w:right="319" w:bottom="1440" w:gutter="0" w:footer="0" w:header="0"/>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2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34"/>
        </w:trPr>
        <w:tc>
          <w:tcPr>
            <w:tcW w:w="5880" w:type="dxa"/>
            <w:vAlign w:val="bottom"/>
          </w:tcPr>
          <w:p>
            <w:pPr>
              <w:spacing w:after="0"/>
              <w:rPr>
                <w:sz w:val="20"/>
                <w:szCs w:val="20"/>
                <w:color w:val="auto"/>
              </w:rPr>
            </w:pPr>
          </w:p>
        </w:tc>
        <w:tc>
          <w:tcPr>
            <w:tcW w:w="204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9"/>
        </w:trPr>
        <w:tc>
          <w:tcPr>
            <w:tcW w:w="5880" w:type="dxa"/>
            <w:vAlign w:val="bottom"/>
            <w:tcBorders>
              <w:right w:val="single" w:sz="8" w:color="70AD47"/>
            </w:tcBorders>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Borders>
              <w:bottom w:val="single" w:sz="8" w:color="70AD47"/>
              <w:right w:val="single" w:sz="8" w:color="70AD47"/>
            </w:tcBorders>
            <w:vMerge w:val="continue"/>
          </w:tcPr>
          <w:p>
            <w:pPr>
              <w:spacing w:after="0"/>
              <w:rPr>
                <w:sz w:val="19"/>
                <w:szCs w:val="19"/>
                <w:color w:val="auto"/>
              </w:rPr>
            </w:pPr>
          </w:p>
        </w:tc>
        <w:tc>
          <w:tcPr>
            <w:tcW w:w="2040" w:type="dxa"/>
            <w:vAlign w:val="bottom"/>
            <w:tcBorders>
              <w:bottom w:val="single" w:sz="8" w:color="70AD47"/>
            </w:tcBorders>
            <w:gridSpan w:val="2"/>
          </w:tcPr>
          <w:p>
            <w:pPr>
              <w:jc w:val="center"/>
              <w:ind w:left="510"/>
              <w:spacing w:after="0"/>
              <w:rPr>
                <w:sz w:val="20"/>
                <w:szCs w:val="20"/>
                <w:color w:val="auto"/>
              </w:rPr>
            </w:pPr>
            <w:r>
              <w:rPr>
                <w:rFonts w:ascii="Arial" w:cs="Arial" w:eastAsia="Arial" w:hAnsi="Arial"/>
                <w:sz w:val="18"/>
                <w:szCs w:val="18"/>
                <w:i w:val="1"/>
                <w:iCs w:val="1"/>
                <w:color w:val="auto"/>
                <w:w w:val="92"/>
              </w:rPr>
              <w:t>(unaudited)</w:t>
            </w:r>
          </w:p>
        </w:tc>
        <w:tc>
          <w:tcPr>
            <w:tcW w:w="640" w:type="dxa"/>
            <w:vAlign w:val="bottom"/>
            <w:tcBorders>
              <w:bottom w:val="single" w:sz="8" w:color="70AD47"/>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tcBorders>
              <w:right w:val="single" w:sz="8" w:color="70AD47"/>
            </w:tcBorders>
          </w:tcPr>
          <w:p>
            <w:pPr>
              <w:spacing w:after="0"/>
              <w:rPr>
                <w:sz w:val="20"/>
                <w:szCs w:val="20"/>
                <w:color w:val="auto"/>
              </w:rPr>
            </w:pPr>
            <w:r>
              <w:rPr>
                <w:rFonts w:ascii="Arial" w:cs="Arial" w:eastAsia="Arial" w:hAnsi="Arial"/>
                <w:sz w:val="18"/>
                <w:szCs w:val="18"/>
                <w:b w:val="1"/>
                <w:bCs w:val="1"/>
                <w:color w:val="auto"/>
              </w:rPr>
              <w:t>Clinical research and development expenses</w:t>
            </w:r>
          </w:p>
        </w:tc>
        <w:tc>
          <w:tcPr>
            <w:tcW w:w="1340" w:type="dxa"/>
            <w:vAlign w:val="bottom"/>
            <w:tcBorders>
              <w:right w:val="single" w:sz="8" w:color="70AD47"/>
            </w:tcBorders>
            <w:shd w:val="clear" w:color="auto" w:fill="C6E0B4"/>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mRNA</w:t>
            </w:r>
          </w:p>
        </w:tc>
        <w:tc>
          <w:tcPr>
            <w:tcW w:w="1340" w:type="dxa"/>
            <w:vAlign w:val="bottom"/>
            <w:tcBorders>
              <w:right w:val="single" w:sz="8" w:color="70AD47"/>
            </w:tcBorders>
            <w:shd w:val="clear" w:color="auto" w:fill="C6E0B4"/>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Borders>
              <w:right w:val="single" w:sz="8" w:color="70AD47"/>
            </w:tcBorders>
          </w:tcPr>
          <w:p>
            <w:pPr>
              <w:ind w:left="260"/>
              <w:spacing w:after="0"/>
              <w:rPr>
                <w:sz w:val="20"/>
                <w:szCs w:val="20"/>
                <w:color w:val="auto"/>
              </w:rPr>
            </w:pPr>
            <w:r>
              <w:rPr>
                <w:rFonts w:ascii="Arial" w:cs="Arial" w:eastAsia="Arial" w:hAnsi="Arial"/>
                <w:sz w:val="18"/>
                <w:szCs w:val="18"/>
                <w:color w:val="auto"/>
              </w:rPr>
              <w:t>FixVac</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€4,295</w:t>
            </w:r>
          </w:p>
        </w:tc>
        <w:tc>
          <w:tcPr>
            <w:tcW w:w="7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29"/>
        </w:trPr>
        <w:tc>
          <w:tcPr>
            <w:tcW w:w="5880" w:type="dxa"/>
            <w:vAlign w:val="bottom"/>
            <w:tcBorders>
              <w:right w:val="single" w:sz="8" w:color="70AD47"/>
            </w:tcBorders>
          </w:tcPr>
          <w:p>
            <w:pPr>
              <w:ind w:left="260"/>
              <w:spacing w:after="0"/>
              <w:rPr>
                <w:sz w:val="20"/>
                <w:szCs w:val="20"/>
                <w:color w:val="auto"/>
              </w:rPr>
            </w:pPr>
            <w:r>
              <w:rPr>
                <w:rFonts w:ascii="Arial" w:cs="Arial" w:eastAsia="Arial" w:hAnsi="Arial"/>
                <w:sz w:val="18"/>
                <w:szCs w:val="18"/>
                <w:color w:val="auto"/>
              </w:rPr>
              <w:t>iNeST</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7,447</w:t>
            </w:r>
          </w:p>
        </w:tc>
        <w:tc>
          <w:tcPr>
            <w:tcW w:w="7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30"/>
        </w:trPr>
        <w:tc>
          <w:tcPr>
            <w:tcW w:w="5880" w:type="dxa"/>
            <w:vAlign w:val="bottom"/>
            <w:tcBorders>
              <w:right w:val="single" w:sz="8" w:color="70AD47"/>
            </w:tcBorders>
          </w:tcPr>
          <w:p>
            <w:pPr>
              <w:ind w:left="260"/>
              <w:spacing w:after="0"/>
              <w:rPr>
                <w:sz w:val="20"/>
                <w:szCs w:val="20"/>
                <w:color w:val="auto"/>
              </w:rPr>
            </w:pPr>
            <w:r>
              <w:rPr>
                <w:rFonts w:ascii="Arial" w:cs="Arial" w:eastAsia="Arial" w:hAnsi="Arial"/>
                <w:sz w:val="18"/>
                <w:szCs w:val="18"/>
                <w:color w:val="auto"/>
              </w:rPr>
              <w:t>Infectious Disease Vaccines*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11,544</w:t>
            </w:r>
          </w:p>
        </w:tc>
        <w:tc>
          <w:tcPr>
            <w:tcW w:w="7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29"/>
        </w:trPr>
        <w:tc>
          <w:tcPr>
            <w:tcW w:w="5880" w:type="dxa"/>
            <w:vAlign w:val="bottom"/>
            <w:tcBorders>
              <w:right w:val="single" w:sz="8" w:color="70AD47"/>
            </w:tcBorders>
          </w:tcPr>
          <w:p>
            <w:pPr>
              <w:ind w:left="260"/>
              <w:spacing w:after="0"/>
              <w:rPr>
                <w:sz w:val="20"/>
                <w:szCs w:val="20"/>
                <w:color w:val="auto"/>
              </w:rPr>
            </w:pPr>
            <w:r>
              <w:rPr>
                <w:rFonts w:ascii="Arial" w:cs="Arial" w:eastAsia="Arial" w:hAnsi="Arial"/>
                <w:sz w:val="18"/>
                <w:szCs w:val="18"/>
                <w:color w:val="auto"/>
              </w:rPr>
              <w:t>Other mRNA</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3,729</w:t>
            </w:r>
          </w:p>
        </w:tc>
        <w:tc>
          <w:tcPr>
            <w:tcW w:w="7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230"/>
        </w:trPr>
        <w:tc>
          <w:tcPr>
            <w:tcW w:w="588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Total mRNA</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27,015</w:t>
            </w:r>
          </w:p>
        </w:tc>
        <w:tc>
          <w:tcPr>
            <w:tcW w:w="7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13,614</w:t>
            </w:r>
          </w:p>
        </w:tc>
        <w:tc>
          <w:tcPr>
            <w:tcW w:w="0" w:type="dxa"/>
            <w:vAlign w:val="bottom"/>
          </w:tcPr>
          <w:p>
            <w:pPr>
              <w:spacing w:after="0"/>
              <w:rPr>
                <w:sz w:val="1"/>
                <w:szCs w:val="1"/>
                <w:color w:val="auto"/>
              </w:rPr>
            </w:pPr>
          </w:p>
        </w:tc>
      </w:tr>
      <w:tr>
        <w:trPr>
          <w:trHeight w:val="229"/>
        </w:trPr>
        <w:tc>
          <w:tcPr>
            <w:tcW w:w="588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Cell Therapies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1,865</w:t>
            </w:r>
          </w:p>
        </w:tc>
        <w:tc>
          <w:tcPr>
            <w:tcW w:w="7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588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Antibodies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7,178</w:t>
            </w:r>
          </w:p>
        </w:tc>
        <w:tc>
          <w:tcPr>
            <w:tcW w:w="7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30"/>
        </w:trPr>
        <w:tc>
          <w:tcPr>
            <w:tcW w:w="588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Small Molecule Immunomodulators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800</w:t>
            </w:r>
          </w:p>
        </w:tc>
        <w:tc>
          <w:tcPr>
            <w:tcW w:w="7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70AD47"/>
              <w:right w:val="single" w:sz="8" w:color="70AD47"/>
            </w:tcBorders>
          </w:tcPr>
          <w:p>
            <w:pPr>
              <w:ind w:left="14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253</w:t>
            </w:r>
          </w:p>
        </w:tc>
        <w:tc>
          <w:tcPr>
            <w:tcW w:w="700" w:type="dxa"/>
            <w:vAlign w:val="bottom"/>
            <w:tcBorders>
              <w:bottom w:val="single" w:sz="8" w:color="70AD47"/>
            </w:tcBorders>
          </w:tcPr>
          <w:p>
            <w:pPr>
              <w:spacing w:after="0"/>
              <w:rPr>
                <w:sz w:val="20"/>
                <w:szCs w:val="20"/>
                <w:color w:val="auto"/>
              </w:rPr>
            </w:pPr>
          </w:p>
        </w:tc>
        <w:tc>
          <w:tcPr>
            <w:tcW w:w="64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Total clinical research and development expenses</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€37,111</w:t>
            </w:r>
          </w:p>
        </w:tc>
        <w:tc>
          <w:tcPr>
            <w:tcW w:w="700" w:type="dxa"/>
            <w:vAlign w:val="bottom"/>
            <w:tcBorders>
              <w:bottom w:val="single" w:sz="8" w:color="70AD47"/>
            </w:tcBorders>
          </w:tcPr>
          <w:p>
            <w:pPr>
              <w:spacing w:after="0"/>
              <w:rPr>
                <w:sz w:val="19"/>
                <w:szCs w:val="19"/>
                <w:color w:val="auto"/>
              </w:rPr>
            </w:pPr>
          </w:p>
        </w:tc>
        <w:tc>
          <w:tcPr>
            <w:tcW w:w="64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w w:val="92"/>
              </w:rPr>
              <w:t>€19,359</w:t>
            </w:r>
          </w:p>
        </w:tc>
        <w:tc>
          <w:tcPr>
            <w:tcW w:w="0" w:type="dxa"/>
            <w:vAlign w:val="bottom"/>
          </w:tcPr>
          <w:p>
            <w:pPr>
              <w:spacing w:after="0"/>
              <w:rPr>
                <w:sz w:val="1"/>
                <w:szCs w:val="1"/>
                <w:color w:val="auto"/>
              </w:rPr>
            </w:pPr>
          </w:p>
        </w:tc>
      </w:tr>
      <w:tr>
        <w:trPr>
          <w:trHeight w:val="224"/>
        </w:trPr>
        <w:tc>
          <w:tcPr>
            <w:tcW w:w="5880" w:type="dxa"/>
            <w:vAlign w:val="bottom"/>
          </w:tcPr>
          <w:p>
            <w:pPr>
              <w:spacing w:after="0"/>
              <w:rPr>
                <w:sz w:val="20"/>
                <w:szCs w:val="20"/>
                <w:color w:val="auto"/>
              </w:rPr>
            </w:pPr>
            <w:r>
              <w:rPr>
                <w:rFonts w:ascii="Arial" w:cs="Arial" w:eastAsia="Arial" w:hAnsi="Arial"/>
                <w:sz w:val="18"/>
                <w:szCs w:val="18"/>
                <w:color w:val="auto"/>
              </w:rPr>
              <w:t>*Infectious Disease Vaccines was previously included in other mRNA</w:t>
            </w:r>
          </w:p>
        </w:tc>
        <w:tc>
          <w:tcPr>
            <w:tcW w:w="1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5880" w:type="dxa"/>
            <w:vAlign w:val="bottom"/>
          </w:tcPr>
          <w:p>
            <w:pPr>
              <w:spacing w:after="0"/>
              <w:rPr>
                <w:sz w:val="24"/>
                <w:szCs w:val="24"/>
                <w:color w:val="auto"/>
              </w:rPr>
            </w:pPr>
          </w:p>
        </w:tc>
        <w:tc>
          <w:tcPr>
            <w:tcW w:w="204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87"/>
              </w:rPr>
              <w:t>Six months ended</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80" w:type="dxa"/>
            <w:vAlign w:val="bottom"/>
          </w:tcPr>
          <w:p>
            <w:pPr>
              <w:spacing w:after="0"/>
              <w:rPr>
                <w:sz w:val="20"/>
                <w:szCs w:val="20"/>
                <w:color w:val="auto"/>
              </w:rPr>
            </w:pPr>
          </w:p>
        </w:tc>
        <w:tc>
          <w:tcPr>
            <w:tcW w:w="204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9"/>
        </w:trPr>
        <w:tc>
          <w:tcPr>
            <w:tcW w:w="5880" w:type="dxa"/>
            <w:vAlign w:val="bottom"/>
            <w:tcBorders>
              <w:right w:val="single" w:sz="8" w:color="70AD47"/>
            </w:tcBorders>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Borders>
              <w:bottom w:val="single" w:sz="8" w:color="70AD47"/>
              <w:right w:val="single" w:sz="8" w:color="70AD47"/>
            </w:tcBorders>
            <w:vMerge w:val="continue"/>
          </w:tcPr>
          <w:p>
            <w:pPr>
              <w:spacing w:after="0"/>
              <w:rPr>
                <w:sz w:val="19"/>
                <w:szCs w:val="19"/>
                <w:color w:val="auto"/>
              </w:rPr>
            </w:pPr>
          </w:p>
        </w:tc>
        <w:tc>
          <w:tcPr>
            <w:tcW w:w="2040" w:type="dxa"/>
            <w:vAlign w:val="bottom"/>
            <w:tcBorders>
              <w:bottom w:val="single" w:sz="8" w:color="70AD47"/>
            </w:tcBorders>
            <w:gridSpan w:val="2"/>
          </w:tcPr>
          <w:p>
            <w:pPr>
              <w:jc w:val="center"/>
              <w:ind w:left="510"/>
              <w:spacing w:after="0"/>
              <w:rPr>
                <w:sz w:val="20"/>
                <w:szCs w:val="20"/>
                <w:color w:val="auto"/>
              </w:rPr>
            </w:pPr>
            <w:r>
              <w:rPr>
                <w:rFonts w:ascii="Arial" w:cs="Arial" w:eastAsia="Arial" w:hAnsi="Arial"/>
                <w:sz w:val="18"/>
                <w:szCs w:val="18"/>
                <w:i w:val="1"/>
                <w:iCs w:val="1"/>
                <w:color w:val="auto"/>
                <w:w w:val="92"/>
              </w:rPr>
              <w:t>(unaudited)</w:t>
            </w:r>
          </w:p>
        </w:tc>
        <w:tc>
          <w:tcPr>
            <w:tcW w:w="640" w:type="dxa"/>
            <w:vAlign w:val="bottom"/>
            <w:tcBorders>
              <w:bottom w:val="single" w:sz="8" w:color="70AD47"/>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tcBorders>
              <w:right w:val="single" w:sz="8" w:color="70AD47"/>
            </w:tcBorders>
          </w:tcPr>
          <w:p>
            <w:pPr>
              <w:spacing w:after="0"/>
              <w:rPr>
                <w:sz w:val="20"/>
                <w:szCs w:val="20"/>
                <w:color w:val="auto"/>
              </w:rPr>
            </w:pPr>
            <w:r>
              <w:rPr>
                <w:rFonts w:ascii="Arial" w:cs="Arial" w:eastAsia="Arial" w:hAnsi="Arial"/>
                <w:sz w:val="18"/>
                <w:szCs w:val="18"/>
                <w:b w:val="1"/>
                <w:bCs w:val="1"/>
                <w:color w:val="auto"/>
              </w:rPr>
              <w:t>Clinical research and development expenses</w:t>
            </w:r>
          </w:p>
        </w:tc>
        <w:tc>
          <w:tcPr>
            <w:tcW w:w="1340" w:type="dxa"/>
            <w:vAlign w:val="bottom"/>
            <w:tcBorders>
              <w:right w:val="single" w:sz="8" w:color="70AD47"/>
            </w:tcBorders>
            <w:shd w:val="clear" w:color="auto" w:fill="C6E0B4"/>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mRNA</w:t>
            </w:r>
          </w:p>
        </w:tc>
        <w:tc>
          <w:tcPr>
            <w:tcW w:w="1340" w:type="dxa"/>
            <w:vAlign w:val="bottom"/>
            <w:tcBorders>
              <w:right w:val="single" w:sz="8" w:color="70AD47"/>
            </w:tcBorders>
            <w:shd w:val="clear" w:color="auto" w:fill="C6E0B4"/>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Borders>
              <w:right w:val="single" w:sz="8" w:color="70AD47"/>
            </w:tcBorders>
          </w:tcPr>
          <w:p>
            <w:pPr>
              <w:ind w:left="260"/>
              <w:spacing w:after="0"/>
              <w:rPr>
                <w:sz w:val="20"/>
                <w:szCs w:val="20"/>
                <w:color w:val="auto"/>
              </w:rPr>
            </w:pPr>
            <w:r>
              <w:rPr>
                <w:rFonts w:ascii="Arial" w:cs="Arial" w:eastAsia="Arial" w:hAnsi="Arial"/>
                <w:sz w:val="18"/>
                <w:szCs w:val="18"/>
                <w:color w:val="auto"/>
              </w:rPr>
              <w:t>FixVac</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€6,336</w:t>
            </w:r>
          </w:p>
        </w:tc>
        <w:tc>
          <w:tcPr>
            <w:tcW w:w="7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€4,379</w:t>
            </w:r>
          </w:p>
        </w:tc>
        <w:tc>
          <w:tcPr>
            <w:tcW w:w="0" w:type="dxa"/>
            <w:vAlign w:val="bottom"/>
          </w:tcPr>
          <w:p>
            <w:pPr>
              <w:spacing w:after="0"/>
              <w:rPr>
                <w:sz w:val="1"/>
                <w:szCs w:val="1"/>
                <w:color w:val="auto"/>
              </w:rPr>
            </w:pPr>
          </w:p>
        </w:tc>
      </w:tr>
      <w:tr>
        <w:trPr>
          <w:trHeight w:val="229"/>
        </w:trPr>
        <w:tc>
          <w:tcPr>
            <w:tcW w:w="5880" w:type="dxa"/>
            <w:vAlign w:val="bottom"/>
            <w:tcBorders>
              <w:right w:val="single" w:sz="8" w:color="70AD47"/>
            </w:tcBorders>
          </w:tcPr>
          <w:p>
            <w:pPr>
              <w:ind w:left="260"/>
              <w:spacing w:after="0"/>
              <w:rPr>
                <w:sz w:val="20"/>
                <w:szCs w:val="20"/>
                <w:color w:val="auto"/>
              </w:rPr>
            </w:pPr>
            <w:r>
              <w:rPr>
                <w:rFonts w:ascii="Arial" w:cs="Arial" w:eastAsia="Arial" w:hAnsi="Arial"/>
                <w:sz w:val="18"/>
                <w:szCs w:val="18"/>
                <w:color w:val="auto"/>
              </w:rPr>
              <w:t>iNeST</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14,076</w:t>
            </w:r>
          </w:p>
        </w:tc>
        <w:tc>
          <w:tcPr>
            <w:tcW w:w="7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8,323</w:t>
            </w:r>
          </w:p>
        </w:tc>
        <w:tc>
          <w:tcPr>
            <w:tcW w:w="0" w:type="dxa"/>
            <w:vAlign w:val="bottom"/>
          </w:tcPr>
          <w:p>
            <w:pPr>
              <w:spacing w:after="0"/>
              <w:rPr>
                <w:sz w:val="1"/>
                <w:szCs w:val="1"/>
                <w:color w:val="auto"/>
              </w:rPr>
            </w:pPr>
          </w:p>
        </w:tc>
      </w:tr>
      <w:tr>
        <w:trPr>
          <w:trHeight w:val="230"/>
        </w:trPr>
        <w:tc>
          <w:tcPr>
            <w:tcW w:w="5880" w:type="dxa"/>
            <w:vAlign w:val="bottom"/>
            <w:tcBorders>
              <w:right w:val="single" w:sz="8" w:color="70AD47"/>
            </w:tcBorders>
          </w:tcPr>
          <w:p>
            <w:pPr>
              <w:ind w:left="260"/>
              <w:spacing w:after="0"/>
              <w:rPr>
                <w:sz w:val="20"/>
                <w:szCs w:val="20"/>
                <w:color w:val="auto"/>
              </w:rPr>
            </w:pPr>
            <w:r>
              <w:rPr>
                <w:rFonts w:ascii="Arial" w:cs="Arial" w:eastAsia="Arial" w:hAnsi="Arial"/>
                <w:sz w:val="18"/>
                <w:szCs w:val="18"/>
                <w:color w:val="auto"/>
              </w:rPr>
              <w:t>Infectious Disease Vaccines*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13,097</w:t>
            </w:r>
          </w:p>
        </w:tc>
        <w:tc>
          <w:tcPr>
            <w:tcW w:w="7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30"/>
        </w:trPr>
        <w:tc>
          <w:tcPr>
            <w:tcW w:w="5880" w:type="dxa"/>
            <w:vAlign w:val="bottom"/>
            <w:tcBorders>
              <w:right w:val="single" w:sz="8" w:color="70AD47"/>
            </w:tcBorders>
          </w:tcPr>
          <w:p>
            <w:pPr>
              <w:ind w:left="260"/>
              <w:spacing w:after="0"/>
              <w:rPr>
                <w:sz w:val="20"/>
                <w:szCs w:val="20"/>
                <w:color w:val="auto"/>
              </w:rPr>
            </w:pPr>
            <w:r>
              <w:rPr>
                <w:rFonts w:ascii="Arial" w:cs="Arial" w:eastAsia="Arial" w:hAnsi="Arial"/>
                <w:sz w:val="18"/>
                <w:szCs w:val="18"/>
                <w:color w:val="auto"/>
              </w:rPr>
              <w:t>Other mRNA</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8,426</w:t>
            </w:r>
          </w:p>
        </w:tc>
        <w:tc>
          <w:tcPr>
            <w:tcW w:w="7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10,301</w:t>
            </w:r>
          </w:p>
        </w:tc>
        <w:tc>
          <w:tcPr>
            <w:tcW w:w="0" w:type="dxa"/>
            <w:vAlign w:val="bottom"/>
          </w:tcPr>
          <w:p>
            <w:pPr>
              <w:spacing w:after="0"/>
              <w:rPr>
                <w:sz w:val="1"/>
                <w:szCs w:val="1"/>
                <w:color w:val="auto"/>
              </w:rPr>
            </w:pPr>
          </w:p>
        </w:tc>
      </w:tr>
      <w:tr>
        <w:trPr>
          <w:trHeight w:val="230"/>
        </w:trPr>
        <w:tc>
          <w:tcPr>
            <w:tcW w:w="588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Total mRNA</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41,935</w:t>
            </w:r>
          </w:p>
        </w:tc>
        <w:tc>
          <w:tcPr>
            <w:tcW w:w="7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25,199</w:t>
            </w:r>
          </w:p>
        </w:tc>
        <w:tc>
          <w:tcPr>
            <w:tcW w:w="0" w:type="dxa"/>
            <w:vAlign w:val="bottom"/>
          </w:tcPr>
          <w:p>
            <w:pPr>
              <w:spacing w:after="0"/>
              <w:rPr>
                <w:sz w:val="1"/>
                <w:szCs w:val="1"/>
                <w:color w:val="auto"/>
              </w:rPr>
            </w:pPr>
          </w:p>
        </w:tc>
      </w:tr>
      <w:tr>
        <w:trPr>
          <w:trHeight w:val="229"/>
        </w:trPr>
        <w:tc>
          <w:tcPr>
            <w:tcW w:w="588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Cell Therapies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2,748</w:t>
            </w:r>
          </w:p>
        </w:tc>
        <w:tc>
          <w:tcPr>
            <w:tcW w:w="7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588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Antibodies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11,997</w:t>
            </w:r>
          </w:p>
        </w:tc>
        <w:tc>
          <w:tcPr>
            <w:tcW w:w="7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6,905</w:t>
            </w:r>
          </w:p>
        </w:tc>
        <w:tc>
          <w:tcPr>
            <w:tcW w:w="0" w:type="dxa"/>
            <w:vAlign w:val="bottom"/>
          </w:tcPr>
          <w:p>
            <w:pPr>
              <w:spacing w:after="0"/>
              <w:rPr>
                <w:sz w:val="1"/>
                <w:szCs w:val="1"/>
                <w:color w:val="auto"/>
              </w:rPr>
            </w:pPr>
          </w:p>
        </w:tc>
      </w:tr>
      <w:tr>
        <w:trPr>
          <w:trHeight w:val="230"/>
        </w:trPr>
        <w:tc>
          <w:tcPr>
            <w:tcW w:w="588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Small Molecule Immunomodulators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1,252</w:t>
            </w:r>
          </w:p>
        </w:tc>
        <w:tc>
          <w:tcPr>
            <w:tcW w:w="7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70AD47"/>
              <w:right w:val="single" w:sz="8" w:color="70AD47"/>
            </w:tcBorders>
          </w:tcPr>
          <w:p>
            <w:pPr>
              <w:ind w:left="14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512</w:t>
            </w:r>
          </w:p>
        </w:tc>
        <w:tc>
          <w:tcPr>
            <w:tcW w:w="700" w:type="dxa"/>
            <w:vAlign w:val="bottom"/>
            <w:tcBorders>
              <w:bottom w:val="single" w:sz="8" w:color="70AD47"/>
            </w:tcBorders>
          </w:tcPr>
          <w:p>
            <w:pPr>
              <w:spacing w:after="0"/>
              <w:rPr>
                <w:sz w:val="20"/>
                <w:szCs w:val="20"/>
                <w:color w:val="auto"/>
              </w:rPr>
            </w:pPr>
          </w:p>
        </w:tc>
        <w:tc>
          <w:tcPr>
            <w:tcW w:w="64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10,666</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Total clinical research and development expenses</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€58,444</w:t>
            </w:r>
          </w:p>
        </w:tc>
        <w:tc>
          <w:tcPr>
            <w:tcW w:w="700" w:type="dxa"/>
            <w:vAlign w:val="bottom"/>
            <w:tcBorders>
              <w:bottom w:val="single" w:sz="8" w:color="70AD47"/>
            </w:tcBorders>
          </w:tcPr>
          <w:p>
            <w:pPr>
              <w:spacing w:after="0"/>
              <w:rPr>
                <w:sz w:val="19"/>
                <w:szCs w:val="19"/>
                <w:color w:val="auto"/>
              </w:rPr>
            </w:pPr>
          </w:p>
        </w:tc>
        <w:tc>
          <w:tcPr>
            <w:tcW w:w="64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w w:val="92"/>
              </w:rPr>
              <w:t>€43,686</w:t>
            </w:r>
          </w:p>
        </w:tc>
        <w:tc>
          <w:tcPr>
            <w:tcW w:w="0" w:type="dxa"/>
            <w:vAlign w:val="bottom"/>
          </w:tcPr>
          <w:p>
            <w:pPr>
              <w:spacing w:after="0"/>
              <w:rPr>
                <w:sz w:val="1"/>
                <w:szCs w:val="1"/>
                <w:color w:val="auto"/>
              </w:rPr>
            </w:pPr>
          </w:p>
        </w:tc>
      </w:tr>
      <w:tr>
        <w:trPr>
          <w:trHeight w:val="224"/>
        </w:trPr>
        <w:tc>
          <w:tcPr>
            <w:tcW w:w="5880" w:type="dxa"/>
            <w:vAlign w:val="bottom"/>
          </w:tcPr>
          <w:p>
            <w:pPr>
              <w:spacing w:after="0"/>
              <w:rPr>
                <w:sz w:val="20"/>
                <w:szCs w:val="20"/>
                <w:color w:val="auto"/>
              </w:rPr>
            </w:pPr>
            <w:r>
              <w:rPr>
                <w:rFonts w:ascii="Arial" w:cs="Arial" w:eastAsia="Arial" w:hAnsi="Arial"/>
                <w:sz w:val="18"/>
                <w:szCs w:val="18"/>
                <w:color w:val="auto"/>
              </w:rPr>
              <w:t>*Infectious Disease Vaccines was previously included in other mRNA</w:t>
            </w:r>
          </w:p>
        </w:tc>
        <w:tc>
          <w:tcPr>
            <w:tcW w:w="1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880" w:type="dxa"/>
            <w:vAlign w:val="bottom"/>
          </w:tcPr>
          <w:p>
            <w:pPr>
              <w:spacing w:after="0"/>
              <w:rPr>
                <w:sz w:val="20"/>
                <w:szCs w:val="20"/>
                <w:color w:val="auto"/>
              </w:rPr>
            </w:pPr>
          </w:p>
        </w:tc>
      </w:tr>
      <w:tr>
        <w:trPr>
          <w:trHeight w:val="234"/>
        </w:trPr>
        <w:tc>
          <w:tcPr>
            <w:tcW w:w="1700" w:type="dxa"/>
            <w:vAlign w:val="bottom"/>
          </w:tcPr>
          <w:p>
            <w:pPr>
              <w:jc w:val="right"/>
              <w:ind w:right="9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right w:val="single" w:sz="8" w:color="70AD47"/>
            </w:tcBorders>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25"/>
        </w:trPr>
        <w:tc>
          <w:tcPr>
            <w:tcW w:w="1700" w:type="dxa"/>
            <w:vAlign w:val="bottom"/>
            <w:tcBorders>
              <w:bottom w:val="single" w:sz="8" w:color="70AD47"/>
            </w:tcBorders>
          </w:tcPr>
          <w:p>
            <w:pPr>
              <w:spacing w:after="0"/>
              <w:rPr>
                <w:sz w:val="19"/>
                <w:szCs w:val="19"/>
                <w:color w:val="auto"/>
              </w:rPr>
            </w:pPr>
          </w:p>
        </w:tc>
        <w:tc>
          <w:tcPr>
            <w:tcW w:w="880" w:type="dxa"/>
            <w:vAlign w:val="bottom"/>
            <w:tcBorders>
              <w:bottom w:val="single" w:sz="8" w:color="70AD47"/>
              <w:right w:val="single" w:sz="8" w:color="70AD47"/>
            </w:tcBorders>
          </w:tcPr>
          <w:p>
            <w:pPr>
              <w:spacing w:after="0"/>
              <w:rPr>
                <w:sz w:val="19"/>
                <w:szCs w:val="19"/>
                <w:color w:val="auto"/>
              </w:rPr>
            </w:pPr>
          </w:p>
        </w:tc>
      </w:tr>
      <w:tr>
        <w:trPr>
          <w:trHeight w:val="681"/>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€1,685</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3,669</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10,652</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1,194</w:t>
            </w:r>
          </w:p>
        </w:tc>
      </w:tr>
      <w:tr>
        <w:trPr>
          <w:trHeight w:val="229"/>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(2,606)</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13,401</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1,797</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2,643</w:t>
            </w:r>
          </w:p>
        </w:tc>
      </w:tr>
      <w:tr>
        <w:trPr>
          <w:trHeight w:val="229"/>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3,667</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194</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700" w:type="dxa"/>
            <w:vAlign w:val="bottom"/>
            <w:tcBorders>
              <w:bottom w:val="single" w:sz="8" w:color="70AD47"/>
            </w:tcBorders>
          </w:tcPr>
          <w:p>
            <w:pPr>
              <w:jc w:val="right"/>
              <w:ind w:right="350"/>
              <w:spacing w:after="0"/>
              <w:rPr>
                <w:sz w:val="20"/>
                <w:szCs w:val="20"/>
                <w:color w:val="auto"/>
              </w:rPr>
            </w:pPr>
            <w:r>
              <w:rPr>
                <w:rFonts w:ascii="Arial" w:cs="Arial" w:eastAsia="Arial" w:hAnsi="Arial"/>
                <w:sz w:val="18"/>
                <w:szCs w:val="18"/>
                <w:color w:val="auto"/>
              </w:rPr>
              <w:t>(1,307)</w:t>
            </w:r>
          </w:p>
        </w:tc>
        <w:tc>
          <w:tcPr>
            <w:tcW w:w="88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1700" w:type="dxa"/>
            <w:vAlign w:val="bottom"/>
            <w:tcBorders>
              <w:bottom w:val="single" w:sz="8" w:color="70AD47"/>
            </w:tcBorders>
          </w:tcPr>
          <w:p>
            <w:pPr>
              <w:jc w:val="right"/>
              <w:ind w:right="350"/>
              <w:spacing w:after="0"/>
              <w:rPr>
                <w:sz w:val="20"/>
                <w:szCs w:val="20"/>
                <w:color w:val="auto"/>
              </w:rPr>
            </w:pPr>
            <w:r>
              <w:rPr>
                <w:rFonts w:ascii="Arial" w:cs="Arial" w:eastAsia="Arial" w:hAnsi="Arial"/>
                <w:sz w:val="18"/>
                <w:szCs w:val="18"/>
                <w:b w:val="1"/>
                <w:bCs w:val="1"/>
                <w:color w:val="auto"/>
              </w:rPr>
              <w:t>€17,752</w:t>
            </w:r>
          </w:p>
        </w:tc>
        <w:tc>
          <w:tcPr>
            <w:tcW w:w="88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8"/>
                <w:szCs w:val="18"/>
                <w:b w:val="1"/>
                <w:bCs w:val="1"/>
                <w:color w:val="auto"/>
              </w:rPr>
              <w:t>92</w:t>
            </w:r>
          </w:p>
        </w:tc>
      </w:tr>
      <w:tr>
        <w:trPr>
          <w:trHeight w:val="898"/>
        </w:trPr>
        <w:tc>
          <w:tcPr>
            <w:tcW w:w="1700" w:type="dxa"/>
            <w:vAlign w:val="bottom"/>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880" w:type="dxa"/>
            <w:vAlign w:val="bottom"/>
          </w:tcPr>
          <w:p>
            <w:pPr>
              <w:spacing w:after="0"/>
              <w:rPr>
                <w:sz w:val="24"/>
                <w:szCs w:val="24"/>
                <w:color w:val="auto"/>
              </w:rPr>
            </w:pPr>
          </w:p>
        </w:tc>
      </w:tr>
      <w:tr>
        <w:trPr>
          <w:trHeight w:val="234"/>
        </w:trPr>
        <w:tc>
          <w:tcPr>
            <w:tcW w:w="1700" w:type="dxa"/>
            <w:vAlign w:val="bottom"/>
          </w:tcPr>
          <w:p>
            <w:pPr>
              <w:jc w:val="right"/>
              <w:ind w:right="9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right w:val="single" w:sz="8" w:color="70AD47"/>
            </w:tcBorders>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25"/>
        </w:trPr>
        <w:tc>
          <w:tcPr>
            <w:tcW w:w="1700" w:type="dxa"/>
            <w:vAlign w:val="bottom"/>
            <w:tcBorders>
              <w:bottom w:val="single" w:sz="8" w:color="70AD47"/>
            </w:tcBorders>
          </w:tcPr>
          <w:p>
            <w:pPr>
              <w:spacing w:after="0"/>
              <w:rPr>
                <w:sz w:val="19"/>
                <w:szCs w:val="19"/>
                <w:color w:val="auto"/>
              </w:rPr>
            </w:pPr>
          </w:p>
        </w:tc>
        <w:tc>
          <w:tcPr>
            <w:tcW w:w="880" w:type="dxa"/>
            <w:vAlign w:val="bottom"/>
            <w:tcBorders>
              <w:bottom w:val="single" w:sz="8" w:color="70AD47"/>
              <w:right w:val="single" w:sz="8" w:color="70AD47"/>
            </w:tcBorders>
          </w:tcPr>
          <w:p>
            <w:pPr>
              <w:spacing w:after="0"/>
              <w:rPr>
                <w:sz w:val="19"/>
                <w:szCs w:val="19"/>
                <w:color w:val="auto"/>
              </w:rPr>
            </w:pPr>
          </w:p>
        </w:tc>
      </w:tr>
      <w:tr>
        <w:trPr>
          <w:trHeight w:val="681"/>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€1,957</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5,753</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10,900</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496</w:t>
            </w:r>
          </w:p>
        </w:tc>
      </w:tr>
      <w:tr>
        <w:trPr>
          <w:trHeight w:val="230"/>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(1,875)</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16,736</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2,630</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2,229</w:t>
            </w:r>
          </w:p>
        </w:tc>
      </w:tr>
      <w:tr>
        <w:trPr>
          <w:trHeight w:val="230"/>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5,092</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454</w:t>
            </w:r>
          </w:p>
        </w:tc>
        <w:tc>
          <w:tcPr>
            <w:tcW w:w="880" w:type="dxa"/>
            <w:vAlign w:val="bottom"/>
            <w:tcBorders>
              <w:right w:val="single" w:sz="8" w:color="70AD47"/>
            </w:tcBorders>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700" w:type="dxa"/>
            <w:vAlign w:val="bottom"/>
            <w:tcBorders>
              <w:bottom w:val="single" w:sz="8" w:color="70AD47"/>
            </w:tcBorders>
          </w:tcPr>
          <w:p>
            <w:pPr>
              <w:jc w:val="right"/>
              <w:ind w:right="350"/>
              <w:spacing w:after="0"/>
              <w:rPr>
                <w:sz w:val="20"/>
                <w:szCs w:val="20"/>
                <w:color w:val="auto"/>
              </w:rPr>
            </w:pPr>
            <w:r>
              <w:rPr>
                <w:rFonts w:ascii="Arial" w:cs="Arial" w:eastAsia="Arial" w:hAnsi="Arial"/>
                <w:sz w:val="18"/>
                <w:szCs w:val="18"/>
                <w:color w:val="auto"/>
              </w:rPr>
              <w:t>(10,154)</w:t>
            </w:r>
          </w:p>
        </w:tc>
        <w:tc>
          <w:tcPr>
            <w:tcW w:w="88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8"/>
                <w:szCs w:val="18"/>
                <w:color w:val="auto"/>
              </w:rPr>
              <w:t>(95)</w:t>
            </w:r>
          </w:p>
        </w:tc>
      </w:tr>
      <w:tr>
        <w:trPr>
          <w:trHeight w:val="223"/>
        </w:trPr>
        <w:tc>
          <w:tcPr>
            <w:tcW w:w="1700" w:type="dxa"/>
            <w:vAlign w:val="bottom"/>
            <w:tcBorders>
              <w:bottom w:val="single" w:sz="8" w:color="70AD47"/>
            </w:tcBorders>
          </w:tcPr>
          <w:p>
            <w:pPr>
              <w:jc w:val="right"/>
              <w:ind w:right="350"/>
              <w:spacing w:after="0"/>
              <w:rPr>
                <w:sz w:val="20"/>
                <w:szCs w:val="20"/>
                <w:color w:val="auto"/>
              </w:rPr>
            </w:pPr>
            <w:r>
              <w:rPr>
                <w:rFonts w:ascii="Arial" w:cs="Arial" w:eastAsia="Arial" w:hAnsi="Arial"/>
                <w:sz w:val="18"/>
                <w:szCs w:val="18"/>
                <w:b w:val="1"/>
                <w:bCs w:val="1"/>
                <w:color w:val="auto"/>
              </w:rPr>
              <w:t>€14,758</w:t>
            </w:r>
          </w:p>
        </w:tc>
        <w:tc>
          <w:tcPr>
            <w:tcW w:w="88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8"/>
                <w:szCs w:val="18"/>
                <w:b w:val="1"/>
                <w:bCs w:val="1"/>
                <w:color w:val="auto"/>
              </w:rPr>
              <w:t>34</w:t>
            </w:r>
          </w:p>
        </w:tc>
      </w:tr>
    </w:tbl>
    <w:p>
      <w:pPr>
        <w:spacing w:after="0" w:line="430" w:lineRule="exact"/>
        <w:rPr>
          <w:sz w:val="20"/>
          <w:szCs w:val="20"/>
          <w:color w:val="auto"/>
        </w:rPr>
      </w:pPr>
    </w:p>
    <w:p>
      <w:pPr>
        <w:sectPr>
          <w:pgSz w:w="11900" w:h="16838" w:orient="portrait"/>
          <w:cols w:equalWidth="0" w:num="2">
            <w:col w:w="8560" w:space="120"/>
            <w:col w:w="2580"/>
          </w:cols>
          <w:pgMar w:left="320" w:top="973" w:right="319" w:bottom="1440" w:gutter="0" w:footer="0" w:header="0"/>
          <w:type w:val="continuous"/>
        </w:sectPr>
      </w:pPr>
    </w:p>
    <w:p>
      <w:pPr>
        <w:spacing w:after="0" w:line="228"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auto"/>
        </w:rPr>
        <w:t>During the three months ended June 30, 2020, other mRNA expenses mainly included €1.3 million Intratumoral Immunotherapy costs, €0.8 million RiboCytokines costs, €0.6 million RiboMabs costs and €0.5 million Protein Replacement Therapy costs. Other mRNA expenses during the three months ended June 30, 2019 mainly included €2.7 million RiboCytokines costs, €1.5 million RiboMabs costs, €1.3 million Intratumoral Immunotherapy costs and €0.5 million Protein Replacement Therapy costs.</w:t>
      </w:r>
    </w:p>
    <w:p>
      <w:pPr>
        <w:spacing w:after="0" w:line="176"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During the six months ended June 30, 2020, other mRNA expenses mainly included €2.8 million Intratumoral Immunotherapy costs, €1.8 million RiboCytokines costs, €1.6 million RiboMabs costs and €1.2 million Protein Replacement Therapy costs. Other mRNA expenses during the six months ended June 30, 2019 mainly included €4.2 million RiboCytokines costs, €2.6 million Intratumoral Immunotherapy costs, €2.0 million RiboMabs costs and €0.9 million Protein Replacement Therapy costs.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 and Marketing Expenses</w:t>
      </w:r>
    </w:p>
    <w:p>
      <w:pPr>
        <w:spacing w:after="0" w:line="108"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Sales and marketing expenses of our biotech business unit increased by €2.2 million to €2.5 million in the three months ended June 30, 2020 from €0.3 million in the three months ended June 30, 2019 as well as by €2.0 million, or 361%, to €2.6 million in the six months ended June 30, 2020 from €0.6</w:t>
      </w:r>
    </w:p>
    <w:p>
      <w:pPr>
        <w:spacing w:after="0" w:line="19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973" w:right="31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million in the six months ended June 30, 2019. The increase was mainly due to increased marketing consulting expenses.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Expenses</w:t>
      </w:r>
    </w:p>
    <w:p>
      <w:pPr>
        <w:spacing w:after="0" w:line="108" w:lineRule="exact"/>
        <w:rPr>
          <w:sz w:val="20"/>
          <w:szCs w:val="20"/>
          <w:color w:val="auto"/>
        </w:rPr>
      </w:pPr>
    </w:p>
    <w:p>
      <w:pPr>
        <w:jc w:val="both"/>
        <w:ind w:right="20"/>
        <w:spacing w:after="0" w:line="259" w:lineRule="auto"/>
        <w:rPr>
          <w:sz w:val="20"/>
          <w:szCs w:val="20"/>
          <w:color w:val="auto"/>
        </w:rPr>
      </w:pPr>
      <w:r>
        <w:rPr>
          <w:rFonts w:ascii="Arial" w:cs="Arial" w:eastAsia="Arial" w:hAnsi="Arial"/>
          <w:sz w:val="19"/>
          <w:szCs w:val="19"/>
          <w:color w:val="auto"/>
        </w:rPr>
        <w:t>General and administrative expenses of our biotech business unit increased by €4.0 million, or 29%, to €18.0 million in the three months ended June 30, 2020 from €14.0 million in the three months ended June 30, 2019 as well as by €10.6 million, or 47%, to €33.2 million in the six months ended June 30, 2020 from €22.6 million in the six months ended June 30, 2019. The increase was mainly influenced by higher expenses for purchased management consulting and legal services as well as an increase in headcount leading to higher wages, benefits and social security expenses. In addition, from May 6, 2020, the date of acquisition, our new U.S.-based subsidiary, BioNTech US Inc. contributed €1.6 million to the general and administrative expenses of the Group.</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Result</w:t>
      </w:r>
    </w:p>
    <w:p>
      <w:pPr>
        <w:spacing w:after="0" w:line="10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other result of our biotech business unit decreased by €0.3 million, or 91%, to €0.03 million in the three months ended June 30, 2020 from €0.3 million in the three months ended June 30, 2019.</w:t>
      </w:r>
    </w:p>
    <w:p>
      <w:pPr>
        <w:spacing w:after="0" w:line="177"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The other result of our biotech business unit decreased by €0.3 million, or 45%, to €0.3 million in the six months ended June 30, 2020 from €0.6 million in the six months ended June 30, 2019.</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External Services Business Unit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statements of operations of our external services business unit for each period presented: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04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7"/>
              </w:rPr>
              <w:t>Six months ended</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186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04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40" w:type="dxa"/>
            <w:vAlign w:val="bottom"/>
            <w:tcBorders>
              <w:right w:val="single" w:sz="8" w:color="9BBB59"/>
            </w:tcBorders>
          </w:tcPr>
          <w:p>
            <w:pPr>
              <w:spacing w:after="0"/>
              <w:rPr>
                <w:sz w:val="19"/>
                <w:szCs w:val="19"/>
                <w:color w:val="auto"/>
              </w:rPr>
            </w:pP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940" w:type="dxa"/>
            <w:vAlign w:val="bottom"/>
            <w:tcBorders>
              <w:right w:val="single" w:sz="8" w:color="70AD47"/>
            </w:tcBorders>
          </w:tcPr>
          <w:p>
            <w:pPr>
              <w:spacing w:after="0"/>
              <w:rPr>
                <w:sz w:val="20"/>
                <w:szCs w:val="20"/>
                <w:color w:val="auto"/>
              </w:rPr>
            </w:pPr>
            <w:r>
              <w:rPr>
                <w:rFonts w:ascii="Arial" w:cs="Arial" w:eastAsia="Arial" w:hAnsi="Arial"/>
                <w:sz w:val="18"/>
                <w:szCs w:val="18"/>
                <w:i w:val="1"/>
                <w:iCs w:val="1"/>
                <w:color w:val="auto"/>
              </w:rPr>
              <w:t>(in thousands)</w:t>
            </w:r>
          </w:p>
        </w:tc>
        <w:tc>
          <w:tcPr>
            <w:tcW w:w="1860" w:type="dxa"/>
            <w:vAlign w:val="bottom"/>
            <w:gridSpan w:val="2"/>
          </w:tcPr>
          <w:p>
            <w:pPr>
              <w:jc w:val="center"/>
              <w:ind w:left="650"/>
              <w:spacing w:after="0"/>
              <w:rPr>
                <w:sz w:val="20"/>
                <w:szCs w:val="20"/>
                <w:color w:val="auto"/>
              </w:rPr>
            </w:pPr>
            <w:r>
              <w:rPr>
                <w:rFonts w:ascii="Arial" w:cs="Arial" w:eastAsia="Arial" w:hAnsi="Arial"/>
                <w:sz w:val="18"/>
                <w:szCs w:val="18"/>
                <w:i w:val="1"/>
                <w:iCs w:val="1"/>
                <w:color w:val="auto"/>
                <w:w w:val="92"/>
              </w:rPr>
              <w:t>(unaudited)</w:t>
            </w:r>
          </w:p>
        </w:tc>
        <w:tc>
          <w:tcPr>
            <w:tcW w:w="760" w:type="dxa"/>
            <w:vAlign w:val="bottom"/>
          </w:tcPr>
          <w:p>
            <w:pPr>
              <w:spacing w:after="0"/>
              <w:rPr>
                <w:sz w:val="22"/>
                <w:szCs w:val="22"/>
                <w:color w:val="auto"/>
              </w:rPr>
            </w:pPr>
          </w:p>
        </w:tc>
        <w:tc>
          <w:tcPr>
            <w:tcW w:w="2040" w:type="dxa"/>
            <w:vAlign w:val="bottom"/>
            <w:tcBorders>
              <w:left w:val="single" w:sz="8" w:color="70AD47"/>
            </w:tcBorders>
            <w:gridSpan w:val="2"/>
          </w:tcPr>
          <w:p>
            <w:pPr>
              <w:jc w:val="center"/>
              <w:ind w:left="550"/>
              <w:spacing w:after="0"/>
              <w:rPr>
                <w:sz w:val="20"/>
                <w:szCs w:val="20"/>
                <w:color w:val="auto"/>
              </w:rPr>
            </w:pPr>
            <w:r>
              <w:rPr>
                <w:rFonts w:ascii="Arial" w:cs="Arial" w:eastAsia="Arial" w:hAnsi="Arial"/>
                <w:sz w:val="18"/>
                <w:szCs w:val="18"/>
                <w:i w:val="1"/>
                <w:iCs w:val="1"/>
                <w:color w:val="auto"/>
                <w:w w:val="92"/>
              </w:rPr>
              <w:t>(unaudited)</w:t>
            </w:r>
          </w:p>
        </w:tc>
        <w:tc>
          <w:tcPr>
            <w:tcW w:w="640" w:type="dxa"/>
            <w:vAlign w:val="bottom"/>
          </w:tcPr>
          <w:p>
            <w:pPr>
              <w:spacing w:after="0"/>
              <w:rPr>
                <w:sz w:val="22"/>
                <w:szCs w:val="22"/>
                <w:color w:val="auto"/>
              </w:rPr>
            </w:pPr>
          </w:p>
        </w:tc>
        <w:tc>
          <w:tcPr>
            <w:tcW w:w="20" w:type="dxa"/>
            <w:vAlign w:val="bottom"/>
            <w:shd w:val="clear" w:color="auto" w:fill="70AD47"/>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940" w:type="dxa"/>
            <w:vAlign w:val="bottom"/>
            <w:tcBorders>
              <w:bottom w:val="single" w:sz="8" w:color="70AD47"/>
              <w:right w:val="single" w:sz="8" w:color="70AD47"/>
            </w:tcBorders>
          </w:tcPr>
          <w:p>
            <w:pPr>
              <w:spacing w:after="0"/>
              <w:rPr>
                <w:sz w:val="2"/>
                <w:szCs w:val="2"/>
                <w:color w:val="auto"/>
              </w:rPr>
            </w:pPr>
          </w:p>
        </w:tc>
        <w:tc>
          <w:tcPr>
            <w:tcW w:w="1320" w:type="dxa"/>
            <w:vAlign w:val="bottom"/>
            <w:tcBorders>
              <w:bottom w:val="single" w:sz="8" w:color="70AD47"/>
            </w:tcBorders>
          </w:tcPr>
          <w:p>
            <w:pPr>
              <w:spacing w:after="0"/>
              <w:rPr>
                <w:sz w:val="2"/>
                <w:szCs w:val="2"/>
                <w:color w:val="auto"/>
              </w:rPr>
            </w:pPr>
          </w:p>
        </w:tc>
        <w:tc>
          <w:tcPr>
            <w:tcW w:w="540" w:type="dxa"/>
            <w:vAlign w:val="bottom"/>
            <w:tcBorders>
              <w:bottom w:val="single" w:sz="8" w:color="70AD47"/>
            </w:tcBorders>
          </w:tcPr>
          <w:p>
            <w:pPr>
              <w:spacing w:after="0"/>
              <w:rPr>
                <w:sz w:val="2"/>
                <w:szCs w:val="2"/>
                <w:color w:val="auto"/>
              </w:rPr>
            </w:pPr>
          </w:p>
        </w:tc>
        <w:tc>
          <w:tcPr>
            <w:tcW w:w="760" w:type="dxa"/>
            <w:vAlign w:val="bottom"/>
            <w:tcBorders>
              <w:bottom w:val="single" w:sz="8" w:color="70AD47"/>
            </w:tcBorders>
          </w:tcPr>
          <w:p>
            <w:pPr>
              <w:spacing w:after="0"/>
              <w:rPr>
                <w:sz w:val="2"/>
                <w:szCs w:val="2"/>
                <w:color w:val="auto"/>
              </w:rPr>
            </w:pPr>
          </w:p>
        </w:tc>
        <w:tc>
          <w:tcPr>
            <w:tcW w:w="1360" w:type="dxa"/>
            <w:vAlign w:val="bottom"/>
            <w:tcBorders>
              <w:left w:val="single" w:sz="8" w:color="70AD47"/>
              <w:bottom w:val="single" w:sz="8" w:color="70AD47"/>
            </w:tcBorders>
          </w:tcPr>
          <w:p>
            <w:pPr>
              <w:spacing w:after="0"/>
              <w:rPr>
                <w:sz w:val="2"/>
                <w:szCs w:val="2"/>
                <w:color w:val="auto"/>
              </w:rPr>
            </w:pPr>
          </w:p>
        </w:tc>
        <w:tc>
          <w:tcPr>
            <w:tcW w:w="680" w:type="dxa"/>
            <w:vAlign w:val="bottom"/>
            <w:tcBorders>
              <w:bottom w:val="single" w:sz="8" w:color="70AD47"/>
            </w:tcBorders>
          </w:tcPr>
          <w:p>
            <w:pPr>
              <w:spacing w:after="0"/>
              <w:rPr>
                <w:sz w:val="2"/>
                <w:szCs w:val="2"/>
                <w:color w:val="auto"/>
              </w:rPr>
            </w:pPr>
          </w:p>
        </w:tc>
        <w:tc>
          <w:tcPr>
            <w:tcW w:w="640" w:type="dxa"/>
            <w:vAlign w:val="bottom"/>
            <w:tcBorders>
              <w:bottom w:val="single" w:sz="8" w:color="70AD47"/>
            </w:tcBorders>
          </w:tcPr>
          <w:p>
            <w:pPr>
              <w:spacing w:after="0"/>
              <w:rPr>
                <w:sz w:val="2"/>
                <w:szCs w:val="2"/>
                <w:color w:val="auto"/>
              </w:rPr>
            </w:pPr>
          </w:p>
        </w:tc>
        <w:tc>
          <w:tcPr>
            <w:tcW w:w="20" w:type="dxa"/>
            <w:vAlign w:val="bottom"/>
            <w:tcBorders>
              <w:bottom w:val="single" w:sz="8" w:color="70AD47"/>
            </w:tcBorders>
            <w:shd w:val="clear" w:color="auto" w:fill="70AD47"/>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594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Revenues</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€9,089</w:t>
            </w:r>
          </w:p>
        </w:tc>
        <w:tc>
          <w:tcPr>
            <w:tcW w:w="5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€5,327</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€15,331</w:t>
            </w:r>
          </w:p>
        </w:tc>
        <w:tc>
          <w:tcPr>
            <w:tcW w:w="6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€9,443</w:t>
            </w: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94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Cost of sales</w:t>
            </w:r>
          </w:p>
        </w:tc>
        <w:tc>
          <w:tcPr>
            <w:tcW w:w="132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(4,779)</w:t>
            </w:r>
          </w:p>
        </w:tc>
        <w:tc>
          <w:tcPr>
            <w:tcW w:w="5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(5,501)</w:t>
            </w:r>
          </w:p>
        </w:tc>
        <w:tc>
          <w:tcPr>
            <w:tcW w:w="1360" w:type="dxa"/>
            <w:vAlign w:val="bottom"/>
            <w:tcBorders>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(10,434)</w:t>
            </w:r>
          </w:p>
        </w:tc>
        <w:tc>
          <w:tcPr>
            <w:tcW w:w="6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(8,603)</w:t>
            </w:r>
          </w:p>
        </w:tc>
        <w:tc>
          <w:tcPr>
            <w:tcW w:w="20" w:type="dxa"/>
            <w:vAlign w:val="bottom"/>
            <w:tcBorders>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940" w:type="dxa"/>
            <w:vAlign w:val="bottom"/>
            <w:tcBorders>
              <w:top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Gross profit</w:t>
            </w:r>
          </w:p>
        </w:tc>
        <w:tc>
          <w:tcPr>
            <w:tcW w:w="132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€4,310</w:t>
            </w:r>
          </w:p>
        </w:tc>
        <w:tc>
          <w:tcPr>
            <w:tcW w:w="540" w:type="dxa"/>
            <w:vAlign w:val="bottom"/>
            <w:tcBorders>
              <w:top w:val="single" w:sz="8" w:color="70AD47"/>
            </w:tcBorders>
          </w:tcPr>
          <w:p>
            <w:pPr>
              <w:spacing w:after="0"/>
              <w:rPr>
                <w:sz w:val="24"/>
                <w:szCs w:val="24"/>
                <w:color w:val="auto"/>
              </w:rPr>
            </w:pPr>
          </w:p>
        </w:tc>
        <w:tc>
          <w:tcPr>
            <w:tcW w:w="760" w:type="dxa"/>
            <w:vAlign w:val="bottom"/>
            <w:tcBorders>
              <w:top w:val="single" w:sz="8" w:color="70AD47"/>
            </w:tcBorders>
          </w:tcPr>
          <w:p>
            <w:pPr>
              <w:jc w:val="right"/>
              <w:spacing w:after="0"/>
              <w:rPr>
                <w:sz w:val="20"/>
                <w:szCs w:val="20"/>
                <w:color w:val="auto"/>
              </w:rPr>
            </w:pPr>
            <w:r>
              <w:rPr>
                <w:rFonts w:ascii="Arial" w:cs="Arial" w:eastAsia="Arial" w:hAnsi="Arial"/>
                <w:sz w:val="18"/>
                <w:szCs w:val="18"/>
                <w:b w:val="1"/>
                <w:bCs w:val="1"/>
                <w:color w:val="auto"/>
              </w:rPr>
              <w:t>€(174)</w:t>
            </w:r>
          </w:p>
        </w:tc>
        <w:tc>
          <w:tcPr>
            <w:tcW w:w="1360" w:type="dxa"/>
            <w:vAlign w:val="bottom"/>
            <w:tcBorders>
              <w:top w:val="single" w:sz="8" w:color="70AD47"/>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€4,897</w:t>
            </w:r>
          </w:p>
        </w:tc>
        <w:tc>
          <w:tcPr>
            <w:tcW w:w="680" w:type="dxa"/>
            <w:vAlign w:val="bottom"/>
            <w:tcBorders>
              <w:top w:val="single" w:sz="8" w:color="70AD47"/>
            </w:tcBorders>
          </w:tcPr>
          <w:p>
            <w:pPr>
              <w:spacing w:after="0"/>
              <w:rPr>
                <w:sz w:val="24"/>
                <w:szCs w:val="24"/>
                <w:color w:val="auto"/>
              </w:rPr>
            </w:pPr>
          </w:p>
        </w:tc>
        <w:tc>
          <w:tcPr>
            <w:tcW w:w="640" w:type="dxa"/>
            <w:vAlign w:val="bottom"/>
            <w:tcBorders>
              <w:top w:val="single" w:sz="8" w:color="70AD47"/>
            </w:tcBorders>
          </w:tcPr>
          <w:p>
            <w:pPr>
              <w:jc w:val="right"/>
              <w:spacing w:after="0"/>
              <w:rPr>
                <w:sz w:val="20"/>
                <w:szCs w:val="20"/>
                <w:color w:val="auto"/>
              </w:rPr>
            </w:pPr>
            <w:r>
              <w:rPr>
                <w:rFonts w:ascii="Arial" w:cs="Arial" w:eastAsia="Arial" w:hAnsi="Arial"/>
                <w:sz w:val="18"/>
                <w:szCs w:val="18"/>
                <w:b w:val="1"/>
                <w:bCs w:val="1"/>
                <w:color w:val="auto"/>
              </w:rPr>
              <w:t>€840</w:t>
            </w:r>
          </w:p>
        </w:tc>
        <w:tc>
          <w:tcPr>
            <w:tcW w:w="20" w:type="dxa"/>
            <w:vAlign w:val="bottom"/>
            <w:tcBorders>
              <w:top w:val="single" w:sz="8" w:color="70AD47"/>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5940" w:type="dxa"/>
            <w:vAlign w:val="bottom"/>
            <w:tcBorders>
              <w:top w:val="single" w:sz="8" w:color="70AD47"/>
              <w:right w:val="single" w:sz="8" w:color="70AD47"/>
            </w:tcBorders>
          </w:tcPr>
          <w:p>
            <w:pPr>
              <w:spacing w:after="0"/>
              <w:rPr>
                <w:sz w:val="20"/>
                <w:szCs w:val="20"/>
                <w:color w:val="auto"/>
              </w:rPr>
            </w:pPr>
            <w:r>
              <w:rPr>
                <w:rFonts w:ascii="Arial" w:cs="Arial" w:eastAsia="Arial" w:hAnsi="Arial"/>
                <w:sz w:val="18"/>
                <w:szCs w:val="18"/>
                <w:color w:val="auto"/>
              </w:rPr>
              <w:t>Research and development expenses</w:t>
            </w:r>
          </w:p>
        </w:tc>
        <w:tc>
          <w:tcPr>
            <w:tcW w:w="132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(147)</w:t>
            </w:r>
          </w:p>
        </w:tc>
        <w:tc>
          <w:tcPr>
            <w:tcW w:w="540" w:type="dxa"/>
            <w:vAlign w:val="bottom"/>
            <w:tcBorders>
              <w:top w:val="single" w:sz="8" w:color="70AD47"/>
            </w:tcBorders>
          </w:tcPr>
          <w:p>
            <w:pPr>
              <w:spacing w:after="0"/>
              <w:rPr>
                <w:sz w:val="24"/>
                <w:szCs w:val="24"/>
                <w:color w:val="auto"/>
              </w:rPr>
            </w:pPr>
          </w:p>
        </w:tc>
        <w:tc>
          <w:tcPr>
            <w:tcW w:w="760" w:type="dxa"/>
            <w:vAlign w:val="bottom"/>
            <w:tcBorders>
              <w:top w:val="single" w:sz="8" w:color="70AD47"/>
            </w:tcBorders>
          </w:tcPr>
          <w:p>
            <w:pPr>
              <w:jc w:val="right"/>
              <w:spacing w:after="0"/>
              <w:rPr>
                <w:sz w:val="20"/>
                <w:szCs w:val="20"/>
                <w:color w:val="auto"/>
              </w:rPr>
            </w:pPr>
            <w:r>
              <w:rPr>
                <w:rFonts w:ascii="Arial" w:cs="Arial" w:eastAsia="Arial" w:hAnsi="Arial"/>
                <w:sz w:val="18"/>
                <w:szCs w:val="18"/>
                <w:color w:val="auto"/>
              </w:rPr>
              <w:t>(177)</w:t>
            </w:r>
          </w:p>
        </w:tc>
        <w:tc>
          <w:tcPr>
            <w:tcW w:w="1360" w:type="dxa"/>
            <w:vAlign w:val="bottom"/>
            <w:tcBorders>
              <w:top w:val="single" w:sz="8" w:color="70AD47"/>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(308)</w:t>
            </w:r>
          </w:p>
        </w:tc>
        <w:tc>
          <w:tcPr>
            <w:tcW w:w="680" w:type="dxa"/>
            <w:vAlign w:val="bottom"/>
            <w:tcBorders>
              <w:top w:val="single" w:sz="8" w:color="70AD47"/>
            </w:tcBorders>
          </w:tcPr>
          <w:p>
            <w:pPr>
              <w:spacing w:after="0"/>
              <w:rPr>
                <w:sz w:val="24"/>
                <w:szCs w:val="24"/>
                <w:color w:val="auto"/>
              </w:rPr>
            </w:pPr>
          </w:p>
        </w:tc>
        <w:tc>
          <w:tcPr>
            <w:tcW w:w="640" w:type="dxa"/>
            <w:vAlign w:val="bottom"/>
            <w:tcBorders>
              <w:top w:val="single" w:sz="8" w:color="70AD47"/>
            </w:tcBorders>
          </w:tcPr>
          <w:p>
            <w:pPr>
              <w:jc w:val="right"/>
              <w:spacing w:after="0"/>
              <w:rPr>
                <w:sz w:val="20"/>
                <w:szCs w:val="20"/>
                <w:color w:val="auto"/>
              </w:rPr>
            </w:pPr>
            <w:r>
              <w:rPr>
                <w:rFonts w:ascii="Arial" w:cs="Arial" w:eastAsia="Arial" w:hAnsi="Arial"/>
                <w:sz w:val="18"/>
                <w:szCs w:val="18"/>
                <w:color w:val="auto"/>
              </w:rPr>
              <w:t>(262)</w:t>
            </w:r>
          </w:p>
        </w:tc>
        <w:tc>
          <w:tcPr>
            <w:tcW w:w="20" w:type="dxa"/>
            <w:vAlign w:val="bottom"/>
            <w:tcBorders>
              <w:top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94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Sales and marketing expenses</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(595)</w:t>
            </w:r>
          </w:p>
        </w:tc>
        <w:tc>
          <w:tcPr>
            <w:tcW w:w="5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(395)</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(917)</w:t>
            </w:r>
          </w:p>
        </w:tc>
        <w:tc>
          <w:tcPr>
            <w:tcW w:w="6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(669)</w:t>
            </w: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94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General and administrative expenses</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(835)</w:t>
            </w:r>
          </w:p>
        </w:tc>
        <w:tc>
          <w:tcPr>
            <w:tcW w:w="5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(646)</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(1,473)</w:t>
            </w:r>
          </w:p>
        </w:tc>
        <w:tc>
          <w:tcPr>
            <w:tcW w:w="6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(1,345)</w:t>
            </w: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940" w:type="dxa"/>
            <w:vAlign w:val="bottom"/>
            <w:tcBorders>
              <w:right w:val="single" w:sz="8" w:color="70AD47"/>
            </w:tcBorders>
          </w:tcPr>
          <w:p>
            <w:pPr>
              <w:spacing w:after="0"/>
              <w:rPr>
                <w:sz w:val="20"/>
                <w:szCs w:val="20"/>
                <w:color w:val="auto"/>
              </w:rPr>
            </w:pPr>
            <w:r>
              <w:rPr>
                <w:rFonts w:ascii="Arial" w:cs="Arial" w:eastAsia="Arial" w:hAnsi="Arial"/>
                <w:sz w:val="18"/>
                <w:szCs w:val="18"/>
                <w:color w:val="auto"/>
              </w:rPr>
              <w:t>Other result</w:t>
            </w:r>
          </w:p>
        </w:tc>
        <w:tc>
          <w:tcPr>
            <w:tcW w:w="132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256</w:t>
            </w:r>
          </w:p>
        </w:tc>
        <w:tc>
          <w:tcPr>
            <w:tcW w:w="1360" w:type="dxa"/>
            <w:vAlign w:val="bottom"/>
            <w:tcBorders>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14</w:t>
            </w:r>
          </w:p>
        </w:tc>
        <w:tc>
          <w:tcPr>
            <w:tcW w:w="6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w:t>
            </w:r>
          </w:p>
        </w:tc>
        <w:tc>
          <w:tcPr>
            <w:tcW w:w="20" w:type="dxa"/>
            <w:vAlign w:val="bottom"/>
            <w:tcBorders>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940" w:type="dxa"/>
            <w:vAlign w:val="bottom"/>
            <w:tcBorders>
              <w:top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Operating income (loss)</w:t>
            </w:r>
          </w:p>
        </w:tc>
        <w:tc>
          <w:tcPr>
            <w:tcW w:w="132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€2,722</w:t>
            </w:r>
          </w:p>
        </w:tc>
        <w:tc>
          <w:tcPr>
            <w:tcW w:w="540" w:type="dxa"/>
            <w:vAlign w:val="bottom"/>
            <w:tcBorders>
              <w:top w:val="single" w:sz="8" w:color="70AD47"/>
            </w:tcBorders>
          </w:tcPr>
          <w:p>
            <w:pPr>
              <w:spacing w:after="0"/>
              <w:rPr>
                <w:sz w:val="22"/>
                <w:szCs w:val="22"/>
                <w:color w:val="auto"/>
              </w:rPr>
            </w:pPr>
          </w:p>
        </w:tc>
        <w:tc>
          <w:tcPr>
            <w:tcW w:w="760" w:type="dxa"/>
            <w:vAlign w:val="bottom"/>
            <w:tcBorders>
              <w:top w:val="single" w:sz="8" w:color="70AD47"/>
            </w:tcBorders>
          </w:tcPr>
          <w:p>
            <w:pPr>
              <w:jc w:val="right"/>
              <w:spacing w:after="0"/>
              <w:rPr>
                <w:sz w:val="20"/>
                <w:szCs w:val="20"/>
                <w:color w:val="auto"/>
              </w:rPr>
            </w:pPr>
            <w:r>
              <w:rPr>
                <w:rFonts w:ascii="Arial" w:cs="Arial" w:eastAsia="Arial" w:hAnsi="Arial"/>
                <w:sz w:val="18"/>
                <w:szCs w:val="18"/>
                <w:b w:val="1"/>
                <w:bCs w:val="1"/>
                <w:color w:val="auto"/>
              </w:rPr>
              <w:t>€(1,136)</w:t>
            </w:r>
          </w:p>
        </w:tc>
        <w:tc>
          <w:tcPr>
            <w:tcW w:w="1360" w:type="dxa"/>
            <w:vAlign w:val="bottom"/>
            <w:tcBorders>
              <w:top w:val="single" w:sz="8" w:color="70AD47"/>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€2,213</w:t>
            </w:r>
          </w:p>
        </w:tc>
        <w:tc>
          <w:tcPr>
            <w:tcW w:w="680" w:type="dxa"/>
            <w:vAlign w:val="bottom"/>
            <w:tcBorders>
              <w:top w:val="single" w:sz="8" w:color="70AD47"/>
            </w:tcBorders>
          </w:tcPr>
          <w:p>
            <w:pPr>
              <w:spacing w:after="0"/>
              <w:rPr>
                <w:sz w:val="22"/>
                <w:szCs w:val="22"/>
                <w:color w:val="auto"/>
              </w:rPr>
            </w:pPr>
          </w:p>
        </w:tc>
        <w:tc>
          <w:tcPr>
            <w:tcW w:w="640" w:type="dxa"/>
            <w:vAlign w:val="bottom"/>
            <w:tcBorders>
              <w:top w:val="single" w:sz="8" w:color="70AD47"/>
            </w:tcBorders>
          </w:tcPr>
          <w:p>
            <w:pPr>
              <w:jc w:val="right"/>
              <w:spacing w:after="0"/>
              <w:rPr>
                <w:sz w:val="20"/>
                <w:szCs w:val="20"/>
                <w:color w:val="auto"/>
              </w:rPr>
            </w:pPr>
            <w:r>
              <w:rPr>
                <w:rFonts w:ascii="Arial" w:cs="Arial" w:eastAsia="Arial" w:hAnsi="Arial"/>
                <w:sz w:val="18"/>
                <w:szCs w:val="18"/>
                <w:b w:val="1"/>
                <w:bCs w:val="1"/>
                <w:color w:val="auto"/>
                <w:w w:val="89"/>
              </w:rPr>
              <w:t>€(1,191)</w:t>
            </w:r>
          </w:p>
        </w:tc>
        <w:tc>
          <w:tcPr>
            <w:tcW w:w="20" w:type="dxa"/>
            <w:vAlign w:val="bottom"/>
            <w:tcBorders>
              <w:top w:val="single" w:sz="8" w:color="70AD47"/>
              <w:bottom w:val="single" w:sz="8" w:color="70AD47"/>
            </w:tcBorders>
            <w:shd w:val="clear" w:color="auto" w:fill="70AD4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40" w:type="dxa"/>
            <w:vAlign w:val="bottom"/>
            <w:tcBorders>
              <w:right w:val="single" w:sz="8" w:color="70AD47"/>
            </w:tcBorders>
            <w:shd w:val="clear" w:color="auto" w:fill="70AD47"/>
          </w:tcPr>
          <w:p>
            <w:pPr>
              <w:spacing w:after="0" w:line="20" w:lineRule="exact"/>
              <w:rPr>
                <w:sz w:val="1"/>
                <w:szCs w:val="1"/>
                <w:color w:val="auto"/>
              </w:rPr>
            </w:pPr>
          </w:p>
        </w:tc>
        <w:tc>
          <w:tcPr>
            <w:tcW w:w="1320" w:type="dxa"/>
            <w:vAlign w:val="bottom"/>
            <w:tcBorders>
              <w:right w:val="single" w:sz="8" w:color="70AD47"/>
            </w:tcBorders>
            <w:shd w:val="clear" w:color="auto" w:fill="70AD47"/>
          </w:tcPr>
          <w:p>
            <w:pPr>
              <w:spacing w:after="0" w:line="20" w:lineRule="exact"/>
              <w:rPr>
                <w:sz w:val="1"/>
                <w:szCs w:val="1"/>
                <w:color w:val="auto"/>
              </w:rPr>
            </w:pPr>
          </w:p>
        </w:tc>
        <w:tc>
          <w:tcPr>
            <w:tcW w:w="540" w:type="dxa"/>
            <w:vAlign w:val="bottom"/>
            <w:shd w:val="clear" w:color="auto" w:fill="70AD47"/>
          </w:tcPr>
          <w:p>
            <w:pPr>
              <w:spacing w:after="0" w:line="20" w:lineRule="exact"/>
              <w:rPr>
                <w:sz w:val="1"/>
                <w:szCs w:val="1"/>
                <w:color w:val="auto"/>
              </w:rPr>
            </w:pPr>
          </w:p>
        </w:tc>
        <w:tc>
          <w:tcPr>
            <w:tcW w:w="760" w:type="dxa"/>
            <w:vAlign w:val="bottom"/>
            <w:shd w:val="clear" w:color="auto" w:fill="70AD47"/>
          </w:tcPr>
          <w:p>
            <w:pPr>
              <w:spacing w:after="0" w:line="20" w:lineRule="exact"/>
              <w:rPr>
                <w:sz w:val="1"/>
                <w:szCs w:val="1"/>
                <w:color w:val="auto"/>
              </w:rPr>
            </w:pPr>
          </w:p>
        </w:tc>
        <w:tc>
          <w:tcPr>
            <w:tcW w:w="1360" w:type="dxa"/>
            <w:vAlign w:val="bottom"/>
            <w:tcBorders>
              <w:left w:val="single" w:sz="8" w:color="70AD47"/>
              <w:right w:val="single" w:sz="8" w:color="70AD47"/>
            </w:tcBorders>
            <w:shd w:val="clear" w:color="auto" w:fill="70AD47"/>
          </w:tcPr>
          <w:p>
            <w:pPr>
              <w:spacing w:after="0" w:line="20" w:lineRule="exact"/>
              <w:rPr>
                <w:sz w:val="1"/>
                <w:szCs w:val="1"/>
                <w:color w:val="auto"/>
              </w:rPr>
            </w:pPr>
          </w:p>
        </w:tc>
        <w:tc>
          <w:tcPr>
            <w:tcW w:w="680" w:type="dxa"/>
            <w:vAlign w:val="bottom"/>
            <w:shd w:val="clear" w:color="auto" w:fill="70AD47"/>
          </w:tcPr>
          <w:p>
            <w:pPr>
              <w:spacing w:after="0" w:line="20" w:lineRule="exact"/>
              <w:rPr>
                <w:sz w:val="1"/>
                <w:szCs w:val="1"/>
                <w:color w:val="auto"/>
              </w:rPr>
            </w:pPr>
          </w:p>
        </w:tc>
        <w:tc>
          <w:tcPr>
            <w:tcW w:w="640" w:type="dxa"/>
            <w:vAlign w:val="bottom"/>
            <w:shd w:val="clear" w:color="auto" w:fill="70AD47"/>
          </w:tcPr>
          <w:p>
            <w:pPr>
              <w:spacing w:after="0" w:line="20" w:lineRule="exact"/>
              <w:rPr>
                <w:sz w:val="1"/>
                <w:szCs w:val="1"/>
                <w:color w:val="auto"/>
              </w:rPr>
            </w:pPr>
          </w:p>
        </w:tc>
        <w:tc>
          <w:tcPr>
            <w:tcW w:w="20" w:type="dxa"/>
            <w:vAlign w:val="bottom"/>
            <w:shd w:val="clear" w:color="auto" w:fill="70AD4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In the three and six months ended June 30, 2019, our external services business unit generated an operating loss of €1.1 million and €1.2 million, respectively. The unit was able to turn the result around mainly by increasing revenues due to increased orders and generated an operating income of €2.7 million and €2.2 million in the three and six months ended June 30, 2020,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Party Transactions</w:t>
      </w:r>
    </w:p>
    <w:p>
      <w:pPr>
        <w:spacing w:after="0" w:line="11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Related party transactions that occurred during the three and six months ended June 30, 2020 and 2019 are explained in Note 12 to the unaudited interim condensed consolidated financial statements.</w:t>
      </w:r>
    </w:p>
    <w:p>
      <w:pPr>
        <w:spacing w:after="0" w:line="184" w:lineRule="exact"/>
        <w:rPr>
          <w:sz w:val="20"/>
          <w:szCs w:val="20"/>
          <w:color w:val="auto"/>
        </w:rPr>
      </w:pPr>
    </w:p>
    <w:p>
      <w:pPr>
        <w:ind w:left="1108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865" w:right="319" w:bottom="1440" w:gutter="0" w:footer="0" w:header="0"/>
        </w:sectPr>
      </w:pPr>
    </w:p>
    <w:bookmarkStart w:id="54" w:name="page55"/>
    <w:bookmarkEnd w:id="54"/>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Merger Agreement with BioNTech US Inc. (formerly Neon Therapeutics, Inc.)</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On May 6, 2020, we acquired Neon Therapeutics, Inc. (formerly Nasdaq: NTGN), or Neon, a biotechnology company developing novel neoantigen-based T-cell therapies, through a stock transaction and including de minimis cash consideration, or the Merger. The Merger was first announced on January 16, 2020. Neon, now BioNTech US Inc., or BioNTech US, is operated as a wholly owned subsidiary of BioNTech SE. The new subsidiary is based in Cambridge, Massachusetts and serves as our U.S. headquarters.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The transaction combines two organizations with a common culture of pioneering translational science and a shared vision for the future of cancer immunotherapy. Through the acquisition, we leverage Neon’s deep expertise in the development of neoantigen therapies, with both vaccine and T-cell capabilities. Our most advanced program acquired in the Merger is BNT221 (NEO-PTC-01), a personalized neoantigen-targeted T-cell therapy candidate consisting of multiple T-cell populations targeting the most therapeutically relevant neoantigens from each patient’s tumor. We also acquired a precision T-cell therapy program targeting shared neoantigens in genetically defined patient populations. The lead program from this approach, BNT222 (NEO-STC-01), is a T-cell therapy candidate targeting shared RAS neoantigens. In addition, Neon had assembled libraries of high-quality TCRs against various shared neoantigens across common HLAs. This pipeline is underpinned by Neon’s platform technologies including RECON®, its machine-learning bioinformatics platform, and NEO-STIM™, its proprietary process to directly prime, activate and expand neoantigen-targeting T-cells </w:t>
      </w:r>
      <w:r>
        <w:rPr>
          <w:rFonts w:ascii="Arial" w:cs="Arial" w:eastAsia="Arial" w:hAnsi="Arial"/>
          <w:sz w:val="18"/>
          <w:szCs w:val="18"/>
          <w:i w:val="1"/>
          <w:iCs w:val="1"/>
          <w:color w:val="auto"/>
        </w:rPr>
        <w:t>ex vivo</w:t>
      </w:r>
      <w:r>
        <w:rPr>
          <w:rFonts w:ascii="Arial" w:cs="Arial" w:eastAsia="Arial" w:hAnsi="Arial"/>
          <w:sz w:val="18"/>
          <w:szCs w:val="18"/>
          <w:color w:val="auto"/>
        </w:rPr>
        <w:t>.</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Based on the acquisition date share price, the implied aggregate value of the merger consideration was €89.9 million ($97.1 million) financed by issuing 1,935,488 ordinary shares as a stock transaction and including a de minimis cash consideration which was paid to settle Neon’s outstanding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COVID-19</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March 11, 2020, the World Health Organization declared the outbreak of COVID-19 as a pandemic, which continues to spread throughout the United States, the European Union and around the world. As we advance our clinical programs, we are in close contact with our principal investigators and clinical sites, which are located in jurisdictions affected by the COVID-19 pandemic, and are assessing the impact of the COVID-19 pandemic on our clinical trials, expected timelines and costs on an ongoing basis. In light of recent developments relating to the COVID-19 pandemic, the primary focus of healthcare providers and hospitals remains on fighting the novel coronavirus. We have also modified our business practices, in response to the spread of COVID-19, including restricting employee travel, developing social distancing plans for our employees and cancelling physical participation in meetings, events and conferences. In addition, for certain of our earlier stage programs, including BNT141 and BNT142 (RiboMabs), BNT151 and BNT152/153 (RiboCytokines), BNT161 (Influenza), BNT171 (Rare Disease) and BNT411 (TLR7), we have delayed commencement of trials, experienced slowed patient enrollment or experienced other delays as a result of the COVID-19 pandemic. This partial disruption, even temporary, may severely impact our operations and overall business by delaying the progress of our clinical trials and preclinical studies.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COVID-19 Collaboration</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Aiming at preventing COVID-19 infection, our BNT162 program is evaluating at least four experimental vaccines. As part of the program, we entered into two strategic collaborations with large pharmaceutical companies to globally develop our vaccine candidates and supply an approved vaccine globally. BioNTech and Fosun Pharma aim to develop COVID-19 vaccine candidates in China. BioNTech and Pfizer aim to accelerate the development of BNT162 worldwide (excluding China).</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Under the terms of the agreement, Pfizer agreed to pay us $185 million in upfront payments, including an equity investment of €103.9 million ($113.0 million) and a cash payment of €66.3 million ($72.0 million) which were received in late April 2020 and May 2020, respectively. The issuance of 2,377,446 ordinary shares with the nominal amount of € 2.4 million was registered with the commercial register</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55" w:name="page56"/>
    <w:bookmarkEnd w:id="55"/>
    <w:p>
      <w:pPr>
        <w:jc w:val="both"/>
        <w:spacing w:after="0" w:line="244"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w:t>
      </w:r>
      <w:r>
        <w:rPr>
          <w:rFonts w:ascii="Arial" w:cs="Arial" w:eastAsia="Arial" w:hAnsi="Arial"/>
          <w:sz w:val="20"/>
          <w:szCs w:val="20"/>
          <w:i w:val="1"/>
          <w:iCs w:val="1"/>
          <w:color w:val="auto"/>
        </w:rPr>
        <w:t>Handelsregister</w:t>
      </w:r>
      <w:r>
        <w:rPr>
          <w:rFonts w:ascii="Arial" w:cs="Arial" w:eastAsia="Arial" w:hAnsi="Arial"/>
          <w:sz w:val="20"/>
          <w:szCs w:val="20"/>
          <w:color w:val="auto"/>
        </w:rPr>
        <w:t>) on May 5, 2020. We are eligible to receive future milestone payments of up to $563 million for potential aggregate consideration of $748 million. Pfizer and we share development costs equally. Initially, Pfizer will fund 100% of the development costs, and we will repay Pfizer our 50% share of these costs if success-based milestones are reached, or with proceeds generated from the commercialization of the vaccine, if approved. If the vaccine program is not successful or does not generate sufficient proceeds, we will not be required to pay back our 50% share of the development costs incurred.</w:t>
      </w:r>
    </w:p>
    <w:p>
      <w:pPr>
        <w:spacing w:after="0" w:line="19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and Pfizer are jointly conducting clinical trials for four COVID-19 vaccine candidate variants initially in the United States and Europe, across multiple sites. In late April 2020, we and Pfizer announced that the German regulatory authority, the Paul-Ehrlich-Institut, approved the Phase 1/2 clinical trial and the first patients in the first cohort of the Phase 1/2 clinical trial were dosed shortly thereafter. In early May 2020, Pfizer and we initiated a clinical trial for BNT162 in the United States and the first participants were dosed shortly thereafter.</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On July 1, 2020, we and Pfizer announced preliminary data from the ongoing U.S. Phase 1/2 trial of BNT162b1.</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July 13, 2020, we and Pfizer announced that BNT162b1 and BNT162b2 received Fast Track designation from the U.S. Food and Drug Administration (“FDA”).</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On July 20, 2020, we and Pfizer announced preliminary data from the ongoing German Phase 1/2 trial of BNT162b1.</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During the clinical development stage, we and our partners will provide clinical supply of the vaccine from our and our partners’ GMP-certified mRNA manufacturing facilities in Europe. We and Pfizer are working together to scale-up manufacturing capacity at risk to provide worldwide supply in response to the pandemic. If the vaccine candidate is approved, we and Pfizer would also work jointly to commercialize the vaccine worldwide (excluding China which is covered by the collaboration with Fosun Pharma).</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On July 20, 2020, we announced that we and Pfizer entered into a binding term sheet for a supply agreement with the United Kingdom. Pursuant to the term sheet, we and Pfizer expect to supply 30 million doses of BNT162, if approved, to the United Kingdom. Under the terms of the binding term sheet, we and Pfizer are eligible to receive a fully refundable advance payment per dose upon signing of a definitive supply agreement. The advance payment will be treated as a prepayment towards the total cost of the contracted number of doses of BNT162, with the remainder of the contracted price per dose to be paid upon delivery of the contracted doses.</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July 22, 2020, we announced that the U.S. government agreed to purchase an initial order of 100 million doses of BNT162 and has the option to acquire up to 500 million additional doses from us and Pfizer. The U.S. government agreed to pay $1.95 billion upon the receipt of the first 100 million doses, following FDA authorization or approval.</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also in late-stage discussions with other governments and governmental bodies related to the establishment of supply agreements for BNT162, if approved. We expect that we and Pfizer will enter into further binding and non-binding agreements to supply additional doses of BNT162 as early as 2020 and 2021. Certain of the agreements may also provide an option to purchase additional doses, under specified circumstances.</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July 27, 2020 we and Pfizer announced the start of a global (except for China) Phase 2/3 safety and efficacy clinical study to evaluate a single nucleoside-modified messenger RNA candidate from their BNT162 mRNA-based vaccine program, against SARS-CoV-2. After extensive review of preclinical and clinical data from Phase 1/2 clinical trials, and in consultation with the U.S. Food and Drug Administration’s Center for Biologics Evaluation and Research and other global regulators, we and Pfizer</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announced that we chose to advance the BNT162b2 vaccine candidate into the Phase 2/3 study, at a 30 µg dose level in a 2 dose regimen.</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July 31, 2020, we and Pfizer announced that the government of Japan has agreed to purchase 120 million doses of BNT162 from us and Pfizer, if approved. As requested by the Government of Japan, deliveries of the vaccine candidate are planned for the first half of 2021, subject to clinical success and regulatory approval.</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August 5, 2020, we and Fosun Pharma announced the start of the clinical trial of BNT162b1 in China and the dosing of the first 72 participants with BNT162b1 following IND approval by the Chinese regulatory authority, National Medical Products Administration (NMPA).</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August 5, 2020, we and Pfizer announced an agreement with the Government of Canada to supply our BNT162 mRNA-based vaccine candidate against SARS-CoV-2, subject to clinical success and Health Canada approval. As requested by the Government of Canada, deliveries of the vaccine candidate are planned over the course of 2021.</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Use of Estimates</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unaudited interim condensed consolidated financial statements for the three and six months ended June 30, 2020 have been prepared in accordance with IFRS, as issued by the IASB.</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preparation of the consolidated financial statements in accordance with IFRS requires the use of estimates and assumptions by the management that affect the value of assets and liabilities—as well as contingent assets and liabilities—as reported on the balance sheet date, and revenues and expenses arising during the respective reporting period. The main areas in which assumptions, estimates and the exercising of a degree of discretion are appropriate relate to the determination of the useful lives of non-current assets and the formation of provisions, as well as income taxes. We base our assumptions and estimates on parameters available when the consolidated financial statements are prepared. Existing circumstances and assumptions about future developments, however, may change due to market changes or circumstances arising that are beyond our control. Hence, our estimates may vary from the actual values.</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critical accounting policies are those related to revenue recognition, share-based compensation, fair value measurement of share-based awards as well as taxes. Our critical accounting policies are discussed further in Item 5 of our Annual Report on Form 20-F for the year ended December 31, 2019 as well as Note 2.3 to our consolidated financial statements included in that Annual Report. Actual results in these areas could differ from management’s estimates.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auto"/>
        </w:rPr>
        <w:t>Liquidity and Capital Resources</w:t>
      </w:r>
    </w:p>
    <w:p>
      <w:pPr>
        <w:spacing w:after="0" w:line="11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have historically funded our operations primarily from private placements of our ordinary shares, from issuing ordinary shares in connection with our initial public offering, proceeds from collaborators and services and proceeds from secured bank loans. As of June 30, 2020, we had cash and cash equivalents of €573.0 million. Cash and cash equivalents are invested in accordance with our investment policy, primarily with a view to liquidity and capital preservation, and consist primarily of cash in banks and on hand and short-term deposits with an original maturity of three months or less, which are stated at fair value.</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maintain two secured loans with Deutsche Bank AG, or Deutsche Bank, to finance the buildouts of our JPT Peptide Technologies GmbH facility and Innovative Manufacturing Services GmbH facility. Our €10.0 million secured credit facility, entered into with Deutsche Bank by our subsidiary BioNTech Innovative Manufacturing Services GmbH, bears interest at a rate of 2.15% and matures on December 30, 2027. The loan is repayable in equal quarterly installments of k€322.6 commencing on June 30,</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57" w:name="page58"/>
    <w:bookmarkEnd w:id="57"/>
    <w:p>
      <w:pPr>
        <w:jc w:val="both"/>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2020. As of June 30, 2020, the full amount under this facility is drawn down and the first scheduled repayment has occurred. Our €9.45 million secured credit facility, entered into with Deutsche Bank by our subsidiary JPT Peptide Technologies GmbH, bears interest at a rate of 2.08% and matures on September 30, 2028. The loan is repayable by quarterly installments of k€286.4 commencing on September 30, 2020. As of June 30, 2020, the full amount under this facility is drawn down. Each of these facilities is secured by liens over our property.</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December 2019, we signed a financing arrangement with the European Investment Bank, or the EIB, to partially support the implementation of certain technical aspects of our investment in the development of patient-tailored therapeutic vaccines for cancer in Germany, or the Investment. Under this arrangement, the EIB has agreed to provide us with a credit in an amount of up to €50 million to partially finance the Investment, provided that the amount of credit does not exceed 50% of the cost of the Investment. The credit consists of</w:t>
      </w:r>
    </w:p>
    <w:p>
      <w:pPr>
        <w:spacing w:after="0" w:line="3" w:lineRule="exact"/>
        <w:rPr>
          <w:sz w:val="20"/>
          <w:szCs w:val="20"/>
          <w:color w:val="auto"/>
        </w:rPr>
      </w:pPr>
    </w:p>
    <w:p>
      <w:pPr>
        <w:jc w:val="both"/>
        <w:ind w:firstLine="8"/>
        <w:spacing w:after="0" w:line="269" w:lineRule="auto"/>
        <w:tabs>
          <w:tab w:leader="none" w:pos="2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term loan in the amount of €25 million that may be drawn in a single tranche upon the achievement of certain milestone events, not all of which have been achieved (Credit A), and (ii) a term loan in the amount of €25 million that may be drawn in a maximum of four tranches each of which must be for a minimum of €5 million or the balance of the remaining facility (Credit B). Tranches under Credit B may only be drawn after Credit A has been drawn down and upon the achievement of certain milestone events. Each tranche under Credit A and Credit B must be repaid within six years from the date on which the tranche is disbursed to us. Interest is payable on the outstanding balance of Credit A at the cash interest fixed rate of 1% per annum quarterly in arrears, plus deferred interest at fixed rate of 5% per annum. We pay interest on the outstanding balance of Credit B at the cash interest fixed rate of 2% per annum quarterly in arrears. In addition, we are obligated to pay the EIB a tiered proportion of drug product revenues received by us ranging from less than single-digit to low single-digit percentages. The profit participation right will end at the end of a six-year period beginning in 2023 or when the EIB has received €15 million in profit participation payments, whichever occurs first. The financing arrangement is to be secured by way of liens over certain of our property.</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June 2020, we entered into an agreement with the EIB for a €100 million credit facility to partially support the development of BNT162 and fund expansion of our manufacturing capacity to provide worldwide supply of BNT162 in response to the COVID-19 pandemic. Under this arrangement, the EIB agreed to provide us with a credit in an amount up to €100 million to partially finance such development and expansion. The credit consists of (i) a term loan in the amount of €50 million that may be drawn in a single tranche upon the achievement of certain milestone events, not all of which have been achieved (Credit A), and (ii) a term loan in the amount of €50 million that may be drawn in a single tranche (Credit B). Credit B may only be drawn after Credit A has been drawn down and upon the achievement of certain milestone events. Each tranche under Credit A and Credit B must be repaid within six years from the date on which the tranche is disbursed. The closing of the financing agreement, subject to achieving certain milestone events, was not fulfilled before June 30, 2020.</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On June 29, 2020, we announced the signing of a private investment of €223.9 million ($250.7 million; this and the following amounts calculated using the exchange rate in effect as of June 30, 2020 as published by the German Central Bank (</w:t>
      </w:r>
      <w:r>
        <w:rPr>
          <w:rFonts w:ascii="Arial" w:cs="Arial" w:eastAsia="Arial" w:hAnsi="Arial"/>
          <w:sz w:val="18"/>
          <w:szCs w:val="18"/>
          <w:i w:val="1"/>
          <w:iCs w:val="1"/>
          <w:color w:val="auto"/>
        </w:rPr>
        <w:t>Deutsche Bundesbank</w:t>
      </w:r>
      <w:r>
        <w:rPr>
          <w:rFonts w:ascii="Arial" w:cs="Arial" w:eastAsia="Arial" w:hAnsi="Arial"/>
          <w:sz w:val="18"/>
          <w:szCs w:val="18"/>
          <w:color w:val="auto"/>
        </w:rPr>
        <w:t>)) by a fund associated with Temasek Capital Management Pte. Ltd., or Temasek, and another accredited investor, which investment we refer to as the June 2020 Private Placement. The June 2020 Private Placement consisted of approximately €123.9 million ($138.7 million) in ordinary shares and a €100.0 million ($112.0 million) four-year mandatory convertible note. Upon the closing of the June 2020 Private Placement, the investors will receive an aggregate of 2,595,996 of our ordinary shares and will be subject to a 180-day lock-up agreement. The four-year mandatory convertible note will have a coupon of 4.5% per annum and a conversion premium of 20% above the reference price. The closing of the investment, subject to customary closing conditions, was not fulfilled before June 30, 2020.</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July 21, 2020 and July 23, 2020, we announced a rights offering (the “Rights Offering”) and the terms of the Rights Offering, respectively, of rights to subscribe for up to 7,505,596 ordinary shares, including ordinary shares represented by ADSs, extended to existing holders of its ordinary shares and</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58" w:name="page59"/>
    <w:bookmarkEnd w:id="58"/>
    <w:p>
      <w:pPr>
        <w:jc w:val="both"/>
        <w:ind w:right="20"/>
        <w:spacing w:after="0" w:line="243"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ADSs. The Rights Offering is part of a Global Offering that includes the Rights Offering and the underwritten offering (the “Underwritten Offering”). The ADS rights exercise period expires at 12:01 a.m. (New York City time) on August 14, 2020 and the ordinary share rights exercise period expires one minute after 11:59 p.m. (Mainz, Germany time) on August 14, 2020. Certain ordinary shareholders representing 74.83% of our outstanding ordinary shares irrevocably agreed not to transfer or exercise their rights in the Rights Offering, and the shares underlying those rights were offered in the Underwritten Offering. ADSs purchased in the Underwritten Offering were not entitled to receive rights in the Rights Offering.</w:t>
      </w:r>
    </w:p>
    <w:p>
      <w:pPr>
        <w:spacing w:after="0" w:line="196"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On July 27, 2020, our Underwritten Offering of 5,500,000 American Depositary Shares (“ADSs”), each representing one of our ordinary shares, closed at a public offering price of $93.00 per ADS, for gross proceeds of $511.5 million. In addition, a selling shareholder granted the underwriters a 30-day option to purchase up to 825,000 additional ADSs at the same public offering price, which has not yet been exercised. We will not receive any of the proceeds from sale of ADSs by the selling shareholder.</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primary sources and uses of cash for each period presented: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2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7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234"/>
        </w:trPr>
        <w:tc>
          <w:tcPr>
            <w:tcW w:w="5920" w:type="dxa"/>
            <w:vAlign w:val="bottom"/>
          </w:tcPr>
          <w:p>
            <w:pPr>
              <w:spacing w:after="0"/>
              <w:rPr>
                <w:sz w:val="20"/>
                <w:szCs w:val="20"/>
                <w:color w:val="auto"/>
              </w:rPr>
            </w:pPr>
          </w:p>
        </w:tc>
        <w:tc>
          <w:tcPr>
            <w:tcW w:w="182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182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20" w:type="dxa"/>
            <w:vAlign w:val="bottom"/>
            <w:tcBorders>
              <w:right w:val="single" w:sz="8" w:color="70AD47"/>
            </w:tcBorders>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Borders>
              <w:bottom w:val="single" w:sz="8" w:color="70AD47"/>
              <w:right w:val="single" w:sz="8" w:color="70AD47"/>
            </w:tcBorders>
            <w:vMerge w:val="continue"/>
          </w:tcPr>
          <w:p>
            <w:pPr>
              <w:spacing w:after="0"/>
              <w:rPr>
                <w:sz w:val="19"/>
                <w:szCs w:val="19"/>
                <w:color w:val="auto"/>
              </w:rPr>
            </w:pPr>
          </w:p>
        </w:tc>
        <w:tc>
          <w:tcPr>
            <w:tcW w:w="1820" w:type="dxa"/>
            <w:vAlign w:val="bottom"/>
            <w:tcBorders>
              <w:bottom w:val="single" w:sz="8" w:color="70AD47"/>
            </w:tcBorders>
            <w:gridSpan w:val="2"/>
          </w:tcPr>
          <w:p>
            <w:pPr>
              <w:jc w:val="center"/>
              <w:ind w:left="730"/>
              <w:spacing w:after="0"/>
              <w:rPr>
                <w:sz w:val="20"/>
                <w:szCs w:val="20"/>
                <w:color w:val="auto"/>
              </w:rPr>
            </w:pPr>
            <w:r>
              <w:rPr>
                <w:rFonts w:ascii="Arial" w:cs="Arial" w:eastAsia="Arial" w:hAnsi="Arial"/>
                <w:sz w:val="18"/>
                <w:szCs w:val="18"/>
                <w:i w:val="1"/>
                <w:iCs w:val="1"/>
                <w:color w:val="auto"/>
                <w:w w:val="92"/>
              </w:rPr>
              <w:t>(unaudited)</w:t>
            </w:r>
          </w:p>
        </w:tc>
        <w:tc>
          <w:tcPr>
            <w:tcW w:w="820" w:type="dxa"/>
            <w:vAlign w:val="bottom"/>
            <w:tcBorders>
              <w:bottom w:val="single" w:sz="8" w:color="70AD47"/>
            </w:tcBorders>
          </w:tcPr>
          <w:p>
            <w:pPr>
              <w:spacing w:after="0"/>
              <w:rPr>
                <w:sz w:val="19"/>
                <w:szCs w:val="19"/>
                <w:color w:val="auto"/>
              </w:rPr>
            </w:pPr>
          </w:p>
        </w:tc>
        <w:tc>
          <w:tcPr>
            <w:tcW w:w="1820" w:type="dxa"/>
            <w:vAlign w:val="bottom"/>
            <w:tcBorders>
              <w:left w:val="single" w:sz="8" w:color="70AD47"/>
              <w:bottom w:val="single" w:sz="8" w:color="70AD47"/>
            </w:tcBorders>
            <w:gridSpan w:val="2"/>
          </w:tcPr>
          <w:p>
            <w:pPr>
              <w:jc w:val="center"/>
              <w:ind w:left="770"/>
              <w:spacing w:after="0"/>
              <w:rPr>
                <w:sz w:val="20"/>
                <w:szCs w:val="20"/>
                <w:color w:val="auto"/>
              </w:rPr>
            </w:pPr>
            <w:r>
              <w:rPr>
                <w:rFonts w:ascii="Arial" w:cs="Arial" w:eastAsia="Arial" w:hAnsi="Arial"/>
                <w:sz w:val="18"/>
                <w:szCs w:val="18"/>
                <w:i w:val="1"/>
                <w:iCs w:val="1"/>
                <w:color w:val="auto"/>
                <w:w w:val="92"/>
              </w:rPr>
              <w:t>(unaudited)</w:t>
            </w:r>
          </w:p>
        </w:tc>
        <w:tc>
          <w:tcPr>
            <w:tcW w:w="860" w:type="dxa"/>
            <w:vAlign w:val="bottom"/>
            <w:tcBorders>
              <w:bottom w:val="single" w:sz="8" w:color="70AD47"/>
            </w:tcBorders>
          </w:tcPr>
          <w:p>
            <w:pPr>
              <w:spacing w:after="0"/>
              <w:rPr>
                <w:sz w:val="19"/>
                <w:szCs w:val="19"/>
                <w:color w:val="auto"/>
              </w:rPr>
            </w:pP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920" w:type="dxa"/>
            <w:vAlign w:val="bottom"/>
            <w:tcBorders>
              <w:right w:val="single" w:sz="8" w:color="70AD47"/>
            </w:tcBorders>
          </w:tcPr>
          <w:p>
            <w:pPr>
              <w:spacing w:after="0"/>
              <w:rPr>
                <w:sz w:val="20"/>
                <w:szCs w:val="20"/>
                <w:color w:val="auto"/>
              </w:rPr>
            </w:pPr>
            <w:r>
              <w:rPr>
                <w:rFonts w:ascii="Arial" w:cs="Arial" w:eastAsia="Arial" w:hAnsi="Arial"/>
                <w:sz w:val="18"/>
                <w:szCs w:val="18"/>
                <w:b w:val="1"/>
                <w:bCs w:val="1"/>
                <w:color w:val="auto"/>
              </w:rPr>
              <w:t>Net cash flows from (used in):</w:t>
            </w:r>
          </w:p>
        </w:tc>
        <w:tc>
          <w:tcPr>
            <w:tcW w:w="1340" w:type="dxa"/>
            <w:vAlign w:val="bottom"/>
            <w:tcBorders>
              <w:right w:val="single" w:sz="8" w:color="70AD47"/>
            </w:tcBorders>
            <w:shd w:val="clear" w:color="auto" w:fill="C6E0B4"/>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tcBorders>
              <w:left w:val="single" w:sz="8" w:color="70AD47"/>
              <w:right w:val="single" w:sz="8" w:color="70AD47"/>
            </w:tcBorders>
            <w:shd w:val="clear" w:color="auto" w:fill="C6E0B4"/>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Operating activities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€(15,522)</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€(54,472)</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€(70,208)</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€(85,689)</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Borders>
              <w:right w:val="single" w:sz="8" w:color="70AD47"/>
            </w:tcBorders>
          </w:tcPr>
          <w:p>
            <w:pPr>
              <w:ind w:left="140"/>
              <w:spacing w:after="0"/>
              <w:rPr>
                <w:sz w:val="20"/>
                <w:szCs w:val="20"/>
                <w:color w:val="auto"/>
              </w:rPr>
            </w:pPr>
            <w:r>
              <w:rPr>
                <w:rFonts w:ascii="Arial" w:cs="Arial" w:eastAsia="Arial" w:hAnsi="Arial"/>
                <w:sz w:val="18"/>
                <w:szCs w:val="18"/>
                <w:color w:val="auto"/>
              </w:rPr>
              <w:t>Investing activities</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(9,744)</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(12,598)</w:t>
            </w:r>
          </w:p>
        </w:tc>
        <w:tc>
          <w:tcPr>
            <w:tcW w:w="136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(24,677)</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(45,766)</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70AD47"/>
              <w:right w:val="single" w:sz="8" w:color="70AD47"/>
            </w:tcBorders>
          </w:tcPr>
          <w:p>
            <w:pPr>
              <w:ind w:left="140"/>
              <w:spacing w:after="0"/>
              <w:rPr>
                <w:sz w:val="20"/>
                <w:szCs w:val="20"/>
                <w:color w:val="auto"/>
              </w:rPr>
            </w:pPr>
            <w:r>
              <w:rPr>
                <w:rFonts w:ascii="Arial" w:cs="Arial" w:eastAsia="Arial" w:hAnsi="Arial"/>
                <w:sz w:val="18"/>
                <w:szCs w:val="18"/>
                <w:color w:val="auto"/>
              </w:rPr>
              <w:t>Financing activities</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146,203</w:t>
            </w:r>
          </w:p>
        </w:tc>
        <w:tc>
          <w:tcPr>
            <w:tcW w:w="480" w:type="dxa"/>
            <w:vAlign w:val="bottom"/>
            <w:tcBorders>
              <w:bottom w:val="single" w:sz="8" w:color="70AD47"/>
            </w:tcBorders>
          </w:tcPr>
          <w:p>
            <w:pPr>
              <w:spacing w:after="0"/>
              <w:rPr>
                <w:sz w:val="20"/>
                <w:szCs w:val="20"/>
                <w:color w:val="auto"/>
              </w:rPr>
            </w:pPr>
          </w:p>
        </w:tc>
        <w:tc>
          <w:tcPr>
            <w:tcW w:w="82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3,960</w:t>
            </w:r>
          </w:p>
        </w:tc>
        <w:tc>
          <w:tcPr>
            <w:tcW w:w="136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color w:val="auto"/>
              </w:rPr>
              <w:t>148,213</w:t>
            </w:r>
          </w:p>
        </w:tc>
        <w:tc>
          <w:tcPr>
            <w:tcW w:w="460" w:type="dxa"/>
            <w:vAlign w:val="bottom"/>
            <w:tcBorders>
              <w:bottom w:val="single" w:sz="8" w:color="70AD47"/>
            </w:tcBorders>
          </w:tcPr>
          <w:p>
            <w:pPr>
              <w:spacing w:after="0"/>
              <w:rPr>
                <w:sz w:val="20"/>
                <w:szCs w:val="20"/>
                <w:color w:val="auto"/>
              </w:rPr>
            </w:pPr>
          </w:p>
        </w:tc>
        <w:tc>
          <w:tcPr>
            <w:tcW w:w="860" w:type="dxa"/>
            <w:vAlign w:val="bottom"/>
            <w:tcBorders>
              <w:bottom w:val="single" w:sz="8" w:color="70AD47"/>
            </w:tcBorders>
          </w:tcPr>
          <w:p>
            <w:pPr>
              <w:jc w:val="right"/>
              <w:spacing w:after="0"/>
              <w:rPr>
                <w:sz w:val="20"/>
                <w:szCs w:val="20"/>
                <w:color w:val="auto"/>
              </w:rPr>
            </w:pPr>
            <w:r>
              <w:rPr>
                <w:rFonts w:ascii="Arial" w:cs="Arial" w:eastAsia="Arial" w:hAnsi="Arial"/>
                <w:sz w:val="18"/>
                <w:szCs w:val="18"/>
                <w:color w:val="auto"/>
              </w:rPr>
              <w:t>4,919</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2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8"/>
                <w:szCs w:val="18"/>
                <w:b w:val="1"/>
                <w:bCs w:val="1"/>
                <w:color w:val="auto"/>
              </w:rPr>
              <w:t>Total cash inflow (outflow)</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€120,937</w:t>
            </w:r>
          </w:p>
        </w:tc>
        <w:tc>
          <w:tcPr>
            <w:tcW w:w="480" w:type="dxa"/>
            <w:vAlign w:val="bottom"/>
            <w:tcBorders>
              <w:bottom w:val="single" w:sz="8" w:color="70AD47"/>
            </w:tcBorders>
          </w:tcPr>
          <w:p>
            <w:pPr>
              <w:spacing w:after="0"/>
              <w:rPr>
                <w:sz w:val="19"/>
                <w:szCs w:val="19"/>
                <w:color w:val="auto"/>
              </w:rPr>
            </w:pPr>
          </w:p>
        </w:tc>
        <w:tc>
          <w:tcPr>
            <w:tcW w:w="82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rPr>
              <w:t>€(63,110)</w:t>
            </w:r>
          </w:p>
        </w:tc>
        <w:tc>
          <w:tcPr>
            <w:tcW w:w="136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8"/>
                <w:szCs w:val="18"/>
                <w:b w:val="1"/>
                <w:bCs w:val="1"/>
                <w:color w:val="auto"/>
              </w:rPr>
              <w:t>€53,328</w:t>
            </w:r>
          </w:p>
        </w:tc>
        <w:tc>
          <w:tcPr>
            <w:tcW w:w="460" w:type="dxa"/>
            <w:vAlign w:val="bottom"/>
            <w:tcBorders>
              <w:bottom w:val="single" w:sz="8" w:color="70AD47"/>
            </w:tcBorders>
          </w:tcPr>
          <w:p>
            <w:pPr>
              <w:spacing w:after="0"/>
              <w:rPr>
                <w:sz w:val="19"/>
                <w:szCs w:val="19"/>
                <w:color w:val="auto"/>
              </w:rPr>
            </w:pPr>
          </w:p>
        </w:tc>
        <w:tc>
          <w:tcPr>
            <w:tcW w:w="860" w:type="dxa"/>
            <w:vAlign w:val="bottom"/>
            <w:tcBorders>
              <w:bottom w:val="single" w:sz="8" w:color="70AD47"/>
            </w:tcBorders>
          </w:tcPr>
          <w:p>
            <w:pPr>
              <w:jc w:val="right"/>
              <w:spacing w:after="0"/>
              <w:rPr>
                <w:sz w:val="20"/>
                <w:szCs w:val="20"/>
                <w:color w:val="auto"/>
              </w:rPr>
            </w:pPr>
            <w:r>
              <w:rPr>
                <w:rFonts w:ascii="Arial" w:cs="Arial" w:eastAsia="Arial" w:hAnsi="Arial"/>
                <w:sz w:val="18"/>
                <w:szCs w:val="18"/>
                <w:b w:val="1"/>
                <w:bCs w:val="1"/>
                <w:color w:val="auto"/>
                <w:w w:val="94"/>
              </w:rPr>
              <w:t>€(126,536)</w:t>
            </w: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Activities</w:t>
      </w:r>
    </w:p>
    <w:p>
      <w:pPr>
        <w:spacing w:after="0" w:line="108"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auto"/>
        </w:rPr>
        <w:t>We derive cash flows from operations primarily from collaborations, the sale of products and services rendered. Our cash flows from operating activities are significantly influenced by our use of cash for operating expenses and working capital to support the business. We have historically experienced negative cash flows from operating activities as we have invested in the development of our technologies and manufacturing capabilities, as well as for clinical and preclinical development of our product candidates.</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9"/>
          <w:szCs w:val="19"/>
          <w:color w:val="auto"/>
        </w:rPr>
        <w:t>Net cash used in operating activities for the three months ended June 30, 2020 was €15.5 million, comprising a loss before tax of €90.5 million, non-cash adjustments of €17.4 million, and a net positive change in assets and liabilities of €58.0 million. Non-cash items primarily included depreciation and amortization as well as share-based compensation expenses. The net positive change in assets and liabilities was primarily based on the upfront payment received from Pfizer as part of the BNT162 program, our vaccine program against COVID-19, which was recorded as contract liability and subsequently only started to be recognized as revenue.</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Net cash used in operating activities for the three months ended June 30, 2019 was €54.5 million, comprising a loss before tax of €50.1 million, non-cash adjustments of €13.1 million, and a net negative change in assets and liabilities of €17.4 million. Non-cash items primarily included depreciation and amortization as well as share-based compensation expenses. The net negative change in assets and liabilities was primarily due to a decrease in contract liabilities.</w:t>
      </w:r>
    </w:p>
    <w:p>
      <w:pPr>
        <w:spacing w:after="0" w:line="191"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Net cash used in operating activities for the six months ended June 30, 2020 was €70.2 million, comprising a loss before tax of €143.9 million, non-cash adjustments of €34.1 million, and a net positive change in assets and liabilities of €40.4 million. Non-cash items primarily included depreciation and</w:t>
      </w:r>
    </w:p>
    <w:p>
      <w:pPr>
        <w:spacing w:after="0" w:line="19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973" w:right="319" w:bottom="1440" w:gutter="0" w:footer="0" w:header="0"/>
        </w:sectPr>
      </w:pPr>
    </w:p>
    <w:bookmarkStart w:id="59" w:name="page60"/>
    <w:bookmarkEnd w:id="59"/>
    <w:p>
      <w:pPr>
        <w:jc w:val="both"/>
        <w:spacing w:after="0" w:line="25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amortization as well as share-based compensation expenses. Also on a year-to-date basis, the net positive change in assets and liabilities was primarily based on the upfront payment received from Pfizer as part of the BNT162 program, which was recorded as contract liability and subsequently only started to be recognized as revenue.</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Net cash used in operating activities for the six months ended June 30, 2019 was €85.7 million, comprising a loss before tax of €90.8 million, non-cash adjustments of €34.0 million, and a net negative change in assets and liabilities of €28.6 million. Non-cash items primarily included depreciation and amortization as well as share-based compensation expenses. Also on a year-to-date basis, the net positive change in assets and liabilities was primarily due to a decrease in contract liabilities.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decrease in net cash used in operating activities from the three months ended June 30, 2019 to the three months ended June 30, 2020 as well as from the six months ended June 30, 2019 to the six months ended June 30, 2020 was primarily due to the fact that the upfront payment received from Pfizer as part of the BNT162 program overcompensated the increase in amounts spent for wages, benefits and social security expenses as headcount increases and higher research and development expenditures.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Investing Activities</w:t>
      </w:r>
    </w:p>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Net cash used in investing activities for the three months ended June 30, 2020 was €9.7 million, of which €2.1 million was attributable to the purchase of intangible assets and €15.1 million was attributable to the purchase of property, plant and equipment, mainly including the amounts spent with respect to the new buildings at our BioNTech IMFS facility in Idar-Oberstein. The total cash used in investing activities was partially offset by the positive effect attributable to the acquisition of Neon of €7.4 million. As part of the transaction, the amount of cash acquired exceeded the consideration paid given that the acquisition was financed by issuing American Depositary Shares representing our ordinary shares as a stock transaction and only included a de minimis cash consideration paid to settle Neon’s outstanding stock options.</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Net cash used in investing activities for the three months ended June 30, 2019 was €12.6 million, of which €2.3 million was attributable to the purchase of intangible assets, €4.3 million was attributable to the purchase of property, plant and equipment and €6.1 million was attributable to the acquisition of MAB Discovery GmbH’s operational antibody generation unit based near Munich, Germany.</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Net cash used in investing activities for the six months ended June 30, 2020 was €24.7 million, of which €4.2 million was attributable to the purchase of intangible assets, €21.4 million was attributable to the purchase of property, plant and equipment, mainly including the amounts spent with respect to the new buildings at our BioNTech IMFS facility in Idar-Oberstein. The net cash used attributable to the acquisition of assets, employees and proprietary know-how of Lipocalyx GmbH and its related parties based in Halle, Germany was offset by the net cash acquired attributable to the acquisition of Neon.</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Net cash used in investing activities for the six months ended June 30, 2019 was €45.8 million of which €29.7 million was attributable to the purchase of intangible assets, including the final installment payment for the license agreement for the CellScript patent and €10.6 million was attributable to the purchase of property, plant and equipment, partially offset by proceeds from the sale of property, plant and equipment amounting to €0.6 million. In addition, €6.1 million was attributable to the acquisition of MAB Discovery GmbH’s operational antibody generation unit based near Munich, Germany.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Financing Activities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primary financing activities consist of issuances of share capital, proceeds from bank loans and payments of finance lease liabilities.</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three months ended June 30, 2020, we generated cash from financing activities of €146.2 million, primarily from proceeds from the issuance of shares in the amount of €147.8million</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60" w:name="page61"/>
    <w:bookmarkEnd w:id="60"/>
    <w:p>
      <w:pPr>
        <w:jc w:val="both"/>
        <w:spacing w:after="0" w:line="26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received from Fosun Pharma via Fosun Industrial Co., Limited, Hong Kong and Pfizer, net of transaction costs related to all financing transactions that occurred during the three months ended June 30, 2020. The amount was offset by the first scheduled repayment of €0.3 million made with respect to the secured credit facility, entered into with Deutsche Bank by our subsidiary BioNTech Innovative Manufacturing Services GmbH as well as payments made related to lease liabilities of €1.3 million.</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During the three months ended June 30, 2019, we generated cash from financing activities of €4.0 million, primarily from proceeds from loans and borrowings in the amount of €4.5 million, partially offset by payments made related to lease liabilities of €0.7 million.</w:t>
      </w:r>
    </w:p>
    <w:p>
      <w:pPr>
        <w:spacing w:after="0" w:line="1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During the six months ended June 30, 2020, we generated cash from financing activities of €148.2 million, primarily from proceeds from the issuance of shares in the amount of €147.8 million received from Fosun Pharma via Fosun Industrial Co., Limited, Hong Kong and Pfizer, net of transaction costs related to all financing transactions that occurred during the six months ended June 30, 2020. The €2.6 million proceeds from loans and borrowings were partially offset by the payments made related to lease liabilities of €2.2 million.</w:t>
      </w:r>
    </w:p>
    <w:p>
      <w:pPr>
        <w:spacing w:after="0" w:line="161"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During the six months ended June 30, 2019, we generated cash from financing activities of €4.9 million, primarily from proceeds from loans and borrowings in the amount of €6.0 million, partially offset by payments made related to lease liabilities of €1.3 million.</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Operation and Funding Requirements</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Since our inception, we have incurred significant losses and negative cash flows from operations due to our significant research and development expenses and our investment in our manufacturing capabilities. We have accumulated losses of €566.5 million as of June 30, 2020 and €424.8 million as of June 30, 2019. We expect to continue to incur significant losses in the foreseeable future and expect our expenses to increase in connection with our ongoing activities, particularly as we continue research and development and clinical activities for our product candidates. Our expenses will also increase if, and as, we:</w:t>
      </w:r>
    </w:p>
    <w:p>
      <w:pPr>
        <w:spacing w:after="0" w:line="72" w:lineRule="exact"/>
        <w:rPr>
          <w:sz w:val="20"/>
          <w:szCs w:val="20"/>
          <w:color w:val="auto"/>
        </w:rPr>
      </w:pPr>
    </w:p>
    <w:p>
      <w:pPr>
        <w:ind w:left="900" w:hanging="447"/>
        <w:spacing w:after="0"/>
        <w:tabs>
          <w:tab w:leader="none" w:pos="9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continue or expand our research or development of our programs in preclinical development;</w:t>
      </w:r>
    </w:p>
    <w:p>
      <w:pPr>
        <w:spacing w:after="0" w:line="15" w:lineRule="exact"/>
        <w:rPr>
          <w:rFonts w:ascii="Arial" w:cs="Arial" w:eastAsia="Arial" w:hAnsi="Arial"/>
          <w:sz w:val="20"/>
          <w:szCs w:val="20"/>
          <w:color w:val="auto"/>
        </w:rPr>
      </w:pPr>
    </w:p>
    <w:p>
      <w:pPr>
        <w:ind w:left="900" w:hanging="447"/>
        <w:spacing w:after="0"/>
        <w:tabs>
          <w:tab w:leader="none" w:pos="9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continue or expand the scope of our clinical trials for our product candidates;</w:t>
      </w:r>
    </w:p>
    <w:p>
      <w:pPr>
        <w:ind w:left="900" w:hanging="447"/>
        <w:spacing w:after="0" w:line="239" w:lineRule="auto"/>
        <w:tabs>
          <w:tab w:leader="none" w:pos="9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initiate additional preclinical studies or clinical or other trials for our product candidates, including under our collaboration agreements;</w:t>
      </w:r>
    </w:p>
    <w:p>
      <w:pPr>
        <w:ind w:left="900" w:hanging="447"/>
        <w:spacing w:after="0"/>
        <w:tabs>
          <w:tab w:leader="none" w:pos="9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continue to invest in our immunotherapy platforms to conduct research to identify novel technologies;</w:t>
      </w:r>
    </w:p>
    <w:p>
      <w:pPr>
        <w:ind w:left="900" w:hanging="447"/>
        <w:spacing w:after="0"/>
        <w:tabs>
          <w:tab w:leader="none" w:pos="9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change or add to internal manufacturing capacity or capability;</w:t>
      </w:r>
    </w:p>
    <w:p>
      <w:pPr>
        <w:ind w:left="900" w:hanging="447"/>
        <w:spacing w:after="0"/>
        <w:tabs>
          <w:tab w:leader="none" w:pos="9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change or add additional suppliers;</w:t>
      </w:r>
    </w:p>
    <w:p>
      <w:pPr>
        <w:ind w:left="900" w:hanging="447"/>
        <w:spacing w:after="0" w:line="239" w:lineRule="auto"/>
        <w:tabs>
          <w:tab w:leader="none" w:pos="9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add additional infrastructure to our quality control, quality assurance, legal, compliance and other groups to support our operations as we progress our product candidates toward commercialization;</w:t>
      </w:r>
    </w:p>
    <w:p>
      <w:pPr>
        <w:ind w:left="900" w:hanging="447"/>
        <w:spacing w:after="0"/>
        <w:tabs>
          <w:tab w:leader="none" w:pos="9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attract and retain skilled personnel;</w:t>
      </w:r>
    </w:p>
    <w:p>
      <w:pPr>
        <w:ind w:left="900" w:hanging="447"/>
        <w:spacing w:after="0" w:line="239" w:lineRule="auto"/>
        <w:tabs>
          <w:tab w:leader="none" w:pos="9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create additional infrastructure to support our operations as a public company and our product development and planned future commercialization efforts, including expansion of sites in Germany and new sites in the United States;</w:t>
      </w:r>
    </w:p>
    <w:p>
      <w:pPr>
        <w:ind w:left="900" w:hanging="447"/>
        <w:spacing w:after="0"/>
        <w:tabs>
          <w:tab w:leader="none" w:pos="9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seek marketing approvals and reimbursement for our product candidates;</w:t>
      </w:r>
    </w:p>
    <w:p>
      <w:pPr>
        <w:ind w:left="900" w:hanging="447"/>
        <w:spacing w:after="0" w:line="239" w:lineRule="auto"/>
        <w:tabs>
          <w:tab w:leader="none" w:pos="9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establish a sales, marketing and distribution infrastructure to commercialize any products for which we may obtain marketing approval;</w:t>
      </w:r>
    </w:p>
    <w:p>
      <w:pPr>
        <w:ind w:left="900" w:hanging="447"/>
        <w:spacing w:after="0"/>
        <w:tabs>
          <w:tab w:leader="none" w:pos="9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seek to identify and validate additional product candidates;</w:t>
      </w:r>
    </w:p>
    <w:p>
      <w:pPr>
        <w:ind w:left="900" w:hanging="447"/>
        <w:spacing w:after="0"/>
        <w:tabs>
          <w:tab w:leader="none" w:pos="9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acquire or in-license other product candidates and technologies;</w:t>
      </w:r>
    </w:p>
    <w:p>
      <w:pPr>
        <w:ind w:left="900" w:hanging="447"/>
        <w:spacing w:after="0"/>
        <w:tabs>
          <w:tab w:leader="none" w:pos="9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make milestone or other payments under any in-license agreements;</w:t>
      </w:r>
    </w:p>
    <w:p>
      <w:pPr>
        <w:ind w:left="900" w:hanging="447"/>
        <w:spacing w:after="0"/>
        <w:tabs>
          <w:tab w:leader="none" w:pos="9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maintain, protect, defend, enforce and expand our intellectual property portfolio; and</w:t>
      </w:r>
    </w:p>
    <w:p>
      <w:pPr>
        <w:ind w:left="900" w:hanging="447"/>
        <w:spacing w:after="0"/>
        <w:tabs>
          <w:tab w:leader="none" w:pos="9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experience any delays or encounter issues with any of the above.</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61" w:name="page62"/>
    <w:bookmarkEnd w:id="61"/>
    <w:p>
      <w:pPr>
        <w:jc w:val="both"/>
        <w:spacing w:after="0" w:line="27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We are subject to all of the risks related to the development and commercialization of pharmaceutical products, and we may encounter unforeseen expenses, difficulties, complications, delays and other unknown factors that may adversely affect our business. 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As a result of increased spending related to our BNT162 program, we now expect the net cash used in operating activities and for investments into property, plant and equipment to be between €450 million and €600 million in the full year 2020. We anticipate that existing cash and cash equivalents, the net proceeds from the recent Underwritten Offering and the expected net proceeds from the private investment announced in June 2020 will enable us to fund our operating expenses and capital requirements through at least the next 24 months.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Our future funding requirements will depend on many factors, including, but not limited to:</w:t>
      </w:r>
    </w:p>
    <w:p>
      <w:pPr>
        <w:spacing w:after="0" w:line="108" w:lineRule="exact"/>
        <w:rPr>
          <w:sz w:val="20"/>
          <w:szCs w:val="20"/>
          <w:color w:val="auto"/>
        </w:rPr>
      </w:pPr>
    </w:p>
    <w:p>
      <w:pPr>
        <w:ind w:left="900" w:hanging="447"/>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or nonclinical studies and clinical trials for our product candidates;</w:t>
      </w:r>
    </w:p>
    <w:p>
      <w:pPr>
        <w:spacing w:after="0" w:line="38" w:lineRule="exact"/>
        <w:rPr>
          <w:rFonts w:ascii="Arial" w:cs="Arial" w:eastAsia="Arial" w:hAnsi="Arial"/>
          <w:sz w:val="18"/>
          <w:szCs w:val="18"/>
          <w:color w:val="auto"/>
        </w:rPr>
      </w:pPr>
    </w:p>
    <w:p>
      <w:pPr>
        <w:ind w:left="900" w:hanging="447"/>
        <w:spacing w:after="0"/>
        <w:tabs>
          <w:tab w:leader="none" w:pos="9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results of research and our other platform activities;</w:t>
      </w:r>
    </w:p>
    <w:p>
      <w:pPr>
        <w:ind w:left="900" w:hanging="447"/>
        <w:spacing w:after="0"/>
        <w:tabs>
          <w:tab w:leader="none" w:pos="9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clinical development plans we establish for our product candidates;</w:t>
      </w:r>
    </w:p>
    <w:p>
      <w:pPr>
        <w:ind w:left="900" w:hanging="447"/>
        <w:spacing w:after="0"/>
        <w:tabs>
          <w:tab w:leader="none" w:pos="9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terms of any agreements with our current or future collaborators;</w:t>
      </w:r>
    </w:p>
    <w:p>
      <w:pPr>
        <w:ind w:left="900" w:hanging="447"/>
        <w:spacing w:after="0"/>
        <w:tabs>
          <w:tab w:leader="none" w:pos="9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number and characteristics of product candidates that we develop or may in-license;</w:t>
      </w:r>
    </w:p>
    <w:p>
      <w:pPr>
        <w:ind w:left="900" w:hanging="447"/>
        <w:spacing w:after="0" w:line="239" w:lineRule="auto"/>
        <w:tabs>
          <w:tab w:leader="none" w:pos="9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outcome, timing and cost of meeting regulatory requirements established by the FDA, European Medicines Agency and other comparable regulatory authorities;</w:t>
      </w:r>
    </w:p>
    <w:p>
      <w:pPr>
        <w:jc w:val="both"/>
        <w:ind w:left="900" w:hanging="447"/>
        <w:spacing w:after="0" w:line="239" w:lineRule="auto"/>
        <w:tabs>
          <w:tab w:leader="none" w:pos="9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cost of filing, prosecuting, obtaining, maintaining, protecting, defending and enforcing our patent claims and other intellectual property rights, including actions for patent and other intellectual property infringement, misappropriation and other violations brought by third parties against us regarding our product candidates or actions by us challenging the patent or intellectual property rights of others;</w:t>
      </w:r>
    </w:p>
    <w:p>
      <w:pPr>
        <w:spacing w:after="0" w:line="1" w:lineRule="exact"/>
        <w:rPr>
          <w:rFonts w:ascii="Arial" w:cs="Arial" w:eastAsia="Arial" w:hAnsi="Arial"/>
          <w:sz w:val="20"/>
          <w:szCs w:val="20"/>
          <w:color w:val="auto"/>
        </w:rPr>
      </w:pPr>
    </w:p>
    <w:p>
      <w:pPr>
        <w:ind w:left="900" w:hanging="447"/>
        <w:spacing w:after="0" w:line="239" w:lineRule="auto"/>
        <w:tabs>
          <w:tab w:leader="none" w:pos="9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effect of competing technological and market developments, including other products that may compete with one or more of our product candidates;</w:t>
      </w:r>
    </w:p>
    <w:p>
      <w:pPr>
        <w:ind w:left="900" w:hanging="447"/>
        <w:spacing w:after="0" w:line="239" w:lineRule="auto"/>
        <w:tabs>
          <w:tab w:leader="none" w:pos="9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cost and timing of completion and further expansion of clinical and commercial scale manufacturing activities sufficient to support all of our current and future programs; and</w:t>
      </w:r>
    </w:p>
    <w:p>
      <w:pPr>
        <w:ind w:left="900" w:hanging="447"/>
        <w:spacing w:after="0" w:line="269" w:lineRule="auto"/>
        <w:tabs>
          <w:tab w:leader="none" w:pos="9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cost of establishing sales, marketing and distribution capabilities for any product candidates for which we may receive marketing approval and reimbursement in regions where we choose to commercialize our products on our own.</w:t>
      </w:r>
    </w:p>
    <w:p>
      <w:pPr>
        <w:spacing w:after="0" w:line="385" w:lineRule="exact"/>
        <w:rPr>
          <w:sz w:val="20"/>
          <w:szCs w:val="20"/>
          <w:color w:val="auto"/>
        </w:rPr>
      </w:pPr>
    </w:p>
    <w:p>
      <w:pPr>
        <w:spacing w:after="0"/>
        <w:rPr>
          <w:sz w:val="20"/>
          <w:szCs w:val="20"/>
          <w:color w:val="auto"/>
        </w:rPr>
      </w:pPr>
      <w:r>
        <w:rPr>
          <w:rFonts w:ascii="Arial" w:cs="Arial" w:eastAsia="Arial" w:hAnsi="Arial"/>
          <w:sz w:val="25"/>
          <w:szCs w:val="25"/>
          <w:color w:val="auto"/>
        </w:rPr>
        <w:t>Risk Factors</w:t>
      </w:r>
    </w:p>
    <w:p>
      <w:pPr>
        <w:spacing w:after="0" w:line="11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Our business is subject to various risks, including those described below as well as in “Risk Factors” in our Annual Report on Form 20-F for the year ended December 31, 2019, which we strongly encourage you to review. You should consider carefully the risks and uncertainties described below and in our Form 20-F. If any of the following risks are realized, our business, financial condition, results of operations and prospects could be materially and adversely affected. Additionally, risks and uncertainties not currently known to us or that we currently deem to be immaterial also may materially adversely affect our business, financial condition, results of operations and/or prospects.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COVID-19 Vaccine Development Program and Our Intellectual Property</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may experience significant volatility in the market price of the ADSs representing our ordinary shares following announcements and data releases regarding our ongoing development of BNT162 as a potential COVID-19 vaccine.</w:t>
      </w:r>
    </w:p>
    <w:p>
      <w:pPr>
        <w:spacing w:after="0" w:line="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Biopharmaceutical companies that are developing potential therapeutics and vaccines to combat COVID-19 and SARS-CoV-2, including BioNTech SE, have experienced significant volatility in the price of their securities upon publication of preclinical and clinical data as well as news about their</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62" w:name="page63"/>
    <w:bookmarkEnd w:id="62"/>
    <w:p>
      <w:pPr>
        <w:jc w:val="both"/>
        <w:spacing w:after="0" w:line="254"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development programs. For example, following the announcement of our collaborations with Pfizer and Fosun Pharma relating to the development of BNT162, our vaccine candidate program for the prevention of COVID-19, the last reported sales price of the ADSs representing our ordinary shares on the Nasdaq Global Select Market increased from $30.93 on March 13, 2020, the day before the announcement, to $92.00 on March 18, 2020, before decreasing to $46.50 on March 20, 2020. In addition to the preclinical and clinical data we and Pfizer have already disclosed in connection with our BNT162 development program, we and Pfizer intend over the coming months to make public several additional COVID-19 vaccine data readouts and clinical updates. We also expect to announce data, in due course, for the other three vaccine candidate variants that we are currently testing for the prevention of COVID-19 as part of our BNT162 program. On July 20, 2020, we announced that we and Pfizer have entered into a binding term sheet for a supply agreement with the United Kingdom, on July 22, 2020, we announced that the U.S. government has agreed to purchase doses of BNT162 from us and Pfizer, on July 31 we announced that we and Pfizer had agreed to supply doses of BNT162 to Japan and on August 5, 2020, we and Pfizer announced an agreement with the Government of Canada. In addition, we are in late-stage discussions with other governments and governmental bodies related to the establishment of supply agreements for BNT162, if approved. We cannot predict public reaction or the impact on the market price of the ADSs representing our ordinary shares once the terms of any or all of these supply arrangements are announced. We also cannot guarantee that the ultimate supply agreements we enter into, if any, will be for the number of doses we currently estimate and that aggregate consideration to be received under any such supply agreements will ultimately be what we currently expect. Given the attention being paid to the COVID-19 pandemic and the public scrutiny of COVID-19 development announcements and data releases to date, we expect that the public announcements we and Pfizer intend to make in the coming months regarding the ongoing development of BNT162 will attract significant attention and scrutiny and that, as a result, the price of the ADSs representing our ordinary shares may be particularly volatile during this time.</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auto"/>
        </w:rPr>
        <w:t>We are currently developing multiple candidate variants in our BNT162 program, which rely on different mechanisms of action, and the efficacy or safety of one variant is not indicative or predictive of the efficacy or safety of another variant.</w:t>
      </w:r>
    </w:p>
    <w:p>
      <w:pPr>
        <w:spacing w:after="0" w:line="4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currently developing four vaccine candidate variants for the prevention of COVID-19 as part of our BNT162 program. The first, which is the variant for which we and Pfizer announced Phase 1/2 data on July 1 and July 20, 2020, is BNT162b1, which utilizes nucleoside-modified mRNA (modRNA) and encodes the receptor binding domain antigen. Two of our four vaccine candidate variants, including BNT162b1, include a modRNA, one includes a uridine containing mRNA (uRNA), and the fourth variant utilizes self-amplifying mRNA (saRNA). Each mRNA format is combined with a lipid nanoparticle (LNP) formulation. The larger spike sequence is included in two of the vaccine candidate variants and the smaller optimized receptor binding domain from the spike protein is included in the other two candidate variants. Each variant has a distinct mechanism of action, and, as a result, clinical activity or safety results observed from one variant may not be indicative or predictive of the efficacy or safety profile or results observed of another variant. For example, on July 27, 2020 we announced that we had selected our BNT162b2 candidate variant to advance into our Phase 3 trial. The data we recently announced for our BNT162b1 variant may differ in material respects from the safety or efficacy profile of the other vaccine candidate variants and should not be considered predictive of the safety or efficacy of our other vaccine candidate variants.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i w:val="1"/>
          <w:iCs w:val="1"/>
          <w:color w:val="auto"/>
        </w:rPr>
        <w:t>We cannot guarantee that the BNT162 variant we chose to advance into late stage clinical development will perform better than any of the variants we did not choose to advance. Further, even if we demonstrate a sufficient safety profile for BNT162 we may not be able to demonstrate sufficient efficacy in subsequent trials to obtain regulatory approval.</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Based on preclinical and clinical data observed to-date, we and Pfizer have progressed our BNT162 program into a Phase 2b/3 trial which commenced in late July 2020. For the initial Phase 2b/3 trial, we have selected our modRNA vaccine candidate variant targeting the 2P-mutated full spike protein, BNT162b2. Both the BNT162b1, for which we have already released data publicly, and the BNT162b2</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63" w:name="page64"/>
    <w:bookmarkEnd w:id="63"/>
    <w:p>
      <w:pPr>
        <w:jc w:val="both"/>
        <w:spacing w:after="0" w:line="25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vaccine candidates have received Fast Track status from the FDA. Since clinical evaluation of the BNT162b2 candidate started several weeks later than BNT162b1, only preliminary clinical data are currently available for the BNT162b2 candidate. A set of data obtained for a cohort of subjects aged to 18-55 years immunized with 10µg of BNT162b2 indicates that BNT162b2 may induce strong virus neutralizing antibody responses with titers in a similar range as observed for BNT162b1. The preliminary observations are subject to further data collection and analysis. Assessment of dose dependent immune response and safety profile as well as analysis of T-cell responses is currently pending. On the basis of data collected and analyzed for BNT162b1 and BNT162b2, including the overall observed safety, tolerability and immunogenicity profiles for each vaccine candidate at different dose levels, along with input from the FDA, we selected BNT162b2 as our lead candidate to take into a Phase 2b/3 trial.</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cannot guarantee that the candidate variant that we have selected will ultimately prove to be the optimal variant. We and Pfizer chose the variant to advance based on our scientific judgment in light of the preclinical and clinical data available to us at the time as to which variant has the best chance for success. It is possible that subsequent data regarding the variant we chose could prove to be less favorable or subsequent data from a variant that is not advanced could prove to be more favorable.</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Regardless of the variant we selected for Phase 2b/3, we cannot guarantee that the results from subsequent data analyses and announcements will be in line with the data that we have previously published. In addition, the total number of patients evaluated in Phase 1 is small relative to the number we intend to evaluate in Phase 2b/3 and may not be indicative of the safety or immunogenicity of BNT162 in a larger and more diverse patient population. Similarly, the samples of convalescent sera, or blood samples from people who have recovered from COVID-19, used to benchmark the level of antibodies produced by subjects receiving BNT162 in clinical studies, have been taken from a small number of people and may not be representative of the antibody levels in a broader population of people who have recovered from COVID-19. Future results in clinical trials of BNT162 may not be as positive when compared to the antibody levels in other samples of convalescent sera.</w:t>
      </w:r>
    </w:p>
    <w:p>
      <w:pPr>
        <w:spacing w:after="0" w:line="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Furthermore, because the assays being used to measure and analyze the effectiveness of COVID-19 vaccines have only recently been developed and are continuing to evolve, indications of immunogenicity and the duration of immunity observed in our Phase 1/2 trials may not be predictive of the achievement of clinically relevant endpoints.</w:t>
      </w:r>
    </w:p>
    <w:p>
      <w:pPr>
        <w:spacing w:after="0" w:line="7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addition, by definition our Phase 1/2 clinical trials are designed to evaluate only safety and not efficacy. Positive results from these Phase 1/2 trials do not guarantee we will be able to demonstrate in our Phase 2b/3 trial that BNT162 is efficacious. More specifically, we do not yet know the levels of immunity required to prevent COVID-19 infection, and have not yet tested the ability of our vaccine candidates to prevent infection in humans. Failure to adequately demonstrate safety or to eventually demonstrate sufficient efficacy of BNT162 could delay or prevent us from receiving regulatory approval of BNT162 and there can be no assurance that BNT162 will be approved in a timely manner, if at all.</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development of our BNT162 program may divert resources from the clinical development of our other product candidates and we may not recoup our investments in the program.</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Although we believe that our BNT162 program could result in an effective COVID-19 vaccine, clinical trials involve a lengthy and expensive process with an uncertain outcome. Given the severity and urgency of the COVID-19 pandemic, we have committed significant capital and resources to fund and supply the development of BNT162. However, the development of BNT162 will require us to expend financial, personnel and other resources and may cause delays in or otherwise negatively impact our other development programs, despite uncertainties surrounding the longevity and extent of COVID-19 as a global health concern. Furthermore, our business could be negatively impacted by our allocation of significant resources to a global health threat that is unpredictable and could rapidly dissipate or against which our vaccine, if developed, may not be partially or fully effective.</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64" w:name="page65"/>
    <w:bookmarkEnd w:id="64"/>
    <w:p>
      <w:pPr>
        <w:jc w:val="both"/>
        <w:spacing w:after="0" w:line="260" w:lineRule="auto"/>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If we are successful in producing a vaccine against COVID-19, we may need to devote significant resources to its scale-up and development.</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If any clinical trials for BNT162 are perceived to be successful, we may need to work toward the large scale technical development, manufacturing scale-up and larger scale deployment of this vaccine candidate through a variety of government mechanisms such as an Emergency Use Authorization program in the United States. We may also need to access facilities capable of rapidly manufacturing BNT162 in the volumes necessary to support large-scale clinical trials or commercial sales. If we are unable to conduct production and manufacturing activities or if our vaccine requires more doses to achieve sufficient efficacy than we expect, we may not complete our product development or commercialization efforts in a timely manner. In addition, during a global health crisis, such as the COVID-19 pandemic, where the spread of a disease needs to be controlled, closed or heavily regulated national borders will create challenges and potential delays in our development and production activities and may necessitate that we pursue strategies to develop and produce our vaccine candidate variants within self-contained national or international borders, at potentially much greater expense and with longer timeframes for public distribution.</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There can be no assurance that BNT162, even if approved, would ever become profitable, due to government interest and public perception regarding a vaccine.</w:t>
      </w:r>
    </w:p>
    <w:p>
      <w:pPr>
        <w:spacing w:after="0" w:line="6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As a result of the emergency situations in many countries, there is a heightened risk that a COVID-19 vaccine may be subject to adverse governmental actions in certain countries, including intellectual property expropriation, compulsory licenses, strict price controls or other actions. Additionally, we may need to, or we may be required by governmental or non-governmental authorities to, set aside specific quantities of doses of BNT162 for designated purposes or geographic areas. We are likely to face challenges related to the allocation of supply of BNT162, particularly with respect to geographic distribution. Thus, even if BNT162 is approved, such governmental actions may limit our ability to recoup our current and future expenses.</w:t>
      </w:r>
    </w:p>
    <w:p>
      <w:pPr>
        <w:spacing w:after="0" w:line="8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Furthermore, public sentiment regarding commercialization of a COVID-19 vaccine may limit or negate our ability to generate revenues from sales of BNT162. Given that COVID-19 has been designated as a pandemic and represents an urgent public health crisis, we are likely to face significant public attention and scrutiny over any future business models and pricing decisions with respect to BNT162. If we are unable to successfully manage these risks, we could face significant reputational harm, which could negatively affect the price of the ADSs representing our ordinary shares.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regulatory pathway for BNT162 is highly dynamic and continues to evolve and may result in unexpected or unforeseen challenges.</w:t>
      </w:r>
    </w:p>
    <w:p>
      <w:pPr>
        <w:spacing w:after="0" w:line="15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To date, BNT162 has moved rapidly through the regulatory review process of the FDA and foreign regulatory authorities. The speed at which all parties are acting to create and test many therapeutics and vaccines for SARS-CoV-2 and COVID-19 is unusual, and evolving or changing plans or priorities within the FDA and foreign regulatory authorities, including changes based on new knowledge of COVID-19 and how the disease affects the human body, may significantly affect the regulatory timeline for BNT162. Results from clinical testing may raise new questions and require us to redesign proposed clinical trials, including revising proposed endpoints or adding new clinical trial sites or cohorts of subjects.</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For example, the FDA on June 30, 2020 adopted guidance outlining the FDA’s current recommendations regarding the data needed to facilitate clinical development and licensure of vaccines to prevent COVID-19. In particular, the June 30, 2020 guidance suggests that the primary efficacy endpoint estimate for a placebo-controlled efficacy trial should be at least 50%. The guidance also includes discussion of chemical, manufacturing and controls and safety concerns. Although we intend to design any future clinical trials for BNT162 in accordance with this guidance, we cannot be certain that, as the regulatory pathway continues to evolve, we will be able to complete a clinical trial in accordance with the FDA’s guidance and regulations then in effect. A failure to complete a clinical trial in accordance with guidance and regulations then in effect could impair our ability to obtain approval for BNT162,</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65" w:name="page66"/>
    <w:bookmarkEnd w:id="65"/>
    <w:p>
      <w:pPr>
        <w:jc w:val="both"/>
        <w:spacing w:after="0" w:line="26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which may adversely affect our operating results, reputation and ability to raise capital and enter into or maintain collaborations to advance our other product candidates.</w:t>
      </w:r>
    </w:p>
    <w:p>
      <w:pPr>
        <w:spacing w:after="0" w:line="6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Additionally, the FDA has the authority to grant an Emergency Use Authorization to allow unapproved medical products to be used in an emergency to diagnose, treat, or prevent serious or life-threatening diseases or conditions when there are no adequate, approved, and available alternatives. If we are granted an Emergency Use Authorization for BNT162, we would be able to commercialize BNT162 prior to FDA approval. However, the FDA may revoke an Emergency Use Authorization where it is determined that the underlying health emergency no longer exists or warrants such authorization, and we cannot predict how long, if ever, an Emergency Use Authorization would remain in place. Such revocation could adversely impact our business in a variety of ways, including if BNT162 is not yet approved by the FDA and if we and our manufacturing partners have invested in the supply chain to provide BNT162 under an Emergency Use Authorization.</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Even if regulatory approval is received for a BNT162 vaccine candidate, the later discovery of previously unknown problems associated with BNT162 may result in restrictions, including withdrawal of the product from the market, and lead to significant liabilities and reputational damage.</w:t>
      </w:r>
    </w:p>
    <w:p>
      <w:pPr>
        <w:spacing w:after="0" w:line="7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Because the path to marketing approval of any vaccine against COVID-19 is unclear, we may have a widely used vaccine in circulation in the United States or another country prior to our receipt of marketing approval. Unexpected safety issues, including any that we have not yet observed in our Phase 1/2 clinical trials for BNT162, could lead to significant reputational damage for BioNTech and our technology platforms going forward and other issues, including delays in our other programs, the need for re-design of our clinical trials and the need for significant additional financial resources.</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also may be restricted or prohibited from marketing or manufacturing a BNT162 vaccine, even after obtaining product approval, if previously unknown problems with the product or its manufacture are subsequently discovered. We cannot provide assurance that newly discovered or developed safety issues will not arise following regulatory approval. With the use of any vaccine by a wide patient population, serious adverse events may occur from time to time that did not arise in the clinical trials of the product or that initially appeared to be unrelated to the vaccine itself and only with the collection of subsequent information were found to be causally related to the product. Any such safety issues could cause us to suspend or cease marketing of our approved products, possibly subject us to substantial liabilities, and adversely affect our ability to generate revenue and our financial condition.</w:t>
      </w:r>
    </w:p>
    <w:p>
      <w:pPr>
        <w:spacing w:after="0" w:line="18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b w:val="1"/>
          <w:bCs w:val="1"/>
          <w:i w:val="1"/>
          <w:iCs w:val="1"/>
          <w:color w:val="auto"/>
        </w:rPr>
        <w:t>We may be unable to produce a successful COVID-19 vaccine and establish a competitive market share for our vaccine before a competitor or before the COVID-19 outbreak is effectively contained or the risk of coronavirus infection is significantly diminished.</w:t>
      </w:r>
    </w:p>
    <w:p>
      <w:pPr>
        <w:spacing w:after="0" w:line="2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 large number of vaccine manufacturers, academic institutions and other organizations currently have programs to develop COVID-19 vaccine candidates. While we are not aware of all of our competitors’ efforts, we believe that the University of Oxford/AstraZeneca plc, CanSino Biologics Inc., Sanofi/GlaxoSmithKline plc Inovio Pharmaceuticals, Inc., China National Pharmaceutical Group (Sinopharm)/Beijing Institute of Biological Products and Wuhan Institute of Biological Products, Moderna, Inc., Johnson &amp; Johnson, Novavax, Inc. and other companies are all in the early stages of developing vaccine candidates against COVID-19. Our competitors pursuing vaccine candidates may have greater financial, product candidate development, manufacturing and marketing resources than we do. Larger pharmaceutical and biotechnology companies have extensive experience in clinical testing and obtaining regulatory approval for their products, and may have the resources to heavily invest to accelerate discovery and development of their vaccine candidates.</w:t>
      </w:r>
    </w:p>
    <w:p>
      <w:pPr>
        <w:spacing w:after="0" w:line="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efforts to develop BNT162 for regulatory approval and commercialization may fail if competitors develop and commercialize one or more COVID-19 vaccines before we are able to do so, or if they develop and commercialize one or more COVID-19 vaccines that are safer, more effective, produce longer immunity against COVID-19, require fewer administrations, have fewer or less severe side effects, have broader market acceptance, are more convenient or are less expensive than any vaccine candidate that we may develop.</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49</w:t>
      </w:r>
    </w:p>
    <w:sectPr>
      <w:pgSz w:w="11900" w:h="16838" w:orient="portrait"/>
      <w:cols w:equalWidth="0" w:num="1">
        <w:col w:w="11240"/>
      </w:cols>
      <w:pgMar w:left="320" w:top="8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lvl w:ilvl="1">
      <w:lvlJc w:val="left"/>
      <w:lvlText w:val="o"/>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1"/>
      <w:numFmt w:val="bullet"/>
      <w:start w:val="1"/>
    </w:lvl>
  </w:abstractNum>
  <w:abstractNum w:abstractNumId="26">
    <w:nsid w:val="3804823E"/>
    <w:multiLevelType w:val="hybridMultilevel"/>
    <w:lvl w:ilvl="0">
      <w:lvlJc w:val="left"/>
      <w:lvlText w:val="2"/>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1"/>
      <w:numFmt w:val="bullet"/>
      <w:start w:val="1"/>
    </w:lvl>
  </w:abstractNum>
  <w:abstractNum w:abstractNumId="29">
    <w:nsid w:val="5C482A97"/>
    <w:multiLevelType w:val="hybridMultilevel"/>
    <w:lvl w:ilvl="0">
      <w:lvlJc w:val="left"/>
      <w:lvlText w:val="2"/>
      <w:numFmt w:val="bullet"/>
      <w:start w:val="1"/>
    </w:lvl>
  </w:abstractNum>
  <w:abstractNum w:abstractNumId="30">
    <w:nsid w:val="2463B9EA"/>
    <w:multiLevelType w:val="hybridMultilevel"/>
    <w:lvl w:ilvl="0">
      <w:lvlJc w:val="left"/>
      <w:lvlText w:val="3"/>
      <w:numFmt w:val="bullet"/>
      <w:start w:val="1"/>
    </w:lvl>
  </w:abstractNum>
  <w:abstractNum w:abstractNumId="31">
    <w:nsid w:val="5E884ADC"/>
    <w:multiLevelType w:val="hybridMultilevel"/>
    <w:lvl w:ilvl="0">
      <w:lvlJc w:val="left"/>
      <w:lvlText w:val="4"/>
      <w:numFmt w:val="bullet"/>
      <w:start w:val="1"/>
    </w:lvl>
  </w:abstractNum>
  <w:abstractNum w:abstractNumId="32">
    <w:nsid w:val="51EAD36B"/>
    <w:multiLevelType w:val="hybridMultilevel"/>
    <w:lvl w:ilvl="0">
      <w:lvlJc w:val="left"/>
      <w:lvlText w:val="5"/>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6"/>
      <w:numFmt w:val="bullet"/>
      <w:start w:val="1"/>
    </w:lvl>
  </w:abstractNum>
  <w:abstractNum w:abstractNumId="35">
    <w:nsid w:val="153EA438"/>
    <w:multiLevelType w:val="hybridMultilevel"/>
    <w:lvl w:ilvl="0">
      <w:lvlJc w:val="left"/>
      <w:lvlText w:val="7"/>
      <w:numFmt w:val="bullet"/>
      <w:start w:val="1"/>
    </w:lvl>
  </w:abstractNum>
  <w:abstractNum w:abstractNumId="36">
    <w:nsid w:val="3855585C"/>
    <w:multiLevelType w:val="hybridMultilevel"/>
    <w:lvl w:ilvl="0">
      <w:lvlJc w:val="left"/>
      <w:lvlText w:val="8"/>
      <w:numFmt w:val="bullet"/>
      <w:start w:val="1"/>
    </w:lvl>
  </w:abstractNum>
  <w:abstractNum w:abstractNumId="37">
    <w:nsid w:val="70A64E2A"/>
    <w:multiLevelType w:val="hybridMultilevel"/>
    <w:lvl w:ilvl="0">
      <w:lvlJc w:val="left"/>
      <w:lvlText w:val="9"/>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lowerRoman"/>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2020-08-11T06:09:08Z</dcterms:created>
  <dcterms:modified xsi:type="dcterms:W3CDTF">2020-08-11T06:09:08Z</dcterms:modified>
</cp:coreProperties>
</file>