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09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Hanekamp Annemarie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60" w:type="dxa"/>
            <w:vAlign w:val="bottom"/>
            <w:tcBorders>
              <w:top w:val="single" w:sz="8" w:color="0000EE"/>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09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2M</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09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1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8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78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78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Option (right to buy)</w:t>
            </w: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rPr>
              <w:t>05/28/2029</w:t>
            </w:r>
            <w:r>
              <w:rPr>
                <w:rFonts w:ascii="Times New Roman" w:cs="Times New Roman" w:eastAsia="Times New Roman" w:hAnsi="Times New Roman"/>
                <w:sz w:val="25"/>
                <w:szCs w:val="25"/>
                <w:color w:val="008000"/>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05/28/2035</w:t>
            </w:r>
          </w:p>
        </w:tc>
        <w:tc>
          <w:tcPr>
            <w:tcW w:w="1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(2)</w:t>
            </w:r>
          </w:p>
        </w:tc>
        <w:tc>
          <w:tcPr>
            <w:tcW w:w="780" w:type="dxa"/>
            <w:vAlign w:val="bottom"/>
            <w:tcBorders>
              <w:bottom w:val="single" w:sz="8" w:color="2C2C2C"/>
            </w:tcBorders>
          </w:tcPr>
          <w:p>
            <w:pPr>
              <w:jc w:val="right"/>
              <w:ind w:right="59"/>
              <w:spacing w:after="0"/>
              <w:rPr>
                <w:sz w:val="20"/>
                <w:szCs w:val="20"/>
                <w:color w:val="auto"/>
              </w:rPr>
            </w:pPr>
            <w:r>
              <w:rPr>
                <w:rFonts w:ascii="Times New Roman" w:cs="Times New Roman" w:eastAsia="Times New Roman" w:hAnsi="Times New Roman"/>
                <w:sz w:val="20"/>
                <w:szCs w:val="20"/>
                <w:color w:val="0000FF"/>
              </w:rPr>
              <w:t>8,838</w:t>
            </w:r>
          </w:p>
        </w:tc>
        <w:tc>
          <w:tcPr>
            <w:tcW w:w="1000" w:type="dxa"/>
            <w:vAlign w:val="bottom"/>
            <w:tcBorders>
              <w:bottom w:val="single" w:sz="8" w:color="2C2C2C"/>
            </w:tcBorders>
          </w:tcPr>
          <w:p>
            <w:pPr>
              <w:jc w:val="right"/>
              <w:ind w:right="284"/>
              <w:spacing w:after="0"/>
              <w:rPr>
                <w:sz w:val="20"/>
                <w:szCs w:val="20"/>
                <w:color w:val="auto"/>
              </w:rPr>
            </w:pPr>
            <w:r>
              <w:rPr>
                <w:rFonts w:ascii="Times New Roman" w:cs="Times New Roman" w:eastAsia="Times New Roman" w:hAnsi="Times New Roman"/>
                <w:sz w:val="13"/>
                <w:szCs w:val="13"/>
                <w:color w:val="008000"/>
              </w:rPr>
              <w:t>(3)(4)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Performance Share Unit</w:t>
            </w: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rPr>
              <w:t>05/27/2029</w:t>
            </w:r>
            <w:r>
              <w:rPr>
                <w:rFonts w:ascii="Times New Roman" w:cs="Times New Roman" w:eastAsia="Times New Roman" w:hAnsi="Times New Roman"/>
                <w:sz w:val="25"/>
                <w:szCs w:val="25"/>
                <w:color w:val="008000"/>
                <w:vertAlign w:val="superscript"/>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05/27/2035</w:t>
            </w:r>
          </w:p>
        </w:tc>
        <w:tc>
          <w:tcPr>
            <w:tcW w:w="1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20"/>
                <w:szCs w:val="20"/>
                <w:color w:val="0000FF"/>
              </w:rPr>
              <w:t>Ordinary Shares</w:t>
            </w:r>
            <w:r>
              <w:rPr>
                <w:rFonts w:ascii="Times New Roman" w:cs="Times New Roman" w:eastAsia="Times New Roman" w:hAnsi="Times New Roman"/>
                <w:sz w:val="25"/>
                <w:szCs w:val="25"/>
                <w:color w:val="008000"/>
                <w:vertAlign w:val="superscript"/>
              </w:rPr>
              <w:t>(5)</w:t>
            </w:r>
          </w:p>
        </w:tc>
        <w:tc>
          <w:tcPr>
            <w:tcW w:w="7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11,047</w:t>
            </w:r>
          </w:p>
        </w:tc>
        <w:tc>
          <w:tcPr>
            <w:tcW w:w="1000" w:type="dxa"/>
            <w:vAlign w:val="bottom"/>
            <w:tcBorders>
              <w:bottom w:val="single" w:sz="8" w:color="2C2C2C"/>
            </w:tcBorders>
          </w:tcPr>
          <w:p>
            <w:pPr>
              <w:jc w:val="right"/>
              <w:ind w:right="364"/>
              <w:spacing w:after="0"/>
              <w:rPr>
                <w:sz w:val="20"/>
                <w:szCs w:val="20"/>
                <w:color w:val="auto"/>
              </w:rPr>
            </w:pPr>
            <w:r>
              <w:rPr>
                <w:rFonts w:ascii="Times New Roman" w:cs="Times New Roman" w:eastAsia="Times New Roman" w:hAnsi="Times New Roman"/>
                <w:sz w:val="20"/>
                <w:szCs w:val="20"/>
                <w:color w:val="0000FF"/>
              </w:rPr>
              <w:t>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3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annually in equal installments over four years commencing on the first anniversary of the grant date and becomes exercisable four years after the grant date, subject to certain performance-based and other conditions.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may be settled in ordinary shares, American Depositary Shares ("ADSs") and/or cash at the election of the supervisory board.</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adjustment such that the trading price of an ADS as of an exercise date does not exceed 800% of the grant date exercise price.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of this option is EUR 93.35.</w:t>
      </w:r>
    </w:p>
    <w:p>
      <w:pPr>
        <w:spacing w:after="0" w:line="52" w:lineRule="exact"/>
        <w:rPr>
          <w:rFonts w:ascii="Times New Roman" w:cs="Times New Roman" w:eastAsia="Times New Roman" w:hAnsi="Times New Roman"/>
          <w:sz w:val="15"/>
          <w:szCs w:val="15"/>
          <w:color w:val="008000"/>
        </w:rPr>
      </w:pPr>
    </w:p>
    <w:p>
      <w:pPr>
        <w:ind w:left="40" w:right="160" w:firstLine="5"/>
        <w:spacing w:after="0" w:line="237"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 share unit ("PSU") is the economic equivalent of one ordinary share of the Issuer and represents a right to receive, at the Issuer's option, one ordinary share, one ADS representing one ordinary share, or a cash payment or another form of settlement equal to the economic value thereof. PSUs vest annually in equal installments over four years commencing on the first anniversary of the grant date and become exercisable four years after the grant date, subject to the achievement of certain performance targets based on the market price of the Issuer's ordinary shares relative to the Nasdaq Biotechnology Index (or a comparable successor index) and the Reporting Person's continued service through each such date.</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09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LIMITED POWER OF ATTORNEY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 SEC REPORTING OBLIGATIONS</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spacing w:after="0" w:line="218" w:lineRule="exact"/>
        <w:rPr>
          <w:sz w:val="20"/>
          <w:szCs w:val="20"/>
          <w:color w:val="auto"/>
        </w:rPr>
      </w:pPr>
    </w:p>
    <w:p>
      <w:pPr>
        <w:jc w:val="both"/>
        <w:spacing w:after="0" w:line="250" w:lineRule="auto"/>
        <w:tabs>
          <w:tab w:leader="none" w:pos="407"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18" w:lineRule="exact"/>
        <w:rPr>
          <w:rFonts w:ascii="Times New Roman" w:cs="Times New Roman" w:eastAsia="Times New Roman" w:hAnsi="Times New Roman"/>
          <w:sz w:val="24"/>
          <w:szCs w:val="24"/>
          <w:color w:val="auto"/>
        </w:rPr>
      </w:pPr>
    </w:p>
    <w:p>
      <w:pPr>
        <w:jc w:val="both"/>
        <w:spacing w:after="0" w:line="242" w:lineRule="auto"/>
        <w:tabs>
          <w:tab w:leader="none" w:pos="353"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w:t>
      </w:r>
    </w:p>
    <w:p>
      <w:pPr>
        <w:spacing w:after="0" w:line="1" w:lineRule="exact"/>
        <w:rPr>
          <w:rFonts w:ascii="Times New Roman" w:cs="Times New Roman" w:eastAsia="Times New Roman" w:hAnsi="Times New Roman"/>
          <w:sz w:val="24"/>
          <w:szCs w:val="24"/>
          <w:color w:val="auto"/>
        </w:rPr>
      </w:pPr>
    </w:p>
    <w:p>
      <w:pPr>
        <w:spacing w:after="0" w:line="243" w:lineRule="auto"/>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behalf of the undersigned pursuant to this Limited Power of Attorney shall be in such form and shall contain such terms and conditions as such attorney-in-fact may approve in such attorney-in-fact’s discretion;</w:t>
      </w:r>
    </w:p>
    <w:p>
      <w:pPr>
        <w:spacing w:after="0" w:line="225" w:lineRule="exact"/>
        <w:rPr>
          <w:rFonts w:ascii="Times New Roman" w:cs="Times New Roman" w:eastAsia="Times New Roman" w:hAnsi="Times New Roman"/>
          <w:sz w:val="24"/>
          <w:szCs w:val="24"/>
          <w:color w:val="auto"/>
        </w:rPr>
      </w:pPr>
    </w:p>
    <w:p>
      <w:pPr>
        <w:jc w:val="both"/>
        <w:spacing w:after="0" w:line="250" w:lineRule="auto"/>
        <w:tabs>
          <w:tab w:leader="none" w:pos="362"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spacing w:after="0" w:line="218" w:lineRule="exact"/>
        <w:rPr>
          <w:rFonts w:ascii="Times New Roman" w:cs="Times New Roman" w:eastAsia="Times New Roman" w:hAnsi="Times New Roman"/>
          <w:sz w:val="24"/>
          <w:szCs w:val="24"/>
          <w:color w:val="auto"/>
        </w:rPr>
      </w:pPr>
    </w:p>
    <w:p>
      <w:pPr>
        <w:jc w:val="both"/>
        <w:spacing w:after="0" w:line="250" w:lineRule="auto"/>
        <w:tabs>
          <w:tab w:leader="none" w:pos="34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spacing w:after="0" w:line="218" w:lineRule="exact"/>
        <w:rPr>
          <w:rFonts w:ascii="Times New Roman" w:cs="Times New Roman" w:eastAsia="Times New Roman" w:hAnsi="Times New Roman"/>
          <w:sz w:val="24"/>
          <w:szCs w:val="24"/>
          <w:color w:val="auto"/>
        </w:rPr>
      </w:pPr>
    </w:p>
    <w:p>
      <w:pPr>
        <w:jc w:val="both"/>
        <w:spacing w:after="0" w:line="245" w:lineRule="auto"/>
        <w:tabs>
          <w:tab w:leader="none" w:pos="369"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973455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to comply with filing obligations pursuant to Form 144, Schedule 13D, Schedule 13G, Form 3, Form 4, or Form</w:t>
      </w:r>
    </w:p>
    <w:p>
      <w:pPr>
        <w:spacing w:after="0" w:line="20" w:lineRule="exact"/>
        <w:rPr>
          <w:sz w:val="20"/>
          <w:szCs w:val="20"/>
          <w:color w:val="auto"/>
        </w:rPr>
      </w:pPr>
    </w:p>
    <w:p>
      <w:pPr>
        <w:jc w:val="both"/>
        <w:spacing w:after="0" w:line="238" w:lineRule="auto"/>
        <w:tabs>
          <w:tab w:leader="none" w:pos="265"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spacing w:after="0" w:line="2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Limited Power of Attorney to be executed as of this 25th day of February, 2026.</w:t>
      </w:r>
    </w:p>
    <w:p>
      <w:pPr>
        <w:spacing w:after="0" w:line="200" w:lineRule="exact"/>
        <w:rPr>
          <w:sz w:val="20"/>
          <w:szCs w:val="20"/>
          <w:color w:val="auto"/>
        </w:rPr>
      </w:pPr>
    </w:p>
    <w:p>
      <w:pPr>
        <w:spacing w:after="0" w:line="27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0"/>
          <w:szCs w:val="20"/>
          <w:color w:val="auto"/>
        </w:rPr>
        <w:t>/s/ Annemarie Hanekamp</w:t>
      </w:r>
    </w:p>
    <w:p>
      <w:pPr>
        <w:spacing w:after="0" w:line="3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0"/>
          <w:szCs w:val="20"/>
          <w:color w:val="auto"/>
        </w:rPr>
        <w:t>Name: Annemarie Hanekamp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4240530</wp:posOffset>
            </wp:positionH>
            <wp:positionV relativeFrom="paragraph">
              <wp:posOffset>-145415</wp:posOffset>
            </wp:positionV>
            <wp:extent cx="218249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182495" cy="952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No. 978 /2026 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I hereby certify, that the above signature are the true signature, subscribed in my presence, of</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Ms. Annemarie Hanekamp,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born [***],</w:t>
      </w:r>
    </w:p>
    <w:p>
      <w:pPr>
        <w:spacing w:after="0" w:line="234" w:lineRule="auto"/>
        <w:rPr>
          <w:sz w:val="20"/>
          <w:szCs w:val="20"/>
          <w:color w:val="auto"/>
        </w:rPr>
      </w:pPr>
      <w:r>
        <w:rPr>
          <w:rFonts w:ascii="Times New Roman" w:cs="Times New Roman" w:eastAsia="Times New Roman" w:hAnsi="Times New Roman"/>
          <w:sz w:val="24"/>
          <w:szCs w:val="24"/>
          <w:color w:val="auto"/>
        </w:rPr>
        <w:t>business address: 55131 Mainz, An der Goldgrube 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personally known to me –</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Upon my inspection of today of the commercial register, I certify that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BioNTech SE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is registered at the Municipal Court of Mainz - Commercial Register - under No. HRB 48720 and that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Ms. Annemarie Hanekamp, born [***],</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as this company's Management Board Member,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are registered with the right to jointly act as this company' s legal representatives.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Mainz, 25th of February 2026</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[SEAL]</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Mascha Diefenbach</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Diefenbach, Notary public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26D0978.docx</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APOSTILLE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(Convention de La Haye du 5 octobre 1961)</w:t>
      </w:r>
    </w:p>
    <w:p>
      <w:pPr>
        <w:spacing w:after="0" w:line="26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4"/>
          <w:szCs w:val="24"/>
          <w:color w:val="auto"/>
        </w:rPr>
        <w:t>1. Country:</w:t>
        <w:tab/>
        <w:t>Federal Republic of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760"/>
          </w:cols>
          <w:pgMar w:left="480" w:top="1440" w:right="659" w:bottom="1440" w:gutter="0" w:footer="0" w:header="0"/>
        </w:sectPr>
      </w:pPr>
    </w:p>
    <w:bookmarkStart w:id="4" w:name="page5"/>
    <w:bookmarkEnd w:id="4"/>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312"/>
        </w:trPr>
        <w:tc>
          <w:tcPr>
            <w:tcW w:w="220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This public document</w:t>
            </w: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540"/>
        </w:trPr>
        <w:tc>
          <w:tcPr>
            <w:tcW w:w="220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2. has been signed by</w:t>
            </w:r>
          </w:p>
        </w:tc>
        <w:tc>
          <w:tcPr>
            <w:tcW w:w="440" w:type="dxa"/>
            <w:vAlign w:val="bottom"/>
          </w:tcPr>
          <w:p>
            <w:pPr>
              <w:spacing w:after="0"/>
              <w:rPr>
                <w:sz w:val="24"/>
                <w:szCs w:val="24"/>
                <w:color w:val="auto"/>
              </w:rPr>
            </w:pP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24"/>
                <w:szCs w:val="24"/>
                <w:color w:val="auto"/>
              </w:rPr>
              <w:t>Mascha Diefenbach</w:t>
            </w:r>
          </w:p>
        </w:tc>
      </w:tr>
      <w:tr>
        <w:trPr>
          <w:trHeight w:val="540"/>
        </w:trPr>
        <w:tc>
          <w:tcPr>
            <w:tcW w:w="26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3. acting in the capacity of</w:t>
            </w: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24"/>
                <w:szCs w:val="24"/>
                <w:color w:val="auto"/>
              </w:rPr>
              <w:t>notary public</w:t>
            </w:r>
          </w:p>
        </w:tc>
      </w:tr>
      <w:tr>
        <w:trPr>
          <w:trHeight w:val="540"/>
        </w:trPr>
        <w:tc>
          <w:tcPr>
            <w:tcW w:w="26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4. bears the seal/stamp of</w:t>
            </w:r>
          </w:p>
        </w:tc>
        <w:tc>
          <w:tcPr>
            <w:tcW w:w="8300" w:type="dxa"/>
            <w:vAlign w:val="bottom"/>
            <w:gridSpan w:val="2"/>
          </w:tcPr>
          <w:p>
            <w:pPr>
              <w:ind w:left="240"/>
              <w:spacing w:after="0"/>
              <w:rPr>
                <w:sz w:val="20"/>
                <w:szCs w:val="20"/>
                <w:color w:val="auto"/>
              </w:rPr>
            </w:pPr>
            <w:r>
              <w:rPr>
                <w:rFonts w:ascii="Times New Roman" w:cs="Times New Roman" w:eastAsia="Times New Roman" w:hAnsi="Times New Roman"/>
                <w:sz w:val="24"/>
                <w:szCs w:val="24"/>
                <w:color w:val="auto"/>
              </w:rPr>
              <w:t>Mascha Diefenbach - Notarin in Mainz [SEAL]</w:t>
            </w:r>
          </w:p>
        </w:tc>
      </w:tr>
      <w:tr>
        <w:trPr>
          <w:trHeight w:val="810"/>
        </w:trPr>
        <w:tc>
          <w:tcPr>
            <w:tcW w:w="900" w:type="dxa"/>
            <w:vAlign w:val="bottom"/>
          </w:tcPr>
          <w:p>
            <w:pPr>
              <w:spacing w:after="0"/>
              <w:rPr>
                <w:sz w:val="20"/>
                <w:szCs w:val="20"/>
                <w:color w:val="auto"/>
              </w:rPr>
            </w:pPr>
            <w:r>
              <w:rPr>
                <w:rFonts w:ascii="Times New Roman" w:cs="Times New Roman" w:eastAsia="Times New Roman" w:hAnsi="Times New Roman"/>
                <w:sz w:val="24"/>
                <w:szCs w:val="24"/>
                <w:color w:val="auto"/>
              </w:rPr>
              <w:t>Certified</w:t>
            </w: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24"/>
                <w:szCs w:val="24"/>
                <w:color w:val="auto"/>
              </w:rPr>
              <w:t>5. at</w:t>
            </w:r>
          </w:p>
        </w:tc>
        <w:tc>
          <w:tcPr>
            <w:tcW w:w="1300" w:type="dxa"/>
            <w:vAlign w:val="bottom"/>
          </w:tcPr>
          <w:p>
            <w:pPr>
              <w:ind w:left="60"/>
              <w:spacing w:after="0"/>
              <w:rPr>
                <w:sz w:val="20"/>
                <w:szCs w:val="20"/>
                <w:color w:val="auto"/>
              </w:rPr>
            </w:pPr>
            <w:r>
              <w:rPr>
                <w:rFonts w:ascii="Times New Roman" w:cs="Times New Roman" w:eastAsia="Times New Roman" w:hAnsi="Times New Roman"/>
                <w:sz w:val="24"/>
                <w:szCs w:val="24"/>
                <w:color w:val="auto"/>
              </w:rPr>
              <w:t>Mainz</w:t>
            </w:r>
          </w:p>
        </w:tc>
        <w:tc>
          <w:tcPr>
            <w:tcW w:w="440" w:type="dxa"/>
            <w:vAlign w:val="bottom"/>
          </w:tcPr>
          <w:p>
            <w:pPr>
              <w:jc w:val="right"/>
              <w:spacing w:after="0"/>
              <w:rPr>
                <w:sz w:val="20"/>
                <w:szCs w:val="20"/>
                <w:color w:val="auto"/>
              </w:rPr>
            </w:pPr>
            <w:r>
              <w:rPr>
                <w:rFonts w:ascii="Times New Roman" w:cs="Times New Roman" w:eastAsia="Times New Roman" w:hAnsi="Times New Roman"/>
                <w:sz w:val="24"/>
                <w:szCs w:val="24"/>
                <w:color w:val="auto"/>
              </w:rPr>
              <w:t>6.</w:t>
            </w:r>
          </w:p>
        </w:tc>
        <w:tc>
          <w:tcPr>
            <w:tcW w:w="830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the   27.02.2026</w:t>
            </w: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24"/>
                <w:szCs w:val="24"/>
                <w:color w:val="auto"/>
              </w:rPr>
              <w:t>7. by the</w:t>
            </w:r>
          </w:p>
        </w:tc>
        <w:tc>
          <w:tcPr>
            <w:tcW w:w="10040" w:type="dxa"/>
            <w:vAlign w:val="bottom"/>
            <w:gridSpan w:val="4"/>
          </w:tcPr>
          <w:p>
            <w:pPr>
              <w:ind w:left="60"/>
              <w:spacing w:after="0"/>
              <w:rPr>
                <w:sz w:val="20"/>
                <w:szCs w:val="20"/>
                <w:color w:val="auto"/>
              </w:rPr>
            </w:pPr>
            <w:r>
              <w:rPr>
                <w:rFonts w:ascii="Times New Roman" w:cs="Times New Roman" w:eastAsia="Times New Roman" w:hAnsi="Times New Roman"/>
                <w:sz w:val="24"/>
                <w:szCs w:val="24"/>
                <w:color w:val="auto"/>
              </w:rPr>
              <w:t>President of the District Court</w:t>
            </w:r>
          </w:p>
        </w:tc>
      </w:tr>
      <w:tr>
        <w:trPr>
          <w:trHeight w:val="540"/>
        </w:trPr>
        <w:tc>
          <w:tcPr>
            <w:tcW w:w="900" w:type="dxa"/>
            <w:vAlign w:val="bottom"/>
          </w:tcPr>
          <w:p>
            <w:pPr>
              <w:spacing w:after="0"/>
              <w:rPr>
                <w:sz w:val="20"/>
                <w:szCs w:val="20"/>
                <w:color w:val="auto"/>
              </w:rPr>
            </w:pPr>
            <w:r>
              <w:rPr>
                <w:rFonts w:ascii="Times New Roman" w:cs="Times New Roman" w:eastAsia="Times New Roman" w:hAnsi="Times New Roman"/>
                <w:sz w:val="24"/>
                <w:szCs w:val="24"/>
                <w:color w:val="auto"/>
              </w:rPr>
              <w:t>8. No</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24"/>
                <w:szCs w:val="24"/>
                <w:color w:val="auto"/>
              </w:rPr>
              <w:t>258/2026</w:t>
            </w:r>
          </w:p>
        </w:tc>
        <w:tc>
          <w:tcPr>
            <w:tcW w:w="168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498"/>
        </w:trPr>
        <w:tc>
          <w:tcPr>
            <w:tcW w:w="2200" w:type="dxa"/>
            <w:vAlign w:val="bottom"/>
            <w:gridSpan w:val="2"/>
          </w:tcPr>
          <w:p>
            <w:pPr>
              <w:spacing w:after="0"/>
              <w:rPr>
                <w:sz w:val="20"/>
                <w:szCs w:val="20"/>
                <w:color w:val="auto"/>
              </w:rPr>
            </w:pPr>
            <w:r>
              <w:rPr>
                <w:rFonts w:ascii="Times New Roman" w:cs="Times New Roman" w:eastAsia="Times New Roman" w:hAnsi="Times New Roman"/>
                <w:sz w:val="24"/>
                <w:szCs w:val="24"/>
                <w:color w:val="auto"/>
              </w:rPr>
              <w:t>9. Stamp: [SEAL]</w:t>
            </w:r>
          </w:p>
        </w:tc>
        <w:tc>
          <w:tcPr>
            <w:tcW w:w="87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10. Signature:</w:t>
            </w:r>
          </w:p>
        </w:tc>
      </w:tr>
      <w:tr>
        <w:trPr>
          <w:trHeight w:val="255"/>
        </w:trPr>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120" w:type="dxa"/>
            <w:vAlign w:val="bottom"/>
            <w:tcBorders>
              <w:bottom w:val="single" w:sz="8" w:color="auto"/>
            </w:tcBorders>
            <w:gridSpan w:val="2"/>
          </w:tcPr>
          <w:p>
            <w:pPr>
              <w:spacing w:after="0" w:line="255" w:lineRule="exact"/>
              <w:rPr>
                <w:sz w:val="20"/>
                <w:szCs w:val="20"/>
                <w:color w:val="auto"/>
              </w:rPr>
            </w:pPr>
            <w:r>
              <w:rPr>
                <w:rFonts w:ascii="Times New Roman" w:cs="Times New Roman" w:eastAsia="Times New Roman" w:hAnsi="Times New Roman"/>
                <w:sz w:val="24"/>
                <w:szCs w:val="24"/>
                <w:color w:val="auto"/>
                <w:w w:val="99"/>
              </w:rPr>
              <w:t>/s/ Thomas Bergmann</w:t>
            </w:r>
          </w:p>
        </w:tc>
        <w:tc>
          <w:tcPr>
            <w:tcW w:w="6620" w:type="dxa"/>
            <w:vAlign w:val="bottom"/>
          </w:tcPr>
          <w:p>
            <w:pPr>
              <w:spacing w:after="0"/>
              <w:rPr>
                <w:sz w:val="22"/>
                <w:szCs w:val="22"/>
                <w:color w:val="auto"/>
              </w:rPr>
            </w:pPr>
          </w:p>
        </w:tc>
      </w:tr>
      <w:tr>
        <w:trPr>
          <w:trHeight w:val="307"/>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740" w:type="dxa"/>
            <w:vAlign w:val="bottom"/>
            <w:gridSpan w:val="3"/>
          </w:tcPr>
          <w:p>
            <w:pPr>
              <w:spacing w:after="0"/>
              <w:rPr>
                <w:sz w:val="20"/>
                <w:szCs w:val="20"/>
                <w:color w:val="auto"/>
              </w:rPr>
            </w:pPr>
            <w:r>
              <w:rPr>
                <w:rFonts w:ascii="Times New Roman" w:cs="Times New Roman" w:eastAsia="Times New Roman" w:hAnsi="Times New Roman"/>
                <w:sz w:val="24"/>
                <w:szCs w:val="24"/>
                <w:color w:val="auto"/>
              </w:rPr>
              <w:t>Thomas Bergmann</w:t>
            </w:r>
          </w:p>
        </w:tc>
      </w:tr>
      <w:tr>
        <w:trPr>
          <w:trHeight w:val="1799"/>
        </w:trPr>
        <w:tc>
          <w:tcPr>
            <w:tcW w:w="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6924675</wp:posOffset>
            </wp:positionH>
            <wp:positionV relativeFrom="paragraph">
              <wp:posOffset>-31115</wp:posOffset>
            </wp:positionV>
            <wp:extent cx="3492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-31115</wp:posOffset>
            </wp:positionV>
            <wp:extent cx="34925"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118987"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2026-03-18T16:41:04Z</dcterms:created>
  <dcterms:modified xsi:type="dcterms:W3CDTF">2026-03-18T16:41:04Z</dcterms:modified>
</cp:coreProperties>
</file>