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900"/>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0000FF"/>
        </w:rPr>
        <w:t>BioNTech 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left="760"/>
        <w:spacing w:after="0" w:line="262" w:lineRule="auto"/>
        <w:rPr>
          <w:sz w:val="20"/>
          <w:szCs w:val="20"/>
          <w:color w:val="auto"/>
        </w:rPr>
      </w:pPr>
      <w:r>
        <w:rPr>
          <w:rFonts w:ascii="Times New Roman" w:cs="Times New Roman" w:eastAsia="Times New Roman" w:hAnsi="Times New Roman"/>
          <w:sz w:val="22"/>
          <w:szCs w:val="22"/>
          <w:b w:val="1"/>
          <w:bCs w:val="1"/>
          <w:color w:val="0000FF"/>
        </w:rPr>
        <w:t>Ordinary Shares, no par value per share (EUR1.00 nominal amount) (including Ordinary Shares represented by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0628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15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710628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Medine GmbH</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GERMANY</w:t>
      </w:r>
    </w:p>
    <w:p>
      <w:pPr>
        <w:sectPr>
          <w:pgSz w:w="11900" w:h="16884" w:orient="portrait"/>
          <w:cols w:equalWidth="0" w:num="1">
            <w:col w:w="10760"/>
          </w:cols>
          <w:pgMar w:left="360" w:top="866" w:right="77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39,218,111.00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39,111,390.00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39,218,111.00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7" w:orient="portrait"/>
          <w:cols w:equalWidth="0" w:num="2">
            <w:col w:w="1100" w:space="60"/>
            <w:col w:w="9960"/>
          </w:cols>
          <w:pgMar w:left="320" w:top="166" w:right="459" w:bottom="0" w:gutter="0" w:footer="0" w:header="0"/>
        </w:sectPr>
      </w:pP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Item 9: Consists of 39,111,390 ordinary shares held by Medine GmbH and 106,721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ordinary shares held by a former colleague, over which shares Prof. Ugur Sahin, M.D. retains voting power pursuant to a written arrangement. Pursuant to this arrangement, Prof. Ugur Sahin, M.D. retains voting power, but not dispositive power, over such shares, and accordingly Medine GmbH and Prof. Ugur Sahin, M.D. each may be deemed beneficially to own such shares.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Ugur Sahin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TURKEY</w:t>
            </w:r>
          </w:p>
        </w:tc>
        <w:tc>
          <w:tcPr>
            <w:tcW w:w="0" w:type="dxa"/>
            <w:vAlign w:val="bottom"/>
          </w:tcPr>
          <w:p>
            <w:pPr>
              <w:spacing w:after="0"/>
              <w:rPr>
                <w:sz w:val="1"/>
                <w:szCs w:val="1"/>
                <w:color w:val="auto"/>
              </w:rPr>
            </w:pPr>
          </w:p>
        </w:tc>
      </w:tr>
      <w:tr>
        <w:trPr>
          <w:trHeight w:val="314"/>
        </w:trPr>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858,209.00</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39,218,111.00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858,209.00</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39,111,390.00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47" w:orient="portrait"/>
          <w:cols w:equalWidth="0" w:num="1">
            <w:col w:w="11120"/>
          </w:cols>
          <w:pgMar w:left="320" w:top="166" w:right="45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40,076,320.00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15.8 %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Item 6: Consists of 39,111,390 ordinary shares held by Medine GmbH, 858,209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ordinary shares held by Prof. Ugur Sahin, M.D., and 106,721 ordinary shares held by a former colleague, over which shares Prof. Ugur Sahin, M.D. retains voting power pursuant to a written arrangement. Pursuant to this arrangement, Prof. Ugur Sahin, M.D. retains voting power, but not dispositive power, over such shares, and accordingly Medine GmbH and Prof. Ugur Sahin, M.D. each may be deemed beneficially to own such shares.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BioNTech SE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An der Goldgrube 12, Mainz, Germany, 55131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This Amendment No. 6 to Schedule 13G is being jointly filed by Medine GmbH and Prof. Ugur Sahin, M.D., each of</w:t>
      </w:r>
    </w:p>
    <w:p>
      <w:pPr>
        <w:spacing w:after="0" w:line="26" w:lineRule="exact"/>
        <w:rPr>
          <w:sz w:val="20"/>
          <w:szCs w:val="20"/>
          <w:color w:val="auto"/>
        </w:rPr>
      </w:pPr>
    </w:p>
    <w:p>
      <w:pPr>
        <w:ind w:left="960" w:right="100" w:hanging="912"/>
        <w:spacing w:after="0" w:line="234"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a "Reporting Person," and together, the "Reporting Persons". The Reporting Persons have entered into a Joint Filing Agreement, dated February 13, 2020, a copy of which is incorporated by reference herein to Exhibit on the Schedule 13G filed on February 13, 2020, pursuant to which the Reporting Persons have agreed to file this statement jointly in accordance with the provisions of Rule 13d-1(k)(1) under the Act.</w:t>
      </w:r>
    </w:p>
    <w:p>
      <w:pPr>
        <w:sectPr>
          <w:pgSz w:w="11900" w:h="16838" w:orient="portrait"/>
          <w:cols w:equalWidth="0" w:num="1">
            <w:col w:w="11180"/>
          </w:cols>
          <w:pgMar w:left="320" w:top="355" w:right="399" w:bottom="0" w:gutter="0" w:footer="0" w:header="0"/>
        </w:sect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Philipp-von-Zabern-Platz 1, D-55116 Mainz, Germany.</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Medine GmbH is a German limited liability company (Gesellschaft mit beschrankter Haftung). Prof. Ugur Sahin, M.D. is a citizen of Turkey.</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ind w:right="600"/>
        <w:spacing w:after="0" w:line="256" w:lineRule="auto"/>
        <w:rPr>
          <w:sz w:val="20"/>
          <w:szCs w:val="20"/>
          <w:color w:val="auto"/>
        </w:rPr>
      </w:pPr>
      <w:r>
        <w:rPr>
          <w:rFonts w:ascii="Times New Roman" w:cs="Times New Roman" w:eastAsia="Times New Roman" w:hAnsi="Times New Roman"/>
          <w:sz w:val="22"/>
          <w:szCs w:val="22"/>
          <w:color w:val="auto"/>
        </w:rPr>
        <w:t>Ordinary Shares, no par value per share (EUR1.00 nominal amount) (including Ordinary Shares represented by American Depositary Shares)</w:t>
      </w: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60" w:space="300"/>
            <w:col w:w="10220"/>
          </w:cols>
          <w:pgMar w:left="320" w:top="355" w:right="399" w:bottom="0" w:gutter="0" w:footer="0" w:header="0"/>
          <w:type w:val="continuous"/>
        </w:sectPr>
      </w:pPr>
    </w:p>
    <w:p>
      <w:pPr>
        <w:ind w:left="960" w:right="68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ectPr>
          <w:pgSz w:w="11900" w:h="16838" w:orient="portrait"/>
          <w:cols w:equalWidth="0" w:num="1">
            <w:col w:w="11180"/>
          </w:cols>
          <w:pgMar w:left="320" w:top="355" w:right="399" w:bottom="0" w:gutter="0" w:footer="0" w:header="0"/>
          <w:type w:val="continuous"/>
        </w:sectPr>
      </w:pPr>
    </w:p>
    <w:bookmarkStart w:id="3" w:name="page4"/>
    <w:bookmarkEnd w:id="3"/>
    <w:p>
      <w:pPr>
        <w:ind w:left="920" w:right="1020" w:hanging="912"/>
        <w:spacing w:after="0" w:line="241"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140"/>
          </w:cols>
          <w:pgMar w:left="360" w:top="126" w:right="399" w:bottom="0" w:gutter="0" w:footer="0" w:header="0"/>
        </w:sect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right="540"/>
        <w:spacing w:after="0" w:line="256" w:lineRule="auto"/>
        <w:rPr>
          <w:sz w:val="20"/>
          <w:szCs w:val="20"/>
          <w:color w:val="auto"/>
        </w:rPr>
      </w:pPr>
      <w:r>
        <w:rPr>
          <w:rFonts w:ascii="Times New Roman" w:cs="Times New Roman" w:eastAsia="Times New Roman" w:hAnsi="Times New Roman"/>
          <w:sz w:val="22"/>
          <w:szCs w:val="22"/>
          <w:color w:val="auto"/>
        </w:rPr>
        <w:t>See the responses to Item 11 on the attached cover pages, which were calculated based on 252,884,261 ordinary shares of the Issuer outstanding as of March 31, 2026. %</w:t>
      </w:r>
    </w:p>
    <w:p>
      <w:pPr>
        <w:spacing w:after="0" w:line="1"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jc w:val="both"/>
        <w:ind w:left="920" w:right="5320" w:firstLine="6"/>
        <w:spacing w:after="0" w:line="509" w:lineRule="auto"/>
        <w:tabs>
          <w:tab w:leader="none" w:pos="129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ind w:left="920" w:right="5120" w:firstLine="6"/>
        <w:spacing w:after="0" w:line="509" w:lineRule="auto"/>
        <w:tabs>
          <w:tab w:leader="none" w:pos="1286"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26"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responses to Item 2(a) and Item 4.</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responses to Item 2(a) and Item 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0" w:gutter="0" w:footer="0" w:header="0"/>
          <w:type w:val="continuous"/>
        </w:sectPr>
      </w:pPr>
    </w:p>
    <w:bookmarkStart w:id="4" w:name="page5"/>
    <w:bookmarkEnd w:id="4"/>
    <w:p>
      <w:pPr>
        <w:ind w:left="420"/>
        <w:spacing w:after="0"/>
        <w:rPr>
          <w:sz w:val="20"/>
          <w:szCs w:val="20"/>
          <w:color w:val="auto"/>
        </w:rPr>
      </w:pPr>
      <w:r>
        <w:rPr>
          <w:rFonts w:ascii="Times New Roman" w:cs="Times New Roman" w:eastAsia="Times New Roman" w:hAnsi="Times New Roman"/>
          <w:sz w:val="22"/>
          <w:szCs w:val="22"/>
          <w:color w:val="auto"/>
        </w:rPr>
        <w:t>Medine GmbH</w:t>
      </w:r>
    </w:p>
    <w:p>
      <w:pPr>
        <w:spacing w:after="0" w:line="153"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Prof. Ugur Sahin, M.D.</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1"/>
          <w:szCs w:val="21"/>
          <w:color w:val="auto"/>
        </w:rPr>
        <w:t>Name/Title: Prof. Ugur Sahin, M.D./Authorized Signatory</w:t>
      </w:r>
    </w:p>
    <w:p>
      <w:pPr>
        <w:spacing w:after="0" w:line="56"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Ugur Sahin</w:t>
      </w:r>
    </w:p>
    <w:p>
      <w:pPr>
        <w:spacing w:after="0" w:line="152"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Prof. Ugur Sahin, M.D.</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Name/Title: Prof. Ugur Sahin, M.D.</w:t>
      </w:r>
    </w:p>
    <w:p>
      <w:pPr>
        <w:spacing w:after="0" w:line="44"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220"/>
      </w:cols>
      <w:pgMar w:left="1440" w:top="112"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Letter"/>
      <w:start w:val="10"/>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2026-05-15T15:17:04Z</dcterms:created>
  <dcterms:modified xsi:type="dcterms:W3CDTF">2026-05-15T15:17:04Z</dcterms:modified>
</cp:coreProperties>
</file>