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FOR THE MONTH OF JUNE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June 2, 2025, BioNTech SE (Nasdaq: BNTX, “BioNTech”) and Bristol Myers Squibb (NYSE: BMY, “BMS”) announced that the companies have entered into an agreement for the global co-development and co-commercialization of BioNTech’s investigational bispecific antibody BNT327 across numerous solid tumor types. The press release and related presentation are attached as Exhibits 99.1 and 99.2, respectively, and incorporated by reference herein.</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BioNTech SE</w:t>
            </w:r>
          </w:p>
        </w:tc>
        <w:tc>
          <w:tcPr>
            <w:tcW w:w="108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532"/>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Ugur Sahin</w:t>
            </w: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Ugur Sahin</w:t>
            </w:r>
          </w:p>
        </w:tc>
        <w:tc>
          <w:tcPr>
            <w:tcW w:w="108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Executive Officer</w:t>
            </w:r>
          </w:p>
        </w:tc>
        <w:tc>
          <w:tcPr>
            <w:tcW w:w="10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2, 2025</w:t>
      </w:r>
    </w:p>
    <w:p>
      <w:pPr>
        <w:sectPr>
          <w:pgSz w:w="11900" w:h="16838" w:orient="portrait"/>
          <w:cols w:equalWidth="0" w:num="1">
            <w:col w:w="11100"/>
          </w:cols>
          <w:pgMar w:left="300" w:top="77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1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874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10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BioNTech and Bristol Myers Squibb Announce Global Strategic Partnership to Co-Develop and Co-Commercialize Next-generation Bispecific Antibody Candidate BNT327</w:t>
            </w:r>
          </w:p>
        </w:tc>
      </w:tr>
      <w:tr>
        <w:trPr>
          <w:trHeight w:val="160"/>
        </w:trPr>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Broadly for Multiple Solid Tumor Types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 Transformative Global Partnership for BNT327</w:t>
            </w:r>
          </w:p>
        </w:tc>
        <w:tc>
          <w:tcPr>
            <w:tcW w:w="7140" w:type="dxa"/>
            <w:vAlign w:val="bottom"/>
          </w:tcPr>
          <w:p>
            <w:pPr>
              <w:spacing w:after="0"/>
              <w:rPr>
                <w:sz w:val="24"/>
                <w:szCs w:val="24"/>
                <w:color w:val="auto"/>
              </w:rPr>
            </w:pPr>
          </w:p>
        </w:tc>
      </w:tr>
    </w:tbl>
    <w:p>
      <w:pPr>
        <w:sectPr>
          <w:pgSz w:w="11900" w:h="16838" w:orient="portrait"/>
          <w:cols w:equalWidth="0" w:num="1">
            <w:col w:w="11280"/>
          </w:cols>
          <w:pgMar w:left="300" w:top="77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2931795" cy="200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20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
        <w:spacing w:after="0" w:line="308" w:lineRule="auto"/>
        <w:rPr>
          <w:sz w:val="20"/>
          <w:szCs w:val="20"/>
          <w:color w:val="auto"/>
        </w:rPr>
      </w:pPr>
      <w:r>
        <w:rPr>
          <w:rFonts w:ascii="Arial" w:cs="Arial" w:eastAsia="Arial" w:hAnsi="Arial"/>
          <w:sz w:val="16"/>
          <w:szCs w:val="16"/>
          <w:b w:val="1"/>
          <w:bCs w:val="1"/>
          <w:color w:val="auto"/>
        </w:rPr>
        <w:t>BioNTech and Bristol Myers Squibb Announce Global Strategic Partnership to Co-Develop and Co-Commercialize Next-generation Bispecific Antibody Candidate BNT327 Broadly for Multiple Solid Tumor Types</w:t>
      </w:r>
    </w:p>
    <w:p>
      <w:pPr>
        <w:spacing w:after="0" w:line="121" w:lineRule="exact"/>
        <w:rPr>
          <w:sz w:val="20"/>
          <w:szCs w:val="20"/>
          <w:color w:val="auto"/>
        </w:rPr>
      </w:pPr>
    </w:p>
    <w:p>
      <w:pPr>
        <w:ind w:left="208" w:right="20" w:hanging="208"/>
        <w:spacing w:after="0" w:line="248" w:lineRule="auto"/>
        <w:tabs>
          <w:tab w:leader="none" w:pos="204" w:val="left"/>
        </w:tabs>
        <w:numPr>
          <w:ilvl w:val="0"/>
          <w:numId w:val="1"/>
        </w:numPr>
        <w:rPr>
          <w:rFonts w:ascii="Times New Roman" w:cs="Times New Roman" w:eastAsia="Times New Roman" w:hAnsi="Times New Roman"/>
          <w:sz w:val="14"/>
          <w:szCs w:val="14"/>
          <w:color w:val="auto"/>
        </w:rPr>
      </w:pPr>
      <w:r>
        <w:rPr>
          <w:rFonts w:ascii="Arial" w:cs="Arial" w:eastAsia="Arial" w:hAnsi="Arial"/>
          <w:sz w:val="12"/>
          <w:szCs w:val="12"/>
          <w:i w:val="1"/>
          <w:iCs w:val="1"/>
          <w:color w:val="auto"/>
        </w:rPr>
        <w:t>BNT327, BioNTech’s PD-L1xVEGF-A bispecific antibody, is a clinically advanced investigational immunotherapy candidate with the potential to surpass current checkpoint inhibitor outcomes and set a new standard of care in multiple tumor types</w:t>
      </w:r>
    </w:p>
    <w:p>
      <w:pPr>
        <w:spacing w:after="0" w:line="15" w:lineRule="exact"/>
        <w:rPr>
          <w:rFonts w:ascii="Times New Roman" w:cs="Times New Roman" w:eastAsia="Times New Roman" w:hAnsi="Times New Roman"/>
          <w:sz w:val="14"/>
          <w:szCs w:val="14"/>
          <w:color w:val="auto"/>
        </w:rPr>
      </w:pPr>
    </w:p>
    <w:p>
      <w:pPr>
        <w:ind w:left="208" w:right="20" w:hanging="208"/>
        <w:spacing w:after="0" w:line="248" w:lineRule="auto"/>
        <w:tabs>
          <w:tab w:leader="none" w:pos="204" w:val="left"/>
        </w:tabs>
        <w:numPr>
          <w:ilvl w:val="0"/>
          <w:numId w:val="1"/>
        </w:numPr>
        <w:rPr>
          <w:rFonts w:ascii="Times New Roman" w:cs="Times New Roman" w:eastAsia="Times New Roman" w:hAnsi="Times New Roman"/>
          <w:sz w:val="14"/>
          <w:szCs w:val="14"/>
          <w:color w:val="auto"/>
        </w:rPr>
      </w:pPr>
      <w:r>
        <w:rPr>
          <w:rFonts w:ascii="Arial" w:cs="Arial" w:eastAsia="Arial" w:hAnsi="Arial"/>
          <w:sz w:val="12"/>
          <w:szCs w:val="12"/>
          <w:i w:val="1"/>
          <w:iCs w:val="1"/>
          <w:color w:val="auto"/>
        </w:rPr>
        <w:t>The co-development and co-commercialization collaboration with a 50/50 profit/loss split will leverage both partners’ expertise, resources and global footprint to accelerate BNT327’s path towards potential regulatory approvals and market launches</w:t>
      </w:r>
    </w:p>
    <w:p>
      <w:pPr>
        <w:spacing w:after="0" w:line="19" w:lineRule="exact"/>
        <w:rPr>
          <w:rFonts w:ascii="Times New Roman" w:cs="Times New Roman" w:eastAsia="Times New Roman" w:hAnsi="Times New Roman"/>
          <w:sz w:val="14"/>
          <w:szCs w:val="14"/>
          <w:color w:val="auto"/>
        </w:rPr>
      </w:pPr>
    </w:p>
    <w:p>
      <w:pPr>
        <w:ind w:left="208" w:hanging="208"/>
        <w:spacing w:after="0"/>
        <w:tabs>
          <w:tab w:leader="none" w:pos="208" w:val="left"/>
        </w:tabs>
        <w:numPr>
          <w:ilvl w:val="0"/>
          <w:numId w:val="1"/>
        </w:numPr>
        <w:rPr>
          <w:rFonts w:ascii="Times New Roman" w:cs="Times New Roman" w:eastAsia="Times New Roman" w:hAnsi="Times New Roman"/>
          <w:sz w:val="14"/>
          <w:szCs w:val="14"/>
          <w:color w:val="auto"/>
        </w:rPr>
      </w:pPr>
      <w:r>
        <w:rPr>
          <w:rFonts w:ascii="Arial" w:cs="Arial" w:eastAsia="Arial" w:hAnsi="Arial"/>
          <w:sz w:val="12"/>
          <w:szCs w:val="12"/>
          <w:i w:val="1"/>
          <w:iCs w:val="1"/>
          <w:color w:val="auto"/>
        </w:rPr>
        <w:t>BioNTech and Bristol Myers Squibb will jointly execute a broad clinical development program to evaluate and advance BNT327 across numerous solid tumor types</w:t>
      </w:r>
    </w:p>
    <w:p>
      <w:pPr>
        <w:spacing w:after="0" w:line="156"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color w:val="auto"/>
        </w:rPr>
        <w:t xml:space="preserve">MAINZ, Germany, and PRINCETON, USA, June 2, 2025 </w:t>
      </w:r>
      <w:r>
        <w:rPr>
          <w:rFonts w:ascii="Arial" w:cs="Arial" w:eastAsia="Arial" w:hAnsi="Arial"/>
          <w:sz w:val="12"/>
          <w:szCs w:val="12"/>
          <w:color w:val="auto"/>
        </w:rPr>
        <w:t>-- BioNTech SE (Nasdaq: BNTX, “BioNTech”) and Bristol Myers Squibb (NYSE: BMY, “BMS”) today announced that the companies have entered into an</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for the global co-development and co-commercialization of BioNTech’s investigational bispecific antibody BNT327 across numerous solid tumor types. Under the agreement, BioNTech and BMS will work jointly to broaden and accelerate the development of this clinical candidate.</w:t>
      </w:r>
    </w:p>
    <w:p>
      <w:pPr>
        <w:spacing w:after="0" w:line="136" w:lineRule="exact"/>
        <w:rPr>
          <w:sz w:val="20"/>
          <w:szCs w:val="20"/>
          <w:color w:val="auto"/>
        </w:rPr>
      </w:pPr>
    </w:p>
    <w:p>
      <w:pPr>
        <w:jc w:val="both"/>
        <w:ind w:left="8"/>
        <w:spacing w:after="0" w:line="272" w:lineRule="auto"/>
        <w:rPr>
          <w:sz w:val="20"/>
          <w:szCs w:val="20"/>
          <w:color w:val="auto"/>
        </w:rPr>
      </w:pPr>
      <w:r>
        <w:rPr>
          <w:rFonts w:ascii="Arial" w:cs="Arial" w:eastAsia="Arial" w:hAnsi="Arial"/>
          <w:sz w:val="12"/>
          <w:szCs w:val="12"/>
          <w:color w:val="auto"/>
        </w:rPr>
        <w:t>BioNTech’s BNT327, a next-generation bispecific antibody candidate targeting PD-L1 and VEGF-A, is currently being evaluated in multiple ongoing trials with more than 1,000 patients treated to date, including global Phase 3 trials with registrational potential evaluating BNT327 as first-line treatment in extensive stage small cell lung cancer (“ES-SCLC”) and non-small cell lung cancer (“NSCLC”). A global Phase 3 trial evaluating the candidate in triple negative breast cancer (“TNBC”) is planned to start by the end of 2025. Preliminary data from ongoing trials underscore the potential for combining anti-PD-L1 and anti-VEGF-A – two well-established therapeutic targets – into a single molecule to deliver synergistic clinical benefits for patients across multiple tumor types.</w:t>
      </w:r>
    </w:p>
    <w:p>
      <w:pPr>
        <w:spacing w:after="0" w:line="139"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Under the terms of the agreement, the companies will jointly develop and commercialize BNT327, including the development of BNT327 as monotherapy and in combination with other products. Both companies have the right to independently develop BNT327 in further indications and combinations, including combinations of BNT327 with proprietary pipeline assets.</w:t>
      </w:r>
    </w:p>
    <w:p>
      <w:pPr>
        <w:spacing w:after="0" w:line="139" w:lineRule="exact"/>
        <w:rPr>
          <w:sz w:val="20"/>
          <w:szCs w:val="20"/>
          <w:color w:val="auto"/>
        </w:rPr>
      </w:pPr>
    </w:p>
    <w:p>
      <w:pPr>
        <w:jc w:val="both"/>
        <w:ind w:left="8"/>
        <w:spacing w:after="0" w:line="288" w:lineRule="auto"/>
        <w:rPr>
          <w:sz w:val="20"/>
          <w:szCs w:val="20"/>
          <w:color w:val="auto"/>
        </w:rPr>
      </w:pPr>
      <w:r>
        <w:rPr>
          <w:rFonts w:ascii="Arial" w:cs="Arial" w:eastAsia="Arial" w:hAnsi="Arial"/>
          <w:sz w:val="12"/>
          <w:szCs w:val="12"/>
          <w:color w:val="auto"/>
        </w:rPr>
        <w:t xml:space="preserve">“We believe BNT327 has the potential to become a foundational immuno-oncology backbone, moving beyond single-mechanism checkpoint inhibitors and expanding into multiple solid-tumor indications. Our collaboration with BMS, a pioneering leader in immuno-oncology, aims to accelerate and broadly expand BNT327’s development to fully realize its potential,” said </w:t>
      </w:r>
      <w:r>
        <w:rPr>
          <w:rFonts w:ascii="Arial" w:cs="Arial" w:eastAsia="Arial" w:hAnsi="Arial"/>
          <w:sz w:val="12"/>
          <w:szCs w:val="12"/>
          <w:b w:val="1"/>
          <w:bCs w:val="1"/>
          <w:color w:val="auto"/>
        </w:rPr>
        <w:t>Prof. Ugur Sahin, M.D., CEO and Co-Founder of</w:t>
      </w:r>
      <w:r>
        <w:rPr>
          <w:rFonts w:ascii="Arial" w:cs="Arial" w:eastAsia="Arial" w:hAnsi="Arial"/>
          <w:sz w:val="12"/>
          <w:szCs w:val="12"/>
          <w:color w:val="auto"/>
        </w:rPr>
        <w:t xml:space="preserve"> </w:t>
      </w:r>
      <w:r>
        <w:rPr>
          <w:rFonts w:ascii="Arial" w:cs="Arial" w:eastAsia="Arial" w:hAnsi="Arial"/>
          <w:sz w:val="12"/>
          <w:szCs w:val="12"/>
          <w:b w:val="1"/>
          <w:bCs w:val="1"/>
          <w:color w:val="auto"/>
        </w:rPr>
        <w:t>BioNTech</w:t>
      </w:r>
      <w:r>
        <w:rPr>
          <w:rFonts w:ascii="Arial" w:cs="Arial" w:eastAsia="Arial" w:hAnsi="Arial"/>
          <w:sz w:val="12"/>
          <w:szCs w:val="12"/>
          <w:color w:val="auto"/>
        </w:rPr>
        <w:t>. “Our focus remains on advancing high-impact, pan-tumor programs and combination strategies in oncology, with BNT327 complementing our antibody-drug conjugate programs and mRNA-based</w:t>
      </w:r>
      <w:r>
        <w:rPr>
          <w:rFonts w:ascii="Arial" w:cs="Arial" w:eastAsia="Arial" w:hAnsi="Arial"/>
          <w:sz w:val="12"/>
          <w:szCs w:val="12"/>
          <w:b w:val="1"/>
          <w:bCs w:val="1"/>
          <w:color w:val="auto"/>
        </w:rPr>
        <w:t xml:space="preserve"> </w:t>
      </w:r>
      <w:r>
        <w:rPr>
          <w:rFonts w:ascii="Arial" w:cs="Arial" w:eastAsia="Arial" w:hAnsi="Arial"/>
          <w:sz w:val="12"/>
          <w:szCs w:val="12"/>
          <w:color w:val="auto"/>
        </w:rPr>
        <w:t>immunotherapies. We are dedicated to delivering truly transformative options for patients in need.”</w:t>
      </w:r>
    </w:p>
    <w:p>
      <w:pPr>
        <w:spacing w:after="0" w:line="130" w:lineRule="exact"/>
        <w:rPr>
          <w:sz w:val="20"/>
          <w:szCs w:val="20"/>
          <w:color w:val="auto"/>
        </w:rPr>
      </w:pPr>
    </w:p>
    <w:p>
      <w:pPr>
        <w:jc w:val="both"/>
        <w:ind w:left="8"/>
        <w:spacing w:after="0" w:line="284" w:lineRule="auto"/>
        <w:rPr>
          <w:sz w:val="20"/>
          <w:szCs w:val="20"/>
          <w:color w:val="auto"/>
        </w:rPr>
      </w:pPr>
      <w:r>
        <w:rPr>
          <w:rFonts w:ascii="Arial" w:cs="Arial" w:eastAsia="Arial" w:hAnsi="Arial"/>
          <w:sz w:val="12"/>
          <w:szCs w:val="12"/>
          <w:color w:val="auto"/>
        </w:rPr>
        <w:t xml:space="preserve">“Our deep experience and expertise in advancing and delivering groundbreaking immuno-oncology medicines positions BMS well to collaboratively realize the potential of BNT327, an asset with significant potential for transforming the standard of care for patients with solid tumors,” said </w:t>
      </w:r>
      <w:r>
        <w:rPr>
          <w:rFonts w:ascii="Arial" w:cs="Arial" w:eastAsia="Arial" w:hAnsi="Arial"/>
          <w:sz w:val="12"/>
          <w:szCs w:val="12"/>
          <w:b w:val="1"/>
          <w:bCs w:val="1"/>
          <w:color w:val="auto"/>
        </w:rPr>
        <w:t>Christopher Boerner, Ph.D., Board Chair and CEO of Bristol Myers Squibb</w:t>
      </w:r>
      <w:r>
        <w:rPr>
          <w:rFonts w:ascii="Arial" w:cs="Arial" w:eastAsia="Arial" w:hAnsi="Arial"/>
          <w:sz w:val="12"/>
          <w:szCs w:val="12"/>
          <w:color w:val="auto"/>
        </w:rPr>
        <w:t>. “The science behind BNT327 and its leading clinical position in multiple hard-to-treat tumor types, further bolsters our pursuit of novel mechanisms and</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00" w:right="299" w:bottom="1440" w:gutter="0" w:footer="0" w:header="0"/>
        </w:sectPr>
      </w:pPr>
    </w:p>
    <w:bookmarkStart w:id="5" w:name="page6"/>
    <w:bookmarkEnd w:id="5"/>
    <w:p>
      <w:pPr>
        <w:jc w:val="both"/>
        <w:spacing w:after="0" w:line="30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2931795" cy="200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1795" cy="200025"/>
                    </a:xfrm>
                    <a:prstGeom prst="rect">
                      <a:avLst/>
                    </a:prstGeom>
                    <a:noFill/>
                  </pic:spPr>
                </pic:pic>
              </a:graphicData>
            </a:graphic>
          </wp:anchor>
        </w:drawing>
        <w:t>multiple modalities in oncology, and enhances our growth trajectory. We are impressed by the innovation that BioNTech has achieved to date, and we look forward to partnering to accelerate existing clinical trials and time to market, while expanding the number of potential indications.”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BMS will pay BioNTech $1.5 billion in an upfront payment and $2 billion total in non-contingent anniversary payments through 2028. These tax-deductible charges will be recorded as Acquired IPR&amp;D Expense when incurred, with the $1.5 billion being incurred in Q2. In addition, BioNTech will be eligible to receive up to $7.6 billion in additional development, regulatory and commercial milestones. BioNTech and BMS will share joint development and manufacturing costs on a 50:50 basis, subject to certain exceptions. Global profits/losses will be equally shared between BioNTech and BMS.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BNT327</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BNT327 is a novel investigational bispecific antibody combining two complementary, validated mechanisms in oncology into one single molecule. BNT327 combines PD-L1 checkpoint inhibition aimed at restoring T cells’ ability to recognize and destroy tumor cells with the neutralization of VEGF-A. The blocking of VEGF-A is aimed at reversing the tumor’s immuno-suppressive effect in its microenvironment and cutting off the blood and oxygen supply that feeds tumor cells (anti-angiogenesis effect), with the intention of preventing the tumor from growing and proliferating. BNT327 may be differentiated via its mechanism of action of targeting PD-L1 on tumor cells to localize anti-VEGF activity within the tumor microenvironment, aiming to enhance therapeutic precision and minimize systemic exposure. A treatment with BNT327 is intended to help normalize blood vessels at the tumor site, improving delivery and potential effectiveness of combination therapies. This targeted vascular remodeling positions BNT327 as a potential backbone therapy across a wide range of solid tumors.</w:t>
      </w:r>
      <w:r>
        <w:rPr>
          <w:rFonts w:ascii="Arial" w:cs="Arial" w:eastAsia="Arial" w:hAnsi="Arial"/>
          <w:sz w:val="15"/>
          <w:szCs w:val="15"/>
          <w:color w:val="auto"/>
          <w:vertAlign w:val="superscript"/>
        </w:rPr>
        <w:t>1,2</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More than 1,000 patients have been treated with BNT327 in clinical trials to date. More than 20 clinical trials are currently ongoing or planned to evaluate BNT327 either as a monotherapy or in combination with other treatment modalities targeting different oncogenic pathways in more than 10 solid tumor indications. Multiple global trials are ongoing or planned to start in 2025, including three global clinical trials with registrational potential in first-line small cell lung cancer (“SCLC”), first-line non-small cell lung cancer (“NSCLC”) and first-line triple-negative breast cancer (“TNBC”). Additional trials will explore combining BNT327 and BioNTech’s proprietary antibody-drug conjugate candidates (“ADCs”). If successfully developed and approved, BioNTech aims to use this bispecific antibody candidate as a next-generation immuno-oncology (“IO”) backbone in combination with other treatment modalities targeting a broad range of cancer indications.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www.BioNTech.com.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991"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2931795" cy="200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200025"/>
                    </a:xfrm>
                    <a:prstGeom prst="rect">
                      <a:avLst/>
                    </a:prstGeom>
                    <a:noFill/>
                  </pic:spPr>
                </pic:pic>
              </a:graphicData>
            </a:graphic>
          </wp:anchor>
        </w:drawing>
        <w:t>BioNTech Forward-Looking Statements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expectations regarding the impact of the collaboration with Bristol Myers Squibb (BMS) on BioNTech’s business; the creation of long-term value for BioNTech; the ability of BioNTech and BMS to successfully co-develop and co-commercialize BNT327, if approved; BioNTech’s eligibility to receive development, regulatory, and commercial milestone payments; the rate and degree of market acceptance of BioNTech’s investigational medicines, if approved;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the impact of BioNTech’s collaboration and licensing agreements; the development, nature and feasibility of sustainable drug production and supply solutions; and BioNTech’s estimates of revenues, research and development expenses, selling, general and administrative expenses, and capital expenditures for operating activities.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pricing and coverage negotiations with governmental authorities, private health insurers and other third-party payors; the impact of tariffs and escalations in trade policy;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153"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2931795" cy="20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1795" cy="200025"/>
                    </a:xfrm>
                    <a:prstGeom prst="rect">
                      <a:avLst/>
                    </a:prstGeom>
                    <a:noFill/>
                  </pic:spPr>
                </pic:pic>
              </a:graphicData>
            </a:graphic>
          </wp:anchor>
        </w:drawing>
        <w:t>and product candidates; risks relating to the global financial system and markets; and other factors not known to BioNTech at this time.</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You should review the risks and uncertainties described under the heading “Risk Factors” in BioNTech’s Report on Form 6-K for the period ended March 31,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Bristol Myers Squibb</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Bristol Myers Squibb is a global biopharmaceutical company whose mission is to discover, develop and deliver innovative medicines that help patients prevail over serious diseases. For more information about Bristol Myers Squibb, visit us at BMS.com or follow us on LinkedIn, X, YouTube, Facebook and Instagram.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Bristol Myers Squibb Cautionary Statement Regarding Forward-Looking Statements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regarding, among other things, the research, development and commercialization of pharmaceutical products and the collaboration with BioNTech. All statements that are not statements of historical facts are, or may be deemed to be, forward-looking statements. Such forward-looking statements are based on current expectations and projections about Bristol Myers Squibb’s future financial results, goals, plans and objectives and involve inherent risks, assumptions and uncertainties, including internal or external factors that could delay, divert or change any of them in the next several years, that are difficult to predict, may be beyond Bristol Myers Squibb’s control and could cause its future financial results, goals, plans and objectives to differ materially from those expressed in, or implied by, the statements. These risks, assumptions, uncertainties and other factors include, among others, that the expected benefits of, and opportunities related to the collaboration with BioNTech may not be consistent with the realized by Bristol Myers Squibb or may take longer to realize than anticipated, that the therapeutic potential of BNT327 may change, that Bristol Myers Squibb may fail to discover and develop any commercially successful product candidates through the collaboration with BioNTech, that such product candidates may not receive regulatory approval for the indications described in this release and, if approved, whether such product candidates will be commercially successful.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2024, as updated by Bristol Myers Squibb’s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BioNTech</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Media@biontech.de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91"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2931795" cy="200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31795" cy="200025"/>
                    </a:xfrm>
                    <a:prstGeom prst="rect">
                      <a:avLst/>
                    </a:prstGeom>
                    <a:noFill/>
                  </pic:spPr>
                </pic:pic>
              </a:graphicData>
            </a:graphic>
          </wp:anchor>
        </w:drawing>
        <w:t>Investor Relations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Douglas Maffei, PhD</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Investors@biontech.de</w:t>
      </w:r>
    </w:p>
    <w:p>
      <w:pPr>
        <w:spacing w:after="0" w:line="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Bristol Myers Squibb</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media@bms.com</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investor.relations@bms.com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 w:hanging="68"/>
        <w:spacing w:after="0"/>
        <w:tabs>
          <w:tab w:leader="none" w:pos="68"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Tzuri N, et al. Sci Rep. 2023;13(1):11923.</w:t>
      </w:r>
    </w:p>
    <w:p>
      <w:pPr>
        <w:spacing w:after="0" w:line="68" w:lineRule="exact"/>
        <w:rPr>
          <w:sz w:val="20"/>
          <w:szCs w:val="20"/>
          <w:color w:val="auto"/>
        </w:rPr>
      </w:pPr>
    </w:p>
    <w:p>
      <w:pPr>
        <w:ind w:left="68" w:hanging="68"/>
        <w:spacing w:after="0"/>
        <w:tabs>
          <w:tab w:leader="none" w:pos="68"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Kim HJ, et al. Arch Pharm Res. 2022;45(6):401-416.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8"/>
          </w:cols>
          <w:pgMar w:left="292" w:top="1153" w:right="29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2025-06-02T06:23:09Z</dcterms:created>
  <dcterms:modified xsi:type="dcterms:W3CDTF">2025-06-02T06:23:09Z</dcterms:modified>
</cp:coreProperties>
</file>