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6995160" cy="4863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863465"/>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Jimenez Kylie</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BIONTECH SE</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AN DER GOLDGRUBE 12</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BioNTech SE</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BNTX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05/12/2026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905"/>
        <w:spacing w:after="0"/>
        <w:rPr>
          <w:sz w:val="20"/>
          <w:szCs w:val="20"/>
          <w:color w:val="auto"/>
        </w:rPr>
      </w:pPr>
      <w:r>
        <w:rPr>
          <w:rFonts w:ascii="Times New Roman" w:cs="Times New Roman" w:eastAsia="Times New Roman" w:hAnsi="Times New Roman"/>
          <w:sz w:val="17"/>
          <w:szCs w:val="17"/>
          <w:color w:val="0000FF"/>
        </w:rPr>
        <w:t>Chief People Officer</w:t>
      </w:r>
    </w:p>
    <w:p>
      <w:pPr>
        <w:spacing w:after="0" w:line="385"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7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80" w:type="dxa"/>
            <w:vAlign w:val="bottom"/>
            <w:gridSpan w:val="10"/>
          </w:tcPr>
          <w:p>
            <w:pPr>
              <w:ind w:left="2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ind w:left="2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MAINZ</w:t>
            </w:r>
          </w:p>
        </w:tc>
        <w:tc>
          <w:tcPr>
            <w:tcW w:w="800" w:type="dxa"/>
            <w:vAlign w:val="bottom"/>
            <w:vMerge w:val="restart"/>
          </w:tcPr>
          <w:p>
            <w:pPr>
              <w:ind w:left="540"/>
              <w:spacing w:after="0"/>
              <w:rPr>
                <w:sz w:val="20"/>
                <w:szCs w:val="20"/>
                <w:color w:val="auto"/>
              </w:rPr>
            </w:pPr>
            <w:r>
              <w:rPr>
                <w:rFonts w:ascii="Times New Roman" w:cs="Times New Roman" w:eastAsia="Times New Roman" w:hAnsi="Times New Roman"/>
                <w:sz w:val="17"/>
                <w:szCs w:val="17"/>
                <w:color w:val="0000FF"/>
              </w:rPr>
              <w:t>2M</w:t>
            </w:r>
          </w:p>
        </w:tc>
        <w:tc>
          <w:tcPr>
            <w:tcW w:w="880" w:type="dxa"/>
            <w:vAlign w:val="bottom"/>
          </w:tcPr>
          <w:p>
            <w:pPr>
              <w:spacing w:after="0"/>
              <w:rPr>
                <w:sz w:val="9"/>
                <w:szCs w:val="9"/>
                <w:color w:val="auto"/>
              </w:rPr>
            </w:pPr>
          </w:p>
        </w:tc>
        <w:tc>
          <w:tcPr>
            <w:tcW w:w="12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D-55131</w:t>
            </w: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22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540"/>
              <w:spacing w:after="0"/>
              <w:rPr>
                <w:sz w:val="20"/>
                <w:szCs w:val="20"/>
                <w:color w:val="auto"/>
              </w:rPr>
            </w:pPr>
            <w:r>
              <w:rPr>
                <w:rFonts w:ascii="Arial" w:cs="Arial" w:eastAsia="Arial" w:hAnsi="Arial"/>
                <w:sz w:val="13"/>
                <w:szCs w:val="13"/>
                <w:color w:val="auto"/>
              </w:rPr>
              <w:t>(State)</w:t>
            </w:r>
          </w:p>
        </w:tc>
        <w:tc>
          <w:tcPr>
            <w:tcW w:w="1280" w:type="dxa"/>
            <w:vAlign w:val="bottom"/>
            <w:gridSpan w:val="2"/>
            <w:vMerge w:val="restart"/>
          </w:tcPr>
          <w:p>
            <w:pPr>
              <w:ind w:left="8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680" w:type="dxa"/>
            <w:vAlign w:val="bottom"/>
            <w:gridSpan w:val="2"/>
            <w:vMerge w:val="continue"/>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10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140" w:type="dxa"/>
            <w:vAlign w:val="bottom"/>
            <w:tcBorders>
              <w:top w:val="single" w:sz="8" w:color="2C2C2C"/>
            </w:tcBorders>
            <w:gridSpan w:val="14"/>
          </w:tcPr>
          <w:p>
            <w:pPr>
              <w:ind w:left="7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60"/>
              <w:spacing w:after="0"/>
              <w:rPr>
                <w:sz w:val="20"/>
                <w:szCs w:val="20"/>
                <w:color w:val="auto"/>
              </w:rPr>
            </w:pPr>
            <w:r>
              <w:rPr>
                <w:rFonts w:ascii="Arial" w:cs="Arial" w:eastAsia="Arial" w:hAnsi="Arial"/>
                <w:sz w:val="11"/>
                <w:szCs w:val="11"/>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1"/>
                <w:szCs w:val="11"/>
                <w:b w:val="1"/>
                <w:bCs w:val="1"/>
                <w:color w:val="auto"/>
              </w:rPr>
              <w:t>2A. Deemed</w:t>
            </w:r>
          </w:p>
        </w:tc>
        <w:tc>
          <w:tcPr>
            <w:tcW w:w="88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188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80" w:type="dxa"/>
            <w:vAlign w:val="bottom"/>
            <w:gridSpan w:val="2"/>
          </w:tcPr>
          <w:p>
            <w:pPr>
              <w:ind w:left="8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spacing w:after="0"/>
              <w:rPr>
                <w:sz w:val="10"/>
                <w:szCs w:val="10"/>
                <w:color w:val="auto"/>
              </w:rPr>
            </w:pPr>
          </w:p>
        </w:tc>
        <w:tc>
          <w:tcPr>
            <w:tcW w:w="880" w:type="dxa"/>
            <w:vAlign w:val="bottom"/>
            <w:gridSpan w:val="2"/>
          </w:tcPr>
          <w:p>
            <w:pPr>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880" w:type="dxa"/>
            <w:vAlign w:val="bottom"/>
            <w:gridSpan w:val="4"/>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940" w:type="dxa"/>
            <w:vAlign w:val="bottom"/>
            <w:gridSpan w:val="3"/>
          </w:tcPr>
          <w:p>
            <w:pPr>
              <w:ind w:left="860"/>
              <w:spacing w:after="0"/>
              <w:rPr>
                <w:sz w:val="20"/>
                <w:szCs w:val="20"/>
                <w:color w:val="auto"/>
              </w:rPr>
            </w:pPr>
            <w:r>
              <w:rPr>
                <w:rFonts w:ascii="Arial" w:cs="Arial" w:eastAsia="Arial" w:hAnsi="Arial"/>
                <w:sz w:val="11"/>
                <w:szCs w:val="11"/>
                <w:b w:val="1"/>
                <w:bCs w:val="1"/>
                <w:color w:val="auto"/>
              </w:rPr>
              <w:t>(Month/Day/Year)</w:t>
            </w:r>
          </w:p>
        </w:tc>
        <w:tc>
          <w:tcPr>
            <w:tcW w:w="56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60" w:type="dxa"/>
            <w:vAlign w:val="bottom"/>
            <w:gridSpan w:val="4"/>
          </w:tcPr>
          <w:p>
            <w:pPr>
              <w:spacing w:after="0"/>
              <w:rPr>
                <w:sz w:val="20"/>
                <w:szCs w:val="20"/>
                <w:color w:val="auto"/>
              </w:rPr>
            </w:pPr>
            <w:r>
              <w:rPr>
                <w:rFonts w:ascii="Arial" w:cs="Arial" w:eastAsia="Arial" w:hAnsi="Arial"/>
                <w:sz w:val="11"/>
                <w:szCs w:val="11"/>
                <w:b w:val="1"/>
                <w:bCs w:val="1"/>
                <w:color w:val="auto"/>
              </w:rPr>
              <w:t>(Month/Day/Year)  8)</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6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gridSpan w:val="5"/>
          </w:tcPr>
          <w:p>
            <w:pPr>
              <w:spacing w:after="0"/>
              <w:rPr>
                <w:sz w:val="6"/>
                <w:szCs w:val="6"/>
                <w:color w:val="auto"/>
              </w:rPr>
            </w:pPr>
          </w:p>
        </w:tc>
        <w:tc>
          <w:tcPr>
            <w:tcW w:w="2600" w:type="dxa"/>
            <w:vAlign w:val="bottom"/>
            <w:tcBorders>
              <w:bottom w:val="single" w:sz="8" w:color="2C2C2C"/>
            </w:tcBorders>
            <w:gridSpan w:val="4"/>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88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3"/>
          </w:tcPr>
          <w:p>
            <w:pPr>
              <w:ind w:left="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580" w:type="dxa"/>
            <w:vAlign w:val="bottom"/>
            <w:gridSpan w:val="11"/>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880" w:type="dxa"/>
            <w:vAlign w:val="bottom"/>
          </w:tcPr>
          <w:p>
            <w:pPr>
              <w:ind w:left="20"/>
              <w:spacing w:after="0"/>
              <w:rPr>
                <w:sz w:val="20"/>
                <w:szCs w:val="20"/>
                <w:color w:val="auto"/>
              </w:rPr>
            </w:pPr>
            <w:r>
              <w:rPr>
                <w:rFonts w:ascii="Arial" w:cs="Arial" w:eastAsia="Arial" w:hAnsi="Arial"/>
                <w:sz w:val="11"/>
                <w:szCs w:val="11"/>
                <w:b w:val="1"/>
                <w:bCs w:val="1"/>
                <w:color w:val="auto"/>
              </w:rPr>
              <w:t>3. Transaction</w:t>
            </w:r>
          </w:p>
        </w:tc>
        <w:tc>
          <w:tcPr>
            <w:tcW w:w="1280" w:type="dxa"/>
            <w:vAlign w:val="bottom"/>
            <w:gridSpan w:val="2"/>
          </w:tcPr>
          <w:p>
            <w:pPr>
              <w:ind w:left="220"/>
              <w:spacing w:after="0"/>
              <w:rPr>
                <w:sz w:val="20"/>
                <w:szCs w:val="20"/>
                <w:color w:val="auto"/>
              </w:rPr>
            </w:pPr>
            <w:r>
              <w:rPr>
                <w:rFonts w:ascii="Arial" w:cs="Arial" w:eastAsia="Arial" w:hAnsi="Arial"/>
                <w:sz w:val="11"/>
                <w:szCs w:val="11"/>
                <w:b w:val="1"/>
                <w:bCs w:val="1"/>
                <w:color w:val="auto"/>
              </w:rPr>
              <w:t>3A. Deemed</w:t>
            </w:r>
          </w:p>
        </w:tc>
        <w:tc>
          <w:tcPr>
            <w:tcW w:w="660" w:type="dxa"/>
            <w:vAlign w:val="bottom"/>
          </w:tcPr>
          <w:p>
            <w:pPr>
              <w:spacing w:after="0"/>
              <w:rPr>
                <w:sz w:val="20"/>
                <w:szCs w:val="20"/>
                <w:color w:val="auto"/>
              </w:rPr>
            </w:pPr>
            <w:r>
              <w:rPr>
                <w:rFonts w:ascii="Arial" w:cs="Arial" w:eastAsia="Arial" w:hAnsi="Arial"/>
                <w:sz w:val="11"/>
                <w:szCs w:val="11"/>
                <w:b w:val="1"/>
                <w:bCs w:val="1"/>
                <w:color w:val="auto"/>
              </w:rPr>
              <w:t>4.</w:t>
            </w:r>
          </w:p>
        </w:tc>
        <w:tc>
          <w:tcPr>
            <w:tcW w:w="880" w:type="dxa"/>
            <w:vAlign w:val="bottom"/>
            <w:gridSpan w:val="2"/>
          </w:tcPr>
          <w:p>
            <w:pPr>
              <w:ind w:left="140"/>
              <w:spacing w:after="0"/>
              <w:rPr>
                <w:sz w:val="20"/>
                <w:szCs w:val="20"/>
                <w:color w:val="auto"/>
              </w:rPr>
            </w:pPr>
            <w:r>
              <w:rPr>
                <w:rFonts w:ascii="Arial" w:cs="Arial" w:eastAsia="Arial" w:hAnsi="Arial"/>
                <w:sz w:val="11"/>
                <w:szCs w:val="11"/>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88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1280" w:type="dxa"/>
            <w:vAlign w:val="bottom"/>
            <w:gridSpan w:val="2"/>
          </w:tcPr>
          <w:p>
            <w:pPr>
              <w:ind w:left="220"/>
              <w:spacing w:after="0"/>
              <w:rPr>
                <w:sz w:val="20"/>
                <w:szCs w:val="20"/>
                <w:color w:val="auto"/>
              </w:rPr>
            </w:pPr>
            <w:r>
              <w:rPr>
                <w:rFonts w:ascii="Arial" w:cs="Arial" w:eastAsia="Arial" w:hAnsi="Arial"/>
                <w:sz w:val="11"/>
                <w:szCs w:val="11"/>
                <w:b w:val="1"/>
                <w:bCs w:val="1"/>
                <w:color w:val="auto"/>
              </w:rPr>
              <w:t>Execution Date,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Transaction</w:t>
            </w:r>
          </w:p>
        </w:tc>
        <w:tc>
          <w:tcPr>
            <w:tcW w:w="560" w:type="dxa"/>
            <w:vAlign w:val="bottom"/>
          </w:tcPr>
          <w:p>
            <w:pPr>
              <w:ind w:left="140"/>
              <w:spacing w:after="0"/>
              <w:rPr>
                <w:sz w:val="20"/>
                <w:szCs w:val="20"/>
                <w:color w:val="auto"/>
              </w:rPr>
            </w:pPr>
            <w:r>
              <w:rPr>
                <w:rFonts w:ascii="Arial" w:cs="Arial" w:eastAsia="Arial" w:hAnsi="Arial"/>
                <w:sz w:val="11"/>
                <w:szCs w:val="11"/>
                <w:b w:val="1"/>
                <w:bCs w:val="1"/>
                <w:color w:val="auto"/>
              </w:rPr>
              <w:t>of</w:t>
            </w:r>
          </w:p>
        </w:tc>
        <w:tc>
          <w:tcPr>
            <w:tcW w:w="320" w:type="dxa"/>
            <w:vAlign w:val="bottom"/>
          </w:tcPr>
          <w:p>
            <w:pPr>
              <w:spacing w:after="0"/>
              <w:rPr>
                <w:sz w:val="11"/>
                <w:szCs w:val="11"/>
                <w:color w:val="auto"/>
              </w:rPr>
            </w:pP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 Date</w:t>
            </w:r>
          </w:p>
        </w:tc>
        <w:tc>
          <w:tcPr>
            <w:tcW w:w="66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21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  if any</w:t>
            </w:r>
          </w:p>
        </w:tc>
        <w:tc>
          <w:tcPr>
            <w:tcW w:w="660" w:type="dxa"/>
            <w:vAlign w:val="bottom"/>
          </w:tcPr>
          <w:p>
            <w:pPr>
              <w:spacing w:after="0"/>
              <w:rPr>
                <w:sz w:val="20"/>
                <w:szCs w:val="20"/>
                <w:color w:val="auto"/>
              </w:rPr>
            </w:pPr>
            <w:r>
              <w:rPr>
                <w:rFonts w:ascii="Arial" w:cs="Arial" w:eastAsia="Arial" w:hAnsi="Arial"/>
                <w:sz w:val="11"/>
                <w:szCs w:val="11"/>
                <w:b w:val="1"/>
                <w:bCs w:val="1"/>
                <w:color w:val="auto"/>
              </w:rPr>
              <w:t>Code (Instr.</w:t>
            </w:r>
          </w:p>
        </w:tc>
        <w:tc>
          <w:tcPr>
            <w:tcW w:w="880" w:type="dxa"/>
            <w:vAlign w:val="bottom"/>
            <w:gridSpan w:val="2"/>
          </w:tcPr>
          <w:p>
            <w:pPr>
              <w:ind w:left="140"/>
              <w:spacing w:after="0"/>
              <w:rPr>
                <w:sz w:val="20"/>
                <w:szCs w:val="20"/>
                <w:color w:val="auto"/>
              </w:rPr>
            </w:pPr>
            <w:r>
              <w:rPr>
                <w:rFonts w:ascii="Arial" w:cs="Arial" w:eastAsia="Arial" w:hAnsi="Arial"/>
                <w:sz w:val="11"/>
                <w:szCs w:val="11"/>
                <w:b w:val="1"/>
                <w:bCs w:val="1"/>
                <w:color w:val="auto"/>
              </w:rPr>
              <w:t>Derivative</w:t>
            </w:r>
          </w:p>
        </w:tc>
        <w:tc>
          <w:tcPr>
            <w:tcW w:w="154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880" w:type="dxa"/>
            <w:vAlign w:val="bottom"/>
          </w:tcPr>
          <w:p>
            <w:pPr>
              <w:spacing w:after="0"/>
              <w:rPr>
                <w:sz w:val="11"/>
                <w:szCs w:val="11"/>
                <w:color w:val="auto"/>
              </w:rPr>
            </w:pPr>
          </w:p>
        </w:tc>
        <w:tc>
          <w:tcPr>
            <w:tcW w:w="1280" w:type="dxa"/>
            <w:vAlign w:val="bottom"/>
            <w:gridSpan w:val="2"/>
          </w:tcPr>
          <w:p>
            <w:pPr>
              <w:ind w:left="2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spacing w:after="0"/>
              <w:rPr>
                <w:sz w:val="20"/>
                <w:szCs w:val="20"/>
                <w:color w:val="auto"/>
              </w:rPr>
            </w:pPr>
            <w:r>
              <w:rPr>
                <w:rFonts w:ascii="Arial" w:cs="Arial" w:eastAsia="Arial" w:hAnsi="Arial"/>
                <w:sz w:val="11"/>
                <w:szCs w:val="11"/>
                <w:b w:val="1"/>
                <w:bCs w:val="1"/>
                <w:color w:val="auto"/>
              </w:rPr>
              <w:t>8)</w:t>
            </w:r>
          </w:p>
        </w:tc>
        <w:tc>
          <w:tcPr>
            <w:tcW w:w="880" w:type="dxa"/>
            <w:vAlign w:val="bottom"/>
            <w:gridSpan w:val="2"/>
          </w:tcPr>
          <w:p>
            <w:pPr>
              <w:ind w:left="140"/>
              <w:spacing w:after="0"/>
              <w:rPr>
                <w:sz w:val="20"/>
                <w:szCs w:val="20"/>
                <w:color w:val="auto"/>
              </w:rPr>
            </w:pPr>
            <w:r>
              <w:rPr>
                <w:rFonts w:ascii="Arial" w:cs="Arial" w:eastAsia="Arial" w:hAnsi="Arial"/>
                <w:sz w:val="11"/>
                <w:szCs w:val="11"/>
                <w:b w:val="1"/>
                <w:bCs w:val="1"/>
                <w:color w:val="auto"/>
              </w:rPr>
              <w:t>Securities</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140"/>
              <w:spacing w:after="0"/>
              <w:rPr>
                <w:sz w:val="20"/>
                <w:szCs w:val="20"/>
                <w:color w:val="auto"/>
              </w:rPr>
            </w:pPr>
            <w:r>
              <w:rPr>
                <w:rFonts w:ascii="Arial" w:cs="Arial" w:eastAsia="Arial" w:hAnsi="Arial"/>
                <w:sz w:val="11"/>
                <w:szCs w:val="11"/>
                <w:b w:val="1"/>
                <w:bCs w:val="1"/>
                <w:color w:val="auto"/>
              </w:rPr>
              <w:t>Acquired</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140"/>
              <w:spacing w:after="0"/>
              <w:rPr>
                <w:sz w:val="20"/>
                <w:szCs w:val="20"/>
                <w:color w:val="auto"/>
              </w:rPr>
            </w:pPr>
            <w:r>
              <w:rPr>
                <w:rFonts w:ascii="Arial" w:cs="Arial" w:eastAsia="Arial" w:hAnsi="Arial"/>
                <w:sz w:val="11"/>
                <w:szCs w:val="11"/>
                <w:b w:val="1"/>
                <w:bCs w:val="1"/>
                <w:color w:val="auto"/>
              </w:rPr>
              <w:t>(A) or</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140"/>
              <w:spacing w:after="0"/>
              <w:rPr>
                <w:sz w:val="20"/>
                <w:szCs w:val="20"/>
                <w:color w:val="auto"/>
              </w:rPr>
            </w:pPr>
            <w:r>
              <w:rPr>
                <w:rFonts w:ascii="Arial" w:cs="Arial" w:eastAsia="Arial" w:hAnsi="Arial"/>
                <w:sz w:val="11"/>
                <w:szCs w:val="11"/>
                <w:b w:val="1"/>
                <w:bCs w:val="1"/>
                <w:color w:val="auto"/>
              </w:rPr>
              <w:t>Disposed</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14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gridSpan w:val="2"/>
          </w:tcPr>
          <w:p>
            <w:pPr>
              <w:ind w:left="14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20"/>
                <w:szCs w:val="20"/>
                <w:color w:val="auto"/>
              </w:rPr>
            </w:pPr>
            <w:r>
              <w:rPr>
                <w:rFonts w:ascii="Arial" w:cs="Arial" w:eastAsia="Arial" w:hAnsi="Arial"/>
                <w:sz w:val="11"/>
                <w:szCs w:val="11"/>
                <w:b w:val="1"/>
                <w:bCs w:val="1"/>
                <w:color w:val="auto"/>
              </w:rPr>
              <w:t>Code  V</w:t>
            </w:r>
          </w:p>
        </w:tc>
        <w:tc>
          <w:tcPr>
            <w:tcW w:w="560" w:type="dxa"/>
            <w:vAlign w:val="bottom"/>
          </w:tcPr>
          <w:p>
            <w:pPr>
              <w:ind w:left="140"/>
              <w:spacing w:after="0"/>
              <w:rPr>
                <w:sz w:val="20"/>
                <w:szCs w:val="20"/>
                <w:color w:val="auto"/>
              </w:rPr>
            </w:pPr>
            <w:r>
              <w:rPr>
                <w:rFonts w:ascii="Arial" w:cs="Arial" w:eastAsia="Arial" w:hAnsi="Arial"/>
                <w:sz w:val="11"/>
                <w:szCs w:val="11"/>
                <w:b w:val="1"/>
                <w:bCs w:val="1"/>
                <w:color w:val="auto"/>
              </w:rPr>
              <w:t>(A)</w:t>
            </w:r>
          </w:p>
        </w:tc>
        <w:tc>
          <w:tcPr>
            <w:tcW w:w="320" w:type="dxa"/>
            <w:vAlign w:val="bottom"/>
          </w:tcPr>
          <w:p>
            <w:pPr>
              <w:ind w:left="80"/>
              <w:spacing w:after="0"/>
              <w:rPr>
                <w:sz w:val="20"/>
                <w:szCs w:val="20"/>
                <w:color w:val="auto"/>
              </w:rPr>
            </w:pPr>
            <w:r>
              <w:rPr>
                <w:rFonts w:ascii="Arial" w:cs="Arial" w:eastAsia="Arial" w:hAnsi="Arial"/>
                <w:sz w:val="11"/>
                <w:szCs w:val="11"/>
                <w:b w:val="1"/>
                <w:bCs w:val="1"/>
                <w:color w:val="auto"/>
              </w:rPr>
              <w:t>(D)</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80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gridSpan w:val="2"/>
            <w:vMerge w:val="restart"/>
          </w:tcPr>
          <w:p>
            <w:pPr>
              <w:jc w:val="right"/>
              <w:ind w:right="63"/>
              <w:spacing w:after="0"/>
              <w:rPr>
                <w:sz w:val="20"/>
                <w:szCs w:val="20"/>
                <w:color w:val="auto"/>
              </w:rPr>
            </w:pPr>
            <w:r>
              <w:rPr>
                <w:rFonts w:ascii="Times New Roman" w:cs="Times New Roman" w:eastAsia="Times New Roman" w:hAnsi="Times New Roman"/>
                <w:sz w:val="13"/>
                <w:szCs w:val="13"/>
                <w:color w:val="0000FF"/>
                <w:w w:val="97"/>
              </w:rPr>
              <w:t>05/12/2030</w:t>
            </w:r>
            <w:r>
              <w:rPr>
                <w:rFonts w:ascii="Times New Roman" w:cs="Times New Roman" w:eastAsia="Times New Roman" w:hAnsi="Times New Roman"/>
                <w:sz w:val="21"/>
                <w:szCs w:val="21"/>
                <w:color w:val="008000"/>
                <w:w w:val="97"/>
                <w:vertAlign w:val="superscript"/>
              </w:rPr>
              <w:t>(2)</w:t>
            </w:r>
          </w:p>
        </w:tc>
        <w:tc>
          <w:tcPr>
            <w:tcW w:w="660" w:type="dxa"/>
            <w:vAlign w:val="bottom"/>
          </w:tcPr>
          <w:p>
            <w:pPr>
              <w:spacing w:after="0"/>
              <w:rPr>
                <w:sz w:val="15"/>
                <w:szCs w:val="15"/>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w w:val="91"/>
              </w:rPr>
              <w:t>Ordinary</w:t>
            </w:r>
            <w:r>
              <w:rPr>
                <w:rFonts w:ascii="Times New Roman" w:cs="Times New Roman" w:eastAsia="Times New Roman" w:hAnsi="Times New Roman"/>
                <w:sz w:val="21"/>
                <w:szCs w:val="21"/>
                <w:color w:val="008000"/>
                <w:w w:val="91"/>
                <w:vertAlign w:val="subscript"/>
              </w:rPr>
              <w:t>(3)</w:t>
            </w:r>
          </w:p>
        </w:tc>
        <w:tc>
          <w:tcPr>
            <w:tcW w:w="520" w:type="dxa"/>
            <w:vAlign w:val="bottom"/>
            <w:vMerge w:val="restart"/>
          </w:tcPr>
          <w:p>
            <w:pPr>
              <w:jc w:val="right"/>
              <w:ind w:right="16"/>
              <w:spacing w:after="0"/>
              <w:rPr>
                <w:sz w:val="20"/>
                <w:szCs w:val="20"/>
                <w:color w:val="auto"/>
              </w:rPr>
            </w:pPr>
            <w:r>
              <w:rPr>
                <w:rFonts w:ascii="Times New Roman" w:cs="Times New Roman" w:eastAsia="Times New Roman" w:hAnsi="Times New Roman"/>
                <w:sz w:val="17"/>
                <w:szCs w:val="17"/>
                <w:color w:val="0000FF"/>
                <w:w w:val="89"/>
              </w:rPr>
              <w:t>10,488</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800" w:type="dxa"/>
            <w:vAlign w:val="bottom"/>
            <w:vMerge w:val="continue"/>
          </w:tcPr>
          <w:p>
            <w:pPr>
              <w:spacing w:after="0"/>
              <w:rPr>
                <w:sz w:val="12"/>
                <w:szCs w:val="12"/>
                <w:color w:val="auto"/>
              </w:rPr>
            </w:pPr>
          </w:p>
        </w:tc>
        <w:tc>
          <w:tcPr>
            <w:tcW w:w="880" w:type="dxa"/>
            <w:vAlign w:val="bottom"/>
          </w:tcPr>
          <w:p>
            <w:pPr>
              <w:jc w:val="right"/>
              <w:ind w:right="16"/>
              <w:spacing w:after="0" w:line="140" w:lineRule="exact"/>
              <w:rPr>
                <w:sz w:val="20"/>
                <w:szCs w:val="20"/>
                <w:color w:val="auto"/>
              </w:rPr>
            </w:pPr>
            <w:r>
              <w:rPr>
                <w:rFonts w:ascii="Times New Roman" w:cs="Times New Roman" w:eastAsia="Times New Roman" w:hAnsi="Times New Roman"/>
                <w:sz w:val="13"/>
                <w:szCs w:val="13"/>
                <w:color w:val="0000FF"/>
              </w:rPr>
              <w:t>05/12/2026</w:t>
            </w:r>
          </w:p>
        </w:tc>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ind w:left="100"/>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jc w:val="right"/>
              <w:ind w:right="2"/>
              <w:spacing w:after="0" w:line="140" w:lineRule="exact"/>
              <w:rPr>
                <w:sz w:val="20"/>
                <w:szCs w:val="20"/>
                <w:color w:val="auto"/>
              </w:rPr>
            </w:pPr>
            <w:r>
              <w:rPr>
                <w:rFonts w:ascii="Times New Roman" w:cs="Times New Roman" w:eastAsia="Times New Roman" w:hAnsi="Times New Roman"/>
                <w:sz w:val="13"/>
                <w:szCs w:val="13"/>
                <w:color w:val="0000FF"/>
              </w:rPr>
              <w:t>10,488</w:t>
            </w:r>
          </w:p>
        </w:tc>
        <w:tc>
          <w:tcPr>
            <w:tcW w:w="3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660" w:type="dxa"/>
            <w:vAlign w:val="bottom"/>
          </w:tcPr>
          <w:p>
            <w:pPr>
              <w:spacing w:after="0" w:line="140" w:lineRule="exact"/>
              <w:rPr>
                <w:sz w:val="20"/>
                <w:szCs w:val="20"/>
                <w:color w:val="auto"/>
              </w:rPr>
            </w:pPr>
            <w:r>
              <w:rPr>
                <w:rFonts w:ascii="Times New Roman" w:cs="Times New Roman" w:eastAsia="Times New Roman" w:hAnsi="Times New Roman"/>
                <w:sz w:val="13"/>
                <w:szCs w:val="13"/>
                <w:color w:val="0000FF"/>
              </w:rPr>
              <w:t>05/12/2036</w:t>
            </w:r>
          </w:p>
        </w:tc>
        <w:tc>
          <w:tcPr>
            <w:tcW w:w="66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jc w:val="right"/>
              <w:ind w:right="223"/>
              <w:spacing w:after="0" w:line="140" w:lineRule="exact"/>
              <w:rPr>
                <w:sz w:val="20"/>
                <w:szCs w:val="20"/>
                <w:color w:val="auto"/>
              </w:rPr>
            </w:pPr>
            <w:r>
              <w:rPr>
                <w:rFonts w:ascii="Times New Roman" w:cs="Times New Roman" w:eastAsia="Times New Roman" w:hAnsi="Times New Roman"/>
                <w:sz w:val="13"/>
                <w:szCs w:val="13"/>
                <w:color w:val="0000FF"/>
              </w:rPr>
              <w:t>10,488</w:t>
            </w:r>
          </w:p>
        </w:tc>
        <w:tc>
          <w:tcPr>
            <w:tcW w:w="640" w:type="dxa"/>
            <w:vAlign w:val="bottom"/>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800" w:type="dxa"/>
            <w:vAlign w:val="bottom"/>
            <w:vMerge w:val="restart"/>
          </w:tcPr>
          <w:p>
            <w:pPr>
              <w:ind w:left="3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vMerge w:val="restart"/>
          </w:tcPr>
          <w:p>
            <w:pPr>
              <w:jc w:val="right"/>
              <w:ind w:right="16"/>
              <w:spacing w:after="0"/>
              <w:rPr>
                <w:sz w:val="20"/>
                <w:szCs w:val="20"/>
                <w:color w:val="auto"/>
              </w:rPr>
            </w:pPr>
            <w:r>
              <w:rPr>
                <w:rFonts w:ascii="Times New Roman" w:cs="Times New Roman" w:eastAsia="Times New Roman" w:hAnsi="Times New Roman"/>
                <w:sz w:val="13"/>
                <w:szCs w:val="13"/>
                <w:color w:val="0000FF"/>
              </w:rPr>
              <w:t>05/12/2026</w:t>
            </w: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vMerge w:val="restart"/>
          </w:tcPr>
          <w:p>
            <w:pPr>
              <w:jc w:val="right"/>
              <w:ind w:right="42"/>
              <w:spacing w:after="0"/>
              <w:rPr>
                <w:sz w:val="20"/>
                <w:szCs w:val="20"/>
                <w:color w:val="auto"/>
              </w:rPr>
            </w:pPr>
            <w:r>
              <w:rPr>
                <w:rFonts w:ascii="Times New Roman" w:cs="Times New Roman" w:eastAsia="Times New Roman" w:hAnsi="Times New Roman"/>
                <w:sz w:val="13"/>
                <w:szCs w:val="13"/>
                <w:color w:val="0000FF"/>
              </w:rPr>
              <w:t>8,391</w:t>
            </w:r>
          </w:p>
        </w:tc>
        <w:tc>
          <w:tcPr>
            <w:tcW w:w="320" w:type="dxa"/>
            <w:vAlign w:val="bottom"/>
          </w:tcPr>
          <w:p>
            <w:pPr>
              <w:spacing w:after="0"/>
              <w:rPr>
                <w:sz w:val="15"/>
                <w:szCs w:val="15"/>
                <w:color w:val="auto"/>
              </w:rPr>
            </w:pPr>
          </w:p>
        </w:tc>
        <w:tc>
          <w:tcPr>
            <w:tcW w:w="880" w:type="dxa"/>
            <w:vAlign w:val="bottom"/>
            <w:gridSpan w:val="2"/>
          </w:tcPr>
          <w:p>
            <w:pPr>
              <w:jc w:val="right"/>
              <w:ind w:right="63"/>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05/12/2036</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jc w:val="right"/>
              <w:ind w:right="56"/>
              <w:spacing w:after="0"/>
              <w:rPr>
                <w:sz w:val="20"/>
                <w:szCs w:val="20"/>
                <w:color w:val="auto"/>
              </w:rPr>
            </w:pPr>
            <w:r>
              <w:rPr>
                <w:rFonts w:ascii="Times New Roman" w:cs="Times New Roman" w:eastAsia="Times New Roman" w:hAnsi="Times New Roman"/>
                <w:sz w:val="17"/>
                <w:szCs w:val="17"/>
                <w:color w:val="0000FF"/>
                <w:w w:val="99"/>
              </w:rPr>
              <w:t>8,391</w:t>
            </w:r>
          </w:p>
        </w:tc>
        <w:tc>
          <w:tcPr>
            <w:tcW w:w="40" w:type="dxa"/>
            <w:vAlign w:val="bottom"/>
          </w:tcPr>
          <w:p>
            <w:pPr>
              <w:spacing w:after="0"/>
              <w:rPr>
                <w:sz w:val="15"/>
                <w:szCs w:val="15"/>
                <w:color w:val="auto"/>
              </w:rPr>
            </w:pPr>
          </w:p>
        </w:tc>
        <w:tc>
          <w:tcPr>
            <w:tcW w:w="680" w:type="dxa"/>
            <w:vAlign w:val="bottom"/>
            <w:gridSpan w:val="2"/>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8,391</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Share Unit</w:t>
            </w:r>
          </w:p>
        </w:tc>
        <w:tc>
          <w:tcPr>
            <w:tcW w:w="80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880" w:type="dxa"/>
            <w:vAlign w:val="bottom"/>
            <w:gridSpan w:val="2"/>
            <w:vMerge w:val="restart"/>
          </w:tcPr>
          <w:p>
            <w:pPr>
              <w:jc w:val="right"/>
              <w:ind w:right="203"/>
              <w:spacing w:after="0"/>
              <w:rPr>
                <w:sz w:val="20"/>
                <w:szCs w:val="20"/>
                <w:color w:val="auto"/>
              </w:rPr>
            </w:pPr>
            <w:r>
              <w:rPr>
                <w:rFonts w:ascii="Times New Roman" w:cs="Times New Roman" w:eastAsia="Times New Roman" w:hAnsi="Times New Roman"/>
                <w:sz w:val="13"/>
                <w:szCs w:val="13"/>
                <w:color w:val="0000FF"/>
              </w:rPr>
              <w:t>05/12/2030</w:t>
            </w:r>
          </w:p>
        </w:tc>
        <w:tc>
          <w:tcPr>
            <w:tcW w:w="660" w:type="dxa"/>
            <w:vAlign w:val="bottom"/>
            <w:vMerge w:val="continue"/>
          </w:tcPr>
          <w:p>
            <w:pPr>
              <w:spacing w:after="0"/>
              <w:rPr>
                <w:sz w:val="8"/>
                <w:szCs w:val="8"/>
                <w:color w:val="auto"/>
              </w:rPr>
            </w:pPr>
          </w:p>
        </w:tc>
        <w:tc>
          <w:tcPr>
            <w:tcW w:w="660" w:type="dxa"/>
            <w:vAlign w:val="bottom"/>
            <w:vMerge w:val="restart"/>
          </w:tcPr>
          <w:p>
            <w:pPr>
              <w:ind w:left="60"/>
              <w:spacing w:after="0" w:line="229" w:lineRule="exact"/>
              <w:rPr>
                <w:sz w:val="20"/>
                <w:szCs w:val="20"/>
                <w:color w:val="auto"/>
              </w:rPr>
            </w:pPr>
            <w:r>
              <w:rPr>
                <w:rFonts w:ascii="Times New Roman" w:cs="Times New Roman" w:eastAsia="Times New Roman" w:hAnsi="Times New Roman"/>
                <w:sz w:val="13"/>
                <w:szCs w:val="13"/>
                <w:color w:val="0000FF"/>
              </w:rPr>
              <w:t>Shares</w:t>
            </w:r>
            <w:r>
              <w:rPr>
                <w:rFonts w:ascii="Times New Roman" w:cs="Times New Roman" w:eastAsia="Times New Roman" w:hAnsi="Times New Roman"/>
                <w:sz w:val="21"/>
                <w:szCs w:val="21"/>
                <w:color w:val="008000"/>
                <w:vertAlign w:val="superscript"/>
              </w:rPr>
              <w:t>(4)</w:t>
            </w:r>
          </w:p>
        </w:tc>
        <w:tc>
          <w:tcPr>
            <w:tcW w:w="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gridSpan w:val="2"/>
            <w:vMerge w:val="continue"/>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gridSpan w:val="2"/>
            <w:vMerge w:val="continue"/>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vMerge w:val="continue"/>
          </w:tcPr>
          <w:p>
            <w:pPr>
              <w:spacing w:after="0"/>
              <w:rPr>
                <w:sz w:val="11"/>
                <w:szCs w:val="11"/>
                <w:color w:val="auto"/>
              </w:rPr>
            </w:pPr>
          </w:p>
        </w:tc>
        <w:tc>
          <w:tcPr>
            <w:tcW w:w="520" w:type="dxa"/>
            <w:vAlign w:val="bottom"/>
            <w:tcBorders>
              <w:bottom w:val="single" w:sz="8" w:color="2C2C2C"/>
            </w:tcBorders>
            <w:vMerge w:val="continue"/>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-2257425</wp:posOffset>
            </wp:positionV>
            <wp:extent cx="28575" cy="22625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26250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22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exercise price of this option is EUR 89.38. Subject to adjustment such that the trading price of an American Depositary Share ("ADS") as of an exercise date does not exceed 800% of the grant date exercise price.</w:t>
      </w:r>
    </w:p>
    <w:p>
      <w:pPr>
        <w:spacing w:after="0" w:line="19" w:lineRule="exact"/>
        <w:rPr>
          <w:rFonts w:ascii="Times New Roman" w:cs="Times New Roman" w:eastAsia="Times New Roman" w:hAnsi="Times New Roman"/>
          <w:sz w:val="13"/>
          <w:szCs w:val="13"/>
          <w:color w:val="008000"/>
        </w:rPr>
      </w:pPr>
    </w:p>
    <w:p>
      <w:pPr>
        <w:ind w:left="40" w:right="18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annually in equal installments over four years commencing on the first anniversary of the grant date and becomes exercisable four years after the grant date, subject to certain performance-based and other conditions.</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may be settled in ordinary shares, ADSs and/or cash at the election of the supervisory board.</w:t>
      </w:r>
    </w:p>
    <w:p>
      <w:pPr>
        <w:spacing w:after="0" w:line="41" w:lineRule="exact"/>
        <w:rPr>
          <w:rFonts w:ascii="Times New Roman" w:cs="Times New Roman" w:eastAsia="Times New Roman" w:hAnsi="Times New Roman"/>
          <w:sz w:val="13"/>
          <w:szCs w:val="13"/>
          <w:color w:val="008000"/>
        </w:rPr>
      </w:pPr>
    </w:p>
    <w:p>
      <w:pPr>
        <w:ind w:left="40" w:right="180"/>
        <w:spacing w:after="0" w:line="234"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performance share unit ("PSU") is the economic equivalent of one ordinary share of the Issuer and represents a right to receive, at the Issuer's option, one ordinary share, one ADS representing one ordinary share, or a cash payment or another form of settlement equal to the economic value thereof. PSUs vest annually in equal installments over four years commencing on the first anniversary of the grant date and become exercisable four years after the grant date, subject to the achievement of certain performance targets based on the market price of the Issuer's ordinary shares relative to the Nasdaq Biotechnology Index (or a comparable successor index) and the Reporting Person's continued service through each such date.</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Humza Bokhari, Attorney-</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05/13/2026</w:t>
            </w:r>
          </w:p>
        </w:tc>
        <w:tc>
          <w:tcPr>
            <w:tcW w:w="0" w:type="dxa"/>
            <w:vAlign w:val="bottom"/>
          </w:tcPr>
          <w:p>
            <w:pPr>
              <w:spacing w:after="0"/>
              <w:rPr>
                <w:sz w:val="1"/>
                <w:szCs w:val="1"/>
                <w:color w:val="auto"/>
              </w:rPr>
            </w:pPr>
          </w:p>
        </w:tc>
      </w:tr>
      <w:tr>
        <w:trPr>
          <w:trHeight w:val="87"/>
        </w:trPr>
        <w:tc>
          <w:tcPr>
            <w:tcW w:w="460" w:type="dxa"/>
            <w:vAlign w:val="bottom"/>
            <w:tcBorders>
              <w:top w:val="single" w:sz="8" w:color="auto"/>
              <w:bottom w:val="single" w:sz="8" w:color="auto"/>
            </w:tcBorders>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91"/>
              </w:rPr>
              <w:t>in-Fact</w:t>
            </w:r>
          </w:p>
        </w:tc>
        <w:tc>
          <w:tcPr>
            <w:tcW w:w="1500" w:type="dxa"/>
            <w:vAlign w:val="bottom"/>
            <w:tcBorders>
              <w:top w:val="single" w:sz="8" w:color="auto"/>
              <w:bottom w:val="single" w:sz="8" w:color="auto"/>
            </w:tcBorders>
            <w:vMerge w:val="restart"/>
          </w:tcPr>
          <w:p>
            <w:pPr>
              <w:spacing w:after="0"/>
              <w:rPr>
                <w:sz w:val="7"/>
                <w:szCs w:val="7"/>
                <w:color w:val="auto"/>
              </w:rPr>
            </w:pPr>
          </w:p>
        </w:tc>
        <w:tc>
          <w:tcPr>
            <w:tcW w:w="24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460" w:type="dxa"/>
            <w:vAlign w:val="bottom"/>
            <w:tcBorders>
              <w:bottom w:val="single" w:sz="8" w:color="auto"/>
            </w:tcBorders>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123971" TargetMode="External"/><Relationship Id="rId14" Type="http://schemas.openxmlformats.org/officeDocument/2006/relationships/hyperlink" Target="http://www.sec.gov/cgi-bin/browse-edgar?action=getcompany&amp;CIK=00017769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2026-05-13T15:17:52Z</dcterms:created>
  <dcterms:modified xsi:type="dcterms:W3CDTF">2026-05-13T15:17:52Z</dcterms:modified>
</cp:coreProperties>
</file>