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OCTOBER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On October 19, 2026, BioNTech SE (Nasdaq: BNTX, “BioNTech” or “the Company”) announced that it will present new clinical data from its late-stage oncology pipeline with 16 abstracts spanning the Company’s tumor focus areas, including lung and breast cancer, at the European Society for Medical Oncology (“ESMO”) 2026 Congress held in Madrid, Spain, from October 23–27, 2026.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October 19, 2026</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79"/>
        <w:gridCol w:w="2739"/>
        <w:gridCol w:w="387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7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1019_bntxxesmoxcrxpr.htm">
              <w:r>
                <w:rPr>
                  <w:rStyle w:val="InternetLink"/>
                  <w:rFonts w:ascii="Times New Roman;serif" w:hAnsi="Times New Roman;serif"/>
                  <w:b w:val="false"/>
                  <w:color w:val="0000FF"/>
                  <w:sz w:val="24"/>
                  <w:u w:val="single"/>
                </w:rPr>
                <w:t>BioNTech to Showcase Oncology Late-Stage Pipeline Progress and Pumitamig Novel-Novel Combination Data at ESMO 2026</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552575" cy="180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552575" cy="180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BioNTech to Showcase Oncology Late-Stage Pipeline Progress and Pumitamig Novel-Novel Combination Data at ESMO 2026</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Late-breaking oral presentation will feature first data from the global ROSETTA Lung-107 Phase 2 clinical trial evaluating pumitamig, a PD-L1×VEGF-A bispecific immunomodulator</w:t>
      </w:r>
      <w:r>
        <w:rPr>
          <w:rFonts w:ascii="Arial;sans-serif" w:hAnsi="Arial;sans-serif"/>
          <w:b w:val="false"/>
          <w:color w:val="000000"/>
          <w:sz w:val="22"/>
        </w:rPr>
        <w:t>,</w:t>
      </w:r>
      <w:r>
        <w:rPr>
          <w:color w:val="000000"/>
        </w:rPr>
        <w:t xml:space="preserve"> </w:t>
      </w:r>
      <w:r>
        <w:rPr>
          <w:rFonts w:ascii="Arial;sans-serif" w:hAnsi="Arial;sans-serif"/>
          <w:b w:val="false"/>
          <w:i/>
          <w:color w:val="000000"/>
          <w:sz w:val="22"/>
        </w:rPr>
        <w:t xml:space="preserve">plus docetaxel in patients with metastatic non-small cell lung cancer following prior immunotherapy plus chemotherapy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 xml:space="preserve">Global Phase 2 data for pumitamig plus elfetabart drozuntecan, a B7-H3-targeting antibody-drug conjugate, expand the body of evidence for this novel-novel combination in multiple advanced solid tumors </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2"/>
        </w:rPr>
        <w:t>Updates from across the pumitamig clinical development program underscore its pan-tumor potential, including in lung and breast cancer patients with brain metastases and patients with neuroendocrine neoplasms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MAINZ, Germany, October 19, 2026</w:t>
      </w:r>
      <w:r>
        <w:rPr>
          <w:color w:val="000000"/>
        </w:rPr>
        <w:t xml:space="preserve"> – </w:t>
      </w:r>
      <w:r>
        <w:rPr>
          <w:rFonts w:ascii="Arial;sans-serif" w:hAnsi="Arial;sans-serif"/>
          <w:b w:val="false"/>
          <w:color w:val="000000"/>
          <w:sz w:val="22"/>
        </w:rPr>
        <w:t xml:space="preserve">BioNTech SE (Nasdaq: BNTX, “BioNTech” or “the Company”) will present new clinical data from its late-stage oncology pipeline with 16 abstracts spanning the Company’s tumor focus areas, including lung and breast cancer, at the European Society for Medical Oncology (“ESMO”) 2026 Congress held in Madrid, Spain, from October 23–27, 2026.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Key oral presentations will focus on clinical data for pumitamig (BNT327/BMS986545), a PD-L1×VEGF-A bispecific immunomodulator being jointly developed with Bristol Myers Squibb (“BMS”), plus docetaxel in second-line metastatic non-small cell lung cancer (“NSCLC”) as well as pumitamig in combination with elfetabart drozuntecan (elfe-D or BNT324/DB-1311), a B7-H3-targeting antibody-drug conjugate (“ADC”) being jointly developed with Duality Biologics (Suzhou) Co. Ltd. (“DualityBio”), across several advanced solid tumors –</w:t>
      </w:r>
      <w:r>
        <w:rPr>
          <w:color w:val="424242"/>
        </w:rPr>
        <w:t xml:space="preserve"> </w:t>
      </w:r>
      <w:r>
        <w:rPr>
          <w:rFonts w:ascii="Arial;sans-serif" w:hAnsi="Arial;sans-serif"/>
          <w:b w:val="false"/>
          <w:color w:val="000000"/>
          <w:sz w:val="22"/>
        </w:rPr>
        <w:t xml:space="preserve">complementing the data in lung cancer presented earlier this year. This new clinical data advances BioNTech’s differentiated novel-novel combination approach. Additional presentations for pumitamig and ADCs reflect BioNTech’s tumor-focused strategy aimed at addressing significant unmet medical needs across various stages of disease.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2"/>
        </w:rPr>
        <w:t xml:space="preserve">Sixteen abstracts spanning ten tumor types – this is our significant data presence at this year’s ESMO. It demonstrates momentum for our late-stage oncology pipeline across strategic key assets and tumor areas such as lung and breast cancer,” said </w:t>
      </w:r>
      <w:r>
        <w:rPr>
          <w:rFonts w:ascii="Arial;sans-serif" w:hAnsi="Arial;sans-serif"/>
          <w:b/>
          <w:color w:val="000000"/>
          <w:sz w:val="22"/>
        </w:rPr>
        <w:t>Prof. Özlem Türeci, M.D., Co-Founder and Chief Medical Officer at BioNTech</w:t>
      </w:r>
      <w:r>
        <w:rPr>
          <w:rFonts w:ascii="Arial;sans-serif" w:hAnsi="Arial;sans-serif"/>
          <w:b w:val="false"/>
          <w:color w:val="000000"/>
          <w:sz w:val="22"/>
        </w:rPr>
        <w:t>. “For our PD-L1xVEGF immunomodulator pumitamig, we will be sharing new data that highlights its pan-tumor potential, including in challenging treatment settings where patients still show limited benefit from current standard of care therapies. Our goal is to establish pumitamig as a potential backbone for future combination regimens across multiple tumor types, including novel-novel treatment combinations. At this year's conference, we will showcase the potential of this approach in two presentations featuring ADC combinations, aimed to further enhance outcomes for patients.”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Highlights from BioNTech’s presentations at ESMO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Pumitamig – an investigational PD-L1×VEGF-A bispecific immunomodulator:</w:t>
      </w:r>
    </w:p>
    <w:p>
      <w:pPr>
        <w:pStyle w:val="TextBody"/>
        <w:bidi w:val="0"/>
        <w:spacing w:lineRule="auto" w:line="288"/>
        <w:ind w:left="0" w:right="0" w:hanging="360"/>
        <w:jc w:val="both"/>
        <w:rPr/>
      </w:pPr>
      <w:r>
        <w:rPr>
          <w:color w:val="000000"/>
        </w:rPr>
        <w:t>●</w:t>
      </w:r>
      <w:r>
        <w:rPr>
          <w:rFonts w:ascii="Arial;sans-serif" w:hAnsi="Arial;sans-serif"/>
          <w:b/>
          <w:color w:val="000000"/>
          <w:sz w:val="22"/>
        </w:rPr>
        <w:t xml:space="preserve">NSCLC: </w:t>
      </w:r>
      <w:r>
        <w:rPr>
          <w:rFonts w:ascii="Arial;sans-serif" w:hAnsi="Arial;sans-serif"/>
          <w:b w:val="false"/>
          <w:color w:val="000000"/>
          <w:sz w:val="22"/>
        </w:rPr>
        <w:t xml:space="preserve">First data from the global ROSETTA Lung-107 Phase 2 clinical trial (NCT06841055) evaluating pumitamig plus docetaxel in patients with metastatic NSCLC whose disease progressed after immunotherapy plus chemotherapy will be presented in </w:t>
      </w:r>
    </w:p>
    <w:p>
      <w:pPr>
        <w:pStyle w:val="TextBody"/>
        <w:bidi w:val="0"/>
        <w:spacing w:before="0" w:after="0"/>
        <w:jc w:val="left"/>
        <w:rPr/>
      </w:pPr>
      <w:r>
        <w:rPr/>
        <w:drawing>
          <wp:inline distT="0" distB="0" distL="0" distR="0">
            <wp:extent cx="1552575" cy="1809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552575" cy="18097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a late-breaking oral presentation. This clinical trial extends evidence for pumitamig’s non-small cell lung cancer development program into the second-line setting where there remains high unmet medical need, representing</w:t>
      </w:r>
      <w:r>
        <w:rPr>
          <w:color w:val="000000"/>
        </w:rPr>
        <w:t xml:space="preserve"> </w:t>
      </w:r>
      <w:r>
        <w:rPr>
          <w:rFonts w:ascii="Arial;sans-serif" w:hAnsi="Arial;sans-serif"/>
          <w:b w:val="false"/>
          <w:color w:val="000000"/>
          <w:sz w:val="22"/>
        </w:rPr>
        <w:t xml:space="preserve">the third global Phase 2 dataset in lung cancer.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 xml:space="preserve">SCLC and TNBC with brain metastases: </w:t>
      </w:r>
      <w:r>
        <w:rPr>
          <w:rFonts w:ascii="Arial;sans-serif" w:hAnsi="Arial;sans-serif"/>
          <w:b w:val="false"/>
          <w:color w:val="000000"/>
          <w:sz w:val="22"/>
        </w:rPr>
        <w:t>Results from a subgroup analysis of two Phase 2 clinical trials (NCT06449209; NCT06449222) evaluating pumitamig plus chemotherapy in patients with small cell lung cancer (“SCLC”) or triple-negative breast cancer (“TNBC”) showed systemic efficacy generally consistent in patients with and without brain metastases. These early data suggest intracranial efficacy and add to the clinical evidence for pumitamig plus chemotherapy in tumor types where brain metastases often occur and remain challenging to treat as many systemic therapies have limited ability to cross the blood-brain barrier.</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 xml:space="preserve">2L neuroendocrine neoplasms: </w:t>
      </w:r>
      <w:r>
        <w:rPr>
          <w:rFonts w:ascii="Arial;sans-serif" w:hAnsi="Arial;sans-serif"/>
          <w:b w:val="false"/>
          <w:color w:val="000000"/>
          <w:sz w:val="22"/>
        </w:rPr>
        <w:t>First results from a Phase 2 clinical trial conducted in China (NCT05879055) evaluating pumitamig plus FOLFIRI (folinic acid, fluorouracil, and irinotecan) chemotherapy in patients with unresectable neuroendocrine neoplasms after first-line platinum-based chemotherapy showed encouraging preliminary antitumor activity and a manageable safety profile. These data broaden the clinical evidence for pumitamig across diverse tumor types.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2"/>
        </w:rPr>
      </w:pPr>
      <w:r>
        <w:rPr>
          <w:rFonts w:ascii="Arial;sans-serif" w:hAnsi="Arial;sans-serif"/>
          <w:b w:val="false"/>
          <w:i/>
          <w:color w:val="000000"/>
          <w:sz w:val="22"/>
        </w:rPr>
        <w:t xml:space="preserve">Novel-novel combination of pumitamig and elfetabart drozuntecan, an investigational B7-H3-targeted ADC: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2"/>
        </w:rPr>
        <w:t xml:space="preserve">Advanced solid tumors: </w:t>
      </w:r>
      <w:r>
        <w:rPr>
          <w:rFonts w:ascii="Arial;sans-serif" w:hAnsi="Arial;sans-serif"/>
          <w:b w:val="false"/>
          <w:color w:val="000000"/>
          <w:sz w:val="22"/>
        </w:rPr>
        <w:t>First results from the global Phase 2 clinical trial (NCT06953089) evaluating pumitamig in combination with elfetabart drozuntecan in patients with advanced solid tumors showed encouraging preliminary antitumor activity across multiple tumor types and a manageable safety profile, with minimal overlapping toxicities observed. These data support the potential of pumitamig as a backbone in novel treatment combinations, furthering BioNTech’s combination strategy across multiple tumor types with high unmet medical need.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BioNTech is advancing a diversified oncology pipeline spanning next-generation immunomodulators, ADCs, and mRNA cancer immunotherapies, both as monotherapies and novel-novel combination approaches. With 13 ongoing Phase 3 trials as well as multiple novel-novel combination trials, BioNTech is focused on developing innovative approaches to address the challenges of cancer treatment among the Company’s tumor focus areas from early- to late-stage conditions.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All abstracts are available through the </w:t>
      </w:r>
      <w:r>
        <w:rPr>
          <w:rFonts w:ascii="Arial;sans-serif" w:hAnsi="Arial;sans-serif"/>
          <w:b w:val="false"/>
          <w:color w:val="000000"/>
          <w:sz w:val="22"/>
          <w:u w:val="single"/>
        </w:rPr>
        <w:t>ESMO website</w:t>
      </w:r>
      <w:r>
        <w:rPr>
          <w:rFonts w:ascii="Arial;sans-serif" w:hAnsi="Arial;sans-serif"/>
          <w:b w:val="false"/>
          <w:color w:val="000000"/>
          <w:sz w:val="22"/>
        </w:rPr>
        <w:t xml:space="preserve">. Further information on BioNTech’s oncology pipeline can be accessed </w:t>
      </w:r>
      <w:r>
        <w:rPr>
          <w:rFonts w:ascii="Arial;sans-serif" w:hAnsi="Arial;sans-serif"/>
          <w:b w:val="false"/>
          <w:color w:val="000000"/>
          <w:sz w:val="22"/>
          <w:u w:val="single"/>
        </w:rPr>
        <w:t>here</w:t>
      </w:r>
      <w:r>
        <w:rPr>
          <w:rFonts w:ascii="Arial;sans-serif" w:hAnsi="Arial;sans-serif"/>
          <w:b w:val="false"/>
          <w:color w:val="000000"/>
          <w:sz w:val="22"/>
        </w:rPr>
        <w:t>.</w:t>
      </w:r>
    </w:p>
    <w:p>
      <w:pPr>
        <w:pStyle w:val="TextBody"/>
        <w:bidi w:val="0"/>
        <w:spacing w:before="0" w:after="0"/>
        <w:jc w:val="both"/>
        <w:rPr/>
      </w:pPr>
      <w:r>
        <w:rPr/>
      </w:r>
    </w:p>
    <w:p>
      <w:pPr>
        <w:pStyle w:val="TextBody"/>
        <w:bidi w:val="0"/>
        <w:spacing w:lineRule="auto" w:line="288"/>
        <w:jc w:val="left"/>
        <w:rPr>
          <w:rFonts w:ascii="Arial;sans-serif" w:hAnsi="Arial;sans-serif"/>
          <w:b/>
          <w:color w:val="000000"/>
          <w:sz w:val="22"/>
          <w:u w:val="single"/>
        </w:rPr>
      </w:pPr>
      <w:r>
        <w:rPr>
          <w:rFonts w:ascii="Arial;sans-serif" w:hAnsi="Arial;sans-serif"/>
          <w:b/>
          <w:color w:val="000000"/>
          <w:sz w:val="22"/>
          <w:u w:val="single"/>
        </w:rPr>
        <w:t>Full presentation details:</w:t>
      </w:r>
    </w:p>
    <w:p>
      <w:pPr>
        <w:pStyle w:val="TextBody"/>
        <w:bidi w:val="0"/>
        <w:spacing w:before="0" w:after="0"/>
        <w:jc w:val="left"/>
        <w:rPr/>
      </w:pPr>
      <w:r>
        <w:rPr/>
        <w:drawing>
          <wp:inline distT="0" distB="0" distL="0" distR="0">
            <wp:extent cx="1552575" cy="18097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552575" cy="18097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8"/>
        <w:gridCol w:w="534"/>
        <w:gridCol w:w="543"/>
        <w:gridCol w:w="2100"/>
        <w:gridCol w:w="2100"/>
        <w:gridCol w:w="2110"/>
        <w:gridCol w:w="839"/>
        <w:gridCol w:w="505"/>
        <w:gridCol w:w="716"/>
      </w:tblGrid>
      <w:tr>
        <w:trPr/>
        <w:tc>
          <w:tcPr>
            <w:tcW w:w="75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Candidate</w:t>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Abstract Title</w:t>
            </w:r>
          </w:p>
        </w:tc>
        <w:tc>
          <w:tcPr>
            <w:tcW w:w="2060"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Abstract Number/Presentation Details</w:t>
            </w:r>
          </w:p>
        </w:tc>
      </w:tr>
      <w:tr>
        <w:trPr/>
        <w:tc>
          <w:tcPr>
            <w:tcW w:w="1835" w:type="dxa"/>
            <w:gridSpan w:val="3"/>
            <w:vMerge w:val="restart"/>
            <w:tcBorders>
              <w:left w:val="single" w:sz="8" w:space="0" w:color="000000"/>
            </w:tcBorders>
            <w:tcMar>
              <w:top w:w="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 xml:space="preserve">Pumitamig </w:t>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A global phase 2, open-label trial of pumitamig (PD-L1 × VEGF-A bsAb) + docetaxel post-chemoimmunotherapy in mNSCLC: First data from ROSETTA Lung-107</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Abstract #LBA76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Rapid Oral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NSCLC, Metastatic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25, 2026: 8:30 - 10:00am CET</w:t>
            </w:r>
          </w:p>
        </w:tc>
      </w:tr>
      <w:tr>
        <w:trPr/>
        <w:tc>
          <w:tcPr>
            <w:tcW w:w="1835" w:type="dxa"/>
            <w:gridSpan w:val="3"/>
            <w:vMerge w:val="continue"/>
            <w:tcBorders>
              <w:left w:val="single" w:sz="8" w:space="0" w:color="000000"/>
            </w:tcBorders>
            <w:tcMar>
              <w:top w:w="0" w:type="dxa"/>
              <w:left w:w="67" w:type="dxa"/>
              <w:bottom w:w="0" w:type="dxa"/>
              <w:right w:w="0" w:type="dxa"/>
            </w:tcMar>
            <w:vAlign w:val="center"/>
          </w:tcPr>
          <w:p>
            <w:pPr>
              <w:pStyle w:val="Normal"/>
              <w:bidi w:val="0"/>
              <w:jc w:val="left"/>
              <w:rPr/>
            </w:pPr>
            <w:r>
              <w:rPr/>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Efficacy of pumitamig (PD-L1 × VEGF-A bsAb) plus chemotherapy in patients with SCLC or TNBC with brain metastases: A subgroup analysis of two phase 2 trials</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#1951RO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Rapid Oral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Investigational Immunotherapy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8:30 - 10:00am CEST</w:t>
            </w:r>
          </w:p>
        </w:tc>
      </w:tr>
      <w:tr>
        <w:trPr/>
        <w:tc>
          <w:tcPr>
            <w:tcW w:w="1835" w:type="dxa"/>
            <w:gridSpan w:val="3"/>
            <w:vMerge w:val="continue"/>
            <w:tcBorders>
              <w:left w:val="single" w:sz="8" w:space="0" w:color="000000"/>
            </w:tcBorders>
            <w:tcMar>
              <w:top w:w="0" w:type="dxa"/>
              <w:left w:w="67" w:type="dxa"/>
              <w:bottom w:w="0" w:type="dxa"/>
              <w:right w:w="0" w:type="dxa"/>
            </w:tcMar>
            <w:vAlign w:val="center"/>
          </w:tcPr>
          <w:p>
            <w:pPr>
              <w:pStyle w:val="Normal"/>
              <w:bidi w:val="0"/>
              <w:jc w:val="left"/>
              <w:rPr/>
            </w:pPr>
            <w:r>
              <w:rPr/>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First results from a phase 2 trial of second-line pumitamig (PD-L1 × VEGF-A bsAb) plus chemotherapy in unresectable neuroendocrine neoplasms</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#2393O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Proffered Paper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NETs and Endocrine Tumours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26, 2026: 10:15 - 11:45am CET</w:t>
            </w:r>
          </w:p>
        </w:tc>
      </w:tr>
      <w:tr>
        <w:trPr/>
        <w:tc>
          <w:tcPr>
            <w:tcW w:w="1835" w:type="dxa"/>
            <w:gridSpan w:val="3"/>
            <w:vMerge w:val="continue"/>
            <w:tcBorders>
              <w:left w:val="single" w:sz="8" w:space="0" w:color="000000"/>
            </w:tcBorders>
            <w:tcMar>
              <w:top w:w="0" w:type="dxa"/>
              <w:left w:w="67" w:type="dxa"/>
              <w:bottom w:w="0" w:type="dxa"/>
              <w:right w:w="0" w:type="dxa"/>
            </w:tcMar>
            <w:vAlign w:val="center"/>
          </w:tcPr>
          <w:p>
            <w:pPr>
              <w:pStyle w:val="Normal"/>
              <w:bidi w:val="0"/>
              <w:jc w:val="left"/>
              <w:rPr/>
            </w:pPr>
            <w:r>
              <w:rPr/>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ROSETTA RCC-208: A phase 1/2, open-label, randomized study of pumitamig alone or in combination with ipilimumab or cabozantinib in advanced renal cell carcinoma (RCC)</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#3639TiP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Renal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2026: 3:15 - 4:00pm CEST</w:t>
            </w:r>
          </w:p>
        </w:tc>
      </w:tr>
      <w:tr>
        <w:trPr/>
        <w:tc>
          <w:tcPr>
            <w:tcW w:w="1835" w:type="dxa"/>
            <w:gridSpan w:val="3"/>
            <w:vMerge w:val="continue"/>
            <w:tcBorders>
              <w:left w:val="single" w:sz="8" w:space="0" w:color="000000"/>
            </w:tcBorders>
            <w:tcMar>
              <w:top w:w="0" w:type="dxa"/>
              <w:left w:w="67" w:type="dxa"/>
              <w:bottom w:w="0" w:type="dxa"/>
              <w:right w:w="0" w:type="dxa"/>
            </w:tcMar>
            <w:vAlign w:val="center"/>
          </w:tcPr>
          <w:p>
            <w:pPr>
              <w:pStyle w:val="Normal"/>
              <w:bidi w:val="0"/>
              <w:jc w:val="left"/>
              <w:rPr/>
            </w:pPr>
            <w:r>
              <w:rPr/>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ROSETTA Gastric-204: A randomized, phase 2/3 study of first-line (1L) pumitamig + chemotherapy versus nivolumab (NIVO) + chemotherapy in advanced or metastatic gastric cancer (GC), gastroesophageal junction adenocarcinoma (GEJC), or esophageal adenocarcinoma (EAC)</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#3081eTiP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Oesophagogastric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23 - 27, 2026</w:t>
            </w:r>
          </w:p>
        </w:tc>
      </w:tr>
      <w:tr>
        <w:trPr/>
        <w:tc>
          <w:tcPr>
            <w:tcW w:w="1835" w:type="dxa"/>
            <w:gridSpan w:val="3"/>
            <w:vMerge w:val="continue"/>
            <w:tcBorders>
              <w:left w:val="single" w:sz="8" w:space="0" w:color="000000"/>
            </w:tcBorders>
            <w:tcMar>
              <w:top w:w="0" w:type="dxa"/>
              <w:left w:w="67" w:type="dxa"/>
              <w:bottom w:w="0" w:type="dxa"/>
              <w:right w:w="0" w:type="dxa"/>
            </w:tcMar>
            <w:vAlign w:val="center"/>
          </w:tcPr>
          <w:p>
            <w:pPr>
              <w:pStyle w:val="Normal"/>
              <w:bidi w:val="0"/>
              <w:jc w:val="left"/>
              <w:rPr/>
            </w:pPr>
            <w:r>
              <w:rPr/>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A phase 1/2 trial of first-line pumitamig monotherapy or pumitamig plus ipilimumab in advanced or unresectable hepatocellular carcinoma (ROSETTA HCC-206)</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#1762eTiP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Hepatocellular Carcinoma</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23 - 27, 2026</w:t>
            </w:r>
          </w:p>
        </w:tc>
      </w:tr>
      <w:tr>
        <w:trPr/>
        <w:tc>
          <w:tcPr>
            <w:tcW w:w="1835"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Pumitamig + elfetabart drozuntecan</w:t>
            </w:r>
          </w:p>
        </w:tc>
        <w:tc>
          <w:tcPr>
            <w:tcW w:w="631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Elfetabart drozuntecan (Elfe-D; DB-1311/BNT324 [B7H3 ADC]) + pumitamig (PD-L1 x VEGF-A bsAb) in patients with advanced solid tumors: First results from a global phase 2 trial</w:t>
            </w:r>
          </w:p>
        </w:tc>
        <w:tc>
          <w:tcPr>
            <w:tcW w:w="20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#999O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Proffered Paper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Developmental Therapeutics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2:45 - 4:15pm CEST</w:t>
            </w:r>
          </w:p>
        </w:tc>
      </w:tr>
      <w:tr>
        <w:trPr/>
        <w:tc>
          <w:tcPr>
            <w:tcW w:w="1835"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Pumitamig + trastuzumab pamirtecan</w:t>
            </w:r>
          </w:p>
        </w:tc>
        <w:tc>
          <w:tcPr>
            <w:tcW w:w="631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Pumitamig + trastuzumab pamirtecan (T-Pam) in patients (pts) with HR+, HER2-low advanced/metastatic breast cancer (a/mBC): Phase 1 results of a phase 1/2, open-label trial (BNT323-03)</w:t>
            </w:r>
          </w:p>
        </w:tc>
        <w:tc>
          <w:tcPr>
            <w:tcW w:w="20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#1777P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HER2+ Breast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12:00 - 12:45pm CEST</w:t>
            </w:r>
          </w:p>
        </w:tc>
      </w:tr>
    </w:tbl>
    <w:p>
      <w:pPr>
        <w:pStyle w:val="TextBody"/>
        <w:bidi w:val="0"/>
        <w:spacing w:before="0" w:after="0"/>
        <w:jc w:val="left"/>
        <w:rPr/>
      </w:pPr>
      <w:r>
        <w:rPr/>
        <w:drawing>
          <wp:inline distT="0" distB="0" distL="0" distR="0">
            <wp:extent cx="1552575" cy="18097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552575" cy="180975"/>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3"/>
        <w:gridCol w:w="652"/>
        <w:gridCol w:w="656"/>
        <w:gridCol w:w="2275"/>
        <w:gridCol w:w="1981"/>
        <w:gridCol w:w="1984"/>
        <w:gridCol w:w="559"/>
        <w:gridCol w:w="559"/>
        <w:gridCol w:w="796"/>
      </w:tblGrid>
      <w:tr>
        <w:trPr/>
        <w:tc>
          <w:tcPr>
            <w:tcW w:w="7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051" w:type="dxa"/>
            <w:gridSpan w:val="3"/>
            <w:vMerge w:val="restart"/>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Elfetabart drozuntecan</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Elfetabart drozuntecan (Elfe-D; DB-1311/BNT324 [B7H3 ADC]) in patients with platinum-resistant ovarian cancer (PROC): Efficacy and safety data from a Phase 2 dose optimization cohort</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#1255P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Gynaecological Cancers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26, 2026: 12:00 - 12:45pm CET</w:t>
            </w:r>
          </w:p>
        </w:tc>
      </w:tr>
      <w:tr>
        <w:trPr/>
        <w:tc>
          <w:tcPr>
            <w:tcW w:w="2051" w:type="dxa"/>
            <w:gridSpan w:val="3"/>
            <w:vMerge w:val="continue"/>
            <w:tcBorders>
              <w:top w:val="single" w:sz="8" w:space="0" w:color="000000"/>
              <w:left w:val="single" w:sz="8" w:space="0" w:color="000000"/>
            </w:tcBorders>
            <w:tcMar>
              <w:top w:w="30" w:type="dxa"/>
              <w:left w:w="67" w:type="dxa"/>
              <w:bottom w:w="0" w:type="dxa"/>
              <w:right w:w="0" w:type="dxa"/>
            </w:tcMar>
            <w:vAlign w:val="center"/>
          </w:tcPr>
          <w:p>
            <w:pPr>
              <w:pStyle w:val="Normal"/>
              <w:bidi w:val="0"/>
              <w:jc w:val="left"/>
              <w:rPr/>
            </w:pPr>
            <w:r>
              <w:rPr/>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BNT324-03: A phase 3, randomized, open-label trial comparing elfetabart drozuntecan, a B7H3 antibody-drug conjugate (ADC), with docetaxel as treatment of patients (pts) with taxane-naïve metastatic castration-resistant prostate cancer (mCRPC)</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#2300TiP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Metastatic Prostate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2026: 3:15 - 4:00pm CEST</w:t>
            </w:r>
          </w:p>
        </w:tc>
      </w:tr>
      <w:tr>
        <w:trPr/>
        <w:tc>
          <w:tcPr>
            <w:tcW w:w="205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Gotistobart</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Gotistobart plus pembrolizumab demonstrates durable antitumor activity in advanced melanoma refractory or resistant to both prior anti-CTLA-4 and anti-PD-(L)1 therapies</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#2106P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Melanoma</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12:00 - 12:45 pm CEST</w:t>
            </w:r>
          </w:p>
        </w:tc>
      </w:tr>
      <w:tr>
        <w:trPr/>
        <w:tc>
          <w:tcPr>
            <w:tcW w:w="205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BNT317</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BNT317: An anti–PD-1 × CD39 bispecific antibody demonstrating preclinical antitumor activity</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#420P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Basic Science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2026: 3:15 - 4pm CEST</w:t>
            </w:r>
          </w:p>
        </w:tc>
      </w:tr>
      <w:tr>
        <w:trPr/>
        <w:tc>
          <w:tcPr>
            <w:tcW w:w="205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Beruzatatug pelitecan (YL202/BNT326)</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Clinical outcomes of YL202/BNT326 (HER3 ADC) in advanced/metastatic HR+/HER2-null/low breast cancer (BC) in chemotherapy (chemo)-naïve and exposed patients (pts)</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#1881P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HR+ Breast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12:00 - 12:45pm CEST</w:t>
            </w:r>
          </w:p>
        </w:tc>
      </w:tr>
      <w:tr>
        <w:trPr/>
        <w:tc>
          <w:tcPr>
            <w:tcW w:w="2051"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BNT329</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A first-in-human phase 1/2 dose-escalation and expansion trial of BNT329 (an anti-carbohydrate antigen 19-9 antibody-drug conjugate [CA19-9 ADC]) in patients (pts) with advanced solid tumors that express CA19-9</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#1076TiP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Developmental Therapeutics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23, 2026: 3:15 - 4:00 pm CEST</w:t>
            </w:r>
          </w:p>
        </w:tc>
      </w:tr>
      <w:tr>
        <w:trPr/>
        <w:tc>
          <w:tcPr>
            <w:tcW w:w="2051" w:type="dxa"/>
            <w:gridSpan w:val="3"/>
            <w:vMerge w:val="restart"/>
            <w:tcBorders>
              <w:left w:val="single" w:sz="8" w:space="0" w:color="000000"/>
              <w:bottom w:val="single" w:sz="8" w:space="0" w:color="000000"/>
            </w:tcBorders>
            <w:tcMar>
              <w:top w:w="0" w:type="dxa"/>
              <w:left w:w="67" w:type="dxa"/>
              <w:bottom w:w="30" w:type="dxa"/>
              <w:right w:w="0" w:type="dxa"/>
            </w:tcMar>
            <w:vAlign w:val="center"/>
          </w:tcPr>
          <w:p>
            <w:pPr>
              <w:pStyle w:val="TableContents"/>
              <w:bidi w:val="0"/>
              <w:spacing w:lineRule="auto" w:line="321" w:before="0" w:after="160"/>
              <w:jc w:val="left"/>
              <w:rPr>
                <w:rFonts w:ascii="Arial;sans-serif" w:hAnsi="Arial;sans-serif"/>
                <w:b/>
                <w:color w:val="000000"/>
                <w:sz w:val="20"/>
              </w:rPr>
            </w:pPr>
            <w:r>
              <w:rPr>
                <w:rFonts w:ascii="Arial;sans-serif" w:hAnsi="Arial;sans-serif"/>
                <w:b/>
                <w:color w:val="000000"/>
                <w:sz w:val="20"/>
              </w:rPr>
              <w:t>Health Economics and Outcomes Research (HEOR)</w:t>
            </w:r>
          </w:p>
        </w:tc>
        <w:tc>
          <w:tcPr>
            <w:tcW w:w="62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Real-world progression-free survival (rwPFS) from chemotherapy initiation in patients with HR+/HER2– metastatic breast cancer (mBC) in the US</w:t>
            </w:r>
          </w:p>
        </w:tc>
        <w:tc>
          <w:tcPr>
            <w:tcW w:w="19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#1880P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HR+ Breast Cancer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24, 2026: 12:00 - 12:45pm CEST</w:t>
            </w:r>
          </w:p>
        </w:tc>
      </w:tr>
      <w:tr>
        <w:trPr/>
        <w:tc>
          <w:tcPr>
            <w:tcW w:w="2051" w:type="dxa"/>
            <w:gridSpan w:val="3"/>
            <w:vMerge w:val="continue"/>
            <w:tcBorders>
              <w:left w:val="single" w:sz="8" w:space="0" w:color="000000"/>
              <w:bottom w:val="single" w:sz="8" w:space="0" w:color="000000"/>
            </w:tcBorders>
            <w:tcMar>
              <w:top w:w="0" w:type="dxa"/>
              <w:left w:w="67" w:type="dxa"/>
              <w:bottom w:w="30" w:type="dxa"/>
              <w:right w:w="0" w:type="dxa"/>
            </w:tcMar>
            <w:vAlign w:val="center"/>
          </w:tcPr>
          <w:p>
            <w:pPr>
              <w:pStyle w:val="Normal"/>
              <w:bidi w:val="0"/>
              <w:jc w:val="left"/>
              <w:rPr/>
            </w:pPr>
            <w:r>
              <w:rPr/>
            </w:r>
          </w:p>
        </w:tc>
        <w:tc>
          <w:tcPr>
            <w:tcW w:w="62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321" w:before="0" w:after="160"/>
              <w:jc w:val="left"/>
              <w:rPr>
                <w:rFonts w:ascii="Arial;sans-serif" w:hAnsi="Arial;sans-serif"/>
                <w:b w:val="false"/>
                <w:color w:val="000000"/>
                <w:sz w:val="20"/>
              </w:rPr>
            </w:pPr>
            <w:r>
              <w:rPr>
                <w:rFonts w:ascii="Arial;sans-serif" w:hAnsi="Arial;sans-serif"/>
                <w:b w:val="false"/>
                <w:color w:val="000000"/>
                <w:sz w:val="20"/>
              </w:rPr>
              <w:t>Real-world outcomes with first-line pembrolizumab-based chemoimmunotherapy in patients with advanced/metastatic non-small cell lung cancer in the USA</w:t>
            </w:r>
          </w:p>
        </w:tc>
        <w:tc>
          <w:tcPr>
            <w:tcW w:w="19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Abstract #2705P</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Poster Presentation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NSCLC, Metastatic</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 26, 2026: 12:00 - 12:45pm CET</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BioNTech</w:t>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w:t>
      </w:r>
    </w:p>
    <w:p>
      <w:pPr>
        <w:pStyle w:val="TextBody"/>
        <w:bidi w:val="0"/>
        <w:spacing w:before="0" w:after="0"/>
        <w:jc w:val="left"/>
        <w:rPr/>
      </w:pPr>
      <w:r>
        <w:rPr/>
        <w:drawing>
          <wp:inline distT="0" distB="0" distL="0" distR="0">
            <wp:extent cx="1552575" cy="18097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552575" cy="180975"/>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resources to accelerate innovation and drive 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 xml:space="preserve">For more information, please visit </w:t>
      </w:r>
      <w:r>
        <w:rPr>
          <w:rFonts w:ascii="Arial;sans-serif" w:hAnsi="Arial;sans-serif"/>
          <w:b w:val="false"/>
          <w:color w:val="000000"/>
          <w:sz w:val="22"/>
          <w:u w:val="single"/>
        </w:rPr>
        <w:t>www.BioNTech.com</w:t>
      </w:r>
      <w:r>
        <w:rPr>
          <w:rFonts w:ascii="Arial;sans-serif" w:hAnsi="Arial;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BioNTech Forward-Looking Statements</w:t>
      </w:r>
    </w:p>
    <w:p>
      <w:pPr>
        <w:pStyle w:val="TextBody"/>
        <w:bidi w:val="0"/>
        <w:spacing w:lineRule="auto" w:line="319" w:before="0" w:after="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the Private Securities Litigation Reform Act of 1995, as amended, including, but not limited to, statements concerning: the initiation, timing, progress and results of BioNTech’s research and development programs in oncology, including the targeted timing and number of additional potentially registrational trials; BioNTech’s and its collaborators’ current and future preclinical and clinical trials in oncology, including the investigational bispecific immunomodulator pumitamig (BNT327/BMS986545), the investigational anti-CTLA-4 antibody gotistobart (BNT316/ONC-392), the investigational B7H3-targeting ADC elfetabart drozuntecan (BNT324/DB-1311) alone and in combination with pumitamig, the investigational HER2-targeting ADC trastuzumab pamirtecan (BNT323/DB-1303) in combination with pumitamig, the investigational anti-PD-1×CD39 antibody BNT317, the investigational HER3-targeting ADC Beruzatatug pelitecan (Beru-Pel/YL202/BNT326), and the investigational CA19-9-targeting ADC BNT329;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and potential commercialization with respect to BioNTech’s product candidates; and the potential safety and efficacy of BioNTech’s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 xml:space="preserve">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ability to produce comparable clinical results in future clinical trials; the timing of and BioNTech’s ability to obtain and maintain regulatory approval for its product candidates; discussions with regulatory agencies regarding timing and requirements for additional clinical </w:t>
      </w:r>
    </w:p>
    <w:p>
      <w:pPr>
        <w:pStyle w:val="TextBody"/>
        <w:bidi w:val="0"/>
        <w:spacing w:before="0" w:after="0"/>
        <w:jc w:val="left"/>
        <w:rPr/>
      </w:pPr>
      <w:r>
        <w:rPr/>
        <w:drawing>
          <wp:inline distT="0" distB="0" distL="0" distR="0">
            <wp:extent cx="1552575" cy="18097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552575" cy="180975"/>
                    </a:xfrm>
                    <a:prstGeom prst="rect">
                      <a:avLst/>
                    </a:prstGeom>
                  </pic:spPr>
                </pic:pic>
              </a:graphicData>
            </a:graphic>
          </wp:inline>
        </w:drawing>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trials; the impact of tariffs and escalations in trade policy;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w:t>
      </w:r>
    </w:p>
    <w:p>
      <w:pPr>
        <w:pStyle w:val="TextBody"/>
        <w:bidi w:val="0"/>
        <w:spacing w:lineRule="auto" w:line="319" w:before="240" w:after="283"/>
        <w:jc w:val="both"/>
        <w:rPr>
          <w:rFonts w:ascii="Arial;sans-serif" w:hAnsi="Arial;sans-serif"/>
          <w:b w:val="false"/>
          <w:color w:val="000000"/>
          <w:sz w:val="22"/>
        </w:rPr>
      </w:pPr>
      <w:r>
        <w:rPr>
          <w:rFonts w:ascii="Arial;sans-serif" w:hAnsi="Arial;sans-serif"/>
          <w:b w:val="false"/>
          <w:color w:val="000000"/>
          <w:sz w:val="22"/>
        </w:rPr>
        <w:t>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left"/>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Jasmina Alatovic</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Media@BioNTech.de</w:t>
      </w:r>
    </w:p>
    <w:p>
      <w:pPr>
        <w:pStyle w:val="TextBody"/>
        <w:bidi w:val="0"/>
        <w:spacing w:before="0" w:after="0"/>
        <w:jc w:val="both"/>
        <w:rPr/>
      </w:pPr>
      <w:r>
        <w:rPr/>
      </w:r>
    </w:p>
    <w:p>
      <w:pPr>
        <w:pStyle w:val="TextBody"/>
        <w:bidi w:val="0"/>
        <w:spacing w:lineRule="auto" w:line="319"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Douglas Maffei, Ph.D.</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Investors@BioNTech.de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2495</Words>
  <Characters>15939</Characters>
  <CharactersWithSpaces>18297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