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38002d425.htm"/>
      <w:bookmarkStart w:id="1" w:name="ksd38002d425"/>
      <w:bookmarkEnd w:id="0"/>
      <w:bookmarkEnd w:id="1"/>
      <w:r>
        <w:rPr>
          <w:rFonts w:ascii="Times New Roman" w:hAnsi="Times New Roman"/>
          <w:sz w:val="20"/>
        </w:rPr>
        <w:t xml:space="preserve">Filed by BioNTech SE (Commission File No. 001-39081)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14d-2(b) under </w:t>
      </w:r>
    </w:p>
    <w:p>
      <w:pPr>
        <w:pStyle w:val="TextBody"/>
        <w:bidi w:val="0"/>
        <w:spacing w:before="0" w:after="0"/>
        <w:jc w:val="right"/>
        <w:rPr>
          <w:rFonts w:ascii="Times New Roman" w:hAnsi="Times New Roman"/>
          <w:sz w:val="20"/>
        </w:rPr>
      </w:pPr>
      <w:r>
        <w:rPr>
          <w:rFonts w:ascii="Times New Roman" w:hAnsi="Times New Roman"/>
          <w:sz w:val="20"/>
        </w:rPr>
        <w:t xml:space="preserve">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CureVac N.V.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001-39446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communications are being filed in connection with the proposed acquisition of CureVac N.V. by BioNTech SE. </w:t>
      </w:r>
    </w:p>
    <w:p>
      <w:pPr>
        <w:pStyle w:val="TextBody"/>
        <w:bidi w:val="0"/>
        <w:spacing w:before="0" w:after="0"/>
        <w:jc w:val="left"/>
        <w:rPr/>
      </w:pPr>
      <w:r>
        <w:rPr/>
        <w:t> </w:t>
      </w:r>
    </w:p>
    <w:p>
      <w:pPr>
        <w:pStyle w:val="TextBody"/>
        <w:bidi w:val="0"/>
        <w:spacing w:before="0" w:after="0"/>
        <w:jc w:val="center"/>
        <w:rPr/>
      </w:pPr>
      <w:r>
        <w:rPr/>
        <w:drawing>
          <wp:inline distT="0" distB="0" distL="0" distR="0">
            <wp:extent cx="4867275" cy="641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67275" cy="64198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 the combined company and the potential effects of the proposed transactions on BioNTech and CureVac. Many of these risks and uncertainties are beyond the control of BioNTech or CureVac. Investors are cautioned that any such forward-looking statements are based on BioNTechs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BioNTech does not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(https://www.biontech.com).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(https://www.biontech.com). Investors in the UK should acquire BioNTech ADSs solely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obtain free copies of the Registration Statement, exchange offer/prospectus, Schedule TO and Schedule 14D-9, as each may be amended from time to time, and other relevant documents filed by BioNTech and CureVac with the SEC (when they become available) at http://www.sec.gov, the SECs website, or free of charge from BioNTechs website (https://www.biontech.com) or by contacting BioNTechs Investor Relations Department at Investors@biontech.de. These documents are also available free of charge from CureVacs website (https://www.curevac.com) or by contacting CureVacs Investor Relations Department at communications@curevac.com.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1648</Words>
  <Characters>9051</Characters>
  <CharactersWithSpaces>10613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