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AUGUST 2024</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On August 5, 2024, BioNTech SE (the “Company”) provided a development update and reported its financial results for the three and six months ended June 30, 2024. The interim condensed consolidated financial statements as well as the operating and financial review and prospects of the Company for the three and six months ended June 30, 2024 are attached hereto as Exhibit 99.1 and shall be deemed “filed” for purposes of Section 18 of the Securities Exchange Act of 1934, as amended (the “Exchange Act”) and incorporated by reference herein.</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  /s/ Jens Holstein</w:t>
            </w:r>
          </w:p>
        </w:tc>
        <w:tc>
          <w:tcPr>
            <w:tcW w:w="590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5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89"/>
        </w:trPr>
        <w:tc>
          <w:tcPr>
            <w:tcW w:w="54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Jens Holstein</w:t>
            </w:r>
          </w:p>
        </w:tc>
        <w:tc>
          <w:tcPr>
            <w:tcW w:w="1120" w:type="dxa"/>
            <w:vAlign w:val="bottom"/>
          </w:tcPr>
          <w:p>
            <w:pPr>
              <w:spacing w:after="0"/>
              <w:rPr>
                <w:sz w:val="24"/>
                <w:szCs w:val="24"/>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54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120" w:type="dxa"/>
            <w:vAlign w:val="bottom"/>
          </w:tcPr>
          <w:p>
            <w:pPr>
              <w:spacing w:after="0"/>
              <w:rPr>
                <w:sz w:val="24"/>
                <w:szCs w:val="24"/>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August 5, 2024</w:t>
            </w:r>
          </w:p>
        </w:tc>
        <w:tc>
          <w:tcPr>
            <w:tcW w:w="112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5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53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5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Quarterly Report for the Three and Six Months Ended June 30, 2024</w:t>
            </w:r>
          </w:p>
        </w:tc>
      </w:tr>
    </w:tbl>
    <w:p>
      <w:pPr>
        <w:sectPr>
          <w:pgSz w:w="11900" w:h="16838" w:orient="portrait"/>
          <w:cols w:equalWidth="0" w:num="1">
            <w:col w:w="10099"/>
          </w:cols>
          <w:pgMar w:left="360" w:top="1094" w:right="1440" w:bottom="1440" w:gutter="0" w:footer="0" w:header="0"/>
        </w:sectPr>
      </w:pPr>
    </w:p>
    <w:bookmarkStart w:id="4" w:name="page5"/>
    <w:bookmarkEnd w:id="4"/>
    <w:p>
      <w:pPr>
        <w:ind w:left="102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323151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31515" cy="351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2562225</wp:posOffset>
            </wp:positionV>
            <wp:extent cx="5503545" cy="3686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3545" cy="36861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40"/>
          <w:szCs w:val="40"/>
          <w:b w:val="1"/>
          <w:bCs w:val="1"/>
          <w:color w:val="3C9673"/>
        </w:rPr>
        <w:t>BioNTech SE</w:t>
      </w:r>
    </w:p>
    <w:p>
      <w:pPr>
        <w:spacing w:after="0" w:line="126" w:lineRule="exact"/>
        <w:rPr>
          <w:sz w:val="20"/>
          <w:szCs w:val="20"/>
          <w:color w:val="auto"/>
        </w:rPr>
      </w:pPr>
    </w:p>
    <w:p>
      <w:pPr>
        <w:ind w:right="5100"/>
        <w:spacing w:after="0" w:line="286" w:lineRule="auto"/>
        <w:rPr>
          <w:sz w:val="20"/>
          <w:szCs w:val="20"/>
          <w:color w:val="auto"/>
        </w:rPr>
      </w:pPr>
      <w:r>
        <w:rPr>
          <w:rFonts w:ascii="Arial" w:cs="Arial" w:eastAsia="Arial" w:hAnsi="Arial"/>
          <w:sz w:val="32"/>
          <w:szCs w:val="32"/>
          <w:color w:val="005A64"/>
        </w:rPr>
        <w:t>Quarterly Report of BioNTech SE for the three and six months ended June 30, 2024</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005A64"/>
        </w:rPr>
        <w:t>A C T I N G T O G E T H E R — C R E A T I N G S Y N E R G I E S</w:t>
      </w:r>
    </w:p>
    <w:p>
      <w:pPr>
        <w:sectPr>
          <w:pgSz w:w="11900" w:h="16838" w:orient="portrait"/>
          <w:cols w:equalWidth="0" w:num="1">
            <w:col w:w="11240"/>
          </w:cols>
          <w:pgMar w:left="320" w:top="122" w:right="3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principal executive offices are located at An der Goldgrube 12, D-55131 Mainz, Germany. Our telephone number is +49 6131-9084-0. Our website address is www.biontech.com. The information contained on, or that can be accessed through, our website is not part of this document. Our agent for service solely for the purpose of notices and communications from the Securities and Exchange Commission in the United States is c/o BioNTech US Inc., 40 Erie Street, Suite 110, Cambridge, Massachusetts 02139, +1 (617) 337-4701.</w:t>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0"/>
        <w:spacing w:after="0"/>
        <w:rPr>
          <w:sz w:val="20"/>
          <w:szCs w:val="20"/>
          <w:color w:val="auto"/>
        </w:rPr>
      </w:pPr>
      <w:r>
        <w:rPr>
          <w:rFonts w:ascii="Arial" w:cs="Arial" w:eastAsia="Arial" w:hAnsi="Arial"/>
          <w:sz w:val="32"/>
          <w:szCs w:val="32"/>
          <w:color w:val="005A64"/>
        </w:rPr>
        <w:t>UNAUDITED INTERIM CONDENSED CONSOLIDATED</w:t>
      </w:r>
    </w:p>
    <w:p>
      <w:pPr>
        <w:spacing w:after="0" w:line="56" w:lineRule="exact"/>
        <w:rPr>
          <w:sz w:val="20"/>
          <w:szCs w:val="20"/>
          <w:color w:val="auto"/>
        </w:rPr>
      </w:pPr>
    </w:p>
    <w:p>
      <w:pPr>
        <w:jc w:val="center"/>
        <w:ind w:right="320"/>
        <w:spacing w:after="0"/>
        <w:rPr>
          <w:sz w:val="20"/>
          <w:szCs w:val="20"/>
          <w:color w:val="auto"/>
        </w:rPr>
      </w:pPr>
      <w:r>
        <w:rPr>
          <w:rFonts w:ascii="Arial" w:cs="Arial" w:eastAsia="Arial" w:hAnsi="Arial"/>
          <w:sz w:val="32"/>
          <w:szCs w:val="32"/>
          <w:color w:val="005A64"/>
        </w:rPr>
        <w:t>FINANCIAL STATEMENTS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8440" w:type="dxa"/>
            <w:vAlign w:val="bottom"/>
            <w:gridSpan w:val="2"/>
          </w:tcPr>
          <w:p>
            <w:pPr>
              <w:spacing w:after="0"/>
              <w:rPr>
                <w:sz w:val="20"/>
                <w:szCs w:val="20"/>
                <w:color w:val="auto"/>
              </w:rPr>
            </w:pPr>
            <w:r>
              <w:rPr>
                <w:rFonts w:ascii="Arial" w:cs="Arial" w:eastAsia="Arial" w:hAnsi="Arial"/>
                <w:sz w:val="18"/>
                <w:szCs w:val="18"/>
                <w:color w:val="auto"/>
              </w:rPr>
              <w:t>Interim Condensed Consolidated Statements of Profit or Loss</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Interim Condensed Consolidated Statements of Comprehensive Income</w:t>
            </w:r>
          </w:p>
        </w:tc>
        <w:tc>
          <w:tcPr>
            <w:tcW w:w="2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Interim Condensed Consolidated Statements of Financial Position</w:t>
            </w:r>
          </w:p>
        </w:tc>
        <w:tc>
          <w:tcPr>
            <w:tcW w:w="2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Interim Condensed Consolidated Statements of Changes in Stockholders’ Equity</w:t>
            </w:r>
          </w:p>
        </w:tc>
        <w:tc>
          <w:tcPr>
            <w:tcW w:w="2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Interim Condensed Consolidated Statements of Cash Flows</w:t>
            </w:r>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7"/>
        </w:trPr>
        <w:tc>
          <w:tcPr>
            <w:tcW w:w="8440" w:type="dxa"/>
            <w:vAlign w:val="bottom"/>
            <w:gridSpan w:val="2"/>
          </w:tcPr>
          <w:p>
            <w:pPr>
              <w:spacing w:after="0"/>
              <w:rPr>
                <w:sz w:val="20"/>
                <w:szCs w:val="20"/>
                <w:color w:val="auto"/>
              </w:rPr>
            </w:pPr>
            <w:r>
              <w:rPr>
                <w:rFonts w:ascii="Arial" w:cs="Arial" w:eastAsia="Arial" w:hAnsi="Arial"/>
                <w:sz w:val="18"/>
                <w:szCs w:val="18"/>
                <w:color w:val="auto"/>
              </w:rPr>
              <w:t>Selected Explanatory Notes to the Unaudited Interim Condensed Consolidated</w:t>
            </w:r>
          </w:p>
        </w:tc>
        <w:tc>
          <w:tcPr>
            <w:tcW w:w="2120" w:type="dxa"/>
            <w:vAlign w:val="bottom"/>
          </w:tcPr>
          <w:p>
            <w:pPr>
              <w:spacing w:after="0"/>
              <w:rPr>
                <w:sz w:val="21"/>
                <w:szCs w:val="21"/>
                <w:color w:val="auto"/>
              </w:rPr>
            </w:pPr>
          </w:p>
        </w:tc>
      </w:tr>
      <w:tr>
        <w:trPr>
          <w:trHeight w:val="239"/>
        </w:trPr>
        <w:tc>
          <w:tcPr>
            <w:tcW w:w="8440" w:type="dxa"/>
            <w:vAlign w:val="bottom"/>
            <w:gridSpan w:val="2"/>
          </w:tcPr>
          <w:p>
            <w:pPr>
              <w:spacing w:after="0"/>
              <w:rPr>
                <w:sz w:val="20"/>
                <w:szCs w:val="20"/>
                <w:color w:val="auto"/>
              </w:rPr>
            </w:pPr>
            <w:r>
              <w:rPr>
                <w:rFonts w:ascii="Arial" w:cs="Arial" w:eastAsia="Arial" w:hAnsi="Arial"/>
                <w:sz w:val="18"/>
                <w:szCs w:val="18"/>
                <w:color w:val="auto"/>
              </w:rPr>
              <w:t>Financial Statements</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620" w:type="dxa"/>
            <w:vAlign w:val="bottom"/>
          </w:tcPr>
          <w:p>
            <w:pPr>
              <w:ind w:left="300"/>
              <w:spacing w:after="0"/>
              <w:rPr>
                <w:sz w:val="20"/>
                <w:szCs w:val="20"/>
                <w:color w:val="auto"/>
              </w:rPr>
            </w:pPr>
            <w:r>
              <w:rPr>
                <w:rFonts w:ascii="Arial" w:cs="Arial" w:eastAsia="Arial" w:hAnsi="Arial"/>
                <w:sz w:val="18"/>
                <w:szCs w:val="18"/>
                <w:color w:val="auto"/>
              </w:rPr>
              <w:t>1</w:t>
            </w:r>
          </w:p>
        </w:tc>
        <w:tc>
          <w:tcPr>
            <w:tcW w:w="7820" w:type="dxa"/>
            <w:vAlign w:val="bottom"/>
          </w:tcPr>
          <w:p>
            <w:pPr>
              <w:ind w:left="200"/>
              <w:spacing w:after="0"/>
              <w:rPr>
                <w:sz w:val="20"/>
                <w:szCs w:val="20"/>
                <w:color w:val="auto"/>
              </w:rPr>
            </w:pPr>
            <w:r>
              <w:rPr>
                <w:rFonts w:ascii="Arial" w:cs="Arial" w:eastAsia="Arial" w:hAnsi="Arial"/>
                <w:sz w:val="18"/>
                <w:szCs w:val="18"/>
                <w:color w:val="auto"/>
              </w:rPr>
              <w:t>Corporate Information</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31" w:lineRule="exact"/>
        <w:rPr>
          <w:sz w:val="20"/>
          <w:szCs w:val="20"/>
          <w:color w:val="auto"/>
        </w:rPr>
      </w:pPr>
    </w:p>
    <w:p>
      <w:pPr>
        <w:ind w:left="840" w:hanging="511"/>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Basis of Preparation, Significant Accounting Policies and further</w:t>
      </w:r>
    </w:p>
    <w:p>
      <w:pPr>
        <w:spacing w:after="0" w:line="27" w:lineRule="exact"/>
        <w:rPr>
          <w:sz w:val="20"/>
          <w:szCs w:val="20"/>
          <w:color w:val="auto"/>
        </w:rPr>
      </w:pPr>
    </w:p>
    <w:tbl>
      <w:tblPr>
        <w:tblLayout w:type="fixed"/>
        <w:tblInd w:w="320" w:type="dxa"/>
        <w:tblCellMar>
          <w:top w:w="0" w:type="dxa"/>
          <w:left w:w="0" w:type="dxa"/>
          <w:bottom w:w="0" w:type="dxa"/>
          <w:right w:w="0" w:type="dxa"/>
        </w:tblCellMar>
      </w:tblPr>
      <w:tr>
        <w:trPr>
          <w:trHeight w:val="239"/>
        </w:trPr>
        <w:tc>
          <w:tcPr>
            <w:tcW w:w="360" w:type="dxa"/>
            <w:vAlign w:val="bottom"/>
          </w:tcPr>
          <w:p>
            <w:pPr>
              <w:spacing w:after="0"/>
              <w:rPr>
                <w:sz w:val="20"/>
                <w:szCs w:val="20"/>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Accounting Topics</w:t>
            </w:r>
          </w:p>
        </w:tc>
        <w:tc>
          <w:tcPr>
            <w:tcW w:w="3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2"/>
        </w:trPr>
        <w:tc>
          <w:tcPr>
            <w:tcW w:w="360" w:type="dxa"/>
            <w:vAlign w:val="bottom"/>
          </w:tcPr>
          <w:p>
            <w:pPr>
              <w:spacing w:after="0"/>
              <w:rPr>
                <w:sz w:val="20"/>
                <w:szCs w:val="20"/>
                <w:color w:val="auto"/>
              </w:rPr>
            </w:pPr>
            <w:r>
              <w:rPr>
                <w:rFonts w:ascii="Arial" w:cs="Arial" w:eastAsia="Arial" w:hAnsi="Arial"/>
                <w:sz w:val="18"/>
                <w:szCs w:val="18"/>
                <w:color w:val="auto"/>
              </w:rPr>
              <w:t>3</w:t>
            </w:r>
          </w:p>
        </w:tc>
        <w:tc>
          <w:tcPr>
            <w:tcW w:w="6600" w:type="dxa"/>
            <w:vAlign w:val="bottom"/>
          </w:tcPr>
          <w:p>
            <w:pPr>
              <w:ind w:left="160"/>
              <w:spacing w:after="0"/>
              <w:rPr>
                <w:sz w:val="20"/>
                <w:szCs w:val="20"/>
                <w:color w:val="auto"/>
              </w:rPr>
            </w:pPr>
            <w:r>
              <w:rPr>
                <w:rFonts w:ascii="Arial" w:cs="Arial" w:eastAsia="Arial" w:hAnsi="Arial"/>
                <w:sz w:val="18"/>
                <w:szCs w:val="18"/>
                <w:color w:val="auto"/>
              </w:rPr>
              <w:t>Revenues from Contracts with Customers</w:t>
            </w:r>
          </w:p>
        </w:tc>
        <w:tc>
          <w:tcPr>
            <w:tcW w:w="3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360" w:type="dxa"/>
            <w:vAlign w:val="bottom"/>
          </w:tcPr>
          <w:p>
            <w:pPr>
              <w:spacing w:after="0"/>
              <w:rPr>
                <w:sz w:val="20"/>
                <w:szCs w:val="20"/>
                <w:color w:val="auto"/>
              </w:rPr>
            </w:pPr>
            <w:r>
              <w:rPr>
                <w:rFonts w:ascii="Arial" w:cs="Arial" w:eastAsia="Arial" w:hAnsi="Arial"/>
                <w:sz w:val="18"/>
                <w:szCs w:val="18"/>
                <w:color w:val="auto"/>
              </w:rPr>
              <w:t>4</w:t>
            </w:r>
          </w:p>
        </w:tc>
        <w:tc>
          <w:tcPr>
            <w:tcW w:w="6600" w:type="dxa"/>
            <w:vAlign w:val="bottom"/>
          </w:tcPr>
          <w:p>
            <w:pPr>
              <w:ind w:left="160"/>
              <w:spacing w:after="0"/>
              <w:rPr>
                <w:sz w:val="20"/>
                <w:szCs w:val="20"/>
                <w:color w:val="auto"/>
              </w:rPr>
            </w:pPr>
            <w:r>
              <w:rPr>
                <w:rFonts w:ascii="Arial" w:cs="Arial" w:eastAsia="Arial" w:hAnsi="Arial"/>
                <w:sz w:val="18"/>
                <w:szCs w:val="18"/>
                <w:color w:val="auto"/>
              </w:rPr>
              <w:t>Income and Expenses</w:t>
            </w:r>
          </w:p>
        </w:tc>
        <w:tc>
          <w:tcPr>
            <w:tcW w:w="3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360" w:type="dxa"/>
            <w:vAlign w:val="bottom"/>
          </w:tcPr>
          <w:p>
            <w:pPr>
              <w:spacing w:after="0"/>
              <w:rPr>
                <w:sz w:val="20"/>
                <w:szCs w:val="20"/>
                <w:color w:val="auto"/>
              </w:rPr>
            </w:pPr>
            <w:r>
              <w:rPr>
                <w:rFonts w:ascii="Arial" w:cs="Arial" w:eastAsia="Arial" w:hAnsi="Arial"/>
                <w:sz w:val="18"/>
                <w:szCs w:val="18"/>
                <w:color w:val="auto"/>
              </w:rPr>
              <w:t>5</w:t>
            </w:r>
          </w:p>
        </w:tc>
        <w:tc>
          <w:tcPr>
            <w:tcW w:w="66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3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360" w:type="dxa"/>
            <w:vAlign w:val="bottom"/>
          </w:tcPr>
          <w:p>
            <w:pPr>
              <w:spacing w:after="0"/>
              <w:rPr>
                <w:sz w:val="20"/>
                <w:szCs w:val="20"/>
                <w:color w:val="auto"/>
              </w:rPr>
            </w:pPr>
            <w:r>
              <w:rPr>
                <w:rFonts w:ascii="Arial" w:cs="Arial" w:eastAsia="Arial" w:hAnsi="Arial"/>
                <w:sz w:val="18"/>
                <w:szCs w:val="18"/>
                <w:color w:val="auto"/>
              </w:rPr>
              <w:t>6</w:t>
            </w:r>
          </w:p>
        </w:tc>
        <w:tc>
          <w:tcPr>
            <w:tcW w:w="6600" w:type="dxa"/>
            <w:vAlign w:val="bottom"/>
          </w:tcPr>
          <w:p>
            <w:pPr>
              <w:ind w:left="160"/>
              <w:spacing w:after="0"/>
              <w:rPr>
                <w:sz w:val="20"/>
                <w:szCs w:val="20"/>
                <w:color w:val="auto"/>
              </w:rPr>
            </w:pPr>
            <w:r>
              <w:rPr>
                <w:rFonts w:ascii="Arial" w:cs="Arial" w:eastAsia="Arial" w:hAnsi="Arial"/>
                <w:sz w:val="18"/>
                <w:szCs w:val="18"/>
                <w:color w:val="auto"/>
              </w:rPr>
              <w:t>Goodwill and Other Intangible Assets</w:t>
            </w:r>
          </w:p>
        </w:tc>
        <w:tc>
          <w:tcPr>
            <w:tcW w:w="3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360" w:type="dxa"/>
            <w:vAlign w:val="bottom"/>
          </w:tcPr>
          <w:p>
            <w:pPr>
              <w:spacing w:after="0"/>
              <w:rPr>
                <w:sz w:val="20"/>
                <w:szCs w:val="20"/>
                <w:color w:val="auto"/>
              </w:rPr>
            </w:pPr>
            <w:r>
              <w:rPr>
                <w:rFonts w:ascii="Arial" w:cs="Arial" w:eastAsia="Arial" w:hAnsi="Arial"/>
                <w:sz w:val="18"/>
                <w:szCs w:val="18"/>
                <w:color w:val="auto"/>
              </w:rPr>
              <w:t>7</w:t>
            </w:r>
          </w:p>
        </w:tc>
        <w:tc>
          <w:tcPr>
            <w:tcW w:w="6600" w:type="dxa"/>
            <w:vAlign w:val="bottom"/>
          </w:tcPr>
          <w:p>
            <w:pPr>
              <w:ind w:left="160"/>
              <w:spacing w:after="0"/>
              <w:rPr>
                <w:sz w:val="20"/>
                <w:szCs w:val="20"/>
                <w:color w:val="auto"/>
              </w:rPr>
            </w:pPr>
            <w:r>
              <w:rPr>
                <w:rFonts w:ascii="Arial" w:cs="Arial" w:eastAsia="Arial" w:hAnsi="Arial"/>
                <w:sz w:val="18"/>
                <w:szCs w:val="18"/>
                <w:color w:val="auto"/>
              </w:rPr>
              <w:t>Financial Assets and Financial Liabilities</w:t>
            </w:r>
          </w:p>
        </w:tc>
        <w:tc>
          <w:tcPr>
            <w:tcW w:w="3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360" w:type="dxa"/>
            <w:vAlign w:val="bottom"/>
          </w:tcPr>
          <w:p>
            <w:pPr>
              <w:spacing w:after="0"/>
              <w:rPr>
                <w:sz w:val="20"/>
                <w:szCs w:val="20"/>
                <w:color w:val="auto"/>
              </w:rPr>
            </w:pPr>
            <w:r>
              <w:rPr>
                <w:rFonts w:ascii="Arial" w:cs="Arial" w:eastAsia="Arial" w:hAnsi="Arial"/>
                <w:sz w:val="18"/>
                <w:szCs w:val="18"/>
                <w:color w:val="auto"/>
              </w:rPr>
              <w:t>8</w:t>
            </w:r>
          </w:p>
        </w:tc>
        <w:tc>
          <w:tcPr>
            <w:tcW w:w="6600" w:type="dxa"/>
            <w:vAlign w:val="bottom"/>
          </w:tcPr>
          <w:p>
            <w:pPr>
              <w:ind w:left="160"/>
              <w:spacing w:after="0"/>
              <w:rPr>
                <w:sz w:val="20"/>
                <w:szCs w:val="20"/>
                <w:color w:val="auto"/>
              </w:rPr>
            </w:pPr>
            <w:r>
              <w:rPr>
                <w:rFonts w:ascii="Arial" w:cs="Arial" w:eastAsia="Arial" w:hAnsi="Arial"/>
                <w:sz w:val="18"/>
                <w:szCs w:val="18"/>
                <w:color w:val="auto"/>
              </w:rPr>
              <w:t>Issued Capital and Reserves</w:t>
            </w:r>
          </w:p>
        </w:tc>
        <w:tc>
          <w:tcPr>
            <w:tcW w:w="3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360" w:type="dxa"/>
            <w:vAlign w:val="bottom"/>
          </w:tcPr>
          <w:p>
            <w:pPr>
              <w:spacing w:after="0"/>
              <w:rPr>
                <w:sz w:val="20"/>
                <w:szCs w:val="20"/>
                <w:color w:val="auto"/>
              </w:rPr>
            </w:pPr>
            <w:r>
              <w:rPr>
                <w:rFonts w:ascii="Arial" w:cs="Arial" w:eastAsia="Arial" w:hAnsi="Arial"/>
                <w:sz w:val="18"/>
                <w:szCs w:val="18"/>
                <w:color w:val="auto"/>
              </w:rPr>
              <w:t>9</w:t>
            </w:r>
          </w:p>
        </w:tc>
        <w:tc>
          <w:tcPr>
            <w:tcW w:w="6600" w:type="dxa"/>
            <w:vAlign w:val="bottom"/>
          </w:tcPr>
          <w:p>
            <w:pPr>
              <w:ind w:left="160"/>
              <w:spacing w:after="0"/>
              <w:rPr>
                <w:sz w:val="20"/>
                <w:szCs w:val="20"/>
                <w:color w:val="auto"/>
              </w:rPr>
            </w:pPr>
            <w:r>
              <w:rPr>
                <w:rFonts w:ascii="Arial" w:cs="Arial" w:eastAsia="Arial" w:hAnsi="Arial"/>
                <w:sz w:val="18"/>
                <w:szCs w:val="18"/>
                <w:color w:val="auto"/>
              </w:rPr>
              <w:t>Provisions</w:t>
            </w:r>
          </w:p>
        </w:tc>
        <w:tc>
          <w:tcPr>
            <w:tcW w:w="3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360" w:type="dxa"/>
            <w:vAlign w:val="bottom"/>
          </w:tcPr>
          <w:p>
            <w:pPr>
              <w:spacing w:after="0"/>
              <w:rPr>
                <w:sz w:val="20"/>
                <w:szCs w:val="20"/>
                <w:color w:val="auto"/>
              </w:rPr>
            </w:pPr>
            <w:r>
              <w:rPr>
                <w:rFonts w:ascii="Arial" w:cs="Arial" w:eastAsia="Arial" w:hAnsi="Arial"/>
                <w:sz w:val="18"/>
                <w:szCs w:val="18"/>
                <w:color w:val="auto"/>
              </w:rPr>
              <w:t>10</w:t>
            </w:r>
          </w:p>
        </w:tc>
        <w:tc>
          <w:tcPr>
            <w:tcW w:w="6600" w:type="dxa"/>
            <w:vAlign w:val="bottom"/>
          </w:tcPr>
          <w:p>
            <w:pPr>
              <w:ind w:left="160"/>
              <w:spacing w:after="0"/>
              <w:rPr>
                <w:sz w:val="20"/>
                <w:szCs w:val="20"/>
                <w:color w:val="auto"/>
              </w:rPr>
            </w:pPr>
            <w:r>
              <w:rPr>
                <w:rFonts w:ascii="Arial" w:cs="Arial" w:eastAsia="Arial" w:hAnsi="Arial"/>
                <w:sz w:val="18"/>
                <w:szCs w:val="18"/>
                <w:color w:val="auto"/>
              </w:rPr>
              <w:t>Contingencies</w:t>
            </w:r>
          </w:p>
        </w:tc>
        <w:tc>
          <w:tcPr>
            <w:tcW w:w="3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360" w:type="dxa"/>
            <w:vAlign w:val="bottom"/>
          </w:tcPr>
          <w:p>
            <w:pPr>
              <w:spacing w:after="0"/>
              <w:rPr>
                <w:sz w:val="20"/>
                <w:szCs w:val="20"/>
                <w:color w:val="auto"/>
              </w:rPr>
            </w:pPr>
            <w:r>
              <w:rPr>
                <w:rFonts w:ascii="Arial" w:cs="Arial" w:eastAsia="Arial" w:hAnsi="Arial"/>
                <w:sz w:val="18"/>
                <w:szCs w:val="18"/>
                <w:color w:val="auto"/>
              </w:rPr>
              <w:t>11</w:t>
            </w:r>
          </w:p>
        </w:tc>
        <w:tc>
          <w:tcPr>
            <w:tcW w:w="6600" w:type="dxa"/>
            <w:vAlign w:val="bottom"/>
          </w:tcPr>
          <w:p>
            <w:pPr>
              <w:ind w:left="160"/>
              <w:spacing w:after="0"/>
              <w:rPr>
                <w:sz w:val="20"/>
                <w:szCs w:val="20"/>
                <w:color w:val="auto"/>
              </w:rPr>
            </w:pPr>
            <w:r>
              <w:rPr>
                <w:rFonts w:ascii="Arial" w:cs="Arial" w:eastAsia="Arial" w:hAnsi="Arial"/>
                <w:sz w:val="18"/>
                <w:szCs w:val="18"/>
                <w:color w:val="auto"/>
              </w:rPr>
              <w:t>Related Party Disclosures</w:t>
            </w:r>
          </w:p>
        </w:tc>
        <w:tc>
          <w:tcPr>
            <w:tcW w:w="3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360" w:type="dxa"/>
            <w:vAlign w:val="bottom"/>
          </w:tcPr>
          <w:p>
            <w:pPr>
              <w:spacing w:after="0"/>
              <w:rPr>
                <w:sz w:val="20"/>
                <w:szCs w:val="20"/>
                <w:color w:val="auto"/>
              </w:rPr>
            </w:pPr>
            <w:r>
              <w:rPr>
                <w:rFonts w:ascii="Arial" w:cs="Arial" w:eastAsia="Arial" w:hAnsi="Arial"/>
                <w:sz w:val="18"/>
                <w:szCs w:val="18"/>
                <w:color w:val="auto"/>
              </w:rPr>
              <w:t>12</w:t>
            </w:r>
          </w:p>
        </w:tc>
        <w:tc>
          <w:tcPr>
            <w:tcW w:w="6600" w:type="dxa"/>
            <w:vAlign w:val="bottom"/>
          </w:tcPr>
          <w:p>
            <w:pPr>
              <w:ind w:left="160"/>
              <w:spacing w:after="0"/>
              <w:rPr>
                <w:sz w:val="20"/>
                <w:szCs w:val="20"/>
                <w:color w:val="auto"/>
              </w:rPr>
            </w:pPr>
            <w:r>
              <w:rPr>
                <w:rFonts w:ascii="Arial" w:cs="Arial" w:eastAsia="Arial" w:hAnsi="Arial"/>
                <w:sz w:val="18"/>
                <w:szCs w:val="18"/>
                <w:color w:val="auto"/>
              </w:rPr>
              <w:t>Events after the Reporting Period</w:t>
            </w:r>
          </w:p>
        </w:tc>
        <w:tc>
          <w:tcPr>
            <w:tcW w:w="330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360"/>
        <w:spacing w:after="0"/>
        <w:rPr>
          <w:sz w:val="20"/>
          <w:szCs w:val="20"/>
          <w:color w:val="auto"/>
        </w:rPr>
      </w:pPr>
      <w:r>
        <w:rPr>
          <w:rFonts w:ascii="Arial" w:cs="Arial" w:eastAsia="Arial" w:hAnsi="Arial"/>
          <w:sz w:val="32"/>
          <w:szCs w:val="32"/>
          <w:color w:val="005A64"/>
        </w:rPr>
        <w:t>OPERATING AND FINANCIAL REVIEW</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429"/>
        </w:trPr>
        <w:tc>
          <w:tcPr>
            <w:tcW w:w="3220" w:type="dxa"/>
            <w:vAlign w:val="bottom"/>
          </w:tcPr>
          <w:p>
            <w:pPr>
              <w:spacing w:after="0"/>
              <w:rPr>
                <w:sz w:val="24"/>
                <w:szCs w:val="24"/>
                <w:color w:val="auto"/>
              </w:rPr>
            </w:pPr>
          </w:p>
        </w:tc>
        <w:tc>
          <w:tcPr>
            <w:tcW w:w="7400" w:type="dxa"/>
            <w:vAlign w:val="bottom"/>
          </w:tcPr>
          <w:p>
            <w:pPr>
              <w:jc w:val="right"/>
              <w:ind w:right="3812"/>
              <w:spacing w:after="0"/>
              <w:rPr>
                <w:sz w:val="20"/>
                <w:szCs w:val="20"/>
                <w:color w:val="auto"/>
              </w:rPr>
            </w:pPr>
            <w:r>
              <w:rPr>
                <w:rFonts w:ascii="Arial" w:cs="Arial" w:eastAsia="Arial" w:hAnsi="Arial"/>
                <w:sz w:val="32"/>
                <w:szCs w:val="32"/>
                <w:color w:val="005A64"/>
              </w:rPr>
              <w:t>AND PROSPECTS</w:t>
            </w:r>
          </w:p>
        </w:tc>
      </w:tr>
      <w:tr>
        <w:trPr>
          <w:trHeight w:val="448"/>
        </w:trPr>
        <w:tc>
          <w:tcPr>
            <w:tcW w:w="3220" w:type="dxa"/>
            <w:vAlign w:val="bottom"/>
          </w:tcPr>
          <w:p>
            <w:pPr>
              <w:spacing w:after="0"/>
              <w:rPr>
                <w:sz w:val="20"/>
                <w:szCs w:val="20"/>
                <w:color w:val="auto"/>
              </w:rPr>
            </w:pPr>
            <w:r>
              <w:rPr>
                <w:rFonts w:ascii="Arial" w:cs="Arial" w:eastAsia="Arial" w:hAnsi="Arial"/>
                <w:sz w:val="18"/>
                <w:szCs w:val="18"/>
                <w:color w:val="auto"/>
              </w:rPr>
              <w:t>Operating Results</w:t>
            </w:r>
          </w:p>
        </w:tc>
        <w:tc>
          <w:tcPr>
            <w:tcW w:w="7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Liquidity and Capital Resources</w:t>
            </w:r>
          </w:p>
        </w:tc>
        <w:tc>
          <w:tcPr>
            <w:tcW w:w="7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Risk Factors</w:t>
            </w:r>
          </w:p>
        </w:tc>
        <w:tc>
          <w:tcPr>
            <w:tcW w:w="7400" w:type="dxa"/>
            <w:vAlign w:val="bottom"/>
          </w:tcPr>
          <w:p>
            <w:pPr>
              <w:jc w:val="right"/>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0920"/>
          </w:cols>
          <w:pgMar w:left="64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60"/>
        <w:spacing w:after="0"/>
        <w:tabs>
          <w:tab w:leader="none" w:pos="752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36195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7"/>
          <w:szCs w:val="27"/>
          <w:b w:val="1"/>
          <w:bCs w:val="1"/>
          <w:color w:val="005A64"/>
        </w:rPr>
        <w:t>Unaudited Interim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Interim Condensed Consolidated Statements of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234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005A64"/>
              </w:rPr>
              <w:t>Three months ended</w:t>
            </w:r>
          </w:p>
        </w:tc>
        <w:tc>
          <w:tcPr>
            <w:tcW w:w="80" w:type="dxa"/>
            <w:vAlign w:val="bottom"/>
          </w:tcPr>
          <w:p>
            <w:pPr>
              <w:spacing w:after="0"/>
              <w:rPr>
                <w:sz w:val="17"/>
                <w:szCs w:val="17"/>
                <w:color w:val="auto"/>
              </w:rPr>
            </w:pPr>
          </w:p>
        </w:tc>
        <w:tc>
          <w:tcPr>
            <w:tcW w:w="2720" w:type="dxa"/>
            <w:vAlign w:val="bottom"/>
            <w:gridSpan w:val="5"/>
          </w:tcPr>
          <w:p>
            <w:pPr>
              <w:jc w:val="right"/>
              <w:ind w:right="599"/>
              <w:spacing w:after="0"/>
              <w:rPr>
                <w:sz w:val="20"/>
                <w:szCs w:val="20"/>
                <w:color w:val="auto"/>
              </w:rPr>
            </w:pPr>
            <w:r>
              <w:rPr>
                <w:rFonts w:ascii="Arial" w:cs="Arial" w:eastAsia="Arial" w:hAnsi="Arial"/>
                <w:sz w:val="16"/>
                <w:szCs w:val="16"/>
                <w:b w:val="1"/>
                <w:bCs w:val="1"/>
                <w:color w:val="005A64"/>
              </w:rPr>
              <w:t>Six months ended</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4"/>
          </w:tcPr>
          <w:p>
            <w:pPr>
              <w:jc w:val="center"/>
              <w:ind w:left="859"/>
              <w:spacing w:after="0"/>
              <w:rPr>
                <w:sz w:val="20"/>
                <w:szCs w:val="20"/>
                <w:color w:val="auto"/>
              </w:rPr>
            </w:pPr>
            <w:r>
              <w:rPr>
                <w:rFonts w:ascii="Arial" w:cs="Arial" w:eastAsia="Arial" w:hAnsi="Arial"/>
                <w:sz w:val="16"/>
                <w:szCs w:val="16"/>
                <w:b w:val="1"/>
                <w:bCs w:val="1"/>
                <w:color w:val="005A64"/>
              </w:rPr>
              <w:t>June 30,</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4"/>
          </w:tcPr>
          <w:p>
            <w:pPr>
              <w:ind w:left="1040"/>
              <w:spacing w:after="0"/>
              <w:rPr>
                <w:sz w:val="20"/>
                <w:szCs w:val="20"/>
                <w:color w:val="auto"/>
              </w:rPr>
            </w:pPr>
            <w:r>
              <w:rPr>
                <w:rFonts w:ascii="Arial" w:cs="Arial" w:eastAsia="Arial" w:hAnsi="Arial"/>
                <w:sz w:val="16"/>
                <w:szCs w:val="16"/>
                <w:b w:val="1"/>
                <w:bCs w:val="1"/>
                <w:color w:val="005A64"/>
              </w:rPr>
              <w:t>June 30,</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Borders>
              <w:bottom w:val="single" w:sz="8" w:color="BECD32"/>
            </w:tcBorders>
            <w:gridSpan w:val="2"/>
          </w:tcPr>
          <w:p>
            <w:pPr>
              <w:spacing w:after="0"/>
              <w:rPr>
                <w:sz w:val="10"/>
                <w:szCs w:val="10"/>
                <w:color w:val="auto"/>
              </w:rPr>
            </w:pPr>
          </w:p>
        </w:tc>
        <w:tc>
          <w:tcPr>
            <w:tcW w:w="10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00" w:type="dxa"/>
            <w:vAlign w:val="bottom"/>
          </w:tcPr>
          <w:p>
            <w:pPr>
              <w:spacing w:after="0"/>
              <w:rPr>
                <w:sz w:val="10"/>
                <w:szCs w:val="10"/>
                <w:color w:val="auto"/>
              </w:rPr>
            </w:pPr>
          </w:p>
        </w:tc>
        <w:tc>
          <w:tcPr>
            <w:tcW w:w="1340" w:type="dxa"/>
            <w:vAlign w:val="bottom"/>
            <w:tcBorders>
              <w:bottom w:val="single" w:sz="8" w:color="BECD32"/>
            </w:tcBorders>
            <w:gridSpan w:val="2"/>
          </w:tcPr>
          <w:p>
            <w:pPr>
              <w:spacing w:after="0"/>
              <w:rPr>
                <w:sz w:val="10"/>
                <w:szCs w:val="10"/>
                <w:color w:val="auto"/>
              </w:rPr>
            </w:pPr>
          </w:p>
        </w:tc>
        <w:tc>
          <w:tcPr>
            <w:tcW w:w="12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Borders>
              <w:right w:val="single" w:sz="8" w:color="BECD32"/>
            </w:tcBorders>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Borders>
              <w:right w:val="single" w:sz="8" w:color="BECD32"/>
            </w:tcBorders>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960" w:type="dxa"/>
            <w:vAlign w:val="bottom"/>
            <w:tcBorders>
              <w:bottom w:val="single" w:sz="8" w:color="005A64"/>
            </w:tcBorders>
          </w:tcPr>
          <w:p>
            <w:pPr>
              <w:ind w:left="20"/>
              <w:spacing w:after="0"/>
              <w:rPr>
                <w:sz w:val="20"/>
                <w:szCs w:val="20"/>
                <w:color w:val="auto"/>
              </w:rPr>
            </w:pPr>
            <w:r>
              <w:rPr>
                <w:rFonts w:ascii="Arial" w:cs="Arial" w:eastAsia="Arial" w:hAnsi="Arial"/>
                <w:sz w:val="16"/>
                <w:szCs w:val="16"/>
                <w:i w:val="1"/>
                <w:iCs w:val="1"/>
                <w:color w:val="005A64"/>
              </w:rPr>
              <w:t>(in millions €, except per share data)</w:t>
            </w:r>
          </w:p>
        </w:tc>
        <w:tc>
          <w:tcPr>
            <w:tcW w:w="200" w:type="dxa"/>
            <w:vAlign w:val="bottom"/>
          </w:tcPr>
          <w:p>
            <w:pPr>
              <w:spacing w:after="0"/>
              <w:rPr>
                <w:sz w:val="21"/>
                <w:szCs w:val="21"/>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Note</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005A64"/>
            </w:tcBorders>
          </w:tcPr>
          <w:p>
            <w:pPr>
              <w:spacing w:after="0"/>
              <w:rPr>
                <w:sz w:val="21"/>
                <w:szCs w:val="21"/>
                <w:color w:val="auto"/>
              </w:rPr>
            </w:pPr>
          </w:p>
        </w:tc>
        <w:tc>
          <w:tcPr>
            <w:tcW w:w="94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12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005A64"/>
            </w:tcBorders>
          </w:tcPr>
          <w:p>
            <w:pPr>
              <w:spacing w:after="0"/>
              <w:rPr>
                <w:sz w:val="21"/>
                <w:szCs w:val="21"/>
                <w:color w:val="auto"/>
              </w:rPr>
            </w:pPr>
          </w:p>
        </w:tc>
        <w:tc>
          <w:tcPr>
            <w:tcW w:w="94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0" w:type="dxa"/>
            <w:vAlign w:val="bottom"/>
          </w:tcPr>
          <w:p>
            <w:pPr>
              <w:spacing w:after="0"/>
              <w:rPr>
                <w:sz w:val="1"/>
                <w:szCs w:val="1"/>
                <w:color w:val="auto"/>
              </w:rPr>
            </w:pPr>
          </w:p>
        </w:tc>
      </w:tr>
      <w:tr>
        <w:trPr>
          <w:trHeight w:val="234"/>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Revenues</w:t>
            </w:r>
          </w:p>
        </w:tc>
        <w:tc>
          <w:tcPr>
            <w:tcW w:w="20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128.7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167.7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316.3</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1,444.7</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Cost of sales</w:t>
            </w:r>
          </w:p>
        </w:tc>
        <w:tc>
          <w:tcPr>
            <w:tcW w:w="20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4.1</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(59.8)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(162.9)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(118.9)</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(258.9)</w:t>
            </w:r>
          </w:p>
        </w:tc>
        <w:tc>
          <w:tcPr>
            <w:tcW w:w="0" w:type="dxa"/>
            <w:vAlign w:val="bottom"/>
          </w:tcPr>
          <w:p>
            <w:pPr>
              <w:spacing w:after="0"/>
              <w:rPr>
                <w:sz w:val="1"/>
                <w:szCs w:val="1"/>
                <w:color w:val="auto"/>
              </w:rPr>
            </w:pPr>
          </w:p>
        </w:tc>
      </w:tr>
      <w:tr>
        <w:trPr>
          <w:trHeight w:val="236"/>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Research and development expenses</w:t>
            </w:r>
          </w:p>
        </w:tc>
        <w:tc>
          <w:tcPr>
            <w:tcW w:w="20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4.1</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(584.6)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(373.4)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(1,092.1)</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(707.4)</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Sales and marketing expenses</w:t>
            </w:r>
          </w:p>
        </w:tc>
        <w:tc>
          <w:tcPr>
            <w:tcW w:w="200" w:type="dxa"/>
            <w:vAlign w:val="bottom"/>
          </w:tcPr>
          <w:p>
            <w:pPr>
              <w:spacing w:after="0"/>
              <w:rPr>
                <w:sz w:val="20"/>
                <w:szCs w:val="20"/>
                <w:color w:val="auto"/>
              </w:rPr>
            </w:pPr>
          </w:p>
        </w:tc>
        <w:tc>
          <w:tcPr>
            <w:tcW w:w="124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(18.1)</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(28.5)</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(30.3)</w:t>
            </w:r>
          </w:p>
        </w:tc>
        <w:tc>
          <w:tcPr>
            <w:tcW w:w="0" w:type="dxa"/>
            <w:vAlign w:val="bottom"/>
          </w:tcPr>
          <w:p>
            <w:pPr>
              <w:spacing w:after="0"/>
              <w:rPr>
                <w:sz w:val="1"/>
                <w:szCs w:val="1"/>
                <w:color w:val="auto"/>
              </w:rPr>
            </w:pPr>
          </w:p>
        </w:tc>
      </w:tr>
      <w:tr>
        <w:trPr>
          <w:trHeight w:val="243"/>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 xml:space="preserve">General and administrative expenses </w:t>
            </w:r>
            <w:r>
              <w:rPr>
                <w:rFonts w:ascii="Arial" w:cs="Arial" w:eastAsia="Arial" w:hAnsi="Arial"/>
                <w:sz w:val="21"/>
                <w:szCs w:val="21"/>
                <w:color w:val="005A64"/>
                <w:vertAlign w:val="superscript"/>
              </w:rPr>
              <w:t>(1)</w:t>
            </w:r>
          </w:p>
        </w:tc>
        <w:tc>
          <w:tcPr>
            <w:tcW w:w="200" w:type="dxa"/>
            <w:vAlign w:val="bottom"/>
          </w:tcPr>
          <w:p>
            <w:pPr>
              <w:spacing w:after="0"/>
              <w:rPr>
                <w:sz w:val="21"/>
                <w:szCs w:val="21"/>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4.1</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(170.9)</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7FACB1"/>
            </w:tcBorders>
          </w:tcPr>
          <w:p>
            <w:pPr>
              <w:spacing w:after="0"/>
              <w:rPr>
                <w:sz w:val="21"/>
                <w:szCs w:val="21"/>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(119.8)</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(287.9)</w:t>
            </w:r>
          </w:p>
        </w:tc>
        <w:tc>
          <w:tcPr>
            <w:tcW w:w="12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7FACB1"/>
            </w:tcBorders>
          </w:tcPr>
          <w:p>
            <w:pPr>
              <w:spacing w:after="0"/>
              <w:rPr>
                <w:sz w:val="21"/>
                <w:szCs w:val="21"/>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(231.6)</w:t>
            </w:r>
          </w:p>
        </w:tc>
        <w:tc>
          <w:tcPr>
            <w:tcW w:w="0" w:type="dxa"/>
            <w:vAlign w:val="bottom"/>
          </w:tcPr>
          <w:p>
            <w:pPr>
              <w:spacing w:after="0"/>
              <w:rPr>
                <w:sz w:val="1"/>
                <w:szCs w:val="1"/>
                <w:color w:val="auto"/>
              </w:rPr>
            </w:pPr>
          </w:p>
        </w:tc>
      </w:tr>
      <w:tr>
        <w:trPr>
          <w:trHeight w:val="236"/>
        </w:trPr>
        <w:tc>
          <w:tcPr>
            <w:tcW w:w="3960" w:type="dxa"/>
            <w:vAlign w:val="bottom"/>
            <w:tcBorders>
              <w:bottom w:val="single" w:sz="8" w:color="7FACB1"/>
            </w:tcBorders>
          </w:tcPr>
          <w:p>
            <w:pPr>
              <w:ind w:left="20"/>
              <w:spacing w:after="0" w:line="237" w:lineRule="exact"/>
              <w:rPr>
                <w:sz w:val="20"/>
                <w:szCs w:val="20"/>
                <w:color w:val="auto"/>
              </w:rPr>
            </w:pPr>
            <w:r>
              <w:rPr>
                <w:rFonts w:ascii="Arial" w:cs="Arial" w:eastAsia="Arial" w:hAnsi="Arial"/>
                <w:sz w:val="16"/>
                <w:szCs w:val="16"/>
                <w:color w:val="005A64"/>
              </w:rPr>
              <w:t xml:space="preserve">Other operating expenses </w:t>
            </w:r>
            <w:r>
              <w:rPr>
                <w:rFonts w:ascii="Arial" w:cs="Arial" w:eastAsia="Arial" w:hAnsi="Arial"/>
                <w:sz w:val="21"/>
                <w:szCs w:val="21"/>
                <w:color w:val="005A64"/>
                <w:vertAlign w:val="superscript"/>
              </w:rPr>
              <w:t>(1)</w:t>
            </w:r>
          </w:p>
        </w:tc>
        <w:tc>
          <w:tcPr>
            <w:tcW w:w="20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4.2</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(290.8)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(77.1)</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(314.7)</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(202.8)</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operating income</w:t>
            </w:r>
          </w:p>
        </w:tc>
        <w:tc>
          <w:tcPr>
            <w:tcW w:w="20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24.1</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20.3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77.4</w:t>
            </w:r>
          </w:p>
        </w:tc>
        <w:tc>
          <w:tcPr>
            <w:tcW w:w="0" w:type="dxa"/>
            <w:vAlign w:val="bottom"/>
          </w:tcPr>
          <w:p>
            <w:pPr>
              <w:spacing w:after="0"/>
              <w:rPr>
                <w:sz w:val="1"/>
                <w:szCs w:val="1"/>
                <w:color w:val="auto"/>
              </w:rPr>
            </w:pPr>
          </w:p>
        </w:tc>
      </w:tr>
      <w:tr>
        <w:trPr>
          <w:trHeight w:val="239"/>
        </w:trPr>
        <w:tc>
          <w:tcPr>
            <w:tcW w:w="396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Operating income / (loss)</w:t>
            </w:r>
          </w:p>
        </w:tc>
        <w:tc>
          <w:tcPr>
            <w:tcW w:w="200" w:type="dxa"/>
            <w:vAlign w:val="bottom"/>
          </w:tcPr>
          <w:p>
            <w:pPr>
              <w:spacing w:after="0"/>
              <w:rPr>
                <w:sz w:val="20"/>
                <w:szCs w:val="20"/>
                <w:color w:val="auto"/>
              </w:rPr>
            </w:pPr>
          </w:p>
        </w:tc>
        <w:tc>
          <w:tcPr>
            <w:tcW w:w="124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(966.2)</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005A64"/>
            </w:tcBorders>
          </w:tcPr>
          <w:p>
            <w:pPr>
              <w:spacing w:after="0"/>
              <w:rPr>
                <w:sz w:val="20"/>
                <w:szCs w:val="20"/>
                <w:color w:val="auto"/>
              </w:rPr>
            </w:pPr>
          </w:p>
        </w:tc>
        <w:tc>
          <w:tcPr>
            <w:tcW w:w="9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(563.3)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(1,473.4)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005A64"/>
            </w:tcBorders>
          </w:tcPr>
          <w:p>
            <w:pPr>
              <w:spacing w:after="0"/>
              <w:rPr>
                <w:sz w:val="20"/>
                <w:szCs w:val="20"/>
                <w:color w:val="auto"/>
              </w:rPr>
            </w:pPr>
          </w:p>
        </w:tc>
        <w:tc>
          <w:tcPr>
            <w:tcW w:w="9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91.1</w:t>
            </w:r>
          </w:p>
        </w:tc>
        <w:tc>
          <w:tcPr>
            <w:tcW w:w="0" w:type="dxa"/>
            <w:vAlign w:val="bottom"/>
          </w:tcPr>
          <w:p>
            <w:pPr>
              <w:spacing w:after="0"/>
              <w:rPr>
                <w:sz w:val="1"/>
                <w:szCs w:val="1"/>
                <w:color w:val="auto"/>
              </w:rPr>
            </w:pPr>
          </w:p>
        </w:tc>
      </w:tr>
      <w:tr>
        <w:trPr>
          <w:trHeight w:val="234"/>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Finance income</w:t>
            </w:r>
          </w:p>
        </w:tc>
        <w:tc>
          <w:tcPr>
            <w:tcW w:w="20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167.7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152.4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345.3</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208.9</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Finance expenses</w:t>
            </w:r>
          </w:p>
        </w:tc>
        <w:tc>
          <w:tcPr>
            <w:tcW w:w="20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(9.5)</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(4.5)</w:t>
            </w:r>
          </w:p>
        </w:tc>
        <w:tc>
          <w:tcPr>
            <w:tcW w:w="0" w:type="dxa"/>
            <w:vAlign w:val="bottom"/>
          </w:tcPr>
          <w:p>
            <w:pPr>
              <w:spacing w:after="0"/>
              <w:rPr>
                <w:sz w:val="1"/>
                <w:szCs w:val="1"/>
                <w:color w:val="auto"/>
              </w:rPr>
            </w:pPr>
          </w:p>
        </w:tc>
      </w:tr>
      <w:tr>
        <w:trPr>
          <w:trHeight w:val="239"/>
        </w:trPr>
        <w:tc>
          <w:tcPr>
            <w:tcW w:w="396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Profit / (Loss) before tax</w:t>
            </w:r>
          </w:p>
        </w:tc>
        <w:tc>
          <w:tcPr>
            <w:tcW w:w="200" w:type="dxa"/>
            <w:vAlign w:val="bottom"/>
          </w:tcPr>
          <w:p>
            <w:pPr>
              <w:spacing w:after="0"/>
              <w:rPr>
                <w:sz w:val="20"/>
                <w:szCs w:val="20"/>
                <w:color w:val="auto"/>
              </w:rPr>
            </w:pPr>
          </w:p>
        </w:tc>
        <w:tc>
          <w:tcPr>
            <w:tcW w:w="124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(805.8)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005A64"/>
            </w:tcBorders>
          </w:tcPr>
          <w:p>
            <w:pPr>
              <w:spacing w:after="0"/>
              <w:rPr>
                <w:sz w:val="20"/>
                <w:szCs w:val="20"/>
                <w:color w:val="auto"/>
              </w:rPr>
            </w:pPr>
          </w:p>
        </w:tc>
        <w:tc>
          <w:tcPr>
            <w:tcW w:w="9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(412.2)</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(1,137.6)</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005A64"/>
            </w:tcBorders>
          </w:tcPr>
          <w:p>
            <w:pPr>
              <w:spacing w:after="0"/>
              <w:rPr>
                <w:sz w:val="20"/>
                <w:szCs w:val="20"/>
                <w:color w:val="auto"/>
              </w:rPr>
            </w:pPr>
          </w:p>
        </w:tc>
        <w:tc>
          <w:tcPr>
            <w:tcW w:w="9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295.5</w:t>
            </w:r>
          </w:p>
        </w:tc>
        <w:tc>
          <w:tcPr>
            <w:tcW w:w="0" w:type="dxa"/>
            <w:vAlign w:val="bottom"/>
          </w:tcPr>
          <w:p>
            <w:pPr>
              <w:spacing w:after="0"/>
              <w:rPr>
                <w:sz w:val="1"/>
                <w:szCs w:val="1"/>
                <w:color w:val="auto"/>
              </w:rPr>
            </w:pPr>
          </w:p>
        </w:tc>
      </w:tr>
      <w:tr>
        <w:trPr>
          <w:trHeight w:val="234"/>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Income taxes</w:t>
            </w:r>
          </w:p>
        </w:tc>
        <w:tc>
          <w:tcPr>
            <w:tcW w:w="20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(2.0)</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221.8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14.7</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16.3</w:t>
            </w:r>
          </w:p>
        </w:tc>
        <w:tc>
          <w:tcPr>
            <w:tcW w:w="0" w:type="dxa"/>
            <w:vAlign w:val="bottom"/>
          </w:tcPr>
          <w:p>
            <w:pPr>
              <w:spacing w:after="0"/>
              <w:rPr>
                <w:sz w:val="1"/>
                <w:szCs w:val="1"/>
                <w:color w:val="auto"/>
              </w:rPr>
            </w:pPr>
          </w:p>
        </w:tc>
      </w:tr>
      <w:tr>
        <w:trPr>
          <w:trHeight w:val="239"/>
        </w:trPr>
        <w:tc>
          <w:tcPr>
            <w:tcW w:w="396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Profit / (Loss) for the period</w:t>
            </w:r>
          </w:p>
        </w:tc>
        <w:tc>
          <w:tcPr>
            <w:tcW w:w="200" w:type="dxa"/>
            <w:vAlign w:val="bottom"/>
          </w:tcPr>
          <w:p>
            <w:pPr>
              <w:spacing w:after="0"/>
              <w:rPr>
                <w:sz w:val="20"/>
                <w:szCs w:val="20"/>
                <w:color w:val="auto"/>
              </w:rPr>
            </w:pPr>
          </w:p>
        </w:tc>
        <w:tc>
          <w:tcPr>
            <w:tcW w:w="124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(807.8)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005A64"/>
            </w:tcBorders>
          </w:tcPr>
          <w:p>
            <w:pPr>
              <w:spacing w:after="0"/>
              <w:rPr>
                <w:sz w:val="20"/>
                <w:szCs w:val="20"/>
                <w:color w:val="auto"/>
              </w:rPr>
            </w:pPr>
          </w:p>
        </w:tc>
        <w:tc>
          <w:tcPr>
            <w:tcW w:w="9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(190.4)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(1,122.9)</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005A64"/>
            </w:tcBorders>
          </w:tcPr>
          <w:p>
            <w:pPr>
              <w:spacing w:after="0"/>
              <w:rPr>
                <w:sz w:val="20"/>
                <w:szCs w:val="20"/>
                <w:color w:val="auto"/>
              </w:rPr>
            </w:pPr>
          </w:p>
        </w:tc>
        <w:tc>
          <w:tcPr>
            <w:tcW w:w="9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311.8</w:t>
            </w:r>
          </w:p>
        </w:tc>
        <w:tc>
          <w:tcPr>
            <w:tcW w:w="0" w:type="dxa"/>
            <w:vAlign w:val="bottom"/>
          </w:tcPr>
          <w:p>
            <w:pPr>
              <w:spacing w:after="0"/>
              <w:rPr>
                <w:sz w:val="1"/>
                <w:szCs w:val="1"/>
                <w:color w:val="auto"/>
              </w:rPr>
            </w:pPr>
          </w:p>
        </w:tc>
      </w:tr>
      <w:tr>
        <w:trPr>
          <w:trHeight w:val="236"/>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b w:val="1"/>
                <w:bCs w:val="1"/>
                <w:color w:val="3C9673"/>
              </w:rPr>
              <w:t>Earnings / (Loss) per share</w:t>
            </w:r>
          </w:p>
        </w:tc>
        <w:tc>
          <w:tcPr>
            <w:tcW w:w="200" w:type="dxa"/>
            <w:vAlign w:val="bottom"/>
          </w:tcPr>
          <w:p>
            <w:pPr>
              <w:spacing w:after="0"/>
              <w:rPr>
                <w:sz w:val="20"/>
                <w:szCs w:val="20"/>
                <w:color w:val="auto"/>
              </w:rPr>
            </w:pPr>
          </w:p>
        </w:tc>
        <w:tc>
          <w:tcPr>
            <w:tcW w:w="124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Basic earnings / (loss) for the period per share</w:t>
            </w:r>
          </w:p>
        </w:tc>
        <w:tc>
          <w:tcPr>
            <w:tcW w:w="200" w:type="dxa"/>
            <w:vAlign w:val="bottom"/>
          </w:tcPr>
          <w:p>
            <w:pPr>
              <w:spacing w:after="0"/>
              <w:rPr>
                <w:sz w:val="20"/>
                <w:szCs w:val="20"/>
                <w:color w:val="auto"/>
              </w:rPr>
            </w:pPr>
          </w:p>
        </w:tc>
        <w:tc>
          <w:tcPr>
            <w:tcW w:w="124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(3.36)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(0.79)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(4.67)</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1.29</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005A64"/>
            </w:tcBorders>
          </w:tcPr>
          <w:p>
            <w:pPr>
              <w:ind w:left="20"/>
              <w:spacing w:after="0"/>
              <w:rPr>
                <w:sz w:val="20"/>
                <w:szCs w:val="20"/>
                <w:color w:val="auto"/>
              </w:rPr>
            </w:pPr>
            <w:r>
              <w:rPr>
                <w:rFonts w:ascii="Arial" w:cs="Arial" w:eastAsia="Arial" w:hAnsi="Arial"/>
                <w:sz w:val="16"/>
                <w:szCs w:val="16"/>
                <w:color w:val="005A64"/>
              </w:rPr>
              <w:t>Diluted earnings / (loss) for the period per share</w:t>
            </w:r>
          </w:p>
        </w:tc>
        <w:tc>
          <w:tcPr>
            <w:tcW w:w="200" w:type="dxa"/>
            <w:vAlign w:val="bottom"/>
          </w:tcPr>
          <w:p>
            <w:pPr>
              <w:spacing w:after="0"/>
              <w:rPr>
                <w:sz w:val="20"/>
                <w:szCs w:val="20"/>
                <w:color w:val="auto"/>
              </w:rPr>
            </w:pPr>
          </w:p>
        </w:tc>
        <w:tc>
          <w:tcPr>
            <w:tcW w:w="124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136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color w:val="005A64"/>
              </w:rPr>
              <w:t>(3.36)</w:t>
            </w:r>
          </w:p>
        </w:tc>
        <w:tc>
          <w:tcPr>
            <w:tcW w:w="10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005A64"/>
            </w:tcBorders>
          </w:tcPr>
          <w:p>
            <w:pPr>
              <w:spacing w:after="0"/>
              <w:rPr>
                <w:sz w:val="20"/>
                <w:szCs w:val="20"/>
                <w:color w:val="auto"/>
              </w:rPr>
            </w:pPr>
          </w:p>
        </w:tc>
        <w:tc>
          <w:tcPr>
            <w:tcW w:w="940" w:type="dxa"/>
            <w:vAlign w:val="bottom"/>
            <w:tcBorders>
              <w:bottom w:val="single" w:sz="8" w:color="005A64"/>
            </w:tcBorders>
          </w:tcPr>
          <w:p>
            <w:pPr>
              <w:jc w:val="right"/>
              <w:spacing w:after="0"/>
              <w:rPr>
                <w:sz w:val="20"/>
                <w:szCs w:val="20"/>
                <w:color w:val="auto"/>
              </w:rPr>
            </w:pPr>
            <w:r>
              <w:rPr>
                <w:rFonts w:ascii="Arial" w:cs="Arial" w:eastAsia="Arial" w:hAnsi="Arial"/>
                <w:sz w:val="16"/>
                <w:szCs w:val="16"/>
                <w:color w:val="005A64"/>
              </w:rPr>
              <w:t>(0.79)</w:t>
            </w:r>
          </w:p>
        </w:tc>
        <w:tc>
          <w:tcPr>
            <w:tcW w:w="100" w:type="dxa"/>
            <w:vAlign w:val="bottom"/>
            <w:tcBorders>
              <w:right w:val="single" w:sz="8" w:color="BECD32"/>
            </w:tcBorders>
          </w:tcPr>
          <w:p>
            <w:pPr>
              <w:spacing w:after="0"/>
              <w:rPr>
                <w:sz w:val="20"/>
                <w:szCs w:val="20"/>
                <w:color w:val="auto"/>
              </w:rPr>
            </w:pPr>
          </w:p>
        </w:tc>
        <w:tc>
          <w:tcPr>
            <w:tcW w:w="134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color w:val="005A64"/>
              </w:rPr>
              <w:t>(4.67)</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005A64"/>
            </w:tcBorders>
          </w:tcPr>
          <w:p>
            <w:pPr>
              <w:spacing w:after="0"/>
              <w:rPr>
                <w:sz w:val="20"/>
                <w:szCs w:val="20"/>
                <w:color w:val="auto"/>
              </w:rPr>
            </w:pPr>
          </w:p>
        </w:tc>
        <w:tc>
          <w:tcPr>
            <w:tcW w:w="940" w:type="dxa"/>
            <w:vAlign w:val="bottom"/>
            <w:tcBorders>
              <w:bottom w:val="single" w:sz="8" w:color="005A64"/>
            </w:tcBorders>
          </w:tcPr>
          <w:p>
            <w:pPr>
              <w:jc w:val="right"/>
              <w:spacing w:after="0"/>
              <w:rPr>
                <w:sz w:val="20"/>
                <w:szCs w:val="20"/>
                <w:color w:val="auto"/>
              </w:rPr>
            </w:pPr>
            <w:r>
              <w:rPr>
                <w:rFonts w:ascii="Arial" w:cs="Arial" w:eastAsia="Arial" w:hAnsi="Arial"/>
                <w:sz w:val="16"/>
                <w:szCs w:val="16"/>
                <w:color w:val="005A64"/>
              </w:rPr>
              <w:t>1.28</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80" w:hanging="272"/>
        <w:spacing w:after="0" w:line="227" w:lineRule="auto"/>
        <w:tabs>
          <w:tab w:leader="none" w:pos="352" w:val="left"/>
        </w:tabs>
        <w:numPr>
          <w:ilvl w:val="0"/>
          <w:numId w:val="2"/>
        </w:numPr>
        <w:rPr>
          <w:rFonts w:ascii="Arial" w:cs="Arial" w:eastAsia="Arial" w:hAnsi="Arial"/>
          <w:sz w:val="21"/>
          <w:szCs w:val="21"/>
          <w:color w:val="005A64"/>
          <w:vertAlign w:val="superscript"/>
        </w:rPr>
      </w:pPr>
      <w:r>
        <w:rPr>
          <w:rFonts w:ascii="Arial" w:cs="Arial" w:eastAsia="Arial" w:hAnsi="Arial"/>
          <w:sz w:val="16"/>
          <w:szCs w:val="16"/>
          <w:color w:val="005A64"/>
        </w:rPr>
        <w:t>Adjustments to prior-year figures due to change in functional allocation of general and administrative expenses and other operating expenses (please see Note 4.2 for further details).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4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60"/>
        <w:spacing w:after="0"/>
        <w:tabs>
          <w:tab w:leader="none" w:pos="752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36195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Interim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234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2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005A64"/>
              </w:rPr>
              <w:t>Three months ended</w:t>
            </w:r>
          </w:p>
        </w:tc>
        <w:tc>
          <w:tcPr>
            <w:tcW w:w="60" w:type="dxa"/>
            <w:vAlign w:val="bottom"/>
          </w:tcPr>
          <w:p>
            <w:pPr>
              <w:spacing w:after="0"/>
              <w:rPr>
                <w:sz w:val="17"/>
                <w:szCs w:val="17"/>
                <w:color w:val="auto"/>
              </w:rPr>
            </w:pPr>
          </w:p>
        </w:tc>
        <w:tc>
          <w:tcPr>
            <w:tcW w:w="2700" w:type="dxa"/>
            <w:vAlign w:val="bottom"/>
            <w:gridSpan w:val="5"/>
          </w:tcPr>
          <w:p>
            <w:pPr>
              <w:jc w:val="center"/>
              <w:spacing w:after="0"/>
              <w:rPr>
                <w:sz w:val="20"/>
                <w:szCs w:val="20"/>
                <w:color w:val="auto"/>
              </w:rPr>
            </w:pPr>
            <w:r>
              <w:rPr>
                <w:rFonts w:ascii="Arial" w:cs="Arial" w:eastAsia="Arial" w:hAnsi="Arial"/>
                <w:sz w:val="16"/>
                <w:szCs w:val="16"/>
                <w:b w:val="1"/>
                <w:bCs w:val="1"/>
                <w:color w:val="005A64"/>
              </w:rPr>
              <w:t>Six months ended</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gridSpan w:val="4"/>
          </w:tcPr>
          <w:p>
            <w:pPr>
              <w:jc w:val="center"/>
              <w:ind w:left="859"/>
              <w:spacing w:after="0"/>
              <w:rPr>
                <w:sz w:val="20"/>
                <w:szCs w:val="20"/>
                <w:color w:val="auto"/>
              </w:rPr>
            </w:pPr>
            <w:r>
              <w:rPr>
                <w:rFonts w:ascii="Arial" w:cs="Arial" w:eastAsia="Arial" w:hAnsi="Arial"/>
                <w:sz w:val="16"/>
                <w:szCs w:val="16"/>
                <w:b w:val="1"/>
                <w:bCs w:val="1"/>
                <w:color w:val="005A64"/>
              </w:rPr>
              <w:t>June 30,</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gridSpan w:val="4"/>
          </w:tcPr>
          <w:p>
            <w:pPr>
              <w:jc w:val="center"/>
              <w:ind w:left="859"/>
              <w:spacing w:after="0"/>
              <w:rPr>
                <w:sz w:val="20"/>
                <w:szCs w:val="20"/>
                <w:color w:val="auto"/>
              </w:rPr>
            </w:pPr>
            <w:r>
              <w:rPr>
                <w:rFonts w:ascii="Arial" w:cs="Arial" w:eastAsia="Arial" w:hAnsi="Arial"/>
                <w:sz w:val="16"/>
                <w:szCs w:val="16"/>
                <w:b w:val="1"/>
                <w:bCs w:val="1"/>
                <w:color w:val="005A64"/>
                <w:w w:val="99"/>
              </w:rPr>
              <w:t>June 30,</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Borders>
              <w:bottom w:val="single" w:sz="8" w:color="BECD32"/>
            </w:tcBorders>
            <w:gridSpan w:val="2"/>
          </w:tcPr>
          <w:p>
            <w:pPr>
              <w:spacing w:after="0"/>
              <w:rPr>
                <w:sz w:val="10"/>
                <w:szCs w:val="10"/>
                <w:color w:val="auto"/>
              </w:rPr>
            </w:pPr>
          </w:p>
        </w:tc>
        <w:tc>
          <w:tcPr>
            <w:tcW w:w="10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20" w:type="dxa"/>
            <w:vAlign w:val="bottom"/>
          </w:tcPr>
          <w:p>
            <w:pPr>
              <w:spacing w:after="0"/>
              <w:rPr>
                <w:sz w:val="10"/>
                <w:szCs w:val="10"/>
                <w:color w:val="auto"/>
              </w:rPr>
            </w:pPr>
          </w:p>
        </w:tc>
        <w:tc>
          <w:tcPr>
            <w:tcW w:w="1320" w:type="dxa"/>
            <w:vAlign w:val="bottom"/>
            <w:tcBorders>
              <w:bottom w:val="single" w:sz="8" w:color="BECD32"/>
            </w:tcBorders>
            <w:gridSpan w:val="2"/>
          </w:tcPr>
          <w:p>
            <w:pPr>
              <w:spacing w:after="0"/>
              <w:rPr>
                <w:sz w:val="10"/>
                <w:szCs w:val="10"/>
                <w:color w:val="auto"/>
              </w:rPr>
            </w:pPr>
          </w:p>
        </w:tc>
        <w:tc>
          <w:tcPr>
            <w:tcW w:w="12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40" w:type="dxa"/>
            <w:vAlign w:val="bottom"/>
            <w:tcBorders>
              <w:bottom w:val="single" w:sz="8" w:color="005A64"/>
            </w:tcBorders>
          </w:tcPr>
          <w:p>
            <w:pPr>
              <w:ind w:left="20"/>
              <w:spacing w:after="0"/>
              <w:rPr>
                <w:sz w:val="20"/>
                <w:szCs w:val="20"/>
                <w:color w:val="auto"/>
              </w:rPr>
            </w:pPr>
            <w:r>
              <w:rPr>
                <w:rFonts w:ascii="Arial" w:cs="Arial" w:eastAsia="Arial" w:hAnsi="Arial"/>
                <w:sz w:val="16"/>
                <w:szCs w:val="16"/>
                <w:i w:val="1"/>
                <w:iCs w:val="1"/>
                <w:color w:val="005A64"/>
              </w:rPr>
              <w:t>(in millions €)</w:t>
            </w:r>
          </w:p>
        </w:tc>
        <w:tc>
          <w:tcPr>
            <w:tcW w:w="180" w:type="dxa"/>
            <w:vAlign w:val="bottom"/>
          </w:tcPr>
          <w:p>
            <w:pPr>
              <w:spacing w:after="0"/>
              <w:rPr>
                <w:sz w:val="21"/>
                <w:szCs w:val="21"/>
                <w:color w:val="auto"/>
              </w:rPr>
            </w:pPr>
          </w:p>
        </w:tc>
        <w:tc>
          <w:tcPr>
            <w:tcW w:w="620" w:type="dxa"/>
            <w:vAlign w:val="bottom"/>
            <w:tcBorders>
              <w:bottom w:val="single" w:sz="8" w:color="005A64"/>
            </w:tcBorders>
          </w:tcPr>
          <w:p>
            <w:pPr>
              <w:ind w:left="260"/>
              <w:spacing w:after="0"/>
              <w:rPr>
                <w:sz w:val="20"/>
                <w:szCs w:val="20"/>
                <w:color w:val="auto"/>
              </w:rPr>
            </w:pPr>
            <w:r>
              <w:rPr>
                <w:rFonts w:ascii="Arial" w:cs="Arial" w:eastAsia="Arial" w:hAnsi="Arial"/>
                <w:sz w:val="16"/>
                <w:szCs w:val="16"/>
                <w:b w:val="1"/>
                <w:bCs w:val="1"/>
                <w:color w:val="005A64"/>
                <w:w w:val="95"/>
              </w:rPr>
              <w:t>Note</w:t>
            </w:r>
          </w:p>
        </w:tc>
        <w:tc>
          <w:tcPr>
            <w:tcW w:w="12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005A64"/>
            </w:tcBorders>
          </w:tcPr>
          <w:p>
            <w:pPr>
              <w:spacing w:after="0"/>
              <w:rPr>
                <w:sz w:val="21"/>
                <w:szCs w:val="21"/>
                <w:color w:val="auto"/>
              </w:rPr>
            </w:pPr>
          </w:p>
        </w:tc>
        <w:tc>
          <w:tcPr>
            <w:tcW w:w="94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120" w:type="dxa"/>
            <w:vAlign w:val="bottom"/>
            <w:tcBorders>
              <w:right w:val="single" w:sz="8" w:color="BECD32"/>
            </w:tcBorders>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12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005A64"/>
            </w:tcBorders>
          </w:tcPr>
          <w:p>
            <w:pPr>
              <w:spacing w:after="0"/>
              <w:rPr>
                <w:sz w:val="21"/>
                <w:szCs w:val="21"/>
                <w:color w:val="auto"/>
              </w:rPr>
            </w:pPr>
          </w:p>
        </w:tc>
        <w:tc>
          <w:tcPr>
            <w:tcW w:w="92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Profit / (Loss) for the period</w:t>
            </w:r>
          </w:p>
        </w:tc>
        <w:tc>
          <w:tcPr>
            <w:tcW w:w="180" w:type="dxa"/>
            <w:vAlign w:val="bottom"/>
          </w:tcPr>
          <w:p>
            <w:pPr>
              <w:spacing w:after="0"/>
              <w:rPr>
                <w:sz w:val="20"/>
                <w:szCs w:val="20"/>
                <w:color w:val="auto"/>
              </w:rPr>
            </w:pPr>
          </w:p>
        </w:tc>
        <w:tc>
          <w:tcPr>
            <w:tcW w:w="620" w:type="dxa"/>
            <w:vAlign w:val="bottom"/>
            <w:tcBorders>
              <w:bottom w:val="single" w:sz="8" w:color="005A64"/>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(807.8)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005A64"/>
            </w:tcBorders>
          </w:tcPr>
          <w:p>
            <w:pPr>
              <w:spacing w:after="0"/>
              <w:rPr>
                <w:sz w:val="20"/>
                <w:szCs w:val="20"/>
                <w:color w:val="auto"/>
              </w:rPr>
            </w:pPr>
          </w:p>
        </w:tc>
        <w:tc>
          <w:tcPr>
            <w:tcW w:w="9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(190.4)</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(1,122.9)</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005A64"/>
            </w:tcBorders>
          </w:tcPr>
          <w:p>
            <w:pPr>
              <w:spacing w:after="0"/>
              <w:rPr>
                <w:sz w:val="20"/>
                <w:szCs w:val="20"/>
                <w:color w:val="auto"/>
              </w:rPr>
            </w:pPr>
          </w:p>
        </w:tc>
        <w:tc>
          <w:tcPr>
            <w:tcW w:w="9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311.8</w:t>
            </w:r>
          </w:p>
        </w:tc>
        <w:tc>
          <w:tcPr>
            <w:tcW w:w="0" w:type="dxa"/>
            <w:vAlign w:val="bottom"/>
          </w:tcPr>
          <w:p>
            <w:pPr>
              <w:spacing w:after="0"/>
              <w:rPr>
                <w:sz w:val="1"/>
                <w:szCs w:val="1"/>
                <w:color w:val="auto"/>
              </w:rPr>
            </w:pPr>
          </w:p>
        </w:tc>
      </w:tr>
      <w:tr>
        <w:trPr>
          <w:trHeight w:val="234"/>
        </w:trPr>
        <w:tc>
          <w:tcPr>
            <w:tcW w:w="4640" w:type="dxa"/>
            <w:vAlign w:val="bottom"/>
            <w:tcBorders>
              <w:bottom w:val="single" w:sz="8" w:color="7FACB1"/>
            </w:tcBorders>
          </w:tcPr>
          <w:p>
            <w:pPr>
              <w:ind w:left="140"/>
              <w:spacing w:after="0"/>
              <w:rPr>
                <w:sz w:val="20"/>
                <w:szCs w:val="20"/>
                <w:color w:val="auto"/>
              </w:rPr>
            </w:pPr>
            <w:r>
              <w:rPr>
                <w:rFonts w:ascii="Arial" w:cs="Arial" w:eastAsia="Arial" w:hAnsi="Arial"/>
                <w:sz w:val="16"/>
                <w:szCs w:val="16"/>
                <w:color w:val="005A64"/>
              </w:rPr>
              <w:t>Exchange differences on translation of foreign operations</w:t>
            </w:r>
          </w:p>
        </w:tc>
        <w:tc>
          <w:tcPr>
            <w:tcW w:w="180" w:type="dxa"/>
            <w:vAlign w:val="bottom"/>
          </w:tcPr>
          <w:p>
            <w:pPr>
              <w:spacing w:after="0"/>
              <w:rPr>
                <w:sz w:val="20"/>
                <w:szCs w:val="20"/>
                <w:color w:val="auto"/>
              </w:rPr>
            </w:pPr>
          </w:p>
        </w:tc>
        <w:tc>
          <w:tcPr>
            <w:tcW w:w="620" w:type="dxa"/>
            <w:vAlign w:val="bottom"/>
            <w:tcBorders>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(2.2)</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23.7</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(4.3)</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7FACB1"/>
            </w:tcBorders>
          </w:tcPr>
          <w:p>
            <w:pPr>
              <w:ind w:left="140"/>
              <w:spacing w:after="0"/>
              <w:rPr>
                <w:sz w:val="20"/>
                <w:szCs w:val="20"/>
                <w:color w:val="auto"/>
              </w:rPr>
            </w:pPr>
            <w:r>
              <w:rPr>
                <w:rFonts w:ascii="Arial" w:cs="Arial" w:eastAsia="Arial" w:hAnsi="Arial"/>
                <w:sz w:val="16"/>
                <w:szCs w:val="16"/>
                <w:color w:val="005A64"/>
              </w:rPr>
              <w:t>Net gain on cash flow hedges</w:t>
            </w:r>
          </w:p>
        </w:tc>
        <w:tc>
          <w:tcPr>
            <w:tcW w:w="180" w:type="dxa"/>
            <w:vAlign w:val="bottom"/>
          </w:tcPr>
          <w:p>
            <w:pPr>
              <w:spacing w:after="0"/>
              <w:rPr>
                <w:sz w:val="20"/>
                <w:szCs w:val="20"/>
                <w:color w:val="auto"/>
              </w:rPr>
            </w:pPr>
          </w:p>
        </w:tc>
        <w:tc>
          <w:tcPr>
            <w:tcW w:w="620" w:type="dxa"/>
            <w:vAlign w:val="bottom"/>
            <w:tcBorders>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6.0</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7.7</w:t>
            </w:r>
          </w:p>
        </w:tc>
        <w:tc>
          <w:tcPr>
            <w:tcW w:w="0" w:type="dxa"/>
            <w:vAlign w:val="bottom"/>
          </w:tcPr>
          <w:p>
            <w:pPr>
              <w:spacing w:after="0"/>
              <w:rPr>
                <w:sz w:val="1"/>
                <w:szCs w:val="1"/>
                <w:color w:val="auto"/>
              </w:rPr>
            </w:pPr>
          </w:p>
        </w:tc>
      </w:tr>
      <w:tr>
        <w:trPr>
          <w:trHeight w:val="215"/>
        </w:trPr>
        <w:tc>
          <w:tcPr>
            <w:tcW w:w="4820" w:type="dxa"/>
            <w:vAlign w:val="bottom"/>
            <w:gridSpan w:val="2"/>
          </w:tcPr>
          <w:p>
            <w:pPr>
              <w:ind w:left="20"/>
              <w:spacing w:after="0"/>
              <w:rPr>
                <w:sz w:val="20"/>
                <w:szCs w:val="20"/>
                <w:color w:val="auto"/>
              </w:rPr>
            </w:pPr>
            <w:r>
              <w:rPr>
                <w:rFonts w:ascii="Arial" w:cs="Arial" w:eastAsia="Arial" w:hAnsi="Arial"/>
                <w:sz w:val="16"/>
                <w:szCs w:val="16"/>
                <w:b w:val="1"/>
                <w:bCs w:val="1"/>
                <w:color w:val="005A64"/>
              </w:rPr>
              <w:t>Net other comprehensive income that may be reclassified</w:t>
            </w:r>
          </w:p>
        </w:tc>
        <w:tc>
          <w:tcPr>
            <w:tcW w:w="620" w:type="dxa"/>
            <w:vAlign w:val="bottom"/>
          </w:tcPr>
          <w:p>
            <w:pPr>
              <w:spacing w:after="0"/>
              <w:rPr>
                <w:sz w:val="18"/>
                <w:szCs w:val="18"/>
                <w:color w:val="auto"/>
              </w:rPr>
            </w:pPr>
          </w:p>
        </w:tc>
        <w:tc>
          <w:tcPr>
            <w:tcW w:w="120" w:type="dxa"/>
            <w:vAlign w:val="bottom"/>
            <w:tcBorders>
              <w:right w:val="single" w:sz="8" w:color="BECD32"/>
            </w:tcBorders>
          </w:tcPr>
          <w:p>
            <w:pPr>
              <w:spacing w:after="0"/>
              <w:rPr>
                <w:sz w:val="18"/>
                <w:szCs w:val="18"/>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5A64"/>
              </w:rPr>
              <w:t>8.3</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3.8</w:t>
            </w:r>
          </w:p>
        </w:tc>
        <w:tc>
          <w:tcPr>
            <w:tcW w:w="120" w:type="dxa"/>
            <w:vAlign w:val="bottom"/>
            <w:tcBorders>
              <w:right w:val="single" w:sz="8" w:color="BECD32"/>
            </w:tcBorders>
          </w:tcPr>
          <w:p>
            <w:pPr>
              <w:spacing w:after="0"/>
              <w:rPr>
                <w:sz w:val="18"/>
                <w:szCs w:val="18"/>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5A64"/>
              </w:rPr>
              <w:t>23.7</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3.4</w:t>
            </w:r>
          </w:p>
        </w:tc>
        <w:tc>
          <w:tcPr>
            <w:tcW w:w="0" w:type="dxa"/>
            <w:vAlign w:val="bottom"/>
          </w:tcPr>
          <w:p>
            <w:pPr>
              <w:spacing w:after="0"/>
              <w:rPr>
                <w:sz w:val="1"/>
                <w:szCs w:val="1"/>
                <w:color w:val="auto"/>
              </w:rPr>
            </w:pPr>
          </w:p>
        </w:tc>
      </w:tr>
      <w:tr>
        <w:trPr>
          <w:trHeight w:val="115"/>
        </w:trPr>
        <w:tc>
          <w:tcPr>
            <w:tcW w:w="4640" w:type="dxa"/>
            <w:vAlign w:val="bottom"/>
            <w:vMerge w:val="restart"/>
          </w:tcPr>
          <w:p>
            <w:pPr>
              <w:ind w:left="20"/>
              <w:spacing w:after="0"/>
              <w:rPr>
                <w:sz w:val="20"/>
                <w:szCs w:val="20"/>
                <w:color w:val="auto"/>
              </w:rPr>
            </w:pPr>
            <w:r>
              <w:rPr>
                <w:rFonts w:ascii="Arial" w:cs="Arial" w:eastAsia="Arial" w:hAnsi="Arial"/>
                <w:sz w:val="16"/>
                <w:szCs w:val="16"/>
                <w:b w:val="1"/>
                <w:bCs w:val="1"/>
                <w:color w:val="005A64"/>
              </w:rPr>
              <w:t>to profit or loss in subsequent periods</w:t>
            </w:r>
          </w:p>
        </w:tc>
        <w:tc>
          <w:tcPr>
            <w:tcW w:w="18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0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640" w:type="dxa"/>
            <w:vAlign w:val="bottom"/>
            <w:tcBorders>
              <w:bottom w:val="single" w:sz="8" w:color="005A64"/>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20" w:type="dxa"/>
            <w:vAlign w:val="bottom"/>
            <w:tcBorders>
              <w:bottom w:val="single" w:sz="8" w:color="005A64"/>
            </w:tcBorders>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Borders>
              <w:bottom w:val="single" w:sz="8" w:color="005A64"/>
            </w:tcBorders>
          </w:tcPr>
          <w:p>
            <w:pPr>
              <w:spacing w:after="0"/>
              <w:rPr>
                <w:sz w:val="9"/>
                <w:szCs w:val="9"/>
                <w:color w:val="auto"/>
              </w:rPr>
            </w:pPr>
          </w:p>
        </w:tc>
        <w:tc>
          <w:tcPr>
            <w:tcW w:w="10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bottom w:val="single" w:sz="8" w:color="005A64"/>
            </w:tcBorders>
          </w:tcPr>
          <w:p>
            <w:pPr>
              <w:spacing w:after="0"/>
              <w:rPr>
                <w:sz w:val="9"/>
                <w:szCs w:val="9"/>
                <w:color w:val="auto"/>
              </w:rPr>
            </w:pPr>
          </w:p>
        </w:tc>
        <w:tc>
          <w:tcPr>
            <w:tcW w:w="940" w:type="dxa"/>
            <w:vAlign w:val="bottom"/>
            <w:tcBorders>
              <w:bottom w:val="single" w:sz="8" w:color="005A64"/>
            </w:tcBorders>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Borders>
              <w:bottom w:val="single" w:sz="8" w:color="005A64"/>
            </w:tcBorders>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bottom w:val="single" w:sz="8" w:color="005A64"/>
            </w:tcBorders>
          </w:tcPr>
          <w:p>
            <w:pPr>
              <w:spacing w:after="0"/>
              <w:rPr>
                <w:sz w:val="9"/>
                <w:szCs w:val="9"/>
                <w:color w:val="auto"/>
              </w:rPr>
            </w:pPr>
          </w:p>
        </w:tc>
        <w:tc>
          <w:tcPr>
            <w:tcW w:w="920" w:type="dxa"/>
            <w:vAlign w:val="bottom"/>
            <w:tcBorders>
              <w:bottom w:val="single" w:sz="8" w:color="005A64"/>
            </w:tcBorders>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820" w:type="dxa"/>
            <w:vAlign w:val="bottom"/>
            <w:gridSpan w:val="2"/>
          </w:tcPr>
          <w:p>
            <w:pPr>
              <w:ind w:left="140"/>
              <w:spacing w:after="0"/>
              <w:rPr>
                <w:sz w:val="20"/>
                <w:szCs w:val="20"/>
                <w:color w:val="auto"/>
              </w:rPr>
            </w:pPr>
            <w:r>
              <w:rPr>
                <w:rFonts w:ascii="Arial" w:cs="Arial" w:eastAsia="Arial" w:hAnsi="Arial"/>
                <w:sz w:val="16"/>
                <w:szCs w:val="16"/>
                <w:color w:val="005A64"/>
              </w:rPr>
              <w:t>Net gain / (loss) on equity instruments designated at fair value</w:t>
            </w:r>
          </w:p>
        </w:tc>
        <w:tc>
          <w:tcPr>
            <w:tcW w:w="620" w:type="dxa"/>
            <w:vAlign w:val="bottom"/>
          </w:tcPr>
          <w:p>
            <w:pPr>
              <w:spacing w:after="0"/>
              <w:rPr>
                <w:sz w:val="18"/>
                <w:szCs w:val="18"/>
                <w:color w:val="auto"/>
              </w:rPr>
            </w:pPr>
          </w:p>
        </w:tc>
        <w:tc>
          <w:tcPr>
            <w:tcW w:w="120" w:type="dxa"/>
            <w:vAlign w:val="bottom"/>
            <w:tcBorders>
              <w:right w:val="single" w:sz="8" w:color="BECD32"/>
            </w:tcBorders>
          </w:tcPr>
          <w:p>
            <w:pPr>
              <w:spacing w:after="0"/>
              <w:rPr>
                <w:sz w:val="18"/>
                <w:szCs w:val="18"/>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color w:val="005A64"/>
              </w:rPr>
              <w:t>(115.9)</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005A64"/>
              </w:rPr>
              <w:t>4.4</w:t>
            </w:r>
          </w:p>
        </w:tc>
        <w:tc>
          <w:tcPr>
            <w:tcW w:w="120" w:type="dxa"/>
            <w:vAlign w:val="bottom"/>
            <w:tcBorders>
              <w:right w:val="single" w:sz="8" w:color="BECD32"/>
            </w:tcBorders>
          </w:tcPr>
          <w:p>
            <w:pPr>
              <w:spacing w:after="0"/>
              <w:rPr>
                <w:sz w:val="18"/>
                <w:szCs w:val="18"/>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005A64"/>
              </w:rPr>
              <w:t>(109.0)</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005A64"/>
              </w:rPr>
              <w:t>4.4</w:t>
            </w:r>
          </w:p>
        </w:tc>
        <w:tc>
          <w:tcPr>
            <w:tcW w:w="0" w:type="dxa"/>
            <w:vAlign w:val="bottom"/>
          </w:tcPr>
          <w:p>
            <w:pPr>
              <w:spacing w:after="0"/>
              <w:rPr>
                <w:sz w:val="1"/>
                <w:szCs w:val="1"/>
                <w:color w:val="auto"/>
              </w:rPr>
            </w:pPr>
          </w:p>
        </w:tc>
      </w:tr>
      <w:tr>
        <w:trPr>
          <w:trHeight w:val="107"/>
        </w:trPr>
        <w:tc>
          <w:tcPr>
            <w:tcW w:w="4640" w:type="dxa"/>
            <w:vAlign w:val="bottom"/>
            <w:vMerge w:val="restart"/>
          </w:tcPr>
          <w:p>
            <w:pPr>
              <w:ind w:left="140"/>
              <w:spacing w:after="0"/>
              <w:rPr>
                <w:sz w:val="20"/>
                <w:szCs w:val="20"/>
                <w:color w:val="auto"/>
              </w:rPr>
            </w:pPr>
            <w:r>
              <w:rPr>
                <w:rFonts w:ascii="Arial" w:cs="Arial" w:eastAsia="Arial" w:hAnsi="Arial"/>
                <w:sz w:val="16"/>
                <w:szCs w:val="16"/>
                <w:color w:val="005A64"/>
              </w:rPr>
              <w:t>through other comprehensive income</w:t>
            </w:r>
          </w:p>
        </w:tc>
        <w:tc>
          <w:tcPr>
            <w:tcW w:w="18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0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640" w:type="dxa"/>
            <w:vAlign w:val="bottom"/>
            <w:tcBorders>
              <w:bottom w:val="single" w:sz="8" w:color="7FACB1"/>
            </w:tcBorders>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20" w:type="dxa"/>
            <w:vAlign w:val="bottom"/>
            <w:tcBorders>
              <w:bottom w:val="single" w:sz="8" w:color="7FACB1"/>
            </w:tcBorders>
          </w:tcPr>
          <w:p>
            <w:pPr>
              <w:spacing w:after="0"/>
              <w:rPr>
                <w:sz w:val="10"/>
                <w:szCs w:val="10"/>
                <w:color w:val="auto"/>
              </w:rPr>
            </w:pPr>
          </w:p>
        </w:tc>
        <w:tc>
          <w:tcPr>
            <w:tcW w:w="120" w:type="dxa"/>
            <w:vAlign w:val="bottom"/>
            <w:tcBorders>
              <w:right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Borders>
              <w:bottom w:val="single" w:sz="8" w:color="7FACB1"/>
            </w:tcBorders>
          </w:tcPr>
          <w:p>
            <w:pPr>
              <w:spacing w:after="0"/>
              <w:rPr>
                <w:sz w:val="10"/>
                <w:szCs w:val="10"/>
                <w:color w:val="auto"/>
              </w:rPr>
            </w:pPr>
          </w:p>
        </w:tc>
        <w:tc>
          <w:tcPr>
            <w:tcW w:w="100" w:type="dxa"/>
            <w:vAlign w:val="bottom"/>
            <w:tcBorders>
              <w:right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bottom w:val="single" w:sz="8" w:color="7FACB1"/>
            </w:tcBorders>
          </w:tcPr>
          <w:p>
            <w:pPr>
              <w:spacing w:after="0"/>
              <w:rPr>
                <w:sz w:val="10"/>
                <w:szCs w:val="10"/>
                <w:color w:val="auto"/>
              </w:rPr>
            </w:pPr>
          </w:p>
        </w:tc>
        <w:tc>
          <w:tcPr>
            <w:tcW w:w="940" w:type="dxa"/>
            <w:vAlign w:val="bottom"/>
            <w:tcBorders>
              <w:bottom w:val="single" w:sz="8" w:color="7FACB1"/>
            </w:tcBorders>
          </w:tcPr>
          <w:p>
            <w:pPr>
              <w:spacing w:after="0"/>
              <w:rPr>
                <w:sz w:val="10"/>
                <w:szCs w:val="10"/>
                <w:color w:val="auto"/>
              </w:rPr>
            </w:pPr>
          </w:p>
        </w:tc>
        <w:tc>
          <w:tcPr>
            <w:tcW w:w="12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Borders>
              <w:bottom w:val="single" w:sz="8" w:color="7FACB1"/>
            </w:tcBorders>
          </w:tcPr>
          <w:p>
            <w:pPr>
              <w:spacing w:after="0"/>
              <w:rPr>
                <w:sz w:val="10"/>
                <w:szCs w:val="10"/>
                <w:color w:val="auto"/>
              </w:rPr>
            </w:pPr>
          </w:p>
        </w:tc>
        <w:tc>
          <w:tcPr>
            <w:tcW w:w="120" w:type="dxa"/>
            <w:vAlign w:val="bottom"/>
            <w:tcBorders>
              <w:right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bottom w:val="single" w:sz="8" w:color="7FACB1"/>
            </w:tcBorders>
          </w:tcPr>
          <w:p>
            <w:pPr>
              <w:spacing w:after="0"/>
              <w:rPr>
                <w:sz w:val="10"/>
                <w:szCs w:val="10"/>
                <w:color w:val="auto"/>
              </w:rPr>
            </w:pPr>
          </w:p>
        </w:tc>
        <w:tc>
          <w:tcPr>
            <w:tcW w:w="920" w:type="dxa"/>
            <w:vAlign w:val="bottom"/>
            <w:tcBorders>
              <w:bottom w:val="single" w:sz="8" w:color="7FACB1"/>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4820" w:type="dxa"/>
            <w:vAlign w:val="bottom"/>
            <w:gridSpan w:val="2"/>
          </w:tcPr>
          <w:p>
            <w:pPr>
              <w:ind w:left="20"/>
              <w:spacing w:after="0"/>
              <w:rPr>
                <w:sz w:val="20"/>
                <w:szCs w:val="20"/>
                <w:color w:val="auto"/>
              </w:rPr>
            </w:pPr>
            <w:r>
              <w:rPr>
                <w:rFonts w:ascii="Arial" w:cs="Arial" w:eastAsia="Arial" w:hAnsi="Arial"/>
                <w:sz w:val="16"/>
                <w:szCs w:val="16"/>
                <w:b w:val="1"/>
                <w:bCs w:val="1"/>
                <w:color w:val="005A64"/>
              </w:rPr>
              <w:t>Net other comprehensive income / (loss) that will not be</w:t>
            </w:r>
          </w:p>
        </w:tc>
        <w:tc>
          <w:tcPr>
            <w:tcW w:w="620" w:type="dxa"/>
            <w:vAlign w:val="bottom"/>
          </w:tcPr>
          <w:p>
            <w:pPr>
              <w:spacing w:after="0"/>
              <w:rPr>
                <w:sz w:val="18"/>
                <w:szCs w:val="18"/>
                <w:color w:val="auto"/>
              </w:rPr>
            </w:pPr>
          </w:p>
        </w:tc>
        <w:tc>
          <w:tcPr>
            <w:tcW w:w="120" w:type="dxa"/>
            <w:vAlign w:val="bottom"/>
            <w:tcBorders>
              <w:right w:val="single" w:sz="8" w:color="BECD32"/>
            </w:tcBorders>
          </w:tcPr>
          <w:p>
            <w:pPr>
              <w:spacing w:after="0"/>
              <w:rPr>
                <w:sz w:val="18"/>
                <w:szCs w:val="18"/>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5A64"/>
              </w:rPr>
              <w:t>(115.9)</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4.4</w:t>
            </w:r>
          </w:p>
        </w:tc>
        <w:tc>
          <w:tcPr>
            <w:tcW w:w="120" w:type="dxa"/>
            <w:vAlign w:val="bottom"/>
            <w:tcBorders>
              <w:right w:val="single" w:sz="8" w:color="BECD32"/>
            </w:tcBorders>
          </w:tcPr>
          <w:p>
            <w:pPr>
              <w:spacing w:after="0"/>
              <w:rPr>
                <w:sz w:val="18"/>
                <w:szCs w:val="18"/>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5A64"/>
              </w:rPr>
              <w:t>(109.0)</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4.4</w:t>
            </w:r>
          </w:p>
        </w:tc>
        <w:tc>
          <w:tcPr>
            <w:tcW w:w="0" w:type="dxa"/>
            <w:vAlign w:val="bottom"/>
          </w:tcPr>
          <w:p>
            <w:pPr>
              <w:spacing w:after="0"/>
              <w:rPr>
                <w:sz w:val="1"/>
                <w:szCs w:val="1"/>
                <w:color w:val="auto"/>
              </w:rPr>
            </w:pPr>
          </w:p>
        </w:tc>
      </w:tr>
      <w:tr>
        <w:trPr>
          <w:trHeight w:val="115"/>
        </w:trPr>
        <w:tc>
          <w:tcPr>
            <w:tcW w:w="4640" w:type="dxa"/>
            <w:vAlign w:val="bottom"/>
            <w:vMerge w:val="restart"/>
          </w:tcPr>
          <w:p>
            <w:pPr>
              <w:ind w:left="20"/>
              <w:spacing w:after="0"/>
              <w:rPr>
                <w:sz w:val="20"/>
                <w:szCs w:val="20"/>
                <w:color w:val="auto"/>
              </w:rPr>
            </w:pPr>
            <w:r>
              <w:rPr>
                <w:rFonts w:ascii="Arial" w:cs="Arial" w:eastAsia="Arial" w:hAnsi="Arial"/>
                <w:sz w:val="16"/>
                <w:szCs w:val="16"/>
                <w:b w:val="1"/>
                <w:bCs w:val="1"/>
                <w:color w:val="005A64"/>
              </w:rPr>
              <w:t>reclassified to profit or loss in subsequent periods</w:t>
            </w:r>
          </w:p>
        </w:tc>
        <w:tc>
          <w:tcPr>
            <w:tcW w:w="18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0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640" w:type="dxa"/>
            <w:vAlign w:val="bottom"/>
            <w:tcBorders>
              <w:bottom w:val="single" w:sz="8" w:color="005A64"/>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20" w:type="dxa"/>
            <w:vAlign w:val="bottom"/>
            <w:tcBorders>
              <w:bottom w:val="single" w:sz="8" w:color="005A64"/>
            </w:tcBorders>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Borders>
              <w:bottom w:val="single" w:sz="8" w:color="005A64"/>
            </w:tcBorders>
          </w:tcPr>
          <w:p>
            <w:pPr>
              <w:spacing w:after="0"/>
              <w:rPr>
                <w:sz w:val="9"/>
                <w:szCs w:val="9"/>
                <w:color w:val="auto"/>
              </w:rPr>
            </w:pPr>
          </w:p>
        </w:tc>
        <w:tc>
          <w:tcPr>
            <w:tcW w:w="10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bottom w:val="single" w:sz="8" w:color="005A64"/>
            </w:tcBorders>
          </w:tcPr>
          <w:p>
            <w:pPr>
              <w:spacing w:after="0"/>
              <w:rPr>
                <w:sz w:val="9"/>
                <w:szCs w:val="9"/>
                <w:color w:val="auto"/>
              </w:rPr>
            </w:pPr>
          </w:p>
        </w:tc>
        <w:tc>
          <w:tcPr>
            <w:tcW w:w="940" w:type="dxa"/>
            <w:vAlign w:val="bottom"/>
            <w:tcBorders>
              <w:bottom w:val="single" w:sz="8" w:color="005A64"/>
            </w:tcBorders>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Borders>
              <w:bottom w:val="single" w:sz="8" w:color="005A64"/>
            </w:tcBorders>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bottom w:val="single" w:sz="8" w:color="005A64"/>
            </w:tcBorders>
          </w:tcPr>
          <w:p>
            <w:pPr>
              <w:spacing w:after="0"/>
              <w:rPr>
                <w:sz w:val="9"/>
                <w:szCs w:val="9"/>
                <w:color w:val="auto"/>
              </w:rPr>
            </w:pPr>
          </w:p>
        </w:tc>
        <w:tc>
          <w:tcPr>
            <w:tcW w:w="920" w:type="dxa"/>
            <w:vAlign w:val="bottom"/>
            <w:tcBorders>
              <w:bottom w:val="single" w:sz="8" w:color="005A64"/>
            </w:tcBorders>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820" w:type="dxa"/>
            <w:vAlign w:val="bottom"/>
            <w:gridSpan w:val="2"/>
          </w:tcPr>
          <w:p>
            <w:pPr>
              <w:ind w:left="20"/>
              <w:spacing w:after="0"/>
              <w:rPr>
                <w:sz w:val="20"/>
                <w:szCs w:val="20"/>
                <w:color w:val="auto"/>
              </w:rPr>
            </w:pPr>
            <w:r>
              <w:rPr>
                <w:rFonts w:ascii="Arial" w:cs="Arial" w:eastAsia="Arial" w:hAnsi="Arial"/>
                <w:sz w:val="16"/>
                <w:szCs w:val="16"/>
                <w:b w:val="1"/>
                <w:bCs w:val="1"/>
                <w:color w:val="005A64"/>
              </w:rPr>
              <w:t>Other comprehensive income / (loss) for the period, net of</w:t>
            </w:r>
          </w:p>
        </w:tc>
        <w:tc>
          <w:tcPr>
            <w:tcW w:w="620" w:type="dxa"/>
            <w:vAlign w:val="bottom"/>
          </w:tcPr>
          <w:p>
            <w:pPr>
              <w:spacing w:after="0"/>
              <w:rPr>
                <w:sz w:val="18"/>
                <w:szCs w:val="18"/>
                <w:color w:val="auto"/>
              </w:rPr>
            </w:pPr>
          </w:p>
        </w:tc>
        <w:tc>
          <w:tcPr>
            <w:tcW w:w="120" w:type="dxa"/>
            <w:vAlign w:val="bottom"/>
            <w:tcBorders>
              <w:right w:val="single" w:sz="8" w:color="BECD32"/>
            </w:tcBorders>
          </w:tcPr>
          <w:p>
            <w:pPr>
              <w:spacing w:after="0"/>
              <w:rPr>
                <w:sz w:val="18"/>
                <w:szCs w:val="18"/>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5A64"/>
              </w:rPr>
              <w:t>(107.6)</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8.2</w:t>
            </w:r>
          </w:p>
        </w:tc>
        <w:tc>
          <w:tcPr>
            <w:tcW w:w="120" w:type="dxa"/>
            <w:vAlign w:val="bottom"/>
            <w:tcBorders>
              <w:right w:val="single" w:sz="8" w:color="BECD32"/>
            </w:tcBorders>
          </w:tcPr>
          <w:p>
            <w:pPr>
              <w:spacing w:after="0"/>
              <w:rPr>
                <w:sz w:val="18"/>
                <w:szCs w:val="18"/>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5A64"/>
              </w:rPr>
              <w:t>(85.3)</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7.8</w:t>
            </w:r>
          </w:p>
        </w:tc>
        <w:tc>
          <w:tcPr>
            <w:tcW w:w="0" w:type="dxa"/>
            <w:vAlign w:val="bottom"/>
          </w:tcPr>
          <w:p>
            <w:pPr>
              <w:spacing w:after="0"/>
              <w:rPr>
                <w:sz w:val="1"/>
                <w:szCs w:val="1"/>
                <w:color w:val="auto"/>
              </w:rPr>
            </w:pPr>
          </w:p>
        </w:tc>
      </w:tr>
      <w:tr>
        <w:trPr>
          <w:trHeight w:val="115"/>
        </w:trPr>
        <w:tc>
          <w:tcPr>
            <w:tcW w:w="4640" w:type="dxa"/>
            <w:vAlign w:val="bottom"/>
            <w:vMerge w:val="restart"/>
          </w:tcPr>
          <w:p>
            <w:pPr>
              <w:ind w:left="20"/>
              <w:spacing w:after="0"/>
              <w:rPr>
                <w:sz w:val="20"/>
                <w:szCs w:val="20"/>
                <w:color w:val="auto"/>
              </w:rPr>
            </w:pPr>
            <w:r>
              <w:rPr>
                <w:rFonts w:ascii="Arial" w:cs="Arial" w:eastAsia="Arial" w:hAnsi="Arial"/>
                <w:sz w:val="16"/>
                <w:szCs w:val="16"/>
                <w:b w:val="1"/>
                <w:bCs w:val="1"/>
                <w:color w:val="005A64"/>
              </w:rPr>
              <w:t>tax</w:t>
            </w:r>
          </w:p>
        </w:tc>
        <w:tc>
          <w:tcPr>
            <w:tcW w:w="18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0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640" w:type="dxa"/>
            <w:vAlign w:val="bottom"/>
            <w:tcBorders>
              <w:bottom w:val="single" w:sz="8" w:color="005A64"/>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20" w:type="dxa"/>
            <w:vAlign w:val="bottom"/>
            <w:tcBorders>
              <w:bottom w:val="single" w:sz="8" w:color="005A64"/>
            </w:tcBorders>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Borders>
              <w:bottom w:val="single" w:sz="8" w:color="005A64"/>
            </w:tcBorders>
          </w:tcPr>
          <w:p>
            <w:pPr>
              <w:spacing w:after="0"/>
              <w:rPr>
                <w:sz w:val="9"/>
                <w:szCs w:val="9"/>
                <w:color w:val="auto"/>
              </w:rPr>
            </w:pPr>
          </w:p>
        </w:tc>
        <w:tc>
          <w:tcPr>
            <w:tcW w:w="10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bottom w:val="single" w:sz="8" w:color="005A64"/>
            </w:tcBorders>
          </w:tcPr>
          <w:p>
            <w:pPr>
              <w:spacing w:after="0"/>
              <w:rPr>
                <w:sz w:val="9"/>
                <w:szCs w:val="9"/>
                <w:color w:val="auto"/>
              </w:rPr>
            </w:pPr>
          </w:p>
        </w:tc>
        <w:tc>
          <w:tcPr>
            <w:tcW w:w="940" w:type="dxa"/>
            <w:vAlign w:val="bottom"/>
            <w:tcBorders>
              <w:bottom w:val="single" w:sz="8" w:color="005A64"/>
            </w:tcBorders>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Borders>
              <w:bottom w:val="single" w:sz="8" w:color="005A64"/>
            </w:tcBorders>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bottom w:val="single" w:sz="8" w:color="005A64"/>
            </w:tcBorders>
          </w:tcPr>
          <w:p>
            <w:pPr>
              <w:spacing w:after="0"/>
              <w:rPr>
                <w:sz w:val="9"/>
                <w:szCs w:val="9"/>
                <w:color w:val="auto"/>
              </w:rPr>
            </w:pPr>
          </w:p>
        </w:tc>
        <w:tc>
          <w:tcPr>
            <w:tcW w:w="920" w:type="dxa"/>
            <w:vAlign w:val="bottom"/>
            <w:tcBorders>
              <w:bottom w:val="single" w:sz="8" w:color="005A64"/>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6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Comprehensive income / (loss) for the period, net of tax</w:t>
            </w:r>
          </w:p>
        </w:tc>
        <w:tc>
          <w:tcPr>
            <w:tcW w:w="180" w:type="dxa"/>
            <w:vAlign w:val="bottom"/>
          </w:tcPr>
          <w:p>
            <w:pPr>
              <w:spacing w:after="0"/>
              <w:rPr>
                <w:sz w:val="20"/>
                <w:szCs w:val="20"/>
                <w:color w:val="auto"/>
              </w:rPr>
            </w:pPr>
          </w:p>
        </w:tc>
        <w:tc>
          <w:tcPr>
            <w:tcW w:w="620" w:type="dxa"/>
            <w:vAlign w:val="bottom"/>
            <w:tcBorders>
              <w:bottom w:val="single" w:sz="8" w:color="005A64"/>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134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(915.4)</w:t>
            </w:r>
          </w:p>
        </w:tc>
        <w:tc>
          <w:tcPr>
            <w:tcW w:w="10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005A64"/>
            </w:tcBorders>
          </w:tcPr>
          <w:p>
            <w:pPr>
              <w:spacing w:after="0"/>
              <w:rPr>
                <w:sz w:val="20"/>
                <w:szCs w:val="20"/>
                <w:color w:val="auto"/>
              </w:rPr>
            </w:pPr>
          </w:p>
        </w:tc>
        <w:tc>
          <w:tcPr>
            <w:tcW w:w="9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(182.2)</w:t>
            </w:r>
          </w:p>
        </w:tc>
        <w:tc>
          <w:tcPr>
            <w:tcW w:w="120" w:type="dxa"/>
            <w:vAlign w:val="bottom"/>
            <w:tcBorders>
              <w:right w:val="single" w:sz="8" w:color="BECD32"/>
            </w:tcBorders>
          </w:tcPr>
          <w:p>
            <w:pPr>
              <w:spacing w:after="0"/>
              <w:rPr>
                <w:sz w:val="20"/>
                <w:szCs w:val="20"/>
                <w:color w:val="auto"/>
              </w:rPr>
            </w:pPr>
          </w:p>
        </w:tc>
        <w:tc>
          <w:tcPr>
            <w:tcW w:w="132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(1,208.2)</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005A64"/>
            </w:tcBorders>
          </w:tcPr>
          <w:p>
            <w:pPr>
              <w:spacing w:after="0"/>
              <w:rPr>
                <w:sz w:val="20"/>
                <w:szCs w:val="20"/>
                <w:color w:val="auto"/>
              </w:rPr>
            </w:pPr>
          </w:p>
        </w:tc>
        <w:tc>
          <w:tcPr>
            <w:tcW w:w="9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319.6</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41"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60"/>
        <w:spacing w:after="0"/>
        <w:tabs>
          <w:tab w:leader="none" w:pos="752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36195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Interim Condensed Consolidated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234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Borders>
              <w:right w:val="single" w:sz="8" w:color="BECD32"/>
            </w:tcBorders>
          </w:tcPr>
          <w:p>
            <w:pPr>
              <w:spacing w:after="0"/>
              <w:rPr>
                <w:sz w:val="21"/>
                <w:szCs w:val="21"/>
                <w:color w:val="auto"/>
              </w:rPr>
            </w:pPr>
          </w:p>
        </w:tc>
        <w:tc>
          <w:tcPr>
            <w:tcW w:w="80" w:type="dxa"/>
            <w:vAlign w:val="bottom"/>
            <w:tcBorders>
              <w:top w:val="single" w:sz="8" w:color="BECD32"/>
            </w:tcBorders>
          </w:tcPr>
          <w:p>
            <w:pPr>
              <w:spacing w:after="0"/>
              <w:rPr>
                <w:sz w:val="21"/>
                <w:szCs w:val="21"/>
                <w:color w:val="auto"/>
              </w:rPr>
            </w:pPr>
          </w:p>
        </w:tc>
        <w:tc>
          <w:tcPr>
            <w:tcW w:w="1760" w:type="dxa"/>
            <w:vAlign w:val="bottom"/>
            <w:tcBorders>
              <w:top w:val="single" w:sz="8" w:color="BECD32"/>
              <w:right w:val="single" w:sz="8" w:color="BECD32"/>
            </w:tcBorders>
            <w:gridSpan w:val="2"/>
          </w:tcPr>
          <w:p>
            <w:pPr>
              <w:jc w:val="right"/>
              <w:ind w:right="120"/>
              <w:spacing w:after="0"/>
              <w:rPr>
                <w:sz w:val="20"/>
                <w:szCs w:val="20"/>
                <w:color w:val="auto"/>
              </w:rPr>
            </w:pPr>
            <w:r>
              <w:rPr>
                <w:rFonts w:ascii="Arial" w:cs="Arial" w:eastAsia="Arial" w:hAnsi="Arial"/>
                <w:sz w:val="16"/>
                <w:szCs w:val="16"/>
                <w:b w:val="1"/>
                <w:bCs w:val="1"/>
                <w:color w:val="005A64"/>
              </w:rPr>
              <w:t>June 30,</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5A64"/>
              </w:rPr>
              <w:t>December 31,</w:t>
            </w:r>
          </w:p>
        </w:tc>
      </w:tr>
      <w:tr>
        <w:trPr>
          <w:trHeight w:val="243"/>
        </w:trPr>
        <w:tc>
          <w:tcPr>
            <w:tcW w:w="6500" w:type="dxa"/>
            <w:vAlign w:val="bottom"/>
            <w:gridSpan w:val="2"/>
          </w:tcPr>
          <w:p>
            <w:pPr>
              <w:ind w:left="20"/>
              <w:spacing w:after="0"/>
              <w:rPr>
                <w:sz w:val="20"/>
                <w:szCs w:val="20"/>
                <w:color w:val="auto"/>
              </w:rPr>
            </w:pPr>
            <w:r>
              <w:rPr>
                <w:rFonts w:ascii="Arial" w:cs="Arial" w:eastAsia="Arial" w:hAnsi="Arial"/>
                <w:sz w:val="16"/>
                <w:szCs w:val="16"/>
                <w:i w:val="1"/>
                <w:iCs w:val="1"/>
                <w:color w:val="005A64"/>
              </w:rPr>
              <w:t>(in millions €)</w:t>
            </w:r>
          </w:p>
        </w:tc>
        <w:tc>
          <w:tcPr>
            <w:tcW w:w="1060" w:type="dxa"/>
            <w:vAlign w:val="bottom"/>
          </w:tcPr>
          <w:p>
            <w:pPr>
              <w:spacing w:after="0"/>
              <w:rPr>
                <w:sz w:val="21"/>
                <w:szCs w:val="21"/>
                <w:color w:val="auto"/>
              </w:rPr>
            </w:pPr>
          </w:p>
        </w:tc>
        <w:tc>
          <w:tcPr>
            <w:tcW w:w="100" w:type="dxa"/>
            <w:vAlign w:val="bottom"/>
            <w:tcBorders>
              <w:right w:val="single" w:sz="8" w:color="BECD32"/>
            </w:tcBorders>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5A64"/>
              </w:rPr>
              <w:t>2023</w:t>
            </w:r>
          </w:p>
        </w:tc>
      </w:tr>
      <w:tr>
        <w:trPr>
          <w:trHeight w:val="247"/>
        </w:trPr>
        <w:tc>
          <w:tcPr>
            <w:tcW w:w="63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Assets</w:t>
            </w:r>
          </w:p>
        </w:tc>
        <w:tc>
          <w:tcPr>
            <w:tcW w:w="180" w:type="dxa"/>
            <w:vAlign w:val="bottom"/>
          </w:tcPr>
          <w:p>
            <w:pPr>
              <w:spacing w:after="0"/>
              <w:rPr>
                <w:sz w:val="21"/>
                <w:szCs w:val="21"/>
                <w:color w:val="auto"/>
              </w:rPr>
            </w:pPr>
          </w:p>
        </w:tc>
        <w:tc>
          <w:tcPr>
            <w:tcW w:w="10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Note</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Borders>
              <w:bottom w:val="single" w:sz="8" w:color="005A64"/>
            </w:tcBorders>
          </w:tcPr>
          <w:p>
            <w:pPr>
              <w:spacing w:after="0"/>
              <w:rPr>
                <w:sz w:val="21"/>
                <w:szCs w:val="21"/>
                <w:color w:val="auto"/>
              </w:rPr>
            </w:pP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b w:val="1"/>
                <w:bCs w:val="1"/>
                <w:color w:val="3C9673"/>
              </w:rPr>
              <w:t>Non-current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spacing w:after="0"/>
              <w:rPr>
                <w:sz w:val="20"/>
                <w:szCs w:val="20"/>
                <w:color w:val="auto"/>
              </w:rPr>
            </w:pPr>
          </w:p>
        </w:tc>
      </w:tr>
      <w:tr>
        <w:trPr>
          <w:trHeight w:val="234"/>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Goodwill</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372.4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362.5</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intangible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862.3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804.1</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Property, plant and equipment</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868.6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757.2</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Right-of-use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256.4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214.4</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financial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1,386.1</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1,176.1</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non-financial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108.2</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83.4</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Deferred tax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102.3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81.3</w:t>
            </w:r>
          </w:p>
        </w:tc>
      </w:tr>
      <w:tr>
        <w:trPr>
          <w:trHeight w:val="239"/>
        </w:trPr>
        <w:tc>
          <w:tcPr>
            <w:tcW w:w="63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non-current assets</w:t>
            </w:r>
          </w:p>
        </w:tc>
        <w:tc>
          <w:tcPr>
            <w:tcW w:w="180" w:type="dxa"/>
            <w:vAlign w:val="bottom"/>
          </w:tcPr>
          <w:p>
            <w:pPr>
              <w:spacing w:after="0"/>
              <w:rPr>
                <w:sz w:val="20"/>
                <w:szCs w:val="20"/>
                <w:color w:val="auto"/>
              </w:rPr>
            </w:pPr>
          </w:p>
        </w:tc>
        <w:tc>
          <w:tcPr>
            <w:tcW w:w="106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3,956.3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3,479.0</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b w:val="1"/>
                <w:bCs w:val="1"/>
                <w:color w:val="3C9673"/>
              </w:rPr>
              <w:t>Current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spacing w:after="0"/>
              <w:rPr>
                <w:sz w:val="20"/>
                <w:szCs w:val="20"/>
                <w:color w:val="auto"/>
              </w:rPr>
            </w:pPr>
          </w:p>
        </w:tc>
      </w:tr>
      <w:tr>
        <w:trPr>
          <w:trHeight w:val="234"/>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Inventories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340.1</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357.7</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Trade and other receivables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75.8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2,155.7</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Contract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4.9</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financial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6,919.0</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4,885.3</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non-financial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359.3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280.9</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Income tax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206.8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179.1</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Cash and cash equivalents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10,376.7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11,663.7</w:t>
            </w:r>
          </w:p>
        </w:tc>
      </w:tr>
      <w:tr>
        <w:trPr>
          <w:trHeight w:val="239"/>
        </w:trPr>
        <w:tc>
          <w:tcPr>
            <w:tcW w:w="63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current assets</w:t>
            </w:r>
          </w:p>
        </w:tc>
        <w:tc>
          <w:tcPr>
            <w:tcW w:w="180" w:type="dxa"/>
            <w:vAlign w:val="bottom"/>
          </w:tcPr>
          <w:p>
            <w:pPr>
              <w:spacing w:after="0"/>
              <w:rPr>
                <w:sz w:val="20"/>
                <w:szCs w:val="20"/>
                <w:color w:val="auto"/>
              </w:rPr>
            </w:pPr>
          </w:p>
        </w:tc>
        <w:tc>
          <w:tcPr>
            <w:tcW w:w="106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18,281.6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19,527.3</w:t>
            </w:r>
          </w:p>
        </w:tc>
      </w:tr>
      <w:tr>
        <w:trPr>
          <w:trHeight w:val="237"/>
        </w:trPr>
        <w:tc>
          <w:tcPr>
            <w:tcW w:w="63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assets</w:t>
            </w:r>
          </w:p>
        </w:tc>
        <w:tc>
          <w:tcPr>
            <w:tcW w:w="180" w:type="dxa"/>
            <w:vAlign w:val="bottom"/>
          </w:tcPr>
          <w:p>
            <w:pPr>
              <w:spacing w:after="0"/>
              <w:rPr>
                <w:sz w:val="20"/>
                <w:szCs w:val="20"/>
                <w:color w:val="auto"/>
              </w:rPr>
            </w:pPr>
          </w:p>
        </w:tc>
        <w:tc>
          <w:tcPr>
            <w:tcW w:w="106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22,237.9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23,006.3</w:t>
            </w:r>
          </w:p>
        </w:tc>
      </w:tr>
      <w:tr>
        <w:trPr>
          <w:trHeight w:val="439"/>
        </w:trPr>
        <w:tc>
          <w:tcPr>
            <w:tcW w:w="63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Equity and liabilities</w:t>
            </w:r>
          </w:p>
        </w:tc>
        <w:tc>
          <w:tcPr>
            <w:tcW w:w="180" w:type="dxa"/>
            <w:vAlign w:val="bottom"/>
          </w:tcPr>
          <w:p>
            <w:pPr>
              <w:spacing w:after="0"/>
              <w:rPr>
                <w:sz w:val="24"/>
                <w:szCs w:val="24"/>
                <w:color w:val="auto"/>
              </w:rPr>
            </w:pPr>
          </w:p>
        </w:tc>
        <w:tc>
          <w:tcPr>
            <w:tcW w:w="1060" w:type="dxa"/>
            <w:vAlign w:val="bottom"/>
            <w:tcBorders>
              <w:bottom w:val="single" w:sz="8" w:color="005A64"/>
            </w:tcBorders>
          </w:tcPr>
          <w:p>
            <w:pPr>
              <w:spacing w:after="0"/>
              <w:rPr>
                <w:sz w:val="24"/>
                <w:szCs w:val="24"/>
                <w:color w:val="auto"/>
              </w:rPr>
            </w:pPr>
          </w:p>
        </w:tc>
        <w:tc>
          <w:tcPr>
            <w:tcW w:w="10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Borders>
              <w:bottom w:val="single" w:sz="8" w:color="005A64"/>
            </w:tcBorders>
          </w:tcPr>
          <w:p>
            <w:pPr>
              <w:spacing w:after="0"/>
              <w:rPr>
                <w:sz w:val="24"/>
                <w:szCs w:val="24"/>
                <w:color w:val="auto"/>
              </w:rPr>
            </w:pPr>
          </w:p>
        </w:tc>
        <w:tc>
          <w:tcPr>
            <w:tcW w:w="10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Borders>
              <w:bottom w:val="single" w:sz="8" w:color="005A64"/>
            </w:tcBorders>
          </w:tcPr>
          <w:p>
            <w:pPr>
              <w:spacing w:after="0"/>
              <w:rPr>
                <w:sz w:val="24"/>
                <w:szCs w:val="24"/>
                <w:color w:val="auto"/>
              </w:rPr>
            </w:pP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b w:val="1"/>
                <w:bCs w:val="1"/>
                <w:color w:val="3C9673"/>
              </w:rPr>
              <w:t>Equity</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spacing w:after="0"/>
              <w:rPr>
                <w:sz w:val="20"/>
                <w:szCs w:val="20"/>
                <w:color w:val="auto"/>
              </w:rPr>
            </w:pPr>
          </w:p>
        </w:tc>
      </w:tr>
      <w:tr>
        <w:trPr>
          <w:trHeight w:val="234"/>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Share capital</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248.6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248.6</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Capital reserve</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1,232.3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1,229.4</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Treasury shares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(10.8)</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Retained earnings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18,640.4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19,763.3</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reserves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(1,038.2)</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(984.6)</w:t>
            </w:r>
          </w:p>
        </w:tc>
      </w:tr>
      <w:tr>
        <w:trPr>
          <w:trHeight w:val="239"/>
        </w:trPr>
        <w:tc>
          <w:tcPr>
            <w:tcW w:w="63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equity</w:t>
            </w:r>
          </w:p>
        </w:tc>
        <w:tc>
          <w:tcPr>
            <w:tcW w:w="180" w:type="dxa"/>
            <w:vAlign w:val="bottom"/>
          </w:tcPr>
          <w:p>
            <w:pPr>
              <w:spacing w:after="0"/>
              <w:rPr>
                <w:sz w:val="20"/>
                <w:szCs w:val="20"/>
                <w:color w:val="auto"/>
              </w:rPr>
            </w:pPr>
          </w:p>
        </w:tc>
        <w:tc>
          <w:tcPr>
            <w:tcW w:w="106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19,072.3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20,245.9</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b w:val="1"/>
                <w:bCs w:val="1"/>
                <w:color w:val="3C9673"/>
              </w:rPr>
              <w:t>Non-current liabilities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spacing w:after="0"/>
              <w:rPr>
                <w:sz w:val="20"/>
                <w:szCs w:val="20"/>
                <w:color w:val="auto"/>
              </w:rPr>
            </w:pPr>
          </w:p>
        </w:tc>
      </w:tr>
      <w:tr>
        <w:trPr>
          <w:trHeight w:val="234"/>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Lease liabilities, loans and borrowings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219.3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191.0</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financial liabilities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42.1</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38.8</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Provisions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9.0</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8.8</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Contract liabilities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353.6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398.5</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non-financial liabilities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77.9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13.1</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Deferred tax liabilities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37.8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39.7</w:t>
            </w:r>
          </w:p>
        </w:tc>
      </w:tr>
      <w:tr>
        <w:trPr>
          <w:trHeight w:val="239"/>
        </w:trPr>
        <w:tc>
          <w:tcPr>
            <w:tcW w:w="63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non-current liabilities</w:t>
            </w:r>
          </w:p>
        </w:tc>
        <w:tc>
          <w:tcPr>
            <w:tcW w:w="180" w:type="dxa"/>
            <w:vAlign w:val="bottom"/>
          </w:tcPr>
          <w:p>
            <w:pPr>
              <w:spacing w:after="0"/>
              <w:rPr>
                <w:sz w:val="20"/>
                <w:szCs w:val="20"/>
                <w:color w:val="auto"/>
              </w:rPr>
            </w:pPr>
          </w:p>
        </w:tc>
        <w:tc>
          <w:tcPr>
            <w:tcW w:w="106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739.7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689.9</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b w:val="1"/>
                <w:bCs w:val="1"/>
                <w:color w:val="3C9673"/>
              </w:rPr>
              <w:t>Current liabilities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spacing w:after="0"/>
              <w:rPr>
                <w:sz w:val="20"/>
                <w:szCs w:val="20"/>
                <w:color w:val="auto"/>
              </w:rPr>
            </w:pPr>
          </w:p>
        </w:tc>
      </w:tr>
      <w:tr>
        <w:trPr>
          <w:trHeight w:val="234"/>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Lease liabilities, loans and borrowings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35.3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28.1</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Trade payables and other payables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881.5</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354.0</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financial liabilities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146.0</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415.2</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Income tax liabilities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365.2</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525.5</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Provisions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363.9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269.3</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Contract liabilities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474.3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353.3</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non-financial liabilities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159.7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125.1</w:t>
            </w:r>
          </w:p>
        </w:tc>
      </w:tr>
      <w:tr>
        <w:trPr>
          <w:trHeight w:val="239"/>
        </w:trPr>
        <w:tc>
          <w:tcPr>
            <w:tcW w:w="63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current liabilities</w:t>
            </w:r>
          </w:p>
        </w:tc>
        <w:tc>
          <w:tcPr>
            <w:tcW w:w="180" w:type="dxa"/>
            <w:vAlign w:val="bottom"/>
          </w:tcPr>
          <w:p>
            <w:pPr>
              <w:spacing w:after="0"/>
              <w:rPr>
                <w:sz w:val="20"/>
                <w:szCs w:val="20"/>
                <w:color w:val="auto"/>
              </w:rPr>
            </w:pPr>
          </w:p>
        </w:tc>
        <w:tc>
          <w:tcPr>
            <w:tcW w:w="106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2,425.9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2,070.5</w:t>
            </w:r>
          </w:p>
        </w:tc>
      </w:tr>
      <w:tr>
        <w:trPr>
          <w:trHeight w:val="236"/>
        </w:trPr>
        <w:tc>
          <w:tcPr>
            <w:tcW w:w="63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liabilities</w:t>
            </w:r>
          </w:p>
        </w:tc>
        <w:tc>
          <w:tcPr>
            <w:tcW w:w="180" w:type="dxa"/>
            <w:vAlign w:val="bottom"/>
          </w:tcPr>
          <w:p>
            <w:pPr>
              <w:spacing w:after="0"/>
              <w:rPr>
                <w:sz w:val="20"/>
                <w:szCs w:val="20"/>
                <w:color w:val="auto"/>
              </w:rPr>
            </w:pPr>
          </w:p>
        </w:tc>
        <w:tc>
          <w:tcPr>
            <w:tcW w:w="106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3,165.6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2,760.4</w:t>
            </w:r>
          </w:p>
        </w:tc>
      </w:tr>
      <w:tr>
        <w:trPr>
          <w:trHeight w:val="236"/>
        </w:trPr>
        <w:tc>
          <w:tcPr>
            <w:tcW w:w="63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equity and liabilities</w:t>
            </w:r>
          </w:p>
        </w:tc>
        <w:tc>
          <w:tcPr>
            <w:tcW w:w="180" w:type="dxa"/>
            <w:vAlign w:val="bottom"/>
          </w:tcPr>
          <w:p>
            <w:pPr>
              <w:spacing w:after="0"/>
              <w:rPr>
                <w:sz w:val="20"/>
                <w:szCs w:val="20"/>
                <w:color w:val="auto"/>
              </w:rPr>
            </w:pPr>
          </w:p>
        </w:tc>
        <w:tc>
          <w:tcPr>
            <w:tcW w:w="106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174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22,237.9</w:t>
            </w:r>
          </w:p>
        </w:tc>
        <w:tc>
          <w:tcPr>
            <w:tcW w:w="10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23,006.3</w:t>
            </w:r>
          </w:p>
        </w:tc>
      </w:tr>
    </w:tbl>
    <w:p>
      <w:pPr>
        <w:spacing w:after="0" w:line="200" w:lineRule="exact"/>
        <w:rPr>
          <w:sz w:val="20"/>
          <w:szCs w:val="20"/>
          <w:color w:val="auto"/>
        </w:rPr>
      </w:pPr>
    </w:p>
    <w:p>
      <w:pPr>
        <w:sectPr>
          <w:pgSz w:w="11900" w:h="16838" w:orient="portrait"/>
          <w:cols w:equalWidth="0" w:num="1">
            <w:col w:w="11220"/>
          </w:cols>
          <w:pgMar w:left="320" w:top="341" w:right="359" w:bottom="421" w:gutter="0" w:footer="0" w:header="0"/>
        </w:sectPr>
      </w:pP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form an integral part of these unaudited interim condensed consolidated financial statements.</w:t>
      </w:r>
    </w:p>
    <w:p>
      <w:pPr>
        <w:sectPr>
          <w:pgSz w:w="11900" w:h="16838" w:orient="portrait"/>
          <w:cols w:equalWidth="0" w:num="1">
            <w:col w:w="11220"/>
          </w:cols>
          <w:pgMar w:left="320" w:top="341" w:right="359" w:bottom="421" w:gutter="0" w:footer="0" w:header="0"/>
          <w:type w:val="continuous"/>
        </w:sectPr>
      </w:pPr>
    </w:p>
    <w:bookmarkStart w:id="10" w:name="page11"/>
    <w:bookmarkEnd w:id="10"/>
    <w:p>
      <w:pPr>
        <w:ind w:left="100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120"/>
          </w:cols>
          <w:pgMar w:left="1440" w:top="5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760"/>
        <w:spacing w:after="0"/>
        <w:tabs>
          <w:tab w:leader="none" w:pos="78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36195</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Interim Condensed Consolidated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234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5A64"/>
        </w:rPr>
        <w:t>(in millions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3544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5A64"/>
        </w:rPr>
        <w:t>As of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3544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Profit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3544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53" w:lineRule="exact"/>
        <w:rPr>
          <w:sz w:val="20"/>
          <w:szCs w:val="20"/>
          <w:color w:val="auto"/>
        </w:rPr>
      </w:pPr>
    </w:p>
    <w:p>
      <w:pPr>
        <w:ind w:left="20" w:right="420"/>
        <w:spacing w:after="0" w:line="299" w:lineRule="auto"/>
        <w:rPr>
          <w:sz w:val="20"/>
          <w:szCs w:val="20"/>
          <w:color w:val="auto"/>
        </w:rPr>
      </w:pPr>
      <w:r>
        <w:rPr>
          <w:rFonts w:ascii="Arial" w:cs="Arial" w:eastAsia="Arial" w:hAnsi="Arial"/>
          <w:sz w:val="16"/>
          <w:szCs w:val="16"/>
          <w:color w:val="005A64"/>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3544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20" w:right="360"/>
        <w:spacing w:after="0" w:line="299" w:lineRule="auto"/>
        <w:rPr>
          <w:sz w:val="20"/>
          <w:szCs w:val="20"/>
          <w:color w:val="auto"/>
        </w:rPr>
      </w:pPr>
      <w:r>
        <w:rPr>
          <w:rFonts w:ascii="Arial" w:cs="Arial" w:eastAsia="Arial" w:hAnsi="Arial"/>
          <w:sz w:val="16"/>
          <w:szCs w:val="16"/>
          <w:b w:val="1"/>
          <w:bCs w:val="1"/>
          <w:color w:val="005A64"/>
        </w:rPr>
        <w:t>Total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3544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005A64"/>
        </w:rPr>
        <w:t>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3544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Share-based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3544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3544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5A64"/>
        </w:rPr>
        <w:t>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3544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5A64"/>
        </w:rPr>
        <w:t>As of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3544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3544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3544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5A64"/>
        </w:rPr>
        <w:t>Total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3544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Share-based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3544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5A64"/>
        </w:rPr>
        <w:t>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3544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7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005A64"/>
              </w:rPr>
              <w:t>Note</w:t>
            </w:r>
          </w:p>
        </w:tc>
        <w:tc>
          <w:tcPr>
            <w:tcW w:w="60" w:type="dxa"/>
            <w:vAlign w:val="bottom"/>
          </w:tcPr>
          <w:p>
            <w:pPr>
              <w:spacing w:after="0"/>
              <w:rPr>
                <w:sz w:val="17"/>
                <w:szCs w:val="17"/>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005A64"/>
              </w:rPr>
              <w:t>Share capital</w:t>
            </w:r>
          </w:p>
        </w:tc>
        <w:tc>
          <w:tcPr>
            <w:tcW w:w="13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005A64"/>
              </w:rPr>
              <w:t>Capital reserve</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005A64"/>
              </w:rPr>
              <w:t>Treasury</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005A64"/>
              </w:rPr>
              <w:t>Retained</w:t>
            </w:r>
          </w:p>
        </w:tc>
        <w:tc>
          <w:tcPr>
            <w:tcW w:w="14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005A64"/>
              </w:rPr>
              <w:t>Other reserves</w:t>
            </w: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Total equity</w:t>
            </w:r>
          </w:p>
        </w:tc>
        <w:tc>
          <w:tcPr>
            <w:tcW w:w="0" w:type="dxa"/>
            <w:vAlign w:val="bottom"/>
          </w:tcPr>
          <w:p>
            <w:pPr>
              <w:spacing w:after="0"/>
              <w:rPr>
                <w:sz w:val="1"/>
                <w:szCs w:val="1"/>
                <w:color w:val="auto"/>
              </w:rPr>
            </w:pPr>
          </w:p>
        </w:tc>
      </w:tr>
      <w:tr>
        <w:trPr>
          <w:trHeight w:val="115"/>
        </w:trPr>
        <w:tc>
          <w:tcPr>
            <w:tcW w:w="7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shares</w:t>
            </w:r>
          </w:p>
        </w:tc>
        <w:tc>
          <w:tcPr>
            <w:tcW w:w="160" w:type="dxa"/>
            <w:vAlign w:val="bottom"/>
            <w:vMerge w:val="restart"/>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earnings</w:t>
            </w:r>
          </w:p>
        </w:tc>
        <w:tc>
          <w:tcPr>
            <w:tcW w:w="160" w:type="dxa"/>
            <w:vAlign w:val="bottom"/>
            <w:vMerge w:val="restart"/>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600" w:type="dxa"/>
            <w:vAlign w:val="bottom"/>
            <w:tcBorders>
              <w:bottom w:val="single" w:sz="8" w:color="005A64"/>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tcBorders>
              <w:bottom w:val="single" w:sz="8" w:color="005A64"/>
            </w:tcBorders>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Borders>
              <w:bottom w:val="single" w:sz="8" w:color="005A64"/>
            </w:tcBorders>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Borders>
              <w:bottom w:val="single" w:sz="8" w:color="005A64"/>
            </w:tcBorders>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40" w:type="dxa"/>
            <w:vAlign w:val="bottom"/>
            <w:tcBorders>
              <w:bottom w:val="single" w:sz="8" w:color="005A64"/>
            </w:tcBorders>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40" w:type="dxa"/>
            <w:vAlign w:val="bottom"/>
            <w:tcBorders>
              <w:bottom w:val="single" w:sz="8" w:color="005A64"/>
            </w:tcBorders>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Borders>
              <w:bottom w:val="single" w:sz="8" w:color="005A64"/>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600" w:type="dxa"/>
            <w:vAlign w:val="bottom"/>
            <w:tcBorders>
              <w:bottom w:val="single" w:sz="8" w:color="005A64"/>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248.6</w:t>
            </w:r>
          </w:p>
        </w:tc>
        <w:tc>
          <w:tcPr>
            <w:tcW w:w="1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1,828.2</w:t>
            </w:r>
          </w:p>
        </w:tc>
        <w:tc>
          <w:tcPr>
            <w:tcW w:w="1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(5.3)</w:t>
            </w:r>
          </w:p>
        </w:tc>
        <w:tc>
          <w:tcPr>
            <w:tcW w:w="160" w:type="dxa"/>
            <w:vAlign w:val="bottom"/>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18,833.0</w:t>
            </w:r>
          </w:p>
        </w:tc>
        <w:tc>
          <w:tcPr>
            <w:tcW w:w="160" w:type="dxa"/>
            <w:vAlign w:val="bottom"/>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(848.9)</w:t>
            </w:r>
          </w:p>
        </w:tc>
        <w:tc>
          <w:tcPr>
            <w:tcW w:w="160" w:type="dxa"/>
            <w:vAlign w:val="bottom"/>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20,055.6</w:t>
            </w:r>
          </w:p>
        </w:tc>
        <w:tc>
          <w:tcPr>
            <w:tcW w:w="0" w:type="dxa"/>
            <w:vAlign w:val="bottom"/>
          </w:tcPr>
          <w:p>
            <w:pPr>
              <w:spacing w:after="0"/>
              <w:rPr>
                <w:sz w:val="1"/>
                <w:szCs w:val="1"/>
                <w:color w:val="auto"/>
              </w:rPr>
            </w:pPr>
          </w:p>
        </w:tc>
      </w:tr>
      <w:tr>
        <w:trPr>
          <w:trHeight w:val="234"/>
        </w:trPr>
        <w:tc>
          <w:tcPr>
            <w:tcW w:w="600" w:type="dxa"/>
            <w:vAlign w:val="bottom"/>
            <w:tcBorders>
              <w:bottom w:val="single" w:sz="8" w:color="7FACB1"/>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311.8</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311.8</w:t>
            </w:r>
          </w:p>
        </w:tc>
        <w:tc>
          <w:tcPr>
            <w:tcW w:w="0" w:type="dxa"/>
            <w:vAlign w:val="bottom"/>
          </w:tcPr>
          <w:p>
            <w:pPr>
              <w:spacing w:after="0"/>
              <w:rPr>
                <w:sz w:val="1"/>
                <w:szCs w:val="1"/>
                <w:color w:val="auto"/>
              </w:rPr>
            </w:pPr>
          </w:p>
        </w:tc>
      </w:tr>
      <w:tr>
        <w:trPr>
          <w:trHeight w:val="322"/>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005A64"/>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005A64"/>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005A64"/>
              </w:rPr>
              <w:t>—</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005A64"/>
              </w:rPr>
              <w:t>—</w:t>
            </w:r>
          </w:p>
        </w:tc>
        <w:tc>
          <w:tcPr>
            <w:tcW w:w="1240" w:type="dxa"/>
            <w:vAlign w:val="bottom"/>
          </w:tcPr>
          <w:p>
            <w:pPr>
              <w:jc w:val="right"/>
              <w:spacing w:after="0"/>
              <w:rPr>
                <w:sz w:val="20"/>
                <w:szCs w:val="20"/>
                <w:color w:val="auto"/>
              </w:rPr>
            </w:pPr>
            <w:r>
              <w:rPr>
                <w:rFonts w:ascii="Arial" w:cs="Arial" w:eastAsia="Arial" w:hAnsi="Arial"/>
                <w:sz w:val="16"/>
                <w:szCs w:val="16"/>
                <w:color w:val="005A64"/>
              </w:rPr>
              <w:t>7.8</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05A64"/>
              </w:rPr>
              <w:t>7.8</w:t>
            </w:r>
          </w:p>
        </w:tc>
        <w:tc>
          <w:tcPr>
            <w:tcW w:w="0" w:type="dxa"/>
            <w:vAlign w:val="bottom"/>
          </w:tcPr>
          <w:p>
            <w:pPr>
              <w:spacing w:after="0"/>
              <w:rPr>
                <w:sz w:val="1"/>
                <w:szCs w:val="1"/>
                <w:color w:val="auto"/>
              </w:rPr>
            </w:pPr>
          </w:p>
        </w:tc>
      </w:tr>
      <w:tr>
        <w:trPr>
          <w:trHeight w:val="124"/>
        </w:trPr>
        <w:tc>
          <w:tcPr>
            <w:tcW w:w="600" w:type="dxa"/>
            <w:vAlign w:val="bottom"/>
            <w:tcBorders>
              <w:bottom w:val="single" w:sz="8" w:color="7FACB1"/>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tcBorders>
              <w:bottom w:val="single" w:sz="8" w:color="7FACB1"/>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bottom w:val="single" w:sz="8" w:color="7FACB1"/>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bottom w:val="single" w:sz="8" w:color="7FACB1"/>
            </w:tcBorders>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Borders>
              <w:bottom w:val="single" w:sz="8" w:color="7FACB1"/>
            </w:tcBorders>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Borders>
              <w:bottom w:val="single" w:sz="8" w:color="7FACB1"/>
            </w:tcBorders>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Borders>
              <w:bottom w:val="single" w:sz="8" w:color="7FACB1"/>
            </w:tcBorders>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005A64"/>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005A64"/>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005A64"/>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5A64"/>
              </w:rPr>
              <w:t>311.8</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5A64"/>
              </w:rPr>
              <w:t>7.8</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5A64"/>
              </w:rPr>
              <w:t>319.6</w:t>
            </w:r>
          </w:p>
        </w:tc>
        <w:tc>
          <w:tcPr>
            <w:tcW w:w="0" w:type="dxa"/>
            <w:vAlign w:val="bottom"/>
          </w:tcPr>
          <w:p>
            <w:pPr>
              <w:spacing w:after="0"/>
              <w:rPr>
                <w:sz w:val="1"/>
                <w:szCs w:val="1"/>
                <w:color w:val="auto"/>
              </w:rPr>
            </w:pPr>
          </w:p>
        </w:tc>
      </w:tr>
      <w:tr>
        <w:trPr>
          <w:trHeight w:val="116"/>
        </w:trPr>
        <w:tc>
          <w:tcPr>
            <w:tcW w:w="600" w:type="dxa"/>
            <w:vAlign w:val="bottom"/>
            <w:tcBorders>
              <w:bottom w:val="single" w:sz="8" w:color="005A64"/>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tcBorders>
              <w:bottom w:val="single" w:sz="8" w:color="005A64"/>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bottom w:val="single" w:sz="8" w:color="005A64"/>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bottom w:val="single" w:sz="8" w:color="005A64"/>
            </w:tcBorders>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Borders>
              <w:bottom w:val="single" w:sz="8" w:color="005A64"/>
            </w:tcBorders>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Borders>
              <w:bottom w:val="single" w:sz="8" w:color="005A64"/>
            </w:tcBorders>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Borders>
              <w:bottom w:val="single" w:sz="8" w:color="005A64"/>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00" w:type="dxa"/>
            <w:vAlign w:val="bottom"/>
            <w:tcBorders>
              <w:bottom w:val="single" w:sz="8" w:color="7FACB1"/>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(432.2)</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(3.8)</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(436.0)</w:t>
            </w:r>
          </w:p>
        </w:tc>
        <w:tc>
          <w:tcPr>
            <w:tcW w:w="0" w:type="dxa"/>
            <w:vAlign w:val="bottom"/>
          </w:tcPr>
          <w:p>
            <w:pPr>
              <w:spacing w:after="0"/>
              <w:rPr>
                <w:sz w:val="1"/>
                <w:szCs w:val="1"/>
                <w:color w:val="auto"/>
              </w:rPr>
            </w:pPr>
          </w:p>
        </w:tc>
      </w:tr>
      <w:tr>
        <w:trPr>
          <w:trHeight w:val="236"/>
        </w:trPr>
        <w:tc>
          <w:tcPr>
            <w:tcW w:w="600" w:type="dxa"/>
            <w:vAlign w:val="bottom"/>
            <w:tcBorders>
              <w:bottom w:val="single" w:sz="8" w:color="7FACB1"/>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28.4</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0.3</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(33.5)</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(4.8)</w:t>
            </w:r>
          </w:p>
        </w:tc>
        <w:tc>
          <w:tcPr>
            <w:tcW w:w="0" w:type="dxa"/>
            <w:vAlign w:val="bottom"/>
          </w:tcPr>
          <w:p>
            <w:pPr>
              <w:spacing w:after="0"/>
              <w:rPr>
                <w:sz w:val="1"/>
                <w:szCs w:val="1"/>
                <w:color w:val="auto"/>
              </w:rPr>
            </w:pPr>
          </w:p>
        </w:tc>
      </w:tr>
      <w:tr>
        <w:trPr>
          <w:trHeight w:val="237"/>
        </w:trPr>
        <w:tc>
          <w:tcPr>
            <w:tcW w:w="600" w:type="dxa"/>
            <w:vAlign w:val="bottom"/>
            <w:tcBorders>
              <w:bottom w:val="single" w:sz="8" w:color="7FACB1"/>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(27.9)</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(27.9)</w:t>
            </w:r>
          </w:p>
        </w:tc>
        <w:tc>
          <w:tcPr>
            <w:tcW w:w="0" w:type="dxa"/>
            <w:vAlign w:val="bottom"/>
          </w:tcPr>
          <w:p>
            <w:pPr>
              <w:spacing w:after="0"/>
              <w:rPr>
                <w:sz w:val="1"/>
                <w:szCs w:val="1"/>
                <w:color w:val="auto"/>
              </w:rPr>
            </w:pPr>
          </w:p>
        </w:tc>
      </w:tr>
      <w:tr>
        <w:trPr>
          <w:trHeight w:val="239"/>
        </w:trPr>
        <w:tc>
          <w:tcPr>
            <w:tcW w:w="600" w:type="dxa"/>
            <w:vAlign w:val="bottom"/>
            <w:tcBorders>
              <w:bottom w:val="single" w:sz="8" w:color="005A64"/>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248.6</w:t>
            </w:r>
          </w:p>
        </w:tc>
        <w:tc>
          <w:tcPr>
            <w:tcW w:w="1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1,424.4</w:t>
            </w:r>
          </w:p>
        </w:tc>
        <w:tc>
          <w:tcPr>
            <w:tcW w:w="1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(8.8)</w:t>
            </w:r>
          </w:p>
        </w:tc>
        <w:tc>
          <w:tcPr>
            <w:tcW w:w="160" w:type="dxa"/>
            <w:vAlign w:val="bottom"/>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19,144.8</w:t>
            </w:r>
          </w:p>
        </w:tc>
        <w:tc>
          <w:tcPr>
            <w:tcW w:w="160" w:type="dxa"/>
            <w:vAlign w:val="bottom"/>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(902.5)</w:t>
            </w:r>
          </w:p>
        </w:tc>
        <w:tc>
          <w:tcPr>
            <w:tcW w:w="160" w:type="dxa"/>
            <w:vAlign w:val="bottom"/>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19,906.5</w:t>
            </w:r>
          </w:p>
        </w:tc>
        <w:tc>
          <w:tcPr>
            <w:tcW w:w="0" w:type="dxa"/>
            <w:vAlign w:val="bottom"/>
          </w:tcPr>
          <w:p>
            <w:pPr>
              <w:spacing w:after="0"/>
              <w:rPr>
                <w:sz w:val="1"/>
                <w:szCs w:val="1"/>
                <w:color w:val="auto"/>
              </w:rPr>
            </w:pPr>
          </w:p>
        </w:tc>
      </w:tr>
      <w:tr>
        <w:trPr>
          <w:trHeight w:val="493"/>
        </w:trPr>
        <w:tc>
          <w:tcPr>
            <w:tcW w:w="600" w:type="dxa"/>
            <w:vAlign w:val="bottom"/>
            <w:tcBorders>
              <w:bottom w:val="single" w:sz="8" w:color="005A64"/>
            </w:tcBorders>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bottom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248.6</w:t>
            </w:r>
          </w:p>
        </w:tc>
        <w:tc>
          <w:tcPr>
            <w:tcW w:w="160" w:type="dxa"/>
            <w:vAlign w:val="bottom"/>
            <w:tcBorders>
              <w:bottom w:val="single" w:sz="8" w:color="BECE33"/>
            </w:tcBorders>
          </w:tcPr>
          <w:p>
            <w:pPr>
              <w:spacing w:after="0"/>
              <w:rPr>
                <w:sz w:val="24"/>
                <w:szCs w:val="24"/>
                <w:color w:val="auto"/>
              </w:rPr>
            </w:pPr>
          </w:p>
        </w:tc>
        <w:tc>
          <w:tcPr>
            <w:tcW w:w="122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1,229.4</w:t>
            </w:r>
          </w:p>
        </w:tc>
        <w:tc>
          <w:tcPr>
            <w:tcW w:w="160" w:type="dxa"/>
            <w:vAlign w:val="bottom"/>
            <w:tcBorders>
              <w:bottom w:val="single" w:sz="8" w:color="BECE33"/>
            </w:tcBorders>
          </w:tcPr>
          <w:p>
            <w:pPr>
              <w:spacing w:after="0"/>
              <w:rPr>
                <w:sz w:val="24"/>
                <w:szCs w:val="24"/>
                <w:color w:val="auto"/>
              </w:rPr>
            </w:pPr>
          </w:p>
        </w:tc>
        <w:tc>
          <w:tcPr>
            <w:tcW w:w="122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(10.8)</w:t>
            </w:r>
          </w:p>
        </w:tc>
        <w:tc>
          <w:tcPr>
            <w:tcW w:w="160" w:type="dxa"/>
            <w:vAlign w:val="bottom"/>
            <w:tcBorders>
              <w:bottom w:val="single" w:sz="8" w:color="BECE33"/>
            </w:tcBorders>
          </w:tcPr>
          <w:p>
            <w:pPr>
              <w:spacing w:after="0"/>
              <w:rPr>
                <w:sz w:val="24"/>
                <w:szCs w:val="24"/>
                <w:color w:val="auto"/>
              </w:rPr>
            </w:pPr>
          </w:p>
        </w:tc>
        <w:tc>
          <w:tcPr>
            <w:tcW w:w="124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19,763.3</w:t>
            </w:r>
          </w:p>
        </w:tc>
        <w:tc>
          <w:tcPr>
            <w:tcW w:w="160" w:type="dxa"/>
            <w:vAlign w:val="bottom"/>
            <w:tcBorders>
              <w:bottom w:val="single" w:sz="8" w:color="BECE33"/>
            </w:tcBorders>
          </w:tcPr>
          <w:p>
            <w:pPr>
              <w:spacing w:after="0"/>
              <w:rPr>
                <w:sz w:val="24"/>
                <w:szCs w:val="24"/>
                <w:color w:val="auto"/>
              </w:rPr>
            </w:pPr>
          </w:p>
        </w:tc>
        <w:tc>
          <w:tcPr>
            <w:tcW w:w="124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(984.6)</w:t>
            </w:r>
          </w:p>
        </w:tc>
        <w:tc>
          <w:tcPr>
            <w:tcW w:w="160" w:type="dxa"/>
            <w:vAlign w:val="bottom"/>
            <w:tcBorders>
              <w:bottom w:val="single" w:sz="8" w:color="BECE33"/>
            </w:tcBorders>
          </w:tcPr>
          <w:p>
            <w:pPr>
              <w:spacing w:after="0"/>
              <w:rPr>
                <w:sz w:val="24"/>
                <w:szCs w:val="24"/>
                <w:color w:val="auto"/>
              </w:rPr>
            </w:pPr>
          </w:p>
        </w:tc>
        <w:tc>
          <w:tcPr>
            <w:tcW w:w="124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20,245.9</w:t>
            </w:r>
          </w:p>
        </w:tc>
        <w:tc>
          <w:tcPr>
            <w:tcW w:w="0" w:type="dxa"/>
            <w:vAlign w:val="bottom"/>
          </w:tcPr>
          <w:p>
            <w:pPr>
              <w:spacing w:after="0"/>
              <w:rPr>
                <w:sz w:val="1"/>
                <w:szCs w:val="1"/>
                <w:color w:val="auto"/>
              </w:rPr>
            </w:pPr>
          </w:p>
        </w:tc>
      </w:tr>
      <w:tr>
        <w:trPr>
          <w:trHeight w:val="234"/>
        </w:trPr>
        <w:tc>
          <w:tcPr>
            <w:tcW w:w="600" w:type="dxa"/>
            <w:vAlign w:val="bottom"/>
            <w:tcBorders>
              <w:bottom w:val="single" w:sz="8" w:color="7FACB1"/>
            </w:tcBorders>
          </w:tcPr>
          <w:p>
            <w:pPr>
              <w:spacing w:after="0"/>
              <w:rPr>
                <w:sz w:val="20"/>
                <w:szCs w:val="20"/>
                <w:color w:val="auto"/>
              </w:rPr>
            </w:pPr>
          </w:p>
        </w:tc>
        <w:tc>
          <w:tcPr>
            <w:tcW w:w="10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(1,122.9)</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40" w:type="dxa"/>
            <w:vAlign w:val="bottom"/>
            <w:tcBorders>
              <w:bottom w:val="single" w:sz="8" w:color="7FACB1"/>
              <w:right w:val="single" w:sz="8" w:color="BECE33"/>
            </w:tcBorders>
          </w:tcPr>
          <w:p>
            <w:pPr>
              <w:jc w:val="right"/>
              <w:spacing w:after="0"/>
              <w:rPr>
                <w:sz w:val="20"/>
                <w:szCs w:val="20"/>
                <w:color w:val="auto"/>
              </w:rPr>
            </w:pPr>
            <w:r>
              <w:rPr>
                <w:rFonts w:ascii="Arial" w:cs="Arial" w:eastAsia="Arial" w:hAnsi="Arial"/>
                <w:sz w:val="16"/>
                <w:szCs w:val="16"/>
                <w:color w:val="005A64"/>
              </w:rPr>
              <w:t>(1,122.9)</w:t>
            </w:r>
          </w:p>
        </w:tc>
        <w:tc>
          <w:tcPr>
            <w:tcW w:w="0" w:type="dxa"/>
            <w:vAlign w:val="bottom"/>
          </w:tcPr>
          <w:p>
            <w:pPr>
              <w:spacing w:after="0"/>
              <w:rPr>
                <w:sz w:val="1"/>
                <w:szCs w:val="1"/>
                <w:color w:val="auto"/>
              </w:rPr>
            </w:pPr>
          </w:p>
        </w:tc>
      </w:tr>
      <w:tr>
        <w:trPr>
          <w:trHeight w:val="237"/>
        </w:trPr>
        <w:tc>
          <w:tcPr>
            <w:tcW w:w="600" w:type="dxa"/>
            <w:vAlign w:val="bottom"/>
            <w:tcBorders>
              <w:bottom w:val="single" w:sz="8" w:color="7FACB1"/>
            </w:tcBorders>
          </w:tcPr>
          <w:p>
            <w:pPr>
              <w:spacing w:after="0"/>
              <w:rPr>
                <w:sz w:val="20"/>
                <w:szCs w:val="20"/>
                <w:color w:val="auto"/>
              </w:rPr>
            </w:pPr>
          </w:p>
        </w:tc>
        <w:tc>
          <w:tcPr>
            <w:tcW w:w="10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(85.3)</w:t>
            </w:r>
          </w:p>
        </w:tc>
        <w:tc>
          <w:tcPr>
            <w:tcW w:w="160" w:type="dxa"/>
            <w:vAlign w:val="bottom"/>
          </w:tcPr>
          <w:p>
            <w:pPr>
              <w:spacing w:after="0"/>
              <w:rPr>
                <w:sz w:val="20"/>
                <w:szCs w:val="20"/>
                <w:color w:val="auto"/>
              </w:rPr>
            </w:pPr>
          </w:p>
        </w:tc>
        <w:tc>
          <w:tcPr>
            <w:tcW w:w="1240" w:type="dxa"/>
            <w:vAlign w:val="bottom"/>
            <w:tcBorders>
              <w:bottom w:val="single" w:sz="8" w:color="7FACB1"/>
              <w:right w:val="single" w:sz="8" w:color="BECE33"/>
            </w:tcBorders>
          </w:tcPr>
          <w:p>
            <w:pPr>
              <w:jc w:val="right"/>
              <w:spacing w:after="0"/>
              <w:rPr>
                <w:sz w:val="20"/>
                <w:szCs w:val="20"/>
                <w:color w:val="auto"/>
              </w:rPr>
            </w:pPr>
            <w:r>
              <w:rPr>
                <w:rFonts w:ascii="Arial" w:cs="Arial" w:eastAsia="Arial" w:hAnsi="Arial"/>
                <w:sz w:val="16"/>
                <w:szCs w:val="16"/>
                <w:color w:val="005A64"/>
              </w:rPr>
              <w:t>(85.3)</w:t>
            </w:r>
          </w:p>
        </w:tc>
        <w:tc>
          <w:tcPr>
            <w:tcW w:w="0" w:type="dxa"/>
            <w:vAlign w:val="bottom"/>
          </w:tcPr>
          <w:p>
            <w:pPr>
              <w:spacing w:after="0"/>
              <w:rPr>
                <w:sz w:val="1"/>
                <w:szCs w:val="1"/>
                <w:color w:val="auto"/>
              </w:rPr>
            </w:pPr>
          </w:p>
        </w:tc>
      </w:tr>
      <w:tr>
        <w:trPr>
          <w:trHeight w:val="239"/>
        </w:trPr>
        <w:tc>
          <w:tcPr>
            <w:tcW w:w="600" w:type="dxa"/>
            <w:vAlign w:val="bottom"/>
            <w:tcBorders>
              <w:bottom w:val="single" w:sz="8" w:color="005A64"/>
            </w:tcBorders>
          </w:tcPr>
          <w:p>
            <w:pPr>
              <w:spacing w:after="0"/>
              <w:rPr>
                <w:sz w:val="20"/>
                <w:szCs w:val="20"/>
                <w:color w:val="auto"/>
              </w:rPr>
            </w:pPr>
          </w:p>
        </w:tc>
        <w:tc>
          <w:tcPr>
            <w:tcW w:w="10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w:t>
            </w:r>
          </w:p>
        </w:tc>
        <w:tc>
          <w:tcPr>
            <w:tcW w:w="1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w:t>
            </w:r>
          </w:p>
        </w:tc>
        <w:tc>
          <w:tcPr>
            <w:tcW w:w="1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w:t>
            </w:r>
          </w:p>
        </w:tc>
        <w:tc>
          <w:tcPr>
            <w:tcW w:w="160" w:type="dxa"/>
            <w:vAlign w:val="bottom"/>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(1,122.9)</w:t>
            </w:r>
          </w:p>
        </w:tc>
        <w:tc>
          <w:tcPr>
            <w:tcW w:w="160" w:type="dxa"/>
            <w:vAlign w:val="bottom"/>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(85.3)</w:t>
            </w:r>
          </w:p>
        </w:tc>
        <w:tc>
          <w:tcPr>
            <w:tcW w:w="160" w:type="dxa"/>
            <w:vAlign w:val="bottom"/>
          </w:tcPr>
          <w:p>
            <w:pPr>
              <w:spacing w:after="0"/>
              <w:rPr>
                <w:sz w:val="20"/>
                <w:szCs w:val="20"/>
                <w:color w:val="auto"/>
              </w:rPr>
            </w:pPr>
          </w:p>
        </w:tc>
        <w:tc>
          <w:tcPr>
            <w:tcW w:w="1240" w:type="dxa"/>
            <w:vAlign w:val="bottom"/>
            <w:tcBorders>
              <w:bottom w:val="single" w:sz="8" w:color="005A64"/>
              <w:right w:val="single" w:sz="8" w:color="BECE33"/>
            </w:tcBorders>
          </w:tcPr>
          <w:p>
            <w:pPr>
              <w:jc w:val="right"/>
              <w:spacing w:after="0"/>
              <w:rPr>
                <w:sz w:val="20"/>
                <w:szCs w:val="20"/>
                <w:color w:val="auto"/>
              </w:rPr>
            </w:pPr>
            <w:r>
              <w:rPr>
                <w:rFonts w:ascii="Arial" w:cs="Arial" w:eastAsia="Arial" w:hAnsi="Arial"/>
                <w:sz w:val="16"/>
                <w:szCs w:val="16"/>
                <w:b w:val="1"/>
                <w:bCs w:val="1"/>
                <w:color w:val="005A64"/>
              </w:rPr>
              <w:t>(1,208.2)</w:t>
            </w:r>
          </w:p>
        </w:tc>
        <w:tc>
          <w:tcPr>
            <w:tcW w:w="0" w:type="dxa"/>
            <w:vAlign w:val="bottom"/>
          </w:tcPr>
          <w:p>
            <w:pPr>
              <w:spacing w:after="0"/>
              <w:rPr>
                <w:sz w:val="1"/>
                <w:szCs w:val="1"/>
                <w:color w:val="auto"/>
              </w:rPr>
            </w:pPr>
          </w:p>
        </w:tc>
      </w:tr>
      <w:tr>
        <w:trPr>
          <w:trHeight w:val="234"/>
        </w:trPr>
        <w:tc>
          <w:tcPr>
            <w:tcW w:w="600" w:type="dxa"/>
            <w:vAlign w:val="bottom"/>
            <w:tcBorders>
              <w:bottom w:val="single" w:sz="8" w:color="7FACB1"/>
            </w:tcBorders>
          </w:tcPr>
          <w:p>
            <w:pPr>
              <w:spacing w:after="0"/>
              <w:rPr>
                <w:sz w:val="20"/>
                <w:szCs w:val="20"/>
                <w:color w:val="auto"/>
              </w:rPr>
            </w:pPr>
          </w:p>
        </w:tc>
        <w:tc>
          <w:tcPr>
            <w:tcW w:w="10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2.9</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31.7</w:t>
            </w:r>
          </w:p>
        </w:tc>
        <w:tc>
          <w:tcPr>
            <w:tcW w:w="160" w:type="dxa"/>
            <w:vAlign w:val="bottom"/>
          </w:tcPr>
          <w:p>
            <w:pPr>
              <w:spacing w:after="0"/>
              <w:rPr>
                <w:sz w:val="20"/>
                <w:szCs w:val="20"/>
                <w:color w:val="auto"/>
              </w:rPr>
            </w:pPr>
          </w:p>
        </w:tc>
        <w:tc>
          <w:tcPr>
            <w:tcW w:w="1240" w:type="dxa"/>
            <w:vAlign w:val="bottom"/>
            <w:tcBorders>
              <w:bottom w:val="single" w:sz="8" w:color="7FACB1"/>
              <w:right w:val="single" w:sz="8" w:color="BECE33"/>
            </w:tcBorders>
          </w:tcPr>
          <w:p>
            <w:pPr>
              <w:jc w:val="right"/>
              <w:spacing w:after="0"/>
              <w:rPr>
                <w:sz w:val="20"/>
                <w:szCs w:val="20"/>
                <w:color w:val="auto"/>
              </w:rPr>
            </w:pPr>
            <w:r>
              <w:rPr>
                <w:rFonts w:ascii="Arial" w:cs="Arial" w:eastAsia="Arial" w:hAnsi="Arial"/>
                <w:sz w:val="16"/>
                <w:szCs w:val="16"/>
                <w:color w:val="005A64"/>
              </w:rPr>
              <w:t>34.6</w:t>
            </w:r>
          </w:p>
        </w:tc>
        <w:tc>
          <w:tcPr>
            <w:tcW w:w="0" w:type="dxa"/>
            <w:vAlign w:val="bottom"/>
          </w:tcPr>
          <w:p>
            <w:pPr>
              <w:spacing w:after="0"/>
              <w:rPr>
                <w:sz w:val="1"/>
                <w:szCs w:val="1"/>
                <w:color w:val="auto"/>
              </w:rPr>
            </w:pPr>
          </w:p>
        </w:tc>
      </w:tr>
      <w:tr>
        <w:trPr>
          <w:trHeight w:val="239"/>
        </w:trPr>
        <w:tc>
          <w:tcPr>
            <w:tcW w:w="600" w:type="dxa"/>
            <w:vAlign w:val="bottom"/>
            <w:tcBorders>
              <w:bottom w:val="single" w:sz="8" w:color="005A64"/>
            </w:tcBorders>
          </w:tcPr>
          <w:p>
            <w:pPr>
              <w:spacing w:after="0"/>
              <w:rPr>
                <w:sz w:val="20"/>
                <w:szCs w:val="20"/>
                <w:color w:val="auto"/>
              </w:rPr>
            </w:pPr>
          </w:p>
        </w:tc>
        <w:tc>
          <w:tcPr>
            <w:tcW w:w="100" w:type="dxa"/>
            <w:vAlign w:val="bottom"/>
            <w:tcBorders>
              <w:right w:val="single" w:sz="8" w:color="BECE33"/>
            </w:tcBorders>
          </w:tcPr>
          <w:p>
            <w:pPr>
              <w:spacing w:after="0"/>
              <w:rPr>
                <w:sz w:val="20"/>
                <w:szCs w:val="20"/>
                <w:color w:val="auto"/>
              </w:rPr>
            </w:pPr>
          </w:p>
        </w:tc>
        <w:tc>
          <w:tcPr>
            <w:tcW w:w="1280" w:type="dxa"/>
            <w:vAlign w:val="bottom"/>
            <w:tcBorders>
              <w:bottom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248.6</w:t>
            </w:r>
          </w:p>
        </w:tc>
        <w:tc>
          <w:tcPr>
            <w:tcW w:w="160" w:type="dxa"/>
            <w:vAlign w:val="bottom"/>
            <w:tcBorders>
              <w:bottom w:val="single" w:sz="8" w:color="BECE33"/>
            </w:tcBorders>
          </w:tcPr>
          <w:p>
            <w:pPr>
              <w:spacing w:after="0"/>
              <w:rPr>
                <w:sz w:val="20"/>
                <w:szCs w:val="20"/>
                <w:color w:val="auto"/>
              </w:rPr>
            </w:pPr>
          </w:p>
        </w:tc>
        <w:tc>
          <w:tcPr>
            <w:tcW w:w="122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1,232.3</w:t>
            </w:r>
          </w:p>
        </w:tc>
        <w:tc>
          <w:tcPr>
            <w:tcW w:w="160" w:type="dxa"/>
            <w:vAlign w:val="bottom"/>
            <w:tcBorders>
              <w:bottom w:val="single" w:sz="8" w:color="BECE33"/>
            </w:tcBorders>
          </w:tcPr>
          <w:p>
            <w:pPr>
              <w:spacing w:after="0"/>
              <w:rPr>
                <w:sz w:val="20"/>
                <w:szCs w:val="20"/>
                <w:color w:val="auto"/>
              </w:rPr>
            </w:pPr>
          </w:p>
        </w:tc>
        <w:tc>
          <w:tcPr>
            <w:tcW w:w="122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(10.8)</w:t>
            </w:r>
          </w:p>
        </w:tc>
        <w:tc>
          <w:tcPr>
            <w:tcW w:w="160" w:type="dxa"/>
            <w:vAlign w:val="bottom"/>
            <w:tcBorders>
              <w:bottom w:val="single" w:sz="8" w:color="BECE33"/>
            </w:tcBorders>
          </w:tcPr>
          <w:p>
            <w:pPr>
              <w:spacing w:after="0"/>
              <w:rPr>
                <w:sz w:val="20"/>
                <w:szCs w:val="20"/>
                <w:color w:val="auto"/>
              </w:rPr>
            </w:pPr>
          </w:p>
        </w:tc>
        <w:tc>
          <w:tcPr>
            <w:tcW w:w="124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18,640.4</w:t>
            </w:r>
          </w:p>
        </w:tc>
        <w:tc>
          <w:tcPr>
            <w:tcW w:w="160" w:type="dxa"/>
            <w:vAlign w:val="bottom"/>
            <w:tcBorders>
              <w:bottom w:val="single" w:sz="8" w:color="BECE33"/>
            </w:tcBorders>
          </w:tcPr>
          <w:p>
            <w:pPr>
              <w:spacing w:after="0"/>
              <w:rPr>
                <w:sz w:val="20"/>
                <w:szCs w:val="20"/>
                <w:color w:val="auto"/>
              </w:rPr>
            </w:pPr>
          </w:p>
        </w:tc>
        <w:tc>
          <w:tcPr>
            <w:tcW w:w="124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(1,038.2)</w:t>
            </w:r>
          </w:p>
        </w:tc>
        <w:tc>
          <w:tcPr>
            <w:tcW w:w="160" w:type="dxa"/>
            <w:vAlign w:val="bottom"/>
            <w:tcBorders>
              <w:bottom w:val="single" w:sz="8" w:color="BECE33"/>
            </w:tcBorders>
          </w:tcPr>
          <w:p>
            <w:pPr>
              <w:spacing w:after="0"/>
              <w:rPr>
                <w:sz w:val="20"/>
                <w:szCs w:val="20"/>
                <w:color w:val="auto"/>
              </w:rPr>
            </w:pPr>
          </w:p>
        </w:tc>
        <w:tc>
          <w:tcPr>
            <w:tcW w:w="1240" w:type="dxa"/>
            <w:vAlign w:val="bottom"/>
            <w:tcBorders>
              <w:bottom w:val="single" w:sz="8" w:color="BECE33"/>
              <w:right w:val="single" w:sz="8" w:color="BECE33"/>
            </w:tcBorders>
          </w:tcPr>
          <w:p>
            <w:pPr>
              <w:jc w:val="right"/>
              <w:spacing w:after="0"/>
              <w:rPr>
                <w:sz w:val="20"/>
                <w:szCs w:val="20"/>
                <w:color w:val="auto"/>
              </w:rPr>
            </w:pPr>
            <w:r>
              <w:rPr>
                <w:rFonts w:ascii="Arial" w:cs="Arial" w:eastAsia="Arial" w:hAnsi="Arial"/>
                <w:sz w:val="16"/>
                <w:szCs w:val="16"/>
                <w:b w:val="1"/>
                <w:bCs w:val="1"/>
                <w:color w:val="005A64"/>
              </w:rPr>
              <w:t>19,072.3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000" w:space="300"/>
            <w:col w:w="8940"/>
          </w:cols>
          <w:pgMar w:left="320" w:top="341" w:right="339" w:bottom="1440" w:gutter="0" w:footer="0" w:header="0"/>
          <w:type w:val="continuous"/>
        </w:sectPr>
      </w:pP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4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Interim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234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005A64"/>
              </w:rPr>
              <w:t>Three months ended</w:t>
            </w:r>
          </w:p>
        </w:tc>
        <w:tc>
          <w:tcPr>
            <w:tcW w:w="80" w:type="dxa"/>
            <w:vAlign w:val="bottom"/>
          </w:tcPr>
          <w:p>
            <w:pPr>
              <w:spacing w:after="0"/>
              <w:rPr>
                <w:sz w:val="15"/>
                <w:szCs w:val="15"/>
                <w:color w:val="auto"/>
              </w:rPr>
            </w:pPr>
          </w:p>
        </w:tc>
        <w:tc>
          <w:tcPr>
            <w:tcW w:w="2560" w:type="dxa"/>
            <w:vAlign w:val="bottom"/>
            <w:gridSpan w:val="5"/>
          </w:tcPr>
          <w:p>
            <w:pPr>
              <w:jc w:val="right"/>
              <w:ind w:right="608"/>
              <w:spacing w:after="0"/>
              <w:rPr>
                <w:sz w:val="20"/>
                <w:szCs w:val="20"/>
                <w:color w:val="auto"/>
              </w:rPr>
            </w:pPr>
            <w:r>
              <w:rPr>
                <w:rFonts w:ascii="Arial" w:cs="Arial" w:eastAsia="Arial" w:hAnsi="Arial"/>
                <w:sz w:val="14"/>
                <w:szCs w:val="14"/>
                <w:b w:val="1"/>
                <w:bCs w:val="1"/>
                <w:color w:val="005A64"/>
              </w:rPr>
              <w:t>Six months ended</w:t>
            </w: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4"/>
          </w:tcPr>
          <w:p>
            <w:pPr>
              <w:jc w:val="center"/>
              <w:ind w:left="788"/>
              <w:spacing w:after="0"/>
              <w:rPr>
                <w:sz w:val="20"/>
                <w:szCs w:val="20"/>
                <w:color w:val="auto"/>
              </w:rPr>
            </w:pPr>
            <w:r>
              <w:rPr>
                <w:rFonts w:ascii="Arial" w:cs="Arial" w:eastAsia="Arial" w:hAnsi="Arial"/>
                <w:sz w:val="14"/>
                <w:szCs w:val="14"/>
                <w:b w:val="1"/>
                <w:bCs w:val="1"/>
                <w:color w:val="005A64"/>
              </w:rPr>
              <w:t>June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4"/>
          </w:tcPr>
          <w:p>
            <w:pPr>
              <w:ind w:left="1000"/>
              <w:spacing w:after="0"/>
              <w:rPr>
                <w:sz w:val="20"/>
                <w:szCs w:val="20"/>
                <w:color w:val="auto"/>
              </w:rPr>
            </w:pPr>
            <w:r>
              <w:rPr>
                <w:rFonts w:ascii="Arial" w:cs="Arial" w:eastAsia="Arial" w:hAnsi="Arial"/>
                <w:sz w:val="14"/>
                <w:szCs w:val="14"/>
                <w:b w:val="1"/>
                <w:bCs w:val="1"/>
                <w:color w:val="005A64"/>
              </w:rPr>
              <w:t>June 30,</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Borders>
              <w:bottom w:val="single" w:sz="8" w:color="BECD32"/>
            </w:tcBorders>
            <w:gridSpan w:val="2"/>
          </w:tcPr>
          <w:p>
            <w:pPr>
              <w:spacing w:after="0"/>
              <w:rPr>
                <w:sz w:val="10"/>
                <w:szCs w:val="10"/>
                <w:color w:val="auto"/>
              </w:rPr>
            </w:pPr>
          </w:p>
        </w:tc>
        <w:tc>
          <w:tcPr>
            <w:tcW w:w="10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2023</w:t>
            </w:r>
          </w:p>
        </w:tc>
        <w:tc>
          <w:tcPr>
            <w:tcW w:w="100" w:type="dxa"/>
            <w:vAlign w:val="bottom"/>
          </w:tcPr>
          <w:p>
            <w:pPr>
              <w:spacing w:after="0"/>
              <w:rPr>
                <w:sz w:val="10"/>
                <w:szCs w:val="10"/>
                <w:color w:val="auto"/>
              </w:rPr>
            </w:pPr>
          </w:p>
        </w:tc>
        <w:tc>
          <w:tcPr>
            <w:tcW w:w="1260" w:type="dxa"/>
            <w:vAlign w:val="bottom"/>
            <w:tcBorders>
              <w:bottom w:val="single" w:sz="8" w:color="BECD32"/>
            </w:tcBorders>
            <w:gridSpan w:val="2"/>
          </w:tcPr>
          <w:p>
            <w:pPr>
              <w:spacing w:after="0"/>
              <w:rPr>
                <w:sz w:val="10"/>
                <w:szCs w:val="10"/>
                <w:color w:val="auto"/>
              </w:rPr>
            </w:pPr>
          </w:p>
        </w:tc>
        <w:tc>
          <w:tcPr>
            <w:tcW w:w="12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2023</w:t>
            </w:r>
          </w:p>
        </w:tc>
        <w:tc>
          <w:tcPr>
            <w:tcW w:w="0" w:type="dxa"/>
            <w:vAlign w:val="bottom"/>
          </w:tcPr>
          <w:p>
            <w:pPr>
              <w:spacing w:after="0"/>
              <w:rPr>
                <w:sz w:val="1"/>
                <w:szCs w:val="1"/>
                <w:color w:val="auto"/>
              </w:rPr>
            </w:pPr>
          </w:p>
        </w:tc>
      </w:tr>
      <w:tr>
        <w:trPr>
          <w:trHeight w:val="207"/>
        </w:trPr>
        <w:tc>
          <w:tcPr>
            <w:tcW w:w="5740" w:type="dxa"/>
            <w:vAlign w:val="bottom"/>
          </w:tcPr>
          <w:p>
            <w:pPr>
              <w:spacing w:after="0"/>
              <w:rPr>
                <w:sz w:val="18"/>
                <w:szCs w:val="18"/>
                <w:color w:val="auto"/>
              </w:rPr>
            </w:pPr>
          </w:p>
        </w:tc>
        <w:tc>
          <w:tcPr>
            <w:tcW w:w="100" w:type="dxa"/>
            <w:vAlign w:val="bottom"/>
            <w:tcBorders>
              <w:right w:val="single" w:sz="8" w:color="BECD32"/>
            </w:tcBorders>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2024</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Borders>
              <w:right w:val="single" w:sz="8" w:color="BECD32"/>
            </w:tcBorders>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2024</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4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i w:val="1"/>
                <w:iCs w:val="1"/>
                <w:color w:val="005A64"/>
              </w:rPr>
              <w:t>(in millions €)</w:t>
            </w:r>
          </w:p>
        </w:tc>
        <w:tc>
          <w:tcPr>
            <w:tcW w:w="80" w:type="dxa"/>
            <w:vAlign w:val="bottom"/>
          </w:tcPr>
          <w:p>
            <w:pPr>
              <w:spacing w:after="0"/>
              <w:rPr>
                <w:sz w:val="19"/>
                <w:szCs w:val="19"/>
                <w:color w:val="auto"/>
              </w:rPr>
            </w:pPr>
          </w:p>
        </w:tc>
        <w:tc>
          <w:tcPr>
            <w:tcW w:w="1280" w:type="dxa"/>
            <w:vAlign w:val="bottom"/>
            <w:tcBorders>
              <w:right w:val="single" w:sz="8" w:color="BECD32"/>
            </w:tcBorders>
            <w:gridSpan w:val="2"/>
          </w:tcPr>
          <w:p>
            <w:pPr>
              <w:ind w:left="420"/>
              <w:spacing w:after="0"/>
              <w:rPr>
                <w:sz w:val="20"/>
                <w:szCs w:val="20"/>
                <w:color w:val="auto"/>
              </w:rPr>
            </w:pPr>
            <w:r>
              <w:rPr>
                <w:rFonts w:ascii="Arial" w:cs="Arial" w:eastAsia="Arial" w:hAnsi="Arial"/>
                <w:sz w:val="14"/>
                <w:szCs w:val="14"/>
                <w:i w:val="1"/>
                <w:iCs w:val="1"/>
                <w:color w:val="005A64"/>
              </w:rPr>
              <w:t>(unaudited)</w:t>
            </w:r>
          </w:p>
        </w:tc>
        <w:tc>
          <w:tcPr>
            <w:tcW w:w="400" w:type="dxa"/>
            <w:vAlign w:val="bottom"/>
            <w:gridSpan w:val="2"/>
          </w:tcPr>
          <w:p>
            <w:pPr>
              <w:spacing w:after="0"/>
              <w:rPr>
                <w:sz w:val="19"/>
                <w:szCs w:val="19"/>
                <w:color w:val="auto"/>
              </w:rPr>
            </w:pPr>
          </w:p>
        </w:tc>
        <w:tc>
          <w:tcPr>
            <w:tcW w:w="980" w:type="dxa"/>
            <w:vAlign w:val="bottom"/>
            <w:tcBorders>
              <w:right w:val="single" w:sz="8" w:color="BECD32"/>
            </w:tcBorders>
            <w:gridSpan w:val="2"/>
          </w:tcPr>
          <w:p>
            <w:pPr>
              <w:ind w:left="120"/>
              <w:spacing w:after="0"/>
              <w:rPr>
                <w:sz w:val="20"/>
                <w:szCs w:val="20"/>
                <w:color w:val="auto"/>
              </w:rPr>
            </w:pPr>
            <w:r>
              <w:rPr>
                <w:rFonts w:ascii="Arial" w:cs="Arial" w:eastAsia="Arial" w:hAnsi="Arial"/>
                <w:sz w:val="14"/>
                <w:szCs w:val="14"/>
                <w:i w:val="1"/>
                <w:iCs w:val="1"/>
                <w:color w:val="005A64"/>
              </w:rPr>
              <w:t>(unaudited)</w:t>
            </w:r>
          </w:p>
        </w:tc>
        <w:tc>
          <w:tcPr>
            <w:tcW w:w="80" w:type="dxa"/>
            <w:vAlign w:val="bottom"/>
          </w:tcPr>
          <w:p>
            <w:pPr>
              <w:spacing w:after="0"/>
              <w:rPr>
                <w:sz w:val="19"/>
                <w:szCs w:val="19"/>
                <w:color w:val="auto"/>
              </w:rPr>
            </w:pPr>
          </w:p>
        </w:tc>
        <w:tc>
          <w:tcPr>
            <w:tcW w:w="1300" w:type="dxa"/>
            <w:vAlign w:val="bottom"/>
            <w:tcBorders>
              <w:right w:val="single" w:sz="8" w:color="BECD32"/>
            </w:tcBorders>
            <w:gridSpan w:val="2"/>
          </w:tcPr>
          <w:p>
            <w:pPr>
              <w:ind w:left="440"/>
              <w:spacing w:after="0"/>
              <w:rPr>
                <w:sz w:val="20"/>
                <w:szCs w:val="20"/>
                <w:color w:val="auto"/>
              </w:rPr>
            </w:pPr>
            <w:r>
              <w:rPr>
                <w:rFonts w:ascii="Arial" w:cs="Arial" w:eastAsia="Arial" w:hAnsi="Arial"/>
                <w:sz w:val="14"/>
                <w:szCs w:val="14"/>
                <w:i w:val="1"/>
                <w:iCs w:val="1"/>
                <w:color w:val="005A64"/>
              </w:rPr>
              <w:t>(unaudited)</w:t>
            </w:r>
          </w:p>
        </w:tc>
        <w:tc>
          <w:tcPr>
            <w:tcW w:w="400" w:type="dxa"/>
            <w:vAlign w:val="bottom"/>
            <w:gridSpan w:val="2"/>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005A64"/>
              </w:rPr>
              <w:t>(unaudited)</w:t>
            </w:r>
          </w:p>
        </w:tc>
        <w:tc>
          <w:tcPr>
            <w:tcW w:w="0" w:type="dxa"/>
            <w:vAlign w:val="bottom"/>
          </w:tcPr>
          <w:p>
            <w:pPr>
              <w:spacing w:after="0"/>
              <w:rPr>
                <w:sz w:val="1"/>
                <w:szCs w:val="1"/>
                <w:color w:val="auto"/>
              </w:rPr>
            </w:pPr>
          </w:p>
        </w:tc>
      </w:tr>
      <w:tr>
        <w:trPr>
          <w:trHeight w:val="22"/>
        </w:trPr>
        <w:tc>
          <w:tcPr>
            <w:tcW w:w="5740" w:type="dxa"/>
            <w:vAlign w:val="bottom"/>
            <w:tcBorders>
              <w:bottom w:val="single" w:sz="8" w:color="005A64"/>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005A64"/>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005A64"/>
            </w:tcBorders>
          </w:tcPr>
          <w:p>
            <w:pPr>
              <w:spacing w:after="0" w:line="20" w:lineRule="exact"/>
              <w:rPr>
                <w:sz w:val="1"/>
                <w:szCs w:val="1"/>
                <w:color w:val="auto"/>
              </w:rPr>
            </w:pPr>
          </w:p>
        </w:tc>
        <w:tc>
          <w:tcPr>
            <w:tcW w:w="880" w:type="dxa"/>
            <w:vAlign w:val="bottom"/>
            <w:tcBorders>
              <w:bottom w:val="single" w:sz="8" w:color="005A64"/>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005A64"/>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005A64"/>
            </w:tcBorders>
          </w:tcPr>
          <w:p>
            <w:pPr>
              <w:spacing w:after="0" w:line="20" w:lineRule="exact"/>
              <w:rPr>
                <w:sz w:val="1"/>
                <w:szCs w:val="1"/>
                <w:color w:val="auto"/>
              </w:rPr>
            </w:pPr>
          </w:p>
        </w:tc>
        <w:tc>
          <w:tcPr>
            <w:tcW w:w="860" w:type="dxa"/>
            <w:vAlign w:val="bottom"/>
            <w:tcBorders>
              <w:bottom w:val="single" w:sz="8" w:color="005A6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7FACB1"/>
            </w:tcBorders>
          </w:tcPr>
          <w:p>
            <w:pPr>
              <w:ind w:left="20"/>
              <w:spacing w:after="0"/>
              <w:rPr>
                <w:sz w:val="20"/>
                <w:szCs w:val="20"/>
                <w:color w:val="auto"/>
              </w:rPr>
            </w:pPr>
            <w:r>
              <w:rPr>
                <w:rFonts w:ascii="Arial" w:cs="Arial" w:eastAsia="Arial" w:hAnsi="Arial"/>
                <w:sz w:val="14"/>
                <w:szCs w:val="14"/>
                <w:b w:val="1"/>
                <w:bCs w:val="1"/>
                <w:color w:val="3C9673"/>
              </w:rPr>
              <w:t>Operating activities</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7FACB1"/>
            </w:tcBorders>
          </w:tcPr>
          <w:p>
            <w:pPr>
              <w:spacing w:after="0"/>
              <w:rPr>
                <w:sz w:val="18"/>
                <w:szCs w:val="18"/>
                <w:color w:val="auto"/>
              </w:rPr>
            </w:pP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7FACB1"/>
            </w:tcBorders>
          </w:tcPr>
          <w:p>
            <w:pPr>
              <w:spacing w:after="0"/>
              <w:rPr>
                <w:sz w:val="18"/>
                <w:szCs w:val="18"/>
                <w:color w:val="auto"/>
              </w:rPr>
            </w:pPr>
          </w:p>
        </w:tc>
        <w:tc>
          <w:tcPr>
            <w:tcW w:w="880" w:type="dxa"/>
            <w:vAlign w:val="bottom"/>
            <w:tcBorders>
              <w:bottom w:val="single" w:sz="8" w:color="7FACB1"/>
            </w:tcBorders>
          </w:tcPr>
          <w:p>
            <w:pPr>
              <w:spacing w:after="0"/>
              <w:rPr>
                <w:sz w:val="18"/>
                <w:szCs w:val="18"/>
                <w:color w:val="auto"/>
              </w:rPr>
            </w:pP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7FACB1"/>
            </w:tcBorders>
          </w:tcPr>
          <w:p>
            <w:pPr>
              <w:spacing w:after="0"/>
              <w:rPr>
                <w:sz w:val="18"/>
                <w:szCs w:val="18"/>
                <w:color w:val="auto"/>
              </w:rPr>
            </w:pP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7FACB1"/>
            </w:tcBorders>
          </w:tcPr>
          <w:p>
            <w:pPr>
              <w:spacing w:after="0"/>
              <w:rPr>
                <w:sz w:val="18"/>
                <w:szCs w:val="18"/>
                <w:color w:val="auto"/>
              </w:rPr>
            </w:pPr>
          </w:p>
        </w:tc>
        <w:tc>
          <w:tcPr>
            <w:tcW w:w="860" w:type="dxa"/>
            <w:vAlign w:val="bottom"/>
            <w:tcBorders>
              <w:bottom w:val="single" w:sz="8" w:color="7FACB1"/>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4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Profit / (Loss) for the period</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(807.8)</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(190.4)</w:t>
            </w:r>
          </w:p>
        </w:tc>
        <w:tc>
          <w:tcPr>
            <w:tcW w:w="100" w:type="dxa"/>
            <w:vAlign w:val="bottom"/>
            <w:tcBorders>
              <w:right w:val="single" w:sz="8" w:color="BECD32"/>
            </w:tcBorders>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(1,122.9)</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311.8</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Income taxes</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2.0</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(221.8)</w:t>
            </w:r>
          </w:p>
        </w:tc>
        <w:tc>
          <w:tcPr>
            <w:tcW w:w="100" w:type="dxa"/>
            <w:vAlign w:val="bottom"/>
            <w:tcBorders>
              <w:right w:val="single" w:sz="8" w:color="BECD32"/>
            </w:tcBorders>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(14.7)</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(16.3)</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740" w:type="dxa"/>
            <w:vAlign w:val="bottom"/>
            <w:tcBorders>
              <w:bottom w:val="single" w:sz="8" w:color="005A64"/>
            </w:tcBorders>
          </w:tcPr>
          <w:p>
            <w:pPr>
              <w:ind w:left="20"/>
              <w:spacing w:after="0"/>
              <w:rPr>
                <w:sz w:val="20"/>
                <w:szCs w:val="20"/>
                <w:color w:val="auto"/>
              </w:rPr>
            </w:pPr>
            <w:r>
              <w:rPr>
                <w:rFonts w:ascii="Arial" w:cs="Arial" w:eastAsia="Arial" w:hAnsi="Arial"/>
                <w:sz w:val="14"/>
                <w:szCs w:val="14"/>
                <w:b w:val="1"/>
                <w:bCs w:val="1"/>
                <w:color w:val="005A64"/>
              </w:rPr>
              <w:t>Profit / (Loss) before tax</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(805.8)</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005A64"/>
            </w:tcBorders>
          </w:tcPr>
          <w:p>
            <w:pPr>
              <w:spacing w:after="0"/>
              <w:rPr>
                <w:sz w:val="18"/>
                <w:szCs w:val="18"/>
                <w:color w:val="auto"/>
              </w:rPr>
            </w:pPr>
          </w:p>
        </w:tc>
        <w:tc>
          <w:tcPr>
            <w:tcW w:w="8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(412.2)</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(1,137.6)</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005A64"/>
            </w:tcBorders>
          </w:tcPr>
          <w:p>
            <w:pPr>
              <w:spacing w:after="0"/>
              <w:rPr>
                <w:sz w:val="18"/>
                <w:szCs w:val="18"/>
                <w:color w:val="auto"/>
              </w:rPr>
            </w:pPr>
          </w:p>
        </w:tc>
        <w:tc>
          <w:tcPr>
            <w:tcW w:w="86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295.5</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7FACB1"/>
            </w:tcBorders>
          </w:tcPr>
          <w:p>
            <w:pPr>
              <w:ind w:left="20"/>
              <w:spacing w:after="0"/>
              <w:rPr>
                <w:sz w:val="20"/>
                <w:szCs w:val="20"/>
                <w:color w:val="auto"/>
              </w:rPr>
            </w:pPr>
            <w:r>
              <w:rPr>
                <w:rFonts w:ascii="Arial" w:cs="Arial" w:eastAsia="Arial" w:hAnsi="Arial"/>
                <w:sz w:val="14"/>
                <w:szCs w:val="14"/>
                <w:b w:val="1"/>
                <w:bCs w:val="1"/>
                <w:color w:val="3C9673"/>
              </w:rPr>
              <w:t>Adjustments to reconcile profit before tax to net cash flows:</w:t>
            </w: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bottom w:val="single" w:sz="8" w:color="7FACB1"/>
            </w:tcBorders>
          </w:tcPr>
          <w:p>
            <w:pPr>
              <w:spacing w:after="0"/>
              <w:rPr>
                <w:sz w:val="19"/>
                <w:szCs w:val="19"/>
                <w:color w:val="auto"/>
              </w:rPr>
            </w:pP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7FACB1"/>
            </w:tcBorders>
          </w:tcPr>
          <w:p>
            <w:pPr>
              <w:spacing w:after="0"/>
              <w:rPr>
                <w:sz w:val="19"/>
                <w:szCs w:val="19"/>
                <w:color w:val="auto"/>
              </w:rPr>
            </w:pPr>
          </w:p>
        </w:tc>
        <w:tc>
          <w:tcPr>
            <w:tcW w:w="880" w:type="dxa"/>
            <w:vAlign w:val="bottom"/>
            <w:tcBorders>
              <w:bottom w:val="single" w:sz="8" w:color="7FACB1"/>
            </w:tcBorders>
          </w:tcPr>
          <w:p>
            <w:pPr>
              <w:spacing w:after="0"/>
              <w:rPr>
                <w:sz w:val="19"/>
                <w:szCs w:val="19"/>
                <w:color w:val="auto"/>
              </w:rPr>
            </w:pP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bottom w:val="single" w:sz="8" w:color="7FACB1"/>
            </w:tcBorders>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7FACB1"/>
            </w:tcBorders>
          </w:tcPr>
          <w:p>
            <w:pPr>
              <w:spacing w:after="0"/>
              <w:rPr>
                <w:sz w:val="19"/>
                <w:szCs w:val="19"/>
                <w:color w:val="auto"/>
              </w:rPr>
            </w:pPr>
          </w:p>
        </w:tc>
        <w:tc>
          <w:tcPr>
            <w:tcW w:w="860" w:type="dxa"/>
            <w:vAlign w:val="bottom"/>
            <w:tcBorders>
              <w:bottom w:val="single" w:sz="8" w:color="7FACB1"/>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84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Depreciation and amortization of property, plant, equipment, intangible assets and right-</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005A64"/>
              </w:rPr>
              <w:t>49.9</w:t>
            </w:r>
          </w:p>
        </w:tc>
        <w:tc>
          <w:tcPr>
            <w:tcW w:w="10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005A64"/>
              </w:rPr>
              <w:t>31.9</w:t>
            </w:r>
          </w:p>
        </w:tc>
        <w:tc>
          <w:tcPr>
            <w:tcW w:w="100" w:type="dxa"/>
            <w:vAlign w:val="bottom"/>
            <w:tcBorders>
              <w:right w:val="single" w:sz="8" w:color="BECD32"/>
            </w:tcBorders>
          </w:tcPr>
          <w:p>
            <w:pPr>
              <w:spacing w:after="0"/>
              <w:rPr>
                <w:sz w:val="16"/>
                <w:szCs w:val="16"/>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005A64"/>
              </w:rPr>
              <w:t>88.2</w:t>
            </w:r>
          </w:p>
        </w:tc>
        <w:tc>
          <w:tcPr>
            <w:tcW w:w="12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005A64"/>
              </w:rPr>
              <w:t>63.3</w:t>
            </w:r>
          </w:p>
        </w:tc>
        <w:tc>
          <w:tcPr>
            <w:tcW w:w="0" w:type="dxa"/>
            <w:vAlign w:val="bottom"/>
          </w:tcPr>
          <w:p>
            <w:pPr>
              <w:spacing w:after="0"/>
              <w:rPr>
                <w:sz w:val="1"/>
                <w:szCs w:val="1"/>
                <w:color w:val="auto"/>
              </w:rPr>
            </w:pPr>
          </w:p>
        </w:tc>
      </w:tr>
      <w:tr>
        <w:trPr>
          <w:trHeight w:val="96"/>
        </w:trPr>
        <w:tc>
          <w:tcPr>
            <w:tcW w:w="5840" w:type="dxa"/>
            <w:vAlign w:val="bottom"/>
            <w:tcBorders>
              <w:right w:val="single" w:sz="8" w:color="BECD32"/>
            </w:tcBorders>
            <w:gridSpan w:val="2"/>
            <w:vMerge w:val="restart"/>
          </w:tcPr>
          <w:p>
            <w:pPr>
              <w:ind w:left="140"/>
              <w:spacing w:after="0"/>
              <w:rPr>
                <w:sz w:val="20"/>
                <w:szCs w:val="20"/>
                <w:color w:val="auto"/>
              </w:rPr>
            </w:pPr>
            <w:r>
              <w:rPr>
                <w:rFonts w:ascii="Arial" w:cs="Arial" w:eastAsia="Arial" w:hAnsi="Arial"/>
                <w:sz w:val="14"/>
                <w:szCs w:val="14"/>
                <w:color w:val="005A64"/>
              </w:rPr>
              <w:t>of-use assets</w:t>
            </w:r>
          </w:p>
        </w:tc>
        <w:tc>
          <w:tcPr>
            <w:tcW w:w="1260" w:type="dxa"/>
            <w:vAlign w:val="bottom"/>
            <w:gridSpan w:val="2"/>
            <w:vMerge w:val="continue"/>
          </w:tcPr>
          <w:p>
            <w:pPr>
              <w:spacing w:after="0"/>
              <w:rPr>
                <w:sz w:val="8"/>
                <w:szCs w:val="8"/>
                <w:color w:val="auto"/>
              </w:rPr>
            </w:pPr>
          </w:p>
        </w:tc>
        <w:tc>
          <w:tcPr>
            <w:tcW w:w="100" w:type="dxa"/>
            <w:vAlign w:val="bottom"/>
            <w:tcBorders>
              <w:right w:val="single" w:sz="8" w:color="BECD32"/>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00" w:type="dxa"/>
            <w:vAlign w:val="bottom"/>
            <w:tcBorders>
              <w:right w:val="single" w:sz="8" w:color="BECD32"/>
            </w:tcBorders>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Borders>
              <w:right w:val="single" w:sz="8" w:color="BECD32"/>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840" w:type="dxa"/>
            <w:vAlign w:val="bottom"/>
            <w:tcBorders>
              <w:right w:val="single" w:sz="8" w:color="BECD32"/>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right w:val="single" w:sz="8" w:color="BECD32"/>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right w:val="single" w:sz="8" w:color="BECD32"/>
            </w:tcBorders>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Borders>
              <w:right w:val="single" w:sz="8" w:color="BECD32"/>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Share-based payment expenses</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20.2</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13.1</w:t>
            </w:r>
          </w:p>
        </w:tc>
        <w:tc>
          <w:tcPr>
            <w:tcW w:w="100" w:type="dxa"/>
            <w:vAlign w:val="bottom"/>
            <w:tcBorders>
              <w:right w:val="single" w:sz="8" w:color="BECD32"/>
            </w:tcBorders>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36.5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21.7</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84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Net foreign exchange differences</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(13.2)</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(397.0)</w:t>
            </w:r>
          </w:p>
        </w:tc>
        <w:tc>
          <w:tcPr>
            <w:tcW w:w="100" w:type="dxa"/>
            <w:vAlign w:val="bottom"/>
            <w:tcBorders>
              <w:right w:val="single" w:sz="8" w:color="BECD32"/>
            </w:tcBorders>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(41.9)</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(343.9)</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(Gain) / Loss on disposal of property, plant and equipment</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(0.2)</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0.1</w:t>
            </w:r>
          </w:p>
        </w:tc>
        <w:tc>
          <w:tcPr>
            <w:tcW w:w="100" w:type="dxa"/>
            <w:vAlign w:val="bottom"/>
            <w:tcBorders>
              <w:right w:val="single" w:sz="8" w:color="BECD32"/>
            </w:tcBorders>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(0.2)</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0.3</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84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Finance income excluding foreign exchange differences</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(167.7)</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(126.6)</w:t>
            </w:r>
          </w:p>
        </w:tc>
        <w:tc>
          <w:tcPr>
            <w:tcW w:w="100" w:type="dxa"/>
            <w:vAlign w:val="bottom"/>
            <w:tcBorders>
              <w:right w:val="single" w:sz="8" w:color="BECD32"/>
            </w:tcBorders>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(342.6)</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(208.9)</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Finance expense excluding foreign exchange differences</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4.8</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1.3</w:t>
            </w:r>
          </w:p>
        </w:tc>
        <w:tc>
          <w:tcPr>
            <w:tcW w:w="100" w:type="dxa"/>
            <w:vAlign w:val="bottom"/>
            <w:tcBorders>
              <w:right w:val="single" w:sz="8" w:color="BECD32"/>
            </w:tcBorders>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9.5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2.5</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84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Government grants</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(3.1)</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4"/>
                <w:szCs w:val="14"/>
                <w:color w:val="005A64"/>
              </w:rPr>
              <w:t>—</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(12.2)</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(3.0)</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Unrealized loss on derivative instruments at fair value through profit or loss</w:t>
            </w:r>
            <w:r>
              <w:rPr>
                <w:rFonts w:ascii="Arial" w:cs="Arial" w:eastAsia="Arial" w:hAnsi="Arial"/>
                <w:sz w:val="9"/>
                <w:szCs w:val="9"/>
                <w:color w:val="005A64"/>
              </w:rPr>
              <w:t>(1)</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5.0</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124.0</w:t>
            </w:r>
          </w:p>
        </w:tc>
        <w:tc>
          <w:tcPr>
            <w:tcW w:w="100" w:type="dxa"/>
            <w:vAlign w:val="bottom"/>
            <w:tcBorders>
              <w:right w:val="single" w:sz="8" w:color="BECD32"/>
            </w:tcBorders>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6.7</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200.2</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740" w:type="dxa"/>
            <w:vAlign w:val="bottom"/>
            <w:tcBorders>
              <w:bottom w:val="single" w:sz="8" w:color="7FACB1"/>
            </w:tcBorders>
          </w:tcPr>
          <w:p>
            <w:pPr>
              <w:ind w:left="20"/>
              <w:spacing w:after="0"/>
              <w:rPr>
                <w:sz w:val="20"/>
                <w:szCs w:val="20"/>
                <w:color w:val="auto"/>
              </w:rPr>
            </w:pPr>
            <w:r>
              <w:rPr>
                <w:rFonts w:ascii="Arial" w:cs="Arial" w:eastAsia="Arial" w:hAnsi="Arial"/>
                <w:sz w:val="14"/>
                <w:szCs w:val="14"/>
                <w:b w:val="1"/>
                <w:bCs w:val="1"/>
                <w:color w:val="3C9673"/>
              </w:rPr>
              <w:t>Working capital adjustments:</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7FACB1"/>
            </w:tcBorders>
          </w:tcPr>
          <w:p>
            <w:pPr>
              <w:spacing w:after="0"/>
              <w:rPr>
                <w:sz w:val="18"/>
                <w:szCs w:val="18"/>
                <w:color w:val="auto"/>
              </w:rPr>
            </w:pP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7FACB1"/>
            </w:tcBorders>
          </w:tcPr>
          <w:p>
            <w:pPr>
              <w:spacing w:after="0"/>
              <w:rPr>
                <w:sz w:val="18"/>
                <w:szCs w:val="18"/>
                <w:color w:val="auto"/>
              </w:rPr>
            </w:pPr>
          </w:p>
        </w:tc>
        <w:tc>
          <w:tcPr>
            <w:tcW w:w="880" w:type="dxa"/>
            <w:vAlign w:val="bottom"/>
            <w:tcBorders>
              <w:bottom w:val="single" w:sz="8" w:color="7FACB1"/>
            </w:tcBorders>
          </w:tcPr>
          <w:p>
            <w:pPr>
              <w:spacing w:after="0"/>
              <w:rPr>
                <w:sz w:val="18"/>
                <w:szCs w:val="18"/>
                <w:color w:val="auto"/>
              </w:rPr>
            </w:pP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7FACB1"/>
            </w:tcBorders>
          </w:tcPr>
          <w:p>
            <w:pPr>
              <w:spacing w:after="0"/>
              <w:rPr>
                <w:sz w:val="18"/>
                <w:szCs w:val="18"/>
                <w:color w:val="auto"/>
              </w:rPr>
            </w:pP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7FACB1"/>
            </w:tcBorders>
          </w:tcPr>
          <w:p>
            <w:pPr>
              <w:spacing w:after="0"/>
              <w:rPr>
                <w:sz w:val="18"/>
                <w:szCs w:val="18"/>
                <w:color w:val="auto"/>
              </w:rPr>
            </w:pPr>
          </w:p>
        </w:tc>
        <w:tc>
          <w:tcPr>
            <w:tcW w:w="860" w:type="dxa"/>
            <w:vAlign w:val="bottom"/>
            <w:tcBorders>
              <w:bottom w:val="single" w:sz="8" w:color="7FACB1"/>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4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Decrease in trade and other receivables, contract assets and other assets</w:t>
            </w:r>
            <w:r>
              <w:rPr>
                <w:rFonts w:ascii="Arial" w:cs="Arial" w:eastAsia="Arial" w:hAnsi="Arial"/>
                <w:sz w:val="9"/>
                <w:szCs w:val="9"/>
                <w:color w:val="005A64"/>
              </w:rPr>
              <w:t>(1)</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1,599.6</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4,137.0</w:t>
            </w:r>
          </w:p>
        </w:tc>
        <w:tc>
          <w:tcPr>
            <w:tcW w:w="100" w:type="dxa"/>
            <w:vAlign w:val="bottom"/>
            <w:tcBorders>
              <w:right w:val="single" w:sz="8" w:color="BECD32"/>
            </w:tcBorders>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2,097.8</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5,030.8</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Decrease / (Increase) in inventories</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5.3</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(24.8)</w:t>
            </w:r>
          </w:p>
        </w:tc>
        <w:tc>
          <w:tcPr>
            <w:tcW w:w="100" w:type="dxa"/>
            <w:vAlign w:val="bottom"/>
            <w:tcBorders>
              <w:right w:val="single" w:sz="8" w:color="BECD32"/>
            </w:tcBorders>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17.6</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(9.3)</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584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(Decrease) / Increase in trade payables, other financial liabilities, other liabilities,</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005A64"/>
              </w:rPr>
              <w:t>760.8</w:t>
            </w:r>
          </w:p>
        </w:tc>
        <w:tc>
          <w:tcPr>
            <w:tcW w:w="10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005A64"/>
              </w:rPr>
              <w:t>592.7</w:t>
            </w:r>
          </w:p>
        </w:tc>
        <w:tc>
          <w:tcPr>
            <w:tcW w:w="100" w:type="dxa"/>
            <w:vAlign w:val="bottom"/>
            <w:tcBorders>
              <w:right w:val="single" w:sz="8" w:color="BECD32"/>
            </w:tcBorders>
          </w:tcPr>
          <w:p>
            <w:pPr>
              <w:spacing w:after="0"/>
              <w:rPr>
                <w:sz w:val="16"/>
                <w:szCs w:val="16"/>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005A64"/>
              </w:rPr>
              <w:t>472.8</w:t>
            </w:r>
          </w:p>
        </w:tc>
        <w:tc>
          <w:tcPr>
            <w:tcW w:w="12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005A64"/>
              </w:rPr>
              <w:t>(268.9)</w:t>
            </w:r>
          </w:p>
        </w:tc>
        <w:tc>
          <w:tcPr>
            <w:tcW w:w="0" w:type="dxa"/>
            <w:vAlign w:val="bottom"/>
          </w:tcPr>
          <w:p>
            <w:pPr>
              <w:spacing w:after="0"/>
              <w:rPr>
                <w:sz w:val="1"/>
                <w:szCs w:val="1"/>
                <w:color w:val="auto"/>
              </w:rPr>
            </w:pPr>
          </w:p>
        </w:tc>
      </w:tr>
      <w:tr>
        <w:trPr>
          <w:trHeight w:val="96"/>
        </w:trPr>
        <w:tc>
          <w:tcPr>
            <w:tcW w:w="5840" w:type="dxa"/>
            <w:vAlign w:val="bottom"/>
            <w:tcBorders>
              <w:right w:val="single" w:sz="8" w:color="BECD32"/>
            </w:tcBorders>
            <w:gridSpan w:val="2"/>
            <w:vMerge w:val="restart"/>
          </w:tcPr>
          <w:p>
            <w:pPr>
              <w:ind w:left="140"/>
              <w:spacing w:after="0"/>
              <w:rPr>
                <w:sz w:val="20"/>
                <w:szCs w:val="20"/>
                <w:color w:val="auto"/>
              </w:rPr>
            </w:pPr>
            <w:r>
              <w:rPr>
                <w:rFonts w:ascii="Arial" w:cs="Arial" w:eastAsia="Arial" w:hAnsi="Arial"/>
                <w:sz w:val="14"/>
                <w:szCs w:val="14"/>
                <w:color w:val="005A64"/>
              </w:rPr>
              <w:t>contract liabilities, refund liabilities and provisions</w:t>
            </w:r>
          </w:p>
        </w:tc>
        <w:tc>
          <w:tcPr>
            <w:tcW w:w="1260" w:type="dxa"/>
            <w:vAlign w:val="bottom"/>
            <w:gridSpan w:val="2"/>
            <w:vMerge w:val="continue"/>
          </w:tcPr>
          <w:p>
            <w:pPr>
              <w:spacing w:after="0"/>
              <w:rPr>
                <w:sz w:val="8"/>
                <w:szCs w:val="8"/>
                <w:color w:val="auto"/>
              </w:rPr>
            </w:pPr>
          </w:p>
        </w:tc>
        <w:tc>
          <w:tcPr>
            <w:tcW w:w="100" w:type="dxa"/>
            <w:vAlign w:val="bottom"/>
            <w:tcBorders>
              <w:right w:val="single" w:sz="8" w:color="BECD32"/>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00" w:type="dxa"/>
            <w:vAlign w:val="bottom"/>
            <w:tcBorders>
              <w:right w:val="single" w:sz="8" w:color="BECD32"/>
            </w:tcBorders>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Borders>
              <w:right w:val="single" w:sz="8" w:color="BECD32"/>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840" w:type="dxa"/>
            <w:vAlign w:val="bottom"/>
            <w:tcBorders>
              <w:right w:val="single" w:sz="8" w:color="BECD32"/>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right w:val="single" w:sz="8" w:color="BECD32"/>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right w:val="single" w:sz="8" w:color="BECD32"/>
            </w:tcBorders>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Borders>
              <w:right w:val="single" w:sz="8" w:color="BECD32"/>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Interest received and realized gains from cash and cash equivalents</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80.8</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42.5</w:t>
            </w:r>
          </w:p>
        </w:tc>
        <w:tc>
          <w:tcPr>
            <w:tcW w:w="100" w:type="dxa"/>
            <w:vAlign w:val="bottom"/>
            <w:tcBorders>
              <w:right w:val="single" w:sz="8" w:color="BECD32"/>
            </w:tcBorders>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280.2</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96.1</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Interest paid and realized losses from cash and cash equivalents</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(1.6)</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(1.3)</w:t>
            </w:r>
          </w:p>
        </w:tc>
        <w:tc>
          <w:tcPr>
            <w:tcW w:w="100" w:type="dxa"/>
            <w:vAlign w:val="bottom"/>
            <w:tcBorders>
              <w:right w:val="single" w:sz="8" w:color="BECD32"/>
            </w:tcBorders>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(5.3)</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(2.5)</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Income tax received / (paid), net</w:t>
            </w:r>
            <w:r>
              <w:rPr>
                <w:rFonts w:ascii="Arial" w:cs="Arial" w:eastAsia="Arial" w:hAnsi="Arial"/>
                <w:sz w:val="9"/>
                <w:szCs w:val="9"/>
                <w:color w:val="005A64"/>
              </w:rPr>
              <w:t>(1)</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66.4</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437.3</w:t>
            </w:r>
          </w:p>
        </w:tc>
        <w:tc>
          <w:tcPr>
            <w:tcW w:w="100" w:type="dxa"/>
            <w:vAlign w:val="bottom"/>
            <w:tcBorders>
              <w:right w:val="single" w:sz="8" w:color="BECD32"/>
            </w:tcBorders>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(192.4)</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(407.6)</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84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Share-based payments</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(6.8)</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(31.3)</w:t>
            </w:r>
          </w:p>
        </w:tc>
        <w:tc>
          <w:tcPr>
            <w:tcW w:w="100" w:type="dxa"/>
            <w:vAlign w:val="bottom"/>
            <w:tcBorders>
              <w:right w:val="single" w:sz="8" w:color="BECD32"/>
            </w:tcBorders>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(9.2)</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(757.0)</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Government grants received</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32.8</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4"/>
                <w:szCs w:val="14"/>
                <w:color w:val="005A64"/>
              </w:rPr>
              <w:t>—</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42.0</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005A64"/>
            </w:tcBorders>
          </w:tcPr>
          <w:p>
            <w:pPr>
              <w:ind w:left="20"/>
              <w:spacing w:after="0"/>
              <w:rPr>
                <w:sz w:val="20"/>
                <w:szCs w:val="20"/>
                <w:color w:val="auto"/>
              </w:rPr>
            </w:pPr>
            <w:r>
              <w:rPr>
                <w:rFonts w:ascii="Arial" w:cs="Arial" w:eastAsia="Arial" w:hAnsi="Arial"/>
                <w:sz w:val="14"/>
                <w:szCs w:val="14"/>
                <w:b w:val="1"/>
                <w:bCs w:val="1"/>
                <w:color w:val="005A64"/>
              </w:rPr>
              <w:t>Net cash flows from operating activities</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1,627.2</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005A64"/>
            </w:tcBorders>
          </w:tcPr>
          <w:p>
            <w:pPr>
              <w:spacing w:after="0"/>
              <w:rPr>
                <w:sz w:val="18"/>
                <w:szCs w:val="18"/>
                <w:color w:val="auto"/>
              </w:rPr>
            </w:pPr>
          </w:p>
        </w:tc>
        <w:tc>
          <w:tcPr>
            <w:tcW w:w="8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4,386.7</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1,309.9</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005A64"/>
            </w:tcBorders>
          </w:tcPr>
          <w:p>
            <w:pPr>
              <w:spacing w:after="0"/>
              <w:rPr>
                <w:sz w:val="18"/>
                <w:szCs w:val="18"/>
                <w:color w:val="auto"/>
              </w:rPr>
            </w:pPr>
          </w:p>
        </w:tc>
        <w:tc>
          <w:tcPr>
            <w:tcW w:w="86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3,709.3</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7FACB1"/>
            </w:tcBorders>
          </w:tcPr>
          <w:p>
            <w:pPr>
              <w:ind w:left="20"/>
              <w:spacing w:after="0"/>
              <w:rPr>
                <w:sz w:val="20"/>
                <w:szCs w:val="20"/>
                <w:color w:val="auto"/>
              </w:rPr>
            </w:pPr>
            <w:r>
              <w:rPr>
                <w:rFonts w:ascii="Arial" w:cs="Arial" w:eastAsia="Arial" w:hAnsi="Arial"/>
                <w:sz w:val="14"/>
                <w:szCs w:val="14"/>
                <w:b w:val="1"/>
                <w:bCs w:val="1"/>
                <w:color w:val="3C9673"/>
              </w:rPr>
              <w:t>Investing activities</w:t>
            </w: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bottom w:val="single" w:sz="8" w:color="7FACB1"/>
            </w:tcBorders>
          </w:tcPr>
          <w:p>
            <w:pPr>
              <w:spacing w:after="0"/>
              <w:rPr>
                <w:sz w:val="19"/>
                <w:szCs w:val="19"/>
                <w:color w:val="auto"/>
              </w:rPr>
            </w:pP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7FACB1"/>
            </w:tcBorders>
          </w:tcPr>
          <w:p>
            <w:pPr>
              <w:spacing w:after="0"/>
              <w:rPr>
                <w:sz w:val="19"/>
                <w:szCs w:val="19"/>
                <w:color w:val="auto"/>
              </w:rPr>
            </w:pPr>
          </w:p>
        </w:tc>
        <w:tc>
          <w:tcPr>
            <w:tcW w:w="880" w:type="dxa"/>
            <w:vAlign w:val="bottom"/>
            <w:tcBorders>
              <w:bottom w:val="single" w:sz="8" w:color="7FACB1"/>
            </w:tcBorders>
          </w:tcPr>
          <w:p>
            <w:pPr>
              <w:spacing w:after="0"/>
              <w:rPr>
                <w:sz w:val="19"/>
                <w:szCs w:val="19"/>
                <w:color w:val="auto"/>
              </w:rPr>
            </w:pP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bottom w:val="single" w:sz="8" w:color="7FACB1"/>
            </w:tcBorders>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7FACB1"/>
            </w:tcBorders>
          </w:tcPr>
          <w:p>
            <w:pPr>
              <w:spacing w:after="0"/>
              <w:rPr>
                <w:sz w:val="19"/>
                <w:szCs w:val="19"/>
                <w:color w:val="auto"/>
              </w:rPr>
            </w:pPr>
          </w:p>
        </w:tc>
        <w:tc>
          <w:tcPr>
            <w:tcW w:w="860" w:type="dxa"/>
            <w:vAlign w:val="bottom"/>
            <w:tcBorders>
              <w:bottom w:val="single" w:sz="8" w:color="7FACB1"/>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84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Purchase of property, plant and equipment</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(88.6)</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(67.2)</w:t>
            </w:r>
          </w:p>
        </w:tc>
        <w:tc>
          <w:tcPr>
            <w:tcW w:w="100" w:type="dxa"/>
            <w:vAlign w:val="bottom"/>
            <w:tcBorders>
              <w:right w:val="single" w:sz="8" w:color="BECD32"/>
            </w:tcBorders>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(147.1)</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(112.4)</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Proceeds from sale of property, plant and equipment</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0.2</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4"/>
                <w:szCs w:val="14"/>
                <w:color w:val="005A64"/>
              </w:rPr>
              <w:t>—</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0.2</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84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Purchase of intangible assets and right-of-use assets</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(52.7)</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(242.1)</w:t>
            </w:r>
          </w:p>
        </w:tc>
        <w:tc>
          <w:tcPr>
            <w:tcW w:w="100" w:type="dxa"/>
            <w:vAlign w:val="bottom"/>
            <w:tcBorders>
              <w:right w:val="single" w:sz="8" w:color="BECD32"/>
            </w:tcBorders>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(131.1)</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(251.7)</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Investment in other financial assets</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(2,448.2)</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(1,982.5)</w:t>
            </w:r>
          </w:p>
        </w:tc>
        <w:tc>
          <w:tcPr>
            <w:tcW w:w="100" w:type="dxa"/>
            <w:vAlign w:val="bottom"/>
            <w:tcBorders>
              <w:right w:val="single" w:sz="8" w:color="BECD32"/>
            </w:tcBorders>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(7,343.3)</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(2,663.1)</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Proceeds from maturity of other financial assets</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2,347.9</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4"/>
                <w:szCs w:val="14"/>
                <w:color w:val="005A64"/>
              </w:rPr>
              <w:t>—</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5,075.5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005A64"/>
            </w:tcBorders>
          </w:tcPr>
          <w:p>
            <w:pPr>
              <w:ind w:left="20"/>
              <w:spacing w:after="0"/>
              <w:rPr>
                <w:sz w:val="20"/>
                <w:szCs w:val="20"/>
                <w:color w:val="auto"/>
              </w:rPr>
            </w:pPr>
            <w:r>
              <w:rPr>
                <w:rFonts w:ascii="Arial" w:cs="Arial" w:eastAsia="Arial" w:hAnsi="Arial"/>
                <w:sz w:val="14"/>
                <w:szCs w:val="14"/>
                <w:b w:val="1"/>
                <w:bCs w:val="1"/>
                <w:color w:val="005A64"/>
              </w:rPr>
              <w:t>Net cash flows used in investing activities</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(241.4)</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005A64"/>
            </w:tcBorders>
          </w:tcPr>
          <w:p>
            <w:pPr>
              <w:spacing w:after="0"/>
              <w:rPr>
                <w:sz w:val="18"/>
                <w:szCs w:val="18"/>
                <w:color w:val="auto"/>
              </w:rPr>
            </w:pPr>
          </w:p>
        </w:tc>
        <w:tc>
          <w:tcPr>
            <w:tcW w:w="8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(2,291.8)</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(2,545.8)</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005A64"/>
            </w:tcBorders>
          </w:tcPr>
          <w:p>
            <w:pPr>
              <w:spacing w:after="0"/>
              <w:rPr>
                <w:sz w:val="18"/>
                <w:szCs w:val="18"/>
                <w:color w:val="auto"/>
              </w:rPr>
            </w:pPr>
          </w:p>
        </w:tc>
        <w:tc>
          <w:tcPr>
            <w:tcW w:w="86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(3,027.2)</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7FACB1"/>
            </w:tcBorders>
          </w:tcPr>
          <w:p>
            <w:pPr>
              <w:ind w:left="20"/>
              <w:spacing w:after="0"/>
              <w:rPr>
                <w:sz w:val="20"/>
                <w:szCs w:val="20"/>
                <w:color w:val="auto"/>
              </w:rPr>
            </w:pPr>
            <w:r>
              <w:rPr>
                <w:rFonts w:ascii="Arial" w:cs="Arial" w:eastAsia="Arial" w:hAnsi="Arial"/>
                <w:sz w:val="14"/>
                <w:szCs w:val="14"/>
                <w:b w:val="1"/>
                <w:bCs w:val="1"/>
                <w:color w:val="3C9673"/>
              </w:rPr>
              <w:t>Financing activities</w:t>
            </w: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bottom w:val="single" w:sz="8" w:color="7FACB1"/>
            </w:tcBorders>
          </w:tcPr>
          <w:p>
            <w:pPr>
              <w:spacing w:after="0"/>
              <w:rPr>
                <w:sz w:val="19"/>
                <w:szCs w:val="19"/>
                <w:color w:val="auto"/>
              </w:rPr>
            </w:pP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7FACB1"/>
            </w:tcBorders>
          </w:tcPr>
          <w:p>
            <w:pPr>
              <w:spacing w:after="0"/>
              <w:rPr>
                <w:sz w:val="19"/>
                <w:szCs w:val="19"/>
                <w:color w:val="auto"/>
              </w:rPr>
            </w:pPr>
          </w:p>
        </w:tc>
        <w:tc>
          <w:tcPr>
            <w:tcW w:w="880" w:type="dxa"/>
            <w:vAlign w:val="bottom"/>
            <w:tcBorders>
              <w:bottom w:val="single" w:sz="8" w:color="7FACB1"/>
            </w:tcBorders>
          </w:tcPr>
          <w:p>
            <w:pPr>
              <w:spacing w:after="0"/>
              <w:rPr>
                <w:sz w:val="19"/>
                <w:szCs w:val="19"/>
                <w:color w:val="auto"/>
              </w:rPr>
            </w:pP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bottom w:val="single" w:sz="8" w:color="7FACB1"/>
            </w:tcBorders>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7FACB1"/>
            </w:tcBorders>
          </w:tcPr>
          <w:p>
            <w:pPr>
              <w:spacing w:after="0"/>
              <w:rPr>
                <w:sz w:val="19"/>
                <w:szCs w:val="19"/>
                <w:color w:val="auto"/>
              </w:rPr>
            </w:pPr>
          </w:p>
        </w:tc>
        <w:tc>
          <w:tcPr>
            <w:tcW w:w="860" w:type="dxa"/>
            <w:vAlign w:val="bottom"/>
            <w:tcBorders>
              <w:bottom w:val="single" w:sz="8" w:color="7FACB1"/>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84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Repayment of loans and borrowings</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(2.3)</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4"/>
                <w:szCs w:val="14"/>
                <w:color w:val="005A64"/>
              </w:rPr>
              <w:t>—</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(2.3)</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w:t>
            </w:r>
          </w:p>
        </w:tc>
        <w:tc>
          <w:tcPr>
            <w:tcW w:w="0" w:type="dxa"/>
            <w:vAlign w:val="bottom"/>
          </w:tcPr>
          <w:p>
            <w:pPr>
              <w:spacing w:after="0"/>
              <w:rPr>
                <w:sz w:val="1"/>
                <w:szCs w:val="1"/>
                <w:color w:val="auto"/>
              </w:rPr>
            </w:pPr>
          </w:p>
        </w:tc>
      </w:tr>
      <w:tr>
        <w:trPr>
          <w:trHeight w:val="22"/>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84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Payments related to lease liabilities</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(20.6)</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(9.4)</w:t>
            </w:r>
          </w:p>
        </w:tc>
        <w:tc>
          <w:tcPr>
            <w:tcW w:w="100" w:type="dxa"/>
            <w:vAlign w:val="bottom"/>
            <w:tcBorders>
              <w:right w:val="single" w:sz="8" w:color="BECD32"/>
            </w:tcBorders>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(28.4)</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(18.7)</w:t>
            </w:r>
          </w:p>
        </w:tc>
        <w:tc>
          <w:tcPr>
            <w:tcW w:w="0" w:type="dxa"/>
            <w:vAlign w:val="bottom"/>
          </w:tcPr>
          <w:p>
            <w:pPr>
              <w:spacing w:after="0"/>
              <w:rPr>
                <w:sz w:val="1"/>
                <w:szCs w:val="1"/>
                <w:color w:val="auto"/>
              </w:rPr>
            </w:pPr>
          </w:p>
        </w:tc>
      </w:tr>
      <w:tr>
        <w:trPr>
          <w:trHeight w:val="21"/>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Share repurchase program</w:t>
            </w:r>
          </w:p>
        </w:tc>
        <w:tc>
          <w:tcPr>
            <w:tcW w:w="80" w:type="dxa"/>
            <w:vAlign w:val="bottom"/>
          </w:tcPr>
          <w:p>
            <w:pPr>
              <w:spacing w:after="0"/>
              <w:rPr>
                <w:sz w:val="17"/>
                <w:szCs w:val="17"/>
                <w:color w:val="auto"/>
              </w:rPr>
            </w:pPr>
          </w:p>
        </w:tc>
        <w:tc>
          <w:tcPr>
            <w:tcW w:w="128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4"/>
                <w:szCs w:val="14"/>
                <w:color w:val="005A64"/>
              </w:rPr>
              <w:t>—</w:t>
            </w:r>
          </w:p>
        </w:tc>
        <w:tc>
          <w:tcPr>
            <w:tcW w:w="400" w:type="dxa"/>
            <w:vAlign w:val="bottom"/>
            <w:gridSpan w:val="2"/>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(154.0)</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4"/>
                <w:szCs w:val="14"/>
                <w:color w:val="005A64"/>
              </w:rPr>
              <w:t>—</w:t>
            </w:r>
          </w:p>
        </w:tc>
        <w:tc>
          <w:tcPr>
            <w:tcW w:w="400" w:type="dxa"/>
            <w:vAlign w:val="bottom"/>
            <w:gridSpan w:val="2"/>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(436.0)</w:t>
            </w:r>
          </w:p>
        </w:tc>
        <w:tc>
          <w:tcPr>
            <w:tcW w:w="0" w:type="dxa"/>
            <w:vAlign w:val="bottom"/>
          </w:tcPr>
          <w:p>
            <w:pPr>
              <w:spacing w:after="0"/>
              <w:rPr>
                <w:sz w:val="1"/>
                <w:szCs w:val="1"/>
                <w:color w:val="auto"/>
              </w:rPr>
            </w:pPr>
          </w:p>
        </w:tc>
      </w:tr>
      <w:tr>
        <w:trPr>
          <w:trHeight w:val="21"/>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005A64"/>
            </w:tcBorders>
          </w:tcPr>
          <w:p>
            <w:pPr>
              <w:ind w:left="20"/>
              <w:spacing w:after="0"/>
              <w:rPr>
                <w:sz w:val="20"/>
                <w:szCs w:val="20"/>
                <w:color w:val="auto"/>
              </w:rPr>
            </w:pPr>
            <w:r>
              <w:rPr>
                <w:rFonts w:ascii="Arial" w:cs="Arial" w:eastAsia="Arial" w:hAnsi="Arial"/>
                <w:sz w:val="14"/>
                <w:szCs w:val="14"/>
                <w:b w:val="1"/>
                <w:bCs w:val="1"/>
                <w:color w:val="005A64"/>
              </w:rPr>
              <w:t>Net cash flows used in financing activities</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(22.9)</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005A64"/>
            </w:tcBorders>
          </w:tcPr>
          <w:p>
            <w:pPr>
              <w:spacing w:after="0"/>
              <w:rPr>
                <w:sz w:val="18"/>
                <w:szCs w:val="18"/>
                <w:color w:val="auto"/>
              </w:rPr>
            </w:pPr>
          </w:p>
        </w:tc>
        <w:tc>
          <w:tcPr>
            <w:tcW w:w="8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(163.4)</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(30.7)</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005A64"/>
            </w:tcBorders>
          </w:tcPr>
          <w:p>
            <w:pPr>
              <w:spacing w:after="0"/>
              <w:rPr>
                <w:sz w:val="18"/>
                <w:szCs w:val="18"/>
                <w:color w:val="auto"/>
              </w:rPr>
            </w:pPr>
          </w:p>
        </w:tc>
        <w:tc>
          <w:tcPr>
            <w:tcW w:w="86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(454.7)</w:t>
            </w:r>
          </w:p>
        </w:tc>
        <w:tc>
          <w:tcPr>
            <w:tcW w:w="0" w:type="dxa"/>
            <w:vAlign w:val="bottom"/>
          </w:tcPr>
          <w:p>
            <w:pPr>
              <w:spacing w:after="0"/>
              <w:rPr>
                <w:sz w:val="1"/>
                <w:szCs w:val="1"/>
                <w:color w:val="auto"/>
              </w:rPr>
            </w:pPr>
          </w:p>
        </w:tc>
      </w:tr>
      <w:tr>
        <w:trPr>
          <w:trHeight w:val="208"/>
        </w:trPr>
        <w:tc>
          <w:tcPr>
            <w:tcW w:w="584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Net increase / (decrease) in cash and cash equivalents</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1,362.9</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1,931.5</w:t>
            </w:r>
          </w:p>
        </w:tc>
        <w:tc>
          <w:tcPr>
            <w:tcW w:w="100" w:type="dxa"/>
            <w:vAlign w:val="bottom"/>
            <w:tcBorders>
              <w:right w:val="single" w:sz="8" w:color="BECD32"/>
            </w:tcBorders>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(1,266.6)</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227.4</w:t>
            </w:r>
          </w:p>
        </w:tc>
        <w:tc>
          <w:tcPr>
            <w:tcW w:w="0" w:type="dxa"/>
            <w:vAlign w:val="bottom"/>
          </w:tcPr>
          <w:p>
            <w:pPr>
              <w:spacing w:after="0"/>
              <w:rPr>
                <w:sz w:val="1"/>
                <w:szCs w:val="1"/>
                <w:color w:val="auto"/>
              </w:rPr>
            </w:pPr>
          </w:p>
        </w:tc>
      </w:tr>
      <w:tr>
        <w:trPr>
          <w:trHeight w:val="21"/>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Change in cash and cash equivalents resulting from exchange rate differences</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(3.3)</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91.2</w:t>
            </w:r>
          </w:p>
        </w:tc>
        <w:tc>
          <w:tcPr>
            <w:tcW w:w="100" w:type="dxa"/>
            <w:vAlign w:val="bottom"/>
            <w:tcBorders>
              <w:right w:val="single" w:sz="8" w:color="BECD32"/>
            </w:tcBorders>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3.5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64.1</w:t>
            </w:r>
          </w:p>
        </w:tc>
        <w:tc>
          <w:tcPr>
            <w:tcW w:w="0" w:type="dxa"/>
            <w:vAlign w:val="bottom"/>
          </w:tcPr>
          <w:p>
            <w:pPr>
              <w:spacing w:after="0"/>
              <w:rPr>
                <w:sz w:val="1"/>
                <w:szCs w:val="1"/>
                <w:color w:val="auto"/>
              </w:rPr>
            </w:pPr>
          </w:p>
        </w:tc>
      </w:tr>
      <w:tr>
        <w:trPr>
          <w:trHeight w:val="21"/>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84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Change in cash and cash equivalents resulting from other valuation effects</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40.5</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4"/>
                <w:szCs w:val="14"/>
                <w:color w:val="005A64"/>
              </w:rPr>
              <w:t>—</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(23.9)</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w:t>
            </w:r>
          </w:p>
        </w:tc>
        <w:tc>
          <w:tcPr>
            <w:tcW w:w="0" w:type="dxa"/>
            <w:vAlign w:val="bottom"/>
          </w:tcPr>
          <w:p>
            <w:pPr>
              <w:spacing w:after="0"/>
              <w:rPr>
                <w:sz w:val="1"/>
                <w:szCs w:val="1"/>
                <w:color w:val="auto"/>
              </w:rPr>
            </w:pPr>
          </w:p>
        </w:tc>
      </w:tr>
      <w:tr>
        <w:trPr>
          <w:trHeight w:val="21"/>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Cash and cash equivalents at the beginning of the period</w:t>
            </w: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8,976.6</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12,143.9</w:t>
            </w:r>
          </w:p>
        </w:tc>
        <w:tc>
          <w:tcPr>
            <w:tcW w:w="100" w:type="dxa"/>
            <w:vAlign w:val="bottom"/>
            <w:tcBorders>
              <w:right w:val="single" w:sz="8" w:color="BECD32"/>
            </w:tcBorders>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11,663.7</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5A64"/>
              </w:rPr>
              <w:t>13,875.1</w:t>
            </w:r>
          </w:p>
        </w:tc>
        <w:tc>
          <w:tcPr>
            <w:tcW w:w="0" w:type="dxa"/>
            <w:vAlign w:val="bottom"/>
          </w:tcPr>
          <w:p>
            <w:pPr>
              <w:spacing w:after="0"/>
              <w:rPr>
                <w:sz w:val="1"/>
                <w:szCs w:val="1"/>
                <w:color w:val="auto"/>
              </w:rPr>
            </w:pPr>
          </w:p>
        </w:tc>
      </w:tr>
      <w:tr>
        <w:trPr>
          <w:trHeight w:val="21"/>
        </w:trPr>
        <w:tc>
          <w:tcPr>
            <w:tcW w:w="574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7FACB1"/>
            </w:tcBorders>
          </w:tcPr>
          <w:p>
            <w:pPr>
              <w:spacing w:after="0" w:line="20" w:lineRule="exact"/>
              <w:rPr>
                <w:sz w:val="1"/>
                <w:szCs w:val="1"/>
                <w:color w:val="auto"/>
              </w:rPr>
            </w:pPr>
          </w:p>
        </w:tc>
        <w:tc>
          <w:tcPr>
            <w:tcW w:w="8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005A64"/>
            </w:tcBorders>
          </w:tcPr>
          <w:p>
            <w:pPr>
              <w:ind w:left="20"/>
              <w:spacing w:after="0"/>
              <w:rPr>
                <w:sz w:val="20"/>
                <w:szCs w:val="20"/>
                <w:color w:val="auto"/>
              </w:rPr>
            </w:pPr>
            <w:r>
              <w:rPr>
                <w:rFonts w:ascii="Arial" w:cs="Arial" w:eastAsia="Arial" w:hAnsi="Arial"/>
                <w:sz w:val="14"/>
                <w:szCs w:val="14"/>
                <w:b w:val="1"/>
                <w:bCs w:val="1"/>
                <w:color w:val="005A64"/>
              </w:rPr>
              <w:t>Cash and cash equivalents as of June 30</w:t>
            </w:r>
          </w:p>
        </w:tc>
        <w:tc>
          <w:tcPr>
            <w:tcW w:w="100" w:type="dxa"/>
            <w:vAlign w:val="bottom"/>
            <w:tcBorders>
              <w:right w:val="single" w:sz="8" w:color="BECD32"/>
            </w:tcBorders>
          </w:tcPr>
          <w:p>
            <w:pPr>
              <w:spacing w:after="0"/>
              <w:rPr>
                <w:sz w:val="18"/>
                <w:szCs w:val="18"/>
                <w:color w:val="auto"/>
              </w:rPr>
            </w:pPr>
          </w:p>
        </w:tc>
        <w:tc>
          <w:tcPr>
            <w:tcW w:w="1260" w:type="dxa"/>
            <w:vAlign w:val="bottom"/>
            <w:tcBorders>
              <w:bottom w:val="single" w:sz="8" w:color="BECD32"/>
            </w:tcBorders>
            <w:gridSpan w:val="2"/>
          </w:tcPr>
          <w:p>
            <w:pPr>
              <w:jc w:val="right"/>
              <w:spacing w:after="0"/>
              <w:rPr>
                <w:sz w:val="20"/>
                <w:szCs w:val="20"/>
                <w:color w:val="auto"/>
              </w:rPr>
            </w:pPr>
            <w:r>
              <w:rPr>
                <w:rFonts w:ascii="Arial" w:cs="Arial" w:eastAsia="Arial" w:hAnsi="Arial"/>
                <w:sz w:val="14"/>
                <w:szCs w:val="14"/>
                <w:b w:val="1"/>
                <w:bCs w:val="1"/>
                <w:color w:val="005A64"/>
              </w:rPr>
              <w:t>10,376.7</w:t>
            </w:r>
          </w:p>
        </w:tc>
        <w:tc>
          <w:tcPr>
            <w:tcW w:w="100" w:type="dxa"/>
            <w:vAlign w:val="bottom"/>
            <w:tcBorders>
              <w:bottom w:val="single" w:sz="8" w:color="BECD32"/>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005A64"/>
            </w:tcBorders>
          </w:tcPr>
          <w:p>
            <w:pPr>
              <w:spacing w:after="0"/>
              <w:rPr>
                <w:sz w:val="18"/>
                <w:szCs w:val="18"/>
                <w:color w:val="auto"/>
              </w:rPr>
            </w:pPr>
          </w:p>
        </w:tc>
        <w:tc>
          <w:tcPr>
            <w:tcW w:w="8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14,166.6</w:t>
            </w:r>
          </w:p>
        </w:tc>
        <w:tc>
          <w:tcPr>
            <w:tcW w:w="100" w:type="dxa"/>
            <w:vAlign w:val="bottom"/>
            <w:tcBorders>
              <w:right w:val="single" w:sz="8" w:color="BECD32"/>
            </w:tcBorders>
          </w:tcPr>
          <w:p>
            <w:pPr>
              <w:spacing w:after="0"/>
              <w:rPr>
                <w:sz w:val="18"/>
                <w:szCs w:val="18"/>
                <w:color w:val="auto"/>
              </w:rPr>
            </w:pPr>
          </w:p>
        </w:tc>
        <w:tc>
          <w:tcPr>
            <w:tcW w:w="1260" w:type="dxa"/>
            <w:vAlign w:val="bottom"/>
            <w:tcBorders>
              <w:bottom w:val="single" w:sz="8" w:color="BECD32"/>
            </w:tcBorders>
            <w:gridSpan w:val="2"/>
          </w:tcPr>
          <w:p>
            <w:pPr>
              <w:jc w:val="right"/>
              <w:spacing w:after="0"/>
              <w:rPr>
                <w:sz w:val="20"/>
                <w:szCs w:val="20"/>
                <w:color w:val="auto"/>
              </w:rPr>
            </w:pPr>
            <w:r>
              <w:rPr>
                <w:rFonts w:ascii="Arial" w:cs="Arial" w:eastAsia="Arial" w:hAnsi="Arial"/>
                <w:sz w:val="14"/>
                <w:szCs w:val="14"/>
                <w:b w:val="1"/>
                <w:bCs w:val="1"/>
                <w:color w:val="005A64"/>
              </w:rPr>
              <w:t>10,376.7</w:t>
            </w:r>
          </w:p>
        </w:tc>
        <w:tc>
          <w:tcPr>
            <w:tcW w:w="120" w:type="dxa"/>
            <w:vAlign w:val="bottom"/>
            <w:tcBorders>
              <w:bottom w:val="single" w:sz="8" w:color="BECD32"/>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005A64"/>
            </w:tcBorders>
          </w:tcPr>
          <w:p>
            <w:pPr>
              <w:spacing w:after="0"/>
              <w:rPr>
                <w:sz w:val="18"/>
                <w:szCs w:val="18"/>
                <w:color w:val="auto"/>
              </w:rPr>
            </w:pPr>
          </w:p>
        </w:tc>
        <w:tc>
          <w:tcPr>
            <w:tcW w:w="86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14,166.6</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00" w:hanging="292"/>
        <w:spacing w:after="0"/>
        <w:tabs>
          <w:tab w:leader="none" w:pos="300" w:val="left"/>
        </w:tabs>
        <w:numPr>
          <w:ilvl w:val="0"/>
          <w:numId w:val="3"/>
        </w:numPr>
        <w:rPr>
          <w:rFonts w:ascii="Arial" w:cs="Arial" w:eastAsia="Arial" w:hAnsi="Arial"/>
          <w:sz w:val="21"/>
          <w:szCs w:val="21"/>
          <w:color w:val="005A64"/>
          <w:vertAlign w:val="superscript"/>
        </w:rPr>
      </w:pPr>
      <w:r>
        <w:rPr>
          <w:rFonts w:ascii="Arial" w:cs="Arial" w:eastAsia="Arial" w:hAnsi="Arial"/>
          <w:sz w:val="16"/>
          <w:szCs w:val="16"/>
          <w:color w:val="005A64"/>
        </w:rPr>
        <w:t>Adjustments to prior-year figures relate to reclassifications within the cash flows from operating activities.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unaudited interim condensed consolidated financial statements.</w:t>
      </w:r>
    </w:p>
    <w:p>
      <w:pPr>
        <w:sectPr>
          <w:pgSz w:w="11900" w:h="16838" w:orient="portrait"/>
          <w:cols w:equalWidth="0" w:num="1">
            <w:col w:w="11240"/>
          </w:cols>
          <w:pgMar w:left="320" w:top="341" w:right="339" w:bottom="9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341" w:right="339" w:bottom="959"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2" w:lineRule="auto"/>
        <w:rPr>
          <w:sz w:val="20"/>
          <w:szCs w:val="20"/>
          <w:color w:val="auto"/>
        </w:rPr>
      </w:pPr>
      <w:r>
        <w:rPr>
          <w:rFonts w:ascii="Arial" w:cs="Arial" w:eastAsia="Arial" w:hAnsi="Arial"/>
          <w:sz w:val="27"/>
          <w:szCs w:val="27"/>
          <w:b w:val="1"/>
          <w:bCs w:val="1"/>
          <w:color w:val="005A64"/>
        </w:rPr>
        <w:t>Selected Explanatory Notes to the Unaudited Interim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1. Corporate Information</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BioNTech SE is a limited company incorporated and domiciled in Germany. The registered office is located in Mainz, Germany (An der Goldgrube 12, 55131 Mainz). The accompanying unaudited interim condensed consolidated financial statements present the financial position and the results of operation of BioNTech SE and its subsidiaries and have been prepared on a going concern basis in accordance with the International Financial Reporting Standards, or IFRS, as issued by the International Accounting Standards Board. References to the “Company”, “BioNTech”, “Group”, “we”, “us” and “our” refer to BioNTech SE and its consolidated subsidiaries.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global next-generation immunotherapy company pioneering novel medicines against cancer, infectious diseases and other serious diseases. Since our founding in 2008, we have focused on harnessing the power of the immune system to address human diseases with unmet medical need and major global health burden. Our fully integrated model combines decades of research in immunology, translational drug discovery and development, a technology agnostic innovation engine, GMP manufacturing, and commercial capabilities to rapidly discover, develop and commercialize our marketed product and other candidate vaccines and therapies. We have built a broad toolkit across multiple technology platforms, including a diverse range of potentially first-in-class therapeutic approaches. This includes investigational mRNA vaccines and therapeutics, cell and gene therapies, targeted antibodies and small molecule immunomodulators.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unaudited interim condensed consolidated financial statements as of and for the three and six months ended June 30, 2024, were authorized for issuance in accordance with a resolution of the audit committee on August 2, 2024.</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2. Basis of Preparation, Significant Accounting Policies and further Accounting Topics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Basis of Preparation and Principles of Consolidation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accompanying unaudited interim condensed consolidated financial statements as of and for the three and six months ended June 30, 2024, have been prepared in accordance with International Accounting Standard (IAS) 34 Interim Financial Reporting.</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unaudited interim condensed consolidated financial statements do not include all the information and disclosures required in the audited consolidated financial statements, and should be read in conjunction with our audited consolidated financial statements and accompanying notes included in our Annual Report on Form 20-F as of and for the year ended December 31, 2023.</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prepare and present our unaudited interim condensed consolidated financial statements in Euros and round numbers to millions of Euros. Accordingly, numerical figures shown as totals in some tables may not be exact arithmetic aggregations of the figures that preceded them and figures presented in the explanatory notes may not add up to the rounded arithmetic aggregations.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unaudited interim condensed consolidated financial statements as of and for the three and six months ended June 30, 2024, include BioNTech SE and its subsidiaries. All intercompany transactions and balances have been eliminated in consolidation.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Significant Accounting Judgments, Estimates and Assumptions and Accounting Policies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the unaudited interim condensed consolidated financial statements requires our management to make judgments, estimates and assumptions that affect the reported amounts of revenues, expenses, assets and liabilities and the accompanying disclosures. This includes but is not limited to our judgment relating to our collaboration with Pfizer, Inc., or Pfizer, as described under the subheading “Pfizer Agreement Characteristics” in Note 3 to our audited consolidated financial statements as of and for the year ended December 31, 2023. In order to determine our share of the collaboration partner’s gross profits, we used certain information from the collaboration partner, including revenues from the sale of products and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4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certain other sharable expense items, some of which is based on preliminary data shared between the partners.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further includes but is not limited to judgments relating to our goodwill and intangible assets, as the outcome of these tests is highly dependent on management’s assumptions regarding future cash flow projections, which require significant judgments and assumptions about future developments. They can be affected by a variety of factors, including but not limited to peak sales assumptions, clinical trial success rates and/or estimation of weighted-average cost of capital. Changes to the assumptions underlying our goodwill and intangible assets impairment assessments could require material adjustments to the carrying amount of our recognized goodwill and intangible assets and may lead to impairment charges recognized in our condensed consolidated statements of profit or loss.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management continually evaluates judgments and estimates, including those related to contingencies, revenues and expenses. Management bases its judgments and estimates on parameters available at the time when the unaudited interim condensed consolidated financial statements were prepared. Existing circumstances and assumptions about future developments, however, may change due to market changes or circumstances arising that are beyond our control. Such changes are reflected in the assumptions when they occur.</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accounting policies adopted in the preparation of the unaudited interim condensed consolidated financial statements are consistent with those followed in the preparation of our audited consolidated financial statements as of and for the year ended December 31, 2023, except for income taxes, which are accounted for using the expected annual tax rate in our unaudited interim condensed consolidated financial statements (see Note 5).</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we recognize acquired contractual rights to cash flows from the sale of patent-protected biopharmaceutical products by unrelated biopharmaceutical companies as royalty assets. Since we do not own the intellectual property or have the right to commercialize the underlying products, royalty assets are recognized as financial assets measured at fair value through profit and loss. We recognize day one gains and losses only when the fair value is evidenced by a quoted price in an active market for the same instrument or is based on a valuation technique that only uses data from observable markets. In all other cases, we defer the difference between the fair value at initial recognition and the transaction price. After initial recognition, we recognize that deferred difference as a gain or loss only to the extent that it arises from a change in a factor that market participants would take into account when pricing the asset or liability.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Standards Applied for the First Time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IFRS standards applied for the first time as of January 1, 2024, as disclosed in the notes to the audited consolidated financial statements as of and for the year ended December 31, 2023, had no impact on our unaudited interim condensed consolidated financial statements as of and for the three and six months ended June 30, 2024.</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3. Revenues from Contracts with Customers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Disaggregated information on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 out below is the disaggregation of our revenues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4"/>
          </w:tcPr>
          <w:p>
            <w:pPr>
              <w:jc w:val="center"/>
              <w:ind w:left="359"/>
              <w:spacing w:after="0"/>
              <w:rPr>
                <w:sz w:val="20"/>
                <w:szCs w:val="20"/>
                <w:color w:val="auto"/>
              </w:rPr>
            </w:pPr>
            <w:r>
              <w:rPr>
                <w:rFonts w:ascii="Arial" w:cs="Arial" w:eastAsia="Arial" w:hAnsi="Arial"/>
                <w:sz w:val="16"/>
                <w:szCs w:val="16"/>
                <w:b w:val="1"/>
                <w:bCs w:val="1"/>
                <w:color w:val="005A64"/>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80" w:type="dxa"/>
            <w:vAlign w:val="bottom"/>
            <w:gridSpan w:val="4"/>
          </w:tcPr>
          <w:p>
            <w:pPr>
              <w:jc w:val="center"/>
              <w:ind w:left="519"/>
              <w:spacing w:after="0"/>
              <w:rPr>
                <w:sz w:val="20"/>
                <w:szCs w:val="20"/>
                <w:color w:val="auto"/>
              </w:rPr>
            </w:pPr>
            <w:r>
              <w:rPr>
                <w:rFonts w:ascii="Arial" w:cs="Arial" w:eastAsia="Arial" w:hAnsi="Arial"/>
                <w:sz w:val="16"/>
                <w:szCs w:val="16"/>
                <w:b w:val="1"/>
                <w:bCs w:val="1"/>
                <w:color w:val="005A64"/>
              </w:rPr>
              <w:t>Six months ended</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005A64"/>
              </w:rPr>
              <w:t>June 30,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80" w:type="dxa"/>
            <w:vAlign w:val="bottom"/>
            <w:gridSpan w:val="4"/>
          </w:tcPr>
          <w:p>
            <w:pPr>
              <w:jc w:val="center"/>
              <w:ind w:left="559"/>
              <w:spacing w:after="0"/>
              <w:rPr>
                <w:sz w:val="20"/>
                <w:szCs w:val="20"/>
                <w:color w:val="auto"/>
              </w:rPr>
            </w:pPr>
            <w:r>
              <w:rPr>
                <w:rFonts w:ascii="Arial" w:cs="Arial" w:eastAsia="Arial" w:hAnsi="Arial"/>
                <w:sz w:val="16"/>
                <w:szCs w:val="16"/>
                <w:b w:val="1"/>
                <w:bCs w:val="1"/>
                <w:color w:val="005A64"/>
                <w:w w:val="99"/>
              </w:rPr>
              <w:t>June 30,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440" w:type="dxa"/>
            <w:vAlign w:val="bottom"/>
            <w:vMerge w:val="restart"/>
          </w:tcPr>
          <w:p>
            <w:pPr>
              <w:ind w:left="20"/>
              <w:spacing w:after="0"/>
              <w:rPr>
                <w:sz w:val="20"/>
                <w:szCs w:val="20"/>
                <w:color w:val="auto"/>
              </w:rPr>
            </w:pPr>
            <w:r>
              <w:rPr>
                <w:rFonts w:ascii="Arial" w:cs="Arial" w:eastAsia="Arial" w:hAnsi="Arial"/>
                <w:sz w:val="16"/>
                <w:szCs w:val="16"/>
                <w:i w:val="1"/>
                <w:iCs w:val="1"/>
                <w:color w:val="005A64"/>
              </w:rPr>
              <w:t>(in millions €)</w:t>
            </w:r>
          </w:p>
        </w:tc>
        <w:tc>
          <w:tcPr>
            <w:tcW w:w="100" w:type="dxa"/>
            <w:vAlign w:val="bottom"/>
            <w:vMerge w:val="restart"/>
          </w:tcPr>
          <w:p>
            <w:pPr>
              <w:spacing w:after="0"/>
              <w:rPr>
                <w:sz w:val="11"/>
                <w:szCs w:val="11"/>
                <w:color w:val="auto"/>
              </w:rPr>
            </w:pPr>
          </w:p>
        </w:tc>
        <w:tc>
          <w:tcPr>
            <w:tcW w:w="1360" w:type="dxa"/>
            <w:vAlign w:val="bottom"/>
            <w:tcBorders>
              <w:bottom w:val="single" w:sz="8" w:color="BECD32"/>
            </w:tcBorders>
            <w:gridSpan w:val="2"/>
          </w:tcPr>
          <w:p>
            <w:pPr>
              <w:spacing w:after="0"/>
              <w:rPr>
                <w:sz w:val="11"/>
                <w:szCs w:val="11"/>
                <w:color w:val="auto"/>
              </w:rPr>
            </w:pPr>
          </w:p>
        </w:tc>
        <w:tc>
          <w:tcPr>
            <w:tcW w:w="100" w:type="dxa"/>
            <w:vAlign w:val="bottom"/>
            <w:tcBorders>
              <w:bottom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20" w:type="dxa"/>
            <w:vAlign w:val="bottom"/>
          </w:tcPr>
          <w:p>
            <w:pPr>
              <w:spacing w:after="0"/>
              <w:rPr>
                <w:sz w:val="11"/>
                <w:szCs w:val="11"/>
                <w:color w:val="auto"/>
              </w:rPr>
            </w:pPr>
          </w:p>
        </w:tc>
        <w:tc>
          <w:tcPr>
            <w:tcW w:w="1320" w:type="dxa"/>
            <w:vAlign w:val="bottom"/>
            <w:tcBorders>
              <w:bottom w:val="single" w:sz="8" w:color="BECD32"/>
            </w:tcBorders>
            <w:gridSpan w:val="2"/>
          </w:tcPr>
          <w:p>
            <w:pPr>
              <w:spacing w:after="0"/>
              <w:rPr>
                <w:sz w:val="11"/>
                <w:szCs w:val="11"/>
                <w:color w:val="auto"/>
              </w:rPr>
            </w:pPr>
          </w:p>
        </w:tc>
        <w:tc>
          <w:tcPr>
            <w:tcW w:w="120" w:type="dxa"/>
            <w:vAlign w:val="bottom"/>
            <w:tcBorders>
              <w:bottom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33"/>
        </w:trPr>
        <w:tc>
          <w:tcPr>
            <w:tcW w:w="5440" w:type="dxa"/>
            <w:vAlign w:val="bottom"/>
            <w:tcBorders>
              <w:bottom w:val="single" w:sz="8" w:color="005A64"/>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005A64"/>
            </w:tcBorders>
          </w:tcPr>
          <w:p>
            <w:pPr>
              <w:spacing w:after="0"/>
              <w:rPr>
                <w:sz w:val="20"/>
                <w:szCs w:val="20"/>
                <w:color w:val="auto"/>
              </w:rPr>
            </w:pPr>
          </w:p>
        </w:tc>
        <w:tc>
          <w:tcPr>
            <w:tcW w:w="500" w:type="dxa"/>
            <w:vAlign w:val="bottom"/>
            <w:tcBorders>
              <w:bottom w:val="single" w:sz="8" w:color="005A64"/>
            </w:tcBorders>
            <w:vMerge w:val="continue"/>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bottom w:val="single" w:sz="8" w:color="005A64"/>
            </w:tcBorders>
          </w:tcPr>
          <w:p>
            <w:pPr>
              <w:spacing w:after="0"/>
              <w:rPr>
                <w:sz w:val="20"/>
                <w:szCs w:val="20"/>
                <w:color w:val="auto"/>
              </w:rPr>
            </w:pPr>
          </w:p>
        </w:tc>
        <w:tc>
          <w:tcPr>
            <w:tcW w:w="620" w:type="dxa"/>
            <w:vAlign w:val="bottom"/>
            <w:tcBorders>
              <w:bottom w:val="single" w:sz="8" w:color="005A64"/>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COVID-19 vaccine revenues</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71.9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158.2</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196.1</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bottom w:val="single" w:sz="8" w:color="7FACB1"/>
            </w:tcBorders>
          </w:tcPr>
          <w:p>
            <w:pPr>
              <w:spacing w:after="0"/>
              <w:rPr>
                <w:sz w:val="20"/>
                <w:szCs w:val="20"/>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1,421.7</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revenues</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56.8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9.5</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120.2</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bottom w:val="single" w:sz="8" w:color="7FACB1"/>
            </w:tcBorders>
          </w:tcPr>
          <w:p>
            <w:pPr>
              <w:spacing w:after="0"/>
              <w:rPr>
                <w:sz w:val="20"/>
                <w:szCs w:val="20"/>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23.0</w:t>
            </w:r>
          </w:p>
        </w:tc>
        <w:tc>
          <w:tcPr>
            <w:tcW w:w="0" w:type="dxa"/>
            <w:vAlign w:val="bottom"/>
          </w:tcPr>
          <w:p>
            <w:pPr>
              <w:spacing w:after="0"/>
              <w:rPr>
                <w:sz w:val="1"/>
                <w:szCs w:val="1"/>
                <w:color w:val="auto"/>
              </w:rPr>
            </w:pPr>
          </w:p>
        </w:tc>
      </w:tr>
      <w:tr>
        <w:trPr>
          <w:trHeight w:val="239"/>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w:t>
            </w:r>
          </w:p>
        </w:tc>
        <w:tc>
          <w:tcPr>
            <w:tcW w:w="100" w:type="dxa"/>
            <w:vAlign w:val="bottom"/>
          </w:tcPr>
          <w:p>
            <w:pPr>
              <w:spacing w:after="0"/>
              <w:rPr>
                <w:sz w:val="20"/>
                <w:szCs w:val="20"/>
                <w:color w:val="auto"/>
              </w:rPr>
            </w:pPr>
          </w:p>
        </w:tc>
        <w:tc>
          <w:tcPr>
            <w:tcW w:w="1360" w:type="dxa"/>
            <w:vAlign w:val="bottom"/>
            <w:tcBorders>
              <w:left w:val="single" w:sz="8" w:color="BECD32"/>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128.7</w:t>
            </w:r>
          </w:p>
        </w:tc>
        <w:tc>
          <w:tcPr>
            <w:tcW w:w="10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005A64"/>
            </w:tcBorders>
          </w:tcPr>
          <w:p>
            <w:pPr>
              <w:spacing w:after="0"/>
              <w:rPr>
                <w:sz w:val="20"/>
                <w:szCs w:val="20"/>
                <w:color w:val="auto"/>
              </w:rPr>
            </w:pPr>
          </w:p>
        </w:tc>
        <w:tc>
          <w:tcPr>
            <w:tcW w:w="50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167.7</w:t>
            </w:r>
          </w:p>
        </w:tc>
        <w:tc>
          <w:tcPr>
            <w:tcW w:w="120" w:type="dxa"/>
            <w:vAlign w:val="bottom"/>
            <w:tcBorders>
              <w:right w:val="single" w:sz="8" w:color="BECD32"/>
            </w:tcBorders>
          </w:tcPr>
          <w:p>
            <w:pPr>
              <w:spacing w:after="0"/>
              <w:rPr>
                <w:sz w:val="20"/>
                <w:szCs w:val="20"/>
                <w:color w:val="auto"/>
              </w:rPr>
            </w:pPr>
          </w:p>
        </w:tc>
        <w:tc>
          <w:tcPr>
            <w:tcW w:w="132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316.3</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bottom w:val="single" w:sz="8" w:color="005A64"/>
            </w:tcBorders>
          </w:tcPr>
          <w:p>
            <w:pPr>
              <w:spacing w:after="0"/>
              <w:rPr>
                <w:sz w:val="20"/>
                <w:szCs w:val="20"/>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1,444.7</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005A64"/>
        </w:rPr>
        <w:t>COVID-19 Vaccine Revenues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and six months ended June 30, 2024 and 2023, COVID-19 vaccine revenues were recognized from the supply and sales of our COVID-19 vaccine worldwide, mainly comprising our share of</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341"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collaboration partner’s gross profit derived from sales in the collaboration partner’s territory. Overall, our COVID-19 vaccine revenues amounted to € 71.9 million and €196.1 million during the three and six months ended June 30, 2024, respectively. During the three and six months ended June 30, 2023, COVID-19 vaccine revenues amounted to €158.2 million and €1,421.7 million, respectively. The year-over-year change was mainly due to lower revenues from the sales of our COVID-19 vaccines worldwide resulting from lower sales demand during the three and six months ended June 30, 2024. Our COVID-19 vaccine revenues are subject to seasonal effects in fall / winter of the northern hemisphere.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05A64"/>
        </w:rPr>
        <w:t>Other Revenues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three and six months ended June 30, 2024, our other revenues were mainly derived from a pandemic preparedness contract with the German government effectively supplemented in the first quarter of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Revenues from contracts with customers were recognized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446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C9673"/>
        </w:rPr>
        <w:t>Timing of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461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55" w:lineRule="exact"/>
        <w:rPr>
          <w:sz w:val="20"/>
          <w:szCs w:val="20"/>
          <w:color w:val="auto"/>
        </w:rPr>
      </w:pPr>
    </w:p>
    <w:p>
      <w:pPr>
        <w:ind w:left="140" w:right="1520"/>
        <w:spacing w:after="0" w:line="334" w:lineRule="auto"/>
        <w:rPr>
          <w:sz w:val="20"/>
          <w:szCs w:val="20"/>
          <w:color w:val="auto"/>
        </w:rPr>
      </w:pPr>
      <w:r>
        <w:rPr>
          <w:rFonts w:ascii="Arial" w:cs="Arial" w:eastAsia="Arial" w:hAnsi="Arial"/>
          <w:sz w:val="16"/>
          <w:szCs w:val="16"/>
          <w:i w:val="1"/>
          <w:iCs w:val="1"/>
          <w:color w:val="005A64"/>
        </w:rPr>
        <w:t>Goods and services transferred at a point in time Goods and services transferred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34461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34461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ind w:left="140"/>
        <w:spacing w:after="0" w:line="266" w:lineRule="auto"/>
        <w:rPr>
          <w:sz w:val="20"/>
          <w:szCs w:val="20"/>
          <w:color w:val="auto"/>
        </w:rPr>
      </w:pPr>
      <w:r>
        <w:rPr>
          <w:rFonts w:ascii="Arial" w:cs="Arial" w:eastAsia="Arial" w:hAnsi="Arial"/>
          <w:sz w:val="16"/>
          <w:szCs w:val="16"/>
          <w:i w:val="1"/>
          <w:iCs w:val="1"/>
          <w:color w:val="005A64"/>
        </w:rPr>
        <w:t xml:space="preserve">Revenue recognition applying the sales-based or usage-based royalty recognition constraint model </w:t>
      </w:r>
      <w:r>
        <w:rPr>
          <w:rFonts w:ascii="Arial" w:cs="Arial" w:eastAsia="Arial" w:hAnsi="Arial"/>
          <w:sz w:val="21"/>
          <w:szCs w:val="21"/>
          <w:i w:val="1"/>
          <w:iCs w:val="1"/>
          <w:color w:val="005A64"/>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34461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005A64"/>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461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2180" w:type="dxa"/>
            <w:vAlign w:val="bottom"/>
            <w:gridSpan w:val="4"/>
          </w:tcPr>
          <w:p>
            <w:pPr>
              <w:jc w:val="center"/>
              <w:ind w:left="359"/>
              <w:spacing w:after="0"/>
              <w:rPr>
                <w:sz w:val="20"/>
                <w:szCs w:val="20"/>
                <w:color w:val="auto"/>
              </w:rPr>
            </w:pPr>
            <w:r>
              <w:rPr>
                <w:rFonts w:ascii="Arial" w:cs="Arial" w:eastAsia="Arial" w:hAnsi="Arial"/>
                <w:sz w:val="16"/>
                <w:szCs w:val="16"/>
                <w:b w:val="1"/>
                <w:bCs w:val="1"/>
                <w:color w:val="005A64"/>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4"/>
          </w:tcPr>
          <w:p>
            <w:pPr>
              <w:jc w:val="center"/>
              <w:ind w:left="479"/>
              <w:spacing w:after="0"/>
              <w:rPr>
                <w:sz w:val="20"/>
                <w:szCs w:val="20"/>
                <w:color w:val="auto"/>
              </w:rPr>
            </w:pPr>
            <w:r>
              <w:rPr>
                <w:rFonts w:ascii="Arial" w:cs="Arial" w:eastAsia="Arial" w:hAnsi="Arial"/>
                <w:sz w:val="16"/>
                <w:szCs w:val="16"/>
                <w:b w:val="1"/>
                <w:bCs w:val="1"/>
                <w:color w:val="005A64"/>
              </w:rPr>
              <w:t>Six months ended</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18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005A64"/>
                <w:w w:val="99"/>
              </w:rPr>
              <w:t>June 30,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gridSpan w:val="4"/>
          </w:tcPr>
          <w:p>
            <w:pPr>
              <w:jc w:val="center"/>
              <w:ind w:left="519"/>
              <w:spacing w:after="0"/>
              <w:rPr>
                <w:sz w:val="20"/>
                <w:szCs w:val="20"/>
                <w:color w:val="auto"/>
              </w:rPr>
            </w:pPr>
            <w:r>
              <w:rPr>
                <w:rFonts w:ascii="Arial" w:cs="Arial" w:eastAsia="Arial" w:hAnsi="Arial"/>
                <w:sz w:val="16"/>
                <w:szCs w:val="16"/>
                <w:b w:val="1"/>
                <w:bCs w:val="1"/>
                <w:color w:val="005A64"/>
                <w:w w:val="99"/>
              </w:rPr>
              <w:t>June 30,</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1340" w:type="dxa"/>
            <w:vAlign w:val="bottom"/>
            <w:tcBorders>
              <w:bottom w:val="single" w:sz="8" w:color="BECD32"/>
            </w:tcBorders>
            <w:gridSpan w:val="2"/>
          </w:tcPr>
          <w:p>
            <w:pPr>
              <w:spacing w:after="0"/>
              <w:rPr>
                <w:sz w:val="10"/>
                <w:szCs w:val="10"/>
                <w:color w:val="auto"/>
              </w:rPr>
            </w:pPr>
          </w:p>
        </w:tc>
        <w:tc>
          <w:tcPr>
            <w:tcW w:w="120" w:type="dxa"/>
            <w:vAlign w:val="bottom"/>
            <w:tcBorders>
              <w:bottom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00" w:type="dxa"/>
            <w:vAlign w:val="bottom"/>
          </w:tcPr>
          <w:p>
            <w:pPr>
              <w:spacing w:after="0"/>
              <w:rPr>
                <w:sz w:val="10"/>
                <w:szCs w:val="10"/>
                <w:color w:val="auto"/>
              </w:rPr>
            </w:pPr>
          </w:p>
        </w:tc>
        <w:tc>
          <w:tcPr>
            <w:tcW w:w="1320" w:type="dxa"/>
            <w:vAlign w:val="bottom"/>
            <w:tcBorders>
              <w:bottom w:val="single" w:sz="8" w:color="BECD32"/>
            </w:tcBorders>
            <w:gridSpan w:val="2"/>
          </w:tcPr>
          <w:p>
            <w:pPr>
              <w:spacing w:after="0"/>
              <w:rPr>
                <w:sz w:val="10"/>
                <w:szCs w:val="10"/>
                <w:color w:val="auto"/>
              </w:rPr>
            </w:pPr>
          </w:p>
        </w:tc>
        <w:tc>
          <w:tcPr>
            <w:tcW w:w="12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33"/>
        </w:trPr>
        <w:tc>
          <w:tcPr>
            <w:tcW w:w="1340" w:type="dxa"/>
            <w:vAlign w:val="bottom"/>
            <w:tcBorders>
              <w:left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00" w:type="dxa"/>
            <w:vAlign w:val="bottom"/>
            <w:tcBorders>
              <w:left w:val="single" w:sz="8" w:color="BECD32"/>
            </w:tcBorders>
          </w:tcPr>
          <w:p>
            <w:pPr>
              <w:spacing w:after="0"/>
              <w:rPr>
                <w:sz w:val="20"/>
                <w:szCs w:val="20"/>
                <w:color w:val="auto"/>
              </w:rPr>
            </w:pPr>
          </w:p>
        </w:tc>
        <w:tc>
          <w:tcPr>
            <w:tcW w:w="1240" w:type="dxa"/>
            <w:vAlign w:val="bottom"/>
            <w:tcBorders>
              <w:top w:val="single" w:sz="8" w:color="005A64"/>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top w:val="single" w:sz="8" w:color="005A64"/>
              <w:bottom w:val="single" w:sz="8" w:color="7FACB1"/>
            </w:tcBorders>
          </w:tcPr>
          <w:p>
            <w:pPr>
              <w:spacing w:after="0"/>
              <w:rPr>
                <w:sz w:val="20"/>
                <w:szCs w:val="20"/>
                <w:color w:val="auto"/>
              </w:rPr>
            </w:pPr>
          </w:p>
        </w:tc>
        <w:tc>
          <w:tcPr>
            <w:tcW w:w="500" w:type="dxa"/>
            <w:vAlign w:val="bottom"/>
            <w:tcBorders>
              <w:top w:val="single" w:sz="8" w:color="005A64"/>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top w:val="single" w:sz="8" w:color="005A64"/>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Borders>
              <w:top w:val="single" w:sz="8" w:color="005A64"/>
              <w:bottom w:val="single" w:sz="8" w:color="7FACB1"/>
            </w:tcBorders>
          </w:tcPr>
          <w:p>
            <w:pPr>
              <w:spacing w:after="0"/>
              <w:rPr>
                <w:sz w:val="20"/>
                <w:szCs w:val="20"/>
                <w:color w:val="auto"/>
              </w:rPr>
            </w:pPr>
          </w:p>
        </w:tc>
        <w:tc>
          <w:tcPr>
            <w:tcW w:w="600" w:type="dxa"/>
            <w:vAlign w:val="bottom"/>
            <w:tcBorders>
              <w:top w:val="single" w:sz="8" w:color="005A64"/>
              <w:bottom w:val="single" w:sz="8" w:color="7FACB1"/>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i w:val="1"/>
                <w:iCs w:val="1"/>
                <w:color w:val="005A64"/>
              </w:rPr>
              <w:t>21.1</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i w:val="1"/>
                <w:iCs w:val="1"/>
                <w:color w:val="005A64"/>
              </w:rPr>
              <w:t>82.5</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i w:val="1"/>
                <w:iCs w:val="1"/>
                <w:color w:val="005A64"/>
              </w:rPr>
              <w:t>54.6</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Borders>
              <w:bottom w:val="single" w:sz="8" w:color="7FACB1"/>
            </w:tcBorders>
          </w:tcPr>
          <w:p>
            <w:pPr>
              <w:spacing w:after="0"/>
              <w:rPr>
                <w:sz w:val="20"/>
                <w:szCs w:val="20"/>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6"/>
                <w:szCs w:val="16"/>
                <w:i w:val="1"/>
                <w:iCs w:val="1"/>
                <w:color w:val="005A64"/>
              </w:rPr>
              <w:t>225.5</w:t>
            </w:r>
          </w:p>
        </w:tc>
        <w:tc>
          <w:tcPr>
            <w:tcW w:w="0" w:type="dxa"/>
            <w:vAlign w:val="bottom"/>
          </w:tcPr>
          <w:p>
            <w:pPr>
              <w:spacing w:after="0"/>
              <w:rPr>
                <w:sz w:val="1"/>
                <w:szCs w:val="1"/>
                <w:color w:val="auto"/>
              </w:rPr>
            </w:pPr>
          </w:p>
        </w:tc>
      </w:tr>
      <w:tr>
        <w:trPr>
          <w:trHeight w:val="237"/>
        </w:trPr>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i w:val="1"/>
                <w:iCs w:val="1"/>
                <w:color w:val="005A64"/>
              </w:rPr>
              <w:t>49.6</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i w:val="1"/>
                <w:iCs w:val="1"/>
                <w:color w:val="005A64"/>
              </w:rPr>
              <w:t>2.2</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i w:val="1"/>
                <w:iCs w:val="1"/>
                <w:color w:val="005A64"/>
              </w:rPr>
              <w:t>106.9</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Borders>
              <w:bottom w:val="single" w:sz="8" w:color="7FACB1"/>
            </w:tcBorders>
          </w:tcPr>
          <w:p>
            <w:pPr>
              <w:spacing w:after="0"/>
              <w:rPr>
                <w:sz w:val="20"/>
                <w:szCs w:val="20"/>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6"/>
                <w:szCs w:val="16"/>
                <w:i w:val="1"/>
                <w:iCs w:val="1"/>
                <w:color w:val="005A64"/>
              </w:rPr>
              <w:t>9.3</w:t>
            </w:r>
          </w:p>
        </w:tc>
        <w:tc>
          <w:tcPr>
            <w:tcW w:w="0" w:type="dxa"/>
            <w:vAlign w:val="bottom"/>
          </w:tcPr>
          <w:p>
            <w:pPr>
              <w:spacing w:after="0"/>
              <w:rPr>
                <w:sz w:val="1"/>
                <w:szCs w:val="1"/>
                <w:color w:val="auto"/>
              </w:rPr>
            </w:pPr>
          </w:p>
        </w:tc>
      </w:tr>
      <w:tr>
        <w:trPr>
          <w:trHeight w:val="322"/>
        </w:trPr>
        <w:tc>
          <w:tcPr>
            <w:tcW w:w="1340" w:type="dxa"/>
            <w:vAlign w:val="bottom"/>
            <w:tcBorders>
              <w:left w:val="single" w:sz="8" w:color="BECD32"/>
            </w:tcBorders>
            <w:gridSpan w:val="2"/>
          </w:tcPr>
          <w:p>
            <w:pPr>
              <w:jc w:val="right"/>
              <w:spacing w:after="0"/>
              <w:rPr>
                <w:sz w:val="20"/>
                <w:szCs w:val="20"/>
                <w:color w:val="auto"/>
              </w:rPr>
            </w:pPr>
            <w:r>
              <w:rPr>
                <w:rFonts w:ascii="Arial" w:cs="Arial" w:eastAsia="Arial" w:hAnsi="Arial"/>
                <w:sz w:val="16"/>
                <w:szCs w:val="16"/>
                <w:i w:val="1"/>
                <w:iCs w:val="1"/>
                <w:color w:val="005A64"/>
              </w:rPr>
              <w:t>58.0</w:t>
            </w:r>
          </w:p>
        </w:tc>
        <w:tc>
          <w:tcPr>
            <w:tcW w:w="120" w:type="dxa"/>
            <w:vAlign w:val="bottom"/>
            <w:tcBorders>
              <w:right w:val="single" w:sz="8" w:color="BECD32"/>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i w:val="1"/>
                <w:iCs w:val="1"/>
                <w:color w:val="005A64"/>
              </w:rPr>
              <w:t>83.0</w:t>
            </w:r>
          </w:p>
        </w:tc>
        <w:tc>
          <w:tcPr>
            <w:tcW w:w="100" w:type="dxa"/>
            <w:vAlign w:val="bottom"/>
            <w:tcBorders>
              <w:right w:val="single" w:sz="8" w:color="BECD32"/>
            </w:tcBorders>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i w:val="1"/>
                <w:iCs w:val="1"/>
                <w:color w:val="005A64"/>
              </w:rPr>
              <w:t>154.8</w:t>
            </w:r>
          </w:p>
        </w:tc>
        <w:tc>
          <w:tcPr>
            <w:tcW w:w="12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i w:val="1"/>
                <w:iCs w:val="1"/>
                <w:color w:val="005A64"/>
              </w:rPr>
              <w:t>1,209.9</w:t>
            </w:r>
          </w:p>
        </w:tc>
        <w:tc>
          <w:tcPr>
            <w:tcW w:w="0" w:type="dxa"/>
            <w:vAlign w:val="bottom"/>
          </w:tcPr>
          <w:p>
            <w:pPr>
              <w:spacing w:after="0"/>
              <w:rPr>
                <w:sz w:val="1"/>
                <w:szCs w:val="1"/>
                <w:color w:val="auto"/>
              </w:rPr>
            </w:pPr>
          </w:p>
        </w:tc>
      </w:tr>
      <w:tr>
        <w:trPr>
          <w:trHeight w:val="123"/>
        </w:trPr>
        <w:tc>
          <w:tcPr>
            <w:tcW w:w="100" w:type="dxa"/>
            <w:vAlign w:val="bottom"/>
            <w:tcBorders>
              <w:left w:val="single" w:sz="8" w:color="BECD32"/>
            </w:tcBorders>
          </w:tcPr>
          <w:p>
            <w:pPr>
              <w:spacing w:after="0"/>
              <w:rPr>
                <w:sz w:val="10"/>
                <w:szCs w:val="10"/>
                <w:color w:val="auto"/>
              </w:rPr>
            </w:pPr>
          </w:p>
        </w:tc>
        <w:tc>
          <w:tcPr>
            <w:tcW w:w="1240" w:type="dxa"/>
            <w:vAlign w:val="bottom"/>
            <w:tcBorders>
              <w:bottom w:val="single" w:sz="8" w:color="7FACB1"/>
            </w:tcBorders>
          </w:tcPr>
          <w:p>
            <w:pPr>
              <w:spacing w:after="0"/>
              <w:rPr>
                <w:sz w:val="10"/>
                <w:szCs w:val="10"/>
                <w:color w:val="auto"/>
              </w:rPr>
            </w:pPr>
          </w:p>
        </w:tc>
        <w:tc>
          <w:tcPr>
            <w:tcW w:w="12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bottom w:val="single" w:sz="8" w:color="7FACB1"/>
            </w:tcBorders>
          </w:tcPr>
          <w:p>
            <w:pPr>
              <w:spacing w:after="0"/>
              <w:rPr>
                <w:sz w:val="10"/>
                <w:szCs w:val="10"/>
                <w:color w:val="auto"/>
              </w:rPr>
            </w:pPr>
          </w:p>
        </w:tc>
        <w:tc>
          <w:tcPr>
            <w:tcW w:w="500" w:type="dxa"/>
            <w:vAlign w:val="bottom"/>
            <w:tcBorders>
              <w:bottom w:val="single" w:sz="8" w:color="7FACB1"/>
            </w:tcBorders>
          </w:tcPr>
          <w:p>
            <w:pPr>
              <w:spacing w:after="0"/>
              <w:rPr>
                <w:sz w:val="10"/>
                <w:szCs w:val="10"/>
                <w:color w:val="auto"/>
              </w:rPr>
            </w:pPr>
          </w:p>
        </w:tc>
        <w:tc>
          <w:tcPr>
            <w:tcW w:w="100" w:type="dxa"/>
            <w:vAlign w:val="bottom"/>
            <w:tcBorders>
              <w:right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Borders>
              <w:bottom w:val="single" w:sz="8" w:color="7FACB1"/>
            </w:tcBorders>
          </w:tcPr>
          <w:p>
            <w:pPr>
              <w:spacing w:after="0"/>
              <w:rPr>
                <w:sz w:val="10"/>
                <w:szCs w:val="10"/>
                <w:color w:val="auto"/>
              </w:rPr>
            </w:pPr>
          </w:p>
        </w:tc>
        <w:tc>
          <w:tcPr>
            <w:tcW w:w="120" w:type="dxa"/>
            <w:vAlign w:val="bottom"/>
            <w:tcBorders>
              <w:right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7FACB1"/>
            </w:tcBorders>
          </w:tcPr>
          <w:p>
            <w:pPr>
              <w:spacing w:after="0"/>
              <w:rPr>
                <w:sz w:val="10"/>
                <w:szCs w:val="10"/>
                <w:color w:val="auto"/>
              </w:rPr>
            </w:pPr>
          </w:p>
        </w:tc>
        <w:tc>
          <w:tcPr>
            <w:tcW w:w="600" w:type="dxa"/>
            <w:vAlign w:val="bottom"/>
            <w:tcBorders>
              <w:bottom w:val="single" w:sz="8" w:color="7FACB1"/>
            </w:tcBorders>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1340" w:type="dxa"/>
            <w:vAlign w:val="bottom"/>
            <w:tcBorders>
              <w:left w:val="single" w:sz="8" w:color="BECD32"/>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128.7</w:t>
            </w:r>
          </w:p>
        </w:tc>
        <w:tc>
          <w:tcPr>
            <w:tcW w:w="120" w:type="dxa"/>
            <w:vAlign w:val="bottom"/>
            <w:tcBorders>
              <w:bottom w:val="single" w:sz="8" w:color="BECD32"/>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005A64"/>
            </w:tcBorders>
          </w:tcPr>
          <w:p>
            <w:pPr>
              <w:spacing w:after="0"/>
              <w:rPr>
                <w:sz w:val="20"/>
                <w:szCs w:val="20"/>
                <w:color w:val="auto"/>
              </w:rPr>
            </w:pPr>
          </w:p>
        </w:tc>
        <w:tc>
          <w:tcPr>
            <w:tcW w:w="50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167.7</w:t>
            </w:r>
          </w:p>
        </w:tc>
        <w:tc>
          <w:tcPr>
            <w:tcW w:w="100" w:type="dxa"/>
            <w:vAlign w:val="bottom"/>
            <w:tcBorders>
              <w:right w:val="single" w:sz="8" w:color="BECD32"/>
            </w:tcBorders>
          </w:tcPr>
          <w:p>
            <w:pPr>
              <w:spacing w:after="0"/>
              <w:rPr>
                <w:sz w:val="20"/>
                <w:szCs w:val="20"/>
                <w:color w:val="auto"/>
              </w:rPr>
            </w:pPr>
          </w:p>
        </w:tc>
        <w:tc>
          <w:tcPr>
            <w:tcW w:w="132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316.3</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Borders>
              <w:bottom w:val="single" w:sz="8" w:color="005A64"/>
            </w:tcBorders>
          </w:tcPr>
          <w:p>
            <w:pPr>
              <w:spacing w:after="0"/>
              <w:rPr>
                <w:sz w:val="20"/>
                <w:szCs w:val="20"/>
                <w:color w:val="auto"/>
              </w:rPr>
            </w:pPr>
          </w:p>
        </w:tc>
        <w:tc>
          <w:tcPr>
            <w:tcW w:w="60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1,444.7</w:t>
            </w:r>
          </w:p>
        </w:tc>
        <w:tc>
          <w:tcPr>
            <w:tcW w:w="0" w:type="dxa"/>
            <w:vAlign w:val="bottom"/>
          </w:tcPr>
          <w:p>
            <w:pPr>
              <w:spacing w:after="0"/>
              <w:rPr>
                <w:sz w:val="1"/>
                <w:szCs w:val="1"/>
                <w:color w:val="auto"/>
              </w:rPr>
            </w:pPr>
          </w:p>
        </w:tc>
      </w:tr>
    </w:tbl>
    <w:p>
      <w:pPr>
        <w:spacing w:after="0" w:line="108" w:lineRule="exact"/>
        <w:rPr>
          <w:sz w:val="20"/>
          <w:szCs w:val="20"/>
          <w:color w:val="auto"/>
        </w:rPr>
      </w:pPr>
    </w:p>
    <w:p>
      <w:pPr>
        <w:sectPr>
          <w:pgSz w:w="11900" w:h="16838" w:orient="portrait"/>
          <w:cols w:equalWidth="0" w:num="2">
            <w:col w:w="5140" w:space="440"/>
            <w:col w:w="5660"/>
          </w:cols>
          <w:pgMar w:left="320" w:top="341" w:right="339" w:bottom="1440" w:gutter="0" w:footer="0" w:header="0"/>
          <w:type w:val="continuous"/>
        </w:sectPr>
      </w:pPr>
    </w:p>
    <w:p>
      <w:pPr>
        <w:ind w:left="320" w:hanging="312"/>
        <w:spacing w:after="0"/>
        <w:tabs>
          <w:tab w:leader="none" w:pos="320" w:val="left"/>
        </w:tabs>
        <w:numPr>
          <w:ilvl w:val="0"/>
          <w:numId w:val="4"/>
        </w:numPr>
        <w:rPr>
          <w:rFonts w:ascii="Arial" w:cs="Arial" w:eastAsia="Arial" w:hAnsi="Arial"/>
          <w:sz w:val="21"/>
          <w:szCs w:val="21"/>
          <w:color w:val="005A64"/>
          <w:vertAlign w:val="superscript"/>
        </w:rPr>
      </w:pPr>
      <w:r>
        <w:rPr>
          <w:rFonts w:ascii="Arial" w:cs="Arial" w:eastAsia="Arial" w:hAnsi="Arial"/>
          <w:sz w:val="16"/>
          <w:szCs w:val="16"/>
          <w:color w:val="005A64"/>
        </w:rPr>
        <w:t>Represents sales based on the share of the collaboration partners’ gross profit.</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4. Income and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4.1 General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5A64"/>
        </w:rPr>
        <w:t>Cost of Sales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cost of sales decreased by €103.1 million, or 63%, from € 162.9 million during the three months ended June 30, 2023, to €59.8 million during the three months ended June 30, 2024, and decreased by €140.0 million, or 54%, from €258.9 million during the six months ended June 30, 2023, to €118.9 million during the six months ended June 30, 2024. The change was mainly due to recognizing lower cost of sales from our decreased COVID-19 vaccine sales. In addition, cost of sales was impacted by expenses arising from inventory write-downs to net realizable value amounting to €27.6 million and € 63.6 million during the three and six months ended June 30, 2024, respectively, compared to €39.6 million and €49.9 million during the three and six months ended June 30, 2023, respectively (adjustments to prior-year figures relate to reclassifications). The inventories valued at net realizable value in our consolidated statement of financial position as of June 30, 2024, take contractual compensation payments into consideration.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5A64"/>
        </w:rPr>
        <w:t>Research and Development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expenses increased by €211.2 million, or 57%, from € 373.4 million during the three months ended June 30, 2023, to €584.6 million during the three months ended June 30, 2024, and increased by €384.7 million, or 54%, from €707.4 million during the six months ended June 30, 2023, to €1,092.1 million during the six months ended June 30, 2024. The increase was mainly influenced by progressing clinical studies for pipeline candidates and our newly acquired clinical stage antibody drug conjugate, or ADC, and antibody product candidates which further expand our oncology pipeline. Further contributions to the increase are coming from wages, benefits and social security expenses resulting from a significant increase in headcount.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05A64"/>
        </w:rPr>
        <w:t>General and Administrative Expenses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general and administrative expenses increased by €51.1 million, or 43%, from €119.8 million during the three months ended June 30, 2023, to €170.9 million during the three months ended June 30, 2024, and increased by €56.3 million, or 24%, from €231.6 million during the six months ended June 30, 2023, to</w:t>
      </w:r>
    </w:p>
    <w:p>
      <w:pPr>
        <w:sectPr>
          <w:pgSz w:w="11900" w:h="16838" w:orient="portrait"/>
          <w:cols w:equalWidth="0" w:num="1">
            <w:col w:w="11240"/>
          </w:cols>
          <w:pgMar w:left="320" w:top="3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341"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€287.9 million during the six months ended June 30, 2024. The change was primarily driven by increased expenses for IT environment and wages, benefits, and social security expenses resulting from a significant increase in headcount.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4.2 Other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expenses recognized during the three and six months ended June 30, 2024 and 2023,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4"/>
          </w:tcPr>
          <w:p>
            <w:pPr>
              <w:jc w:val="center"/>
              <w:ind w:left="319"/>
              <w:spacing w:after="0"/>
              <w:rPr>
                <w:sz w:val="20"/>
                <w:szCs w:val="20"/>
                <w:color w:val="auto"/>
              </w:rPr>
            </w:pPr>
            <w:r>
              <w:rPr>
                <w:rFonts w:ascii="Arial" w:cs="Arial" w:eastAsia="Arial" w:hAnsi="Arial"/>
                <w:sz w:val="16"/>
                <w:szCs w:val="16"/>
                <w:b w:val="1"/>
                <w:bCs w:val="1"/>
                <w:color w:val="005A64"/>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gridSpan w:val="4"/>
          </w:tcPr>
          <w:p>
            <w:pPr>
              <w:jc w:val="center"/>
              <w:ind w:left="399"/>
              <w:spacing w:after="0"/>
              <w:rPr>
                <w:sz w:val="20"/>
                <w:szCs w:val="20"/>
                <w:color w:val="auto"/>
              </w:rPr>
            </w:pPr>
            <w:r>
              <w:rPr>
                <w:rFonts w:ascii="Arial" w:cs="Arial" w:eastAsia="Arial" w:hAnsi="Arial"/>
                <w:sz w:val="16"/>
                <w:szCs w:val="16"/>
                <w:b w:val="1"/>
                <w:bCs w:val="1"/>
                <w:color w:val="005A64"/>
              </w:rPr>
              <w:t>Six months ended</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005A64"/>
              </w:rPr>
              <w:t>June 30,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005A64"/>
              </w:rPr>
              <w:t>June 30,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440" w:type="dxa"/>
            <w:vAlign w:val="bottom"/>
            <w:vMerge w:val="restart"/>
          </w:tcPr>
          <w:p>
            <w:pPr>
              <w:ind w:left="20"/>
              <w:spacing w:after="0"/>
              <w:rPr>
                <w:sz w:val="20"/>
                <w:szCs w:val="20"/>
                <w:color w:val="auto"/>
              </w:rPr>
            </w:pPr>
            <w:r>
              <w:rPr>
                <w:rFonts w:ascii="Arial" w:cs="Arial" w:eastAsia="Arial" w:hAnsi="Arial"/>
                <w:sz w:val="16"/>
                <w:szCs w:val="16"/>
                <w:i w:val="1"/>
                <w:iCs w:val="1"/>
                <w:color w:val="005A64"/>
              </w:rPr>
              <w:t>(in millions €)</w:t>
            </w:r>
          </w:p>
        </w:tc>
        <w:tc>
          <w:tcPr>
            <w:tcW w:w="100" w:type="dxa"/>
            <w:vAlign w:val="bottom"/>
            <w:vMerge w:val="restart"/>
          </w:tcPr>
          <w:p>
            <w:pPr>
              <w:spacing w:after="0"/>
              <w:rPr>
                <w:sz w:val="11"/>
                <w:szCs w:val="11"/>
                <w:color w:val="auto"/>
              </w:rPr>
            </w:pPr>
          </w:p>
        </w:tc>
        <w:tc>
          <w:tcPr>
            <w:tcW w:w="160" w:type="dxa"/>
            <w:vAlign w:val="bottom"/>
            <w:tcBorders>
              <w:bottom w:val="single" w:sz="8" w:color="BECE33"/>
            </w:tcBorders>
          </w:tcPr>
          <w:p>
            <w:pPr>
              <w:spacing w:after="0"/>
              <w:rPr>
                <w:sz w:val="11"/>
                <w:szCs w:val="11"/>
                <w:color w:val="auto"/>
              </w:rPr>
            </w:pPr>
          </w:p>
        </w:tc>
        <w:tc>
          <w:tcPr>
            <w:tcW w:w="1240" w:type="dxa"/>
            <w:vAlign w:val="bottom"/>
            <w:tcBorders>
              <w:bottom w:val="single" w:sz="8" w:color="BECE33"/>
            </w:tcBorders>
          </w:tcPr>
          <w:p>
            <w:pPr>
              <w:spacing w:after="0"/>
              <w:rPr>
                <w:sz w:val="11"/>
                <w:szCs w:val="11"/>
                <w:color w:val="auto"/>
              </w:rPr>
            </w:pPr>
          </w:p>
        </w:tc>
        <w:tc>
          <w:tcPr>
            <w:tcW w:w="100" w:type="dxa"/>
            <w:vAlign w:val="bottom"/>
            <w:tcBorders>
              <w:bottom w:val="single" w:sz="8" w:color="BECE33"/>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20" w:type="dxa"/>
            <w:vAlign w:val="bottom"/>
          </w:tcPr>
          <w:p>
            <w:pPr>
              <w:spacing w:after="0"/>
              <w:rPr>
                <w:sz w:val="11"/>
                <w:szCs w:val="11"/>
                <w:color w:val="auto"/>
              </w:rPr>
            </w:pPr>
          </w:p>
        </w:tc>
        <w:tc>
          <w:tcPr>
            <w:tcW w:w="1320" w:type="dxa"/>
            <w:vAlign w:val="bottom"/>
            <w:tcBorders>
              <w:bottom w:val="single" w:sz="8" w:color="BECE33"/>
            </w:tcBorders>
            <w:gridSpan w:val="2"/>
          </w:tcPr>
          <w:p>
            <w:pPr>
              <w:spacing w:after="0"/>
              <w:rPr>
                <w:sz w:val="11"/>
                <w:szCs w:val="11"/>
                <w:color w:val="auto"/>
              </w:rPr>
            </w:pPr>
          </w:p>
        </w:tc>
        <w:tc>
          <w:tcPr>
            <w:tcW w:w="100" w:type="dxa"/>
            <w:vAlign w:val="bottom"/>
            <w:tcBorders>
              <w:bottom w:val="single" w:sz="8" w:color="BECE33"/>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33"/>
        </w:trPr>
        <w:tc>
          <w:tcPr>
            <w:tcW w:w="5440" w:type="dxa"/>
            <w:vAlign w:val="bottom"/>
            <w:tcBorders>
              <w:bottom w:val="single" w:sz="8" w:color="005A64"/>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left w:val="single" w:sz="8" w:color="BECE33"/>
            </w:tcBorders>
          </w:tcPr>
          <w:p>
            <w:pPr>
              <w:jc w:val="right"/>
              <w:spacing w:after="0"/>
              <w:rPr>
                <w:sz w:val="20"/>
                <w:szCs w:val="20"/>
                <w:color w:val="auto"/>
              </w:rPr>
            </w:pPr>
            <w:r>
              <w:rPr>
                <w:rFonts w:ascii="Arial" w:cs="Arial" w:eastAsia="Arial" w:hAnsi="Arial"/>
                <w:sz w:val="16"/>
                <w:szCs w:val="16"/>
                <w:b w:val="1"/>
                <w:bCs w:val="1"/>
                <w:color w:val="005A64"/>
              </w:rPr>
              <w:t>2</w:t>
            </w: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005A64"/>
            </w:tcBorders>
          </w:tcPr>
          <w:p>
            <w:pPr>
              <w:spacing w:after="0"/>
              <w:rPr>
                <w:sz w:val="20"/>
                <w:szCs w:val="20"/>
                <w:color w:val="auto"/>
              </w:rPr>
            </w:pPr>
          </w:p>
        </w:tc>
        <w:tc>
          <w:tcPr>
            <w:tcW w:w="460" w:type="dxa"/>
            <w:vAlign w:val="bottom"/>
            <w:tcBorders>
              <w:bottom w:val="single" w:sz="8" w:color="005A64"/>
            </w:tcBorders>
            <w:vMerge w:val="continue"/>
          </w:tcPr>
          <w:p>
            <w:pPr>
              <w:spacing w:after="0"/>
              <w:rPr>
                <w:sz w:val="20"/>
                <w:szCs w:val="20"/>
                <w:color w:val="auto"/>
              </w:rPr>
            </w:pP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005A64"/>
            </w:tcBorders>
          </w:tcPr>
          <w:p>
            <w:pPr>
              <w:spacing w:after="0"/>
              <w:rPr>
                <w:sz w:val="20"/>
                <w:szCs w:val="20"/>
                <w:color w:val="auto"/>
              </w:rPr>
            </w:pPr>
          </w:p>
        </w:tc>
        <w:tc>
          <w:tcPr>
            <w:tcW w:w="540" w:type="dxa"/>
            <w:vAlign w:val="bottom"/>
            <w:tcBorders>
              <w:bottom w:val="single" w:sz="8" w:color="005A64"/>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Contractual disputes</w:t>
            </w:r>
          </w:p>
        </w:tc>
        <w:tc>
          <w:tcPr>
            <w:tcW w:w="100" w:type="dxa"/>
            <w:vAlign w:val="bottom"/>
          </w:tcPr>
          <w:p>
            <w:pPr>
              <w:spacing w:after="0"/>
              <w:rPr>
                <w:sz w:val="20"/>
                <w:szCs w:val="20"/>
                <w:color w:val="auto"/>
              </w:rPr>
            </w:pPr>
          </w:p>
        </w:tc>
        <w:tc>
          <w:tcPr>
            <w:tcW w:w="16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239.1</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7FACB1"/>
            </w:tcBorders>
          </w:tcPr>
          <w:p>
            <w:pPr>
              <w:spacing w:after="0"/>
              <w:rPr>
                <w:sz w:val="20"/>
                <w:szCs w:val="20"/>
                <w:color w:val="auto"/>
              </w:rPr>
            </w:pPr>
          </w:p>
        </w:tc>
        <w:tc>
          <w:tcPr>
            <w:tcW w:w="4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239.1</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Litigation costs</w:t>
            </w:r>
            <w:r>
              <w:rPr>
                <w:rFonts w:ascii="Arial" w:cs="Arial" w:eastAsia="Arial" w:hAnsi="Arial"/>
                <w:sz w:val="21"/>
                <w:szCs w:val="21"/>
                <w:color w:val="005A64"/>
                <w:vertAlign w:val="superscript"/>
              </w:rPr>
              <w:t>(1)</w:t>
            </w:r>
          </w:p>
        </w:tc>
        <w:tc>
          <w:tcPr>
            <w:tcW w:w="100" w:type="dxa"/>
            <w:vAlign w:val="bottom"/>
          </w:tcPr>
          <w:p>
            <w:pPr>
              <w:spacing w:after="0"/>
              <w:rPr>
                <w:sz w:val="21"/>
                <w:szCs w:val="21"/>
                <w:color w:val="auto"/>
              </w:rPr>
            </w:pPr>
          </w:p>
        </w:tc>
        <w:tc>
          <w:tcPr>
            <w:tcW w:w="160" w:type="dxa"/>
            <w:vAlign w:val="bottom"/>
            <w:tcBorders>
              <w:left w:val="single" w:sz="8" w:color="BECE33"/>
            </w:tcBorders>
          </w:tcPr>
          <w:p>
            <w:pPr>
              <w:spacing w:after="0"/>
              <w:rPr>
                <w:sz w:val="21"/>
                <w:szCs w:val="21"/>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21.7</w:t>
            </w:r>
          </w:p>
        </w:tc>
        <w:tc>
          <w:tcPr>
            <w:tcW w:w="100" w:type="dxa"/>
            <w:vAlign w:val="bottom"/>
            <w:tcBorders>
              <w:right w:val="single" w:sz="8" w:color="BECE33"/>
            </w:tcBorders>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Borders>
              <w:bottom w:val="single" w:sz="8" w:color="7FACB1"/>
            </w:tcBorders>
          </w:tcPr>
          <w:p>
            <w:pPr>
              <w:spacing w:after="0"/>
              <w:rPr>
                <w:sz w:val="21"/>
                <w:szCs w:val="21"/>
                <w:color w:val="auto"/>
              </w:rPr>
            </w:pPr>
          </w:p>
        </w:tc>
        <w:tc>
          <w:tcPr>
            <w:tcW w:w="4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2.9</w:t>
            </w:r>
          </w:p>
        </w:tc>
        <w:tc>
          <w:tcPr>
            <w:tcW w:w="120" w:type="dxa"/>
            <w:vAlign w:val="bottom"/>
            <w:tcBorders>
              <w:right w:val="single" w:sz="8" w:color="BECE33"/>
            </w:tcBorders>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42.9</w:t>
            </w:r>
          </w:p>
        </w:tc>
        <w:tc>
          <w:tcPr>
            <w:tcW w:w="100" w:type="dxa"/>
            <w:vAlign w:val="bottom"/>
            <w:tcBorders>
              <w:right w:val="single" w:sz="8" w:color="BECE33"/>
            </w:tcBorders>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Borders>
              <w:bottom w:val="single" w:sz="8" w:color="7FACB1"/>
            </w:tcBorders>
          </w:tcPr>
          <w:p>
            <w:pPr>
              <w:spacing w:after="0"/>
              <w:rPr>
                <w:sz w:val="21"/>
                <w:szCs w:val="21"/>
                <w:color w:val="auto"/>
              </w:rPr>
            </w:pPr>
          </w:p>
        </w:tc>
        <w:tc>
          <w:tcPr>
            <w:tcW w:w="5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10.5</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Loss on derivative instruments at fair value through profit or loss</w:t>
            </w:r>
          </w:p>
        </w:tc>
        <w:tc>
          <w:tcPr>
            <w:tcW w:w="100" w:type="dxa"/>
            <w:vAlign w:val="bottom"/>
          </w:tcPr>
          <w:p>
            <w:pPr>
              <w:spacing w:after="0"/>
              <w:rPr>
                <w:sz w:val="20"/>
                <w:szCs w:val="20"/>
                <w:color w:val="auto"/>
              </w:rPr>
            </w:pPr>
          </w:p>
        </w:tc>
        <w:tc>
          <w:tcPr>
            <w:tcW w:w="16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29.2</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7FACB1"/>
            </w:tcBorders>
          </w:tcPr>
          <w:p>
            <w:pPr>
              <w:spacing w:after="0"/>
              <w:rPr>
                <w:sz w:val="20"/>
                <w:szCs w:val="20"/>
                <w:color w:val="auto"/>
              </w:rPr>
            </w:pPr>
          </w:p>
        </w:tc>
        <w:tc>
          <w:tcPr>
            <w:tcW w:w="4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31.9</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Foreign exchange differences, net</w:t>
            </w:r>
          </w:p>
        </w:tc>
        <w:tc>
          <w:tcPr>
            <w:tcW w:w="100" w:type="dxa"/>
            <w:vAlign w:val="bottom"/>
          </w:tcPr>
          <w:p>
            <w:pPr>
              <w:spacing w:after="0"/>
              <w:rPr>
                <w:sz w:val="20"/>
                <w:szCs w:val="20"/>
                <w:color w:val="auto"/>
              </w:rPr>
            </w:pPr>
          </w:p>
        </w:tc>
        <w:tc>
          <w:tcPr>
            <w:tcW w:w="16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7FACB1"/>
            </w:tcBorders>
          </w:tcPr>
          <w:p>
            <w:pPr>
              <w:spacing w:after="0"/>
              <w:rPr>
                <w:sz w:val="20"/>
                <w:szCs w:val="20"/>
                <w:color w:val="auto"/>
              </w:rPr>
            </w:pPr>
          </w:p>
        </w:tc>
        <w:tc>
          <w:tcPr>
            <w:tcW w:w="4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71.2</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187.7</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w:t>
            </w:r>
          </w:p>
        </w:tc>
        <w:tc>
          <w:tcPr>
            <w:tcW w:w="100" w:type="dxa"/>
            <w:vAlign w:val="bottom"/>
          </w:tcPr>
          <w:p>
            <w:pPr>
              <w:spacing w:after="0"/>
              <w:rPr>
                <w:sz w:val="20"/>
                <w:szCs w:val="20"/>
                <w:color w:val="auto"/>
              </w:rPr>
            </w:pPr>
          </w:p>
        </w:tc>
        <w:tc>
          <w:tcPr>
            <w:tcW w:w="16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0.8</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7FACB1"/>
            </w:tcBorders>
          </w:tcPr>
          <w:p>
            <w:pPr>
              <w:spacing w:after="0"/>
              <w:rPr>
                <w:sz w:val="20"/>
                <w:szCs w:val="20"/>
                <w:color w:val="auto"/>
              </w:rPr>
            </w:pPr>
          </w:p>
        </w:tc>
        <w:tc>
          <w:tcPr>
            <w:tcW w:w="4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3.0</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0.8</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4.6</w:t>
            </w:r>
          </w:p>
        </w:tc>
        <w:tc>
          <w:tcPr>
            <w:tcW w:w="0" w:type="dxa"/>
            <w:vAlign w:val="bottom"/>
          </w:tcPr>
          <w:p>
            <w:pPr>
              <w:spacing w:after="0"/>
              <w:rPr>
                <w:sz w:val="1"/>
                <w:szCs w:val="1"/>
                <w:color w:val="auto"/>
              </w:rPr>
            </w:pPr>
          </w:p>
        </w:tc>
      </w:tr>
      <w:tr>
        <w:trPr>
          <w:trHeight w:val="239"/>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w:t>
            </w:r>
          </w:p>
        </w:tc>
        <w:tc>
          <w:tcPr>
            <w:tcW w:w="100" w:type="dxa"/>
            <w:vAlign w:val="bottom"/>
          </w:tcPr>
          <w:p>
            <w:pPr>
              <w:spacing w:after="0"/>
              <w:rPr>
                <w:sz w:val="20"/>
                <w:szCs w:val="20"/>
                <w:color w:val="auto"/>
              </w:rPr>
            </w:pPr>
          </w:p>
        </w:tc>
        <w:tc>
          <w:tcPr>
            <w:tcW w:w="160" w:type="dxa"/>
            <w:vAlign w:val="bottom"/>
            <w:tcBorders>
              <w:left w:val="single" w:sz="8" w:color="BECE33"/>
              <w:bottom w:val="single" w:sz="8" w:color="BECE33"/>
            </w:tcBorders>
          </w:tcPr>
          <w:p>
            <w:pPr>
              <w:spacing w:after="0"/>
              <w:rPr>
                <w:sz w:val="20"/>
                <w:szCs w:val="20"/>
                <w:color w:val="auto"/>
              </w:rPr>
            </w:pPr>
          </w:p>
        </w:tc>
        <w:tc>
          <w:tcPr>
            <w:tcW w:w="124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290.8</w:t>
            </w:r>
          </w:p>
        </w:tc>
        <w:tc>
          <w:tcPr>
            <w:tcW w:w="100" w:type="dxa"/>
            <w:vAlign w:val="bottom"/>
            <w:tcBorders>
              <w:bottom w:val="single" w:sz="8" w:color="BECE33"/>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005A64"/>
            </w:tcBorders>
          </w:tcPr>
          <w:p>
            <w:pPr>
              <w:spacing w:after="0"/>
              <w:rPr>
                <w:sz w:val="20"/>
                <w:szCs w:val="20"/>
                <w:color w:val="auto"/>
              </w:rPr>
            </w:pPr>
          </w:p>
        </w:tc>
        <w:tc>
          <w:tcPr>
            <w:tcW w:w="4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77.1</w:t>
            </w:r>
          </w:p>
        </w:tc>
        <w:tc>
          <w:tcPr>
            <w:tcW w:w="120" w:type="dxa"/>
            <w:vAlign w:val="bottom"/>
            <w:tcBorders>
              <w:right w:val="single" w:sz="8" w:color="BECE33"/>
            </w:tcBorders>
          </w:tcPr>
          <w:p>
            <w:pPr>
              <w:spacing w:after="0"/>
              <w:rPr>
                <w:sz w:val="20"/>
                <w:szCs w:val="20"/>
                <w:color w:val="auto"/>
              </w:rPr>
            </w:pPr>
          </w:p>
        </w:tc>
        <w:tc>
          <w:tcPr>
            <w:tcW w:w="1320" w:type="dxa"/>
            <w:vAlign w:val="bottom"/>
            <w:tcBorders>
              <w:bottom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314.7</w:t>
            </w:r>
          </w:p>
        </w:tc>
        <w:tc>
          <w:tcPr>
            <w:tcW w:w="100" w:type="dxa"/>
            <w:vAlign w:val="bottom"/>
            <w:tcBorders>
              <w:bottom w:val="single" w:sz="8" w:color="BECE33"/>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005A64"/>
            </w:tcBorders>
          </w:tcPr>
          <w:p>
            <w:pPr>
              <w:spacing w:after="0"/>
              <w:rPr>
                <w:sz w:val="20"/>
                <w:szCs w:val="20"/>
                <w:color w:val="auto"/>
              </w:rPr>
            </w:pPr>
          </w:p>
        </w:tc>
        <w:tc>
          <w:tcPr>
            <w:tcW w:w="5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202.8</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80" w:hanging="272"/>
        <w:spacing w:after="0" w:line="235" w:lineRule="auto"/>
        <w:tabs>
          <w:tab w:leader="none" w:pos="336" w:val="left"/>
        </w:tabs>
        <w:numPr>
          <w:ilvl w:val="0"/>
          <w:numId w:val="5"/>
        </w:numPr>
        <w:rPr>
          <w:rFonts w:ascii="Arial" w:cs="Arial" w:eastAsia="Arial" w:hAnsi="Arial"/>
          <w:sz w:val="21"/>
          <w:szCs w:val="21"/>
          <w:color w:val="005A64"/>
          <w:vertAlign w:val="superscript"/>
        </w:rPr>
      </w:pPr>
      <w:r>
        <w:rPr>
          <w:rFonts w:ascii="Arial" w:cs="Arial" w:eastAsia="Arial" w:hAnsi="Arial"/>
          <w:sz w:val="16"/>
          <w:szCs w:val="16"/>
          <w:color w:val="005A64"/>
        </w:rPr>
        <w:t>Adjustments to prior-year figures relate to reclassifying legal costs in connection with certain litigation as other operating expenses, rather than general and administrative expenses, to reflect changes in reporting.</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and six months ended June 30, 2024, other operating expenses increased compared to each of the three and six months ended June 30, 2023, primarily because of the recording of a provision based on our non-binding proposal with the National Institutes of Health, or NIH, to amend and restate our agreement with NIH, including a possible financial resolution and facilitating continued collaboration (see Note 9).</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 developments in other operating expenses relate to the result on derivative instruments at fair value through profit or loss arising on foreign exchange forward contracts that did not qualify for hedge accounting, which changed from a gain to a loss and foreign exchange differences arising on operating items changed from a negative effect to a positive effect, which is recorded in other operating income during the three and six months ended June 30, 2024 (see Note 4.3).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4.3 Other 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income recognized during the three and six months ended June 30, 2024 and 2023,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4632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Foreign exchange differences,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632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63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Gain on derivative instruments at fair value through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632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632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5A64"/>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632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2200" w:type="dxa"/>
            <w:vAlign w:val="bottom"/>
            <w:gridSpan w:val="4"/>
          </w:tcPr>
          <w:p>
            <w:pPr>
              <w:jc w:val="center"/>
              <w:ind w:left="339"/>
              <w:spacing w:after="0"/>
              <w:rPr>
                <w:sz w:val="20"/>
                <w:szCs w:val="20"/>
                <w:color w:val="auto"/>
              </w:rPr>
            </w:pPr>
            <w:r>
              <w:rPr>
                <w:rFonts w:ascii="Arial" w:cs="Arial" w:eastAsia="Arial" w:hAnsi="Arial"/>
                <w:sz w:val="16"/>
                <w:szCs w:val="16"/>
                <w:b w:val="1"/>
                <w:bCs w:val="1"/>
                <w:color w:val="005A64"/>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005A64"/>
              </w:rPr>
              <w:t>Six months ended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200" w:type="dxa"/>
            <w:vAlign w:val="bottom"/>
            <w:gridSpan w:val="4"/>
          </w:tcPr>
          <w:p>
            <w:pPr>
              <w:jc w:val="center"/>
              <w:ind w:left="399"/>
              <w:spacing w:after="0"/>
              <w:rPr>
                <w:sz w:val="20"/>
                <w:szCs w:val="20"/>
                <w:color w:val="auto"/>
              </w:rPr>
            </w:pPr>
            <w:r>
              <w:rPr>
                <w:rFonts w:ascii="Arial" w:cs="Arial" w:eastAsia="Arial" w:hAnsi="Arial"/>
                <w:sz w:val="16"/>
                <w:szCs w:val="16"/>
                <w:b w:val="1"/>
                <w:bCs w:val="1"/>
                <w:color w:val="005A64"/>
                <w:w w:val="99"/>
              </w:rPr>
              <w:t>June 30,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005A64"/>
                <w:w w:val="99"/>
              </w:rPr>
              <w:t>June 30,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00" w:type="dxa"/>
            <w:vAlign w:val="bottom"/>
            <w:tcBorders>
              <w:bottom w:val="single" w:sz="8" w:color="BECD32"/>
            </w:tcBorders>
          </w:tcPr>
          <w:p>
            <w:pPr>
              <w:spacing w:after="0"/>
              <w:rPr>
                <w:sz w:val="11"/>
                <w:szCs w:val="11"/>
                <w:color w:val="auto"/>
              </w:rPr>
            </w:pPr>
          </w:p>
        </w:tc>
        <w:tc>
          <w:tcPr>
            <w:tcW w:w="1240" w:type="dxa"/>
            <w:vAlign w:val="bottom"/>
            <w:tcBorders>
              <w:bottom w:val="single" w:sz="8" w:color="BECD32"/>
            </w:tcBorders>
          </w:tcPr>
          <w:p>
            <w:pPr>
              <w:spacing w:after="0"/>
              <w:rPr>
                <w:sz w:val="11"/>
                <w:szCs w:val="11"/>
                <w:color w:val="auto"/>
              </w:rPr>
            </w:pPr>
          </w:p>
        </w:tc>
        <w:tc>
          <w:tcPr>
            <w:tcW w:w="100" w:type="dxa"/>
            <w:vAlign w:val="bottom"/>
            <w:tcBorders>
              <w:bottom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20" w:type="dxa"/>
            <w:vAlign w:val="bottom"/>
          </w:tcPr>
          <w:p>
            <w:pPr>
              <w:spacing w:after="0"/>
              <w:rPr>
                <w:sz w:val="11"/>
                <w:szCs w:val="11"/>
                <w:color w:val="auto"/>
              </w:rPr>
            </w:pPr>
          </w:p>
        </w:tc>
        <w:tc>
          <w:tcPr>
            <w:tcW w:w="1320" w:type="dxa"/>
            <w:vAlign w:val="bottom"/>
            <w:tcBorders>
              <w:bottom w:val="single" w:sz="8" w:color="BECD32"/>
            </w:tcBorders>
            <w:gridSpan w:val="2"/>
          </w:tcPr>
          <w:p>
            <w:pPr>
              <w:spacing w:after="0"/>
              <w:rPr>
                <w:sz w:val="11"/>
                <w:szCs w:val="11"/>
                <w:color w:val="auto"/>
              </w:rPr>
            </w:pPr>
          </w:p>
        </w:tc>
        <w:tc>
          <w:tcPr>
            <w:tcW w:w="120" w:type="dxa"/>
            <w:vAlign w:val="bottom"/>
            <w:tcBorders>
              <w:bottom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33"/>
        </w:trPr>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005A64"/>
            </w:tcBorders>
          </w:tcPr>
          <w:p>
            <w:pPr>
              <w:spacing w:after="0"/>
              <w:rPr>
                <w:sz w:val="20"/>
                <w:szCs w:val="20"/>
                <w:color w:val="auto"/>
              </w:rPr>
            </w:pPr>
          </w:p>
        </w:tc>
        <w:tc>
          <w:tcPr>
            <w:tcW w:w="480" w:type="dxa"/>
            <w:vAlign w:val="bottom"/>
            <w:tcBorders>
              <w:bottom w:val="single" w:sz="8" w:color="005A64"/>
            </w:tcBorders>
            <w:vMerge w:val="continue"/>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005A64"/>
            </w:tcBorders>
          </w:tcPr>
          <w:p>
            <w:pPr>
              <w:spacing w:after="0"/>
              <w:rPr>
                <w:sz w:val="20"/>
                <w:szCs w:val="20"/>
                <w:color w:val="auto"/>
              </w:rPr>
            </w:pPr>
          </w:p>
        </w:tc>
        <w:tc>
          <w:tcPr>
            <w:tcW w:w="520" w:type="dxa"/>
            <w:vAlign w:val="bottom"/>
            <w:tcBorders>
              <w:bottom w:val="single" w:sz="8" w:color="005A64"/>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17.3</w:t>
            </w:r>
          </w:p>
        </w:tc>
        <w:tc>
          <w:tcPr>
            <w:tcW w:w="100" w:type="dxa"/>
            <w:vAlign w:val="bottom"/>
            <w:tcBorders>
              <w:bottom w:val="single" w:sz="8" w:color="7FACB1"/>
              <w:right w:val="single" w:sz="8" w:color="BECD32"/>
            </w:tcBorders>
          </w:tcPr>
          <w:p>
            <w:pPr>
              <w:spacing w:after="0"/>
              <w:rPr>
                <w:sz w:val="20"/>
                <w:szCs w:val="20"/>
                <w:color w:val="auto"/>
              </w:rPr>
            </w:pPr>
          </w:p>
        </w:tc>
        <w:tc>
          <w:tcPr>
            <w:tcW w:w="80" w:type="dxa"/>
            <w:vAlign w:val="bottom"/>
            <w:tcBorders>
              <w:bottom w:val="single" w:sz="8" w:color="7FACB1"/>
            </w:tcBorders>
          </w:tcPr>
          <w:p>
            <w:pPr>
              <w:spacing w:after="0"/>
              <w:rPr>
                <w:sz w:val="20"/>
                <w:szCs w:val="20"/>
                <w:color w:val="auto"/>
              </w:rPr>
            </w:pPr>
          </w:p>
        </w:tc>
        <w:tc>
          <w:tcPr>
            <w:tcW w:w="780" w:type="dxa"/>
            <w:vAlign w:val="bottom"/>
            <w:tcBorders>
              <w:bottom w:val="single" w:sz="8" w:color="7FACB1"/>
            </w:tcBorders>
          </w:tcPr>
          <w:p>
            <w:pPr>
              <w:spacing w:after="0"/>
              <w:rPr>
                <w:sz w:val="20"/>
                <w:szCs w:val="20"/>
                <w:color w:val="auto"/>
              </w:rPr>
            </w:pPr>
          </w:p>
        </w:tc>
        <w:tc>
          <w:tcPr>
            <w:tcW w:w="600" w:type="dxa"/>
            <w:vAlign w:val="bottom"/>
            <w:tcBorders>
              <w:bottom w:val="single" w:sz="8" w:color="7FACB1"/>
              <w:right w:val="single" w:sz="8" w:color="BECD32"/>
            </w:tcBorders>
            <w:gridSpan w:val="2"/>
          </w:tcPr>
          <w:p>
            <w:pPr>
              <w:jc w:val="right"/>
              <w:ind w:right="140"/>
              <w:spacing w:after="0"/>
              <w:rPr>
                <w:sz w:val="20"/>
                <w:szCs w:val="20"/>
                <w:color w:val="auto"/>
              </w:rPr>
            </w:pPr>
            <w:r>
              <w:rPr>
                <w:rFonts w:ascii="Arial" w:cs="Arial" w:eastAsia="Arial" w:hAnsi="Arial"/>
                <w:sz w:val="16"/>
                <w:szCs w:val="16"/>
                <w:color w:val="005A64"/>
              </w:rPr>
              <w:t>—</w:t>
            </w:r>
          </w:p>
        </w:tc>
        <w:tc>
          <w:tcPr>
            <w:tcW w:w="1320" w:type="dxa"/>
            <w:vAlign w:val="bottom"/>
            <w:tcBorders>
              <w:bottom w:val="single" w:sz="8" w:color="7FACB1"/>
            </w:tcBorders>
            <w:gridSpan w:val="2"/>
          </w:tcPr>
          <w:p>
            <w:pPr>
              <w:jc w:val="right"/>
              <w:spacing w:after="0"/>
              <w:rPr>
                <w:sz w:val="20"/>
                <w:szCs w:val="20"/>
                <w:color w:val="auto"/>
              </w:rPr>
            </w:pPr>
            <w:r>
              <w:rPr>
                <w:rFonts w:ascii="Arial" w:cs="Arial" w:eastAsia="Arial" w:hAnsi="Arial"/>
                <w:sz w:val="16"/>
                <w:szCs w:val="16"/>
                <w:color w:val="005A64"/>
              </w:rPr>
              <w:t>34.4</w:t>
            </w:r>
          </w:p>
        </w:tc>
        <w:tc>
          <w:tcPr>
            <w:tcW w:w="120" w:type="dxa"/>
            <w:vAlign w:val="bottom"/>
            <w:tcBorders>
              <w:bottom w:val="single" w:sz="8" w:color="7FACB1"/>
              <w:right w:val="single" w:sz="8" w:color="BECD32"/>
            </w:tcBorders>
          </w:tcPr>
          <w:p>
            <w:pPr>
              <w:spacing w:after="0"/>
              <w:rPr>
                <w:sz w:val="20"/>
                <w:szCs w:val="20"/>
                <w:color w:val="auto"/>
              </w:rPr>
            </w:pPr>
          </w:p>
        </w:tc>
        <w:tc>
          <w:tcPr>
            <w:tcW w:w="80" w:type="dxa"/>
            <w:vAlign w:val="bottom"/>
            <w:tcBorders>
              <w:bottom w:val="single" w:sz="8" w:color="7FACB1"/>
            </w:tcBorders>
          </w:tcPr>
          <w:p>
            <w:pPr>
              <w:spacing w:after="0"/>
              <w:rPr>
                <w:sz w:val="20"/>
                <w:szCs w:val="20"/>
                <w:color w:val="auto"/>
              </w:rPr>
            </w:pPr>
          </w:p>
        </w:tc>
        <w:tc>
          <w:tcPr>
            <w:tcW w:w="720" w:type="dxa"/>
            <w:vAlign w:val="bottom"/>
            <w:tcBorders>
              <w:bottom w:val="single" w:sz="8" w:color="7FACB1"/>
            </w:tcBorders>
          </w:tcPr>
          <w:p>
            <w:pPr>
              <w:spacing w:after="0"/>
              <w:rPr>
                <w:sz w:val="20"/>
                <w:szCs w:val="20"/>
                <w:color w:val="auto"/>
              </w:rPr>
            </w:pPr>
          </w:p>
        </w:tc>
        <w:tc>
          <w:tcPr>
            <w:tcW w:w="5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0" w:type="dxa"/>
            <w:vAlign w:val="bottom"/>
          </w:tcPr>
          <w:p>
            <w:pPr>
              <w:spacing w:after="0"/>
              <w:rPr>
                <w:sz w:val="1"/>
                <w:szCs w:val="1"/>
                <w:color w:val="auto"/>
              </w:rPr>
            </w:pPr>
          </w:p>
        </w:tc>
      </w:tr>
      <w:tr>
        <w:trPr>
          <w:trHeight w:val="237"/>
        </w:trPr>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3.1</w:t>
            </w:r>
          </w:p>
        </w:tc>
        <w:tc>
          <w:tcPr>
            <w:tcW w:w="100" w:type="dxa"/>
            <w:vAlign w:val="bottom"/>
            <w:tcBorders>
              <w:bottom w:val="single" w:sz="8" w:color="7FACB1"/>
              <w:right w:val="single" w:sz="8" w:color="BECD32"/>
            </w:tcBorders>
          </w:tcPr>
          <w:p>
            <w:pPr>
              <w:spacing w:after="0"/>
              <w:rPr>
                <w:sz w:val="20"/>
                <w:szCs w:val="20"/>
                <w:color w:val="auto"/>
              </w:rPr>
            </w:pPr>
          </w:p>
        </w:tc>
        <w:tc>
          <w:tcPr>
            <w:tcW w:w="80" w:type="dxa"/>
            <w:vAlign w:val="bottom"/>
            <w:tcBorders>
              <w:bottom w:val="single" w:sz="8" w:color="7FACB1"/>
            </w:tcBorders>
          </w:tcPr>
          <w:p>
            <w:pPr>
              <w:spacing w:after="0"/>
              <w:rPr>
                <w:sz w:val="20"/>
                <w:szCs w:val="20"/>
                <w:color w:val="auto"/>
              </w:rPr>
            </w:pPr>
          </w:p>
        </w:tc>
        <w:tc>
          <w:tcPr>
            <w:tcW w:w="780" w:type="dxa"/>
            <w:vAlign w:val="bottom"/>
            <w:tcBorders>
              <w:bottom w:val="single" w:sz="8" w:color="7FACB1"/>
            </w:tcBorders>
          </w:tcPr>
          <w:p>
            <w:pPr>
              <w:spacing w:after="0"/>
              <w:rPr>
                <w:sz w:val="20"/>
                <w:szCs w:val="20"/>
                <w:color w:val="auto"/>
              </w:rPr>
            </w:pPr>
          </w:p>
        </w:tc>
        <w:tc>
          <w:tcPr>
            <w:tcW w:w="600" w:type="dxa"/>
            <w:vAlign w:val="bottom"/>
            <w:tcBorders>
              <w:bottom w:val="single" w:sz="8" w:color="7FACB1"/>
              <w:right w:val="single" w:sz="8" w:color="BECD32"/>
            </w:tcBorders>
            <w:gridSpan w:val="2"/>
          </w:tcPr>
          <w:p>
            <w:pPr>
              <w:jc w:val="right"/>
              <w:ind w:right="140"/>
              <w:spacing w:after="0"/>
              <w:rPr>
                <w:sz w:val="20"/>
                <w:szCs w:val="20"/>
                <w:color w:val="auto"/>
              </w:rPr>
            </w:pPr>
            <w:r>
              <w:rPr>
                <w:rFonts w:ascii="Arial" w:cs="Arial" w:eastAsia="Arial" w:hAnsi="Arial"/>
                <w:sz w:val="16"/>
                <w:szCs w:val="16"/>
                <w:color w:val="005A64"/>
              </w:rPr>
              <w:t>—</w:t>
            </w:r>
          </w:p>
        </w:tc>
        <w:tc>
          <w:tcPr>
            <w:tcW w:w="1320" w:type="dxa"/>
            <w:vAlign w:val="bottom"/>
            <w:tcBorders>
              <w:bottom w:val="single" w:sz="8" w:color="7FACB1"/>
            </w:tcBorders>
            <w:gridSpan w:val="2"/>
          </w:tcPr>
          <w:p>
            <w:pPr>
              <w:jc w:val="right"/>
              <w:spacing w:after="0"/>
              <w:rPr>
                <w:sz w:val="20"/>
                <w:szCs w:val="20"/>
                <w:color w:val="auto"/>
              </w:rPr>
            </w:pPr>
            <w:r>
              <w:rPr>
                <w:rFonts w:ascii="Arial" w:cs="Arial" w:eastAsia="Arial" w:hAnsi="Arial"/>
                <w:sz w:val="16"/>
                <w:szCs w:val="16"/>
                <w:color w:val="005A64"/>
              </w:rPr>
              <w:t>12.2</w:t>
            </w:r>
          </w:p>
        </w:tc>
        <w:tc>
          <w:tcPr>
            <w:tcW w:w="120" w:type="dxa"/>
            <w:vAlign w:val="bottom"/>
            <w:tcBorders>
              <w:bottom w:val="single" w:sz="8" w:color="7FACB1"/>
              <w:right w:val="single" w:sz="8" w:color="BECD32"/>
            </w:tcBorders>
          </w:tcPr>
          <w:p>
            <w:pPr>
              <w:spacing w:after="0"/>
              <w:rPr>
                <w:sz w:val="20"/>
                <w:szCs w:val="20"/>
                <w:color w:val="auto"/>
              </w:rPr>
            </w:pPr>
          </w:p>
        </w:tc>
        <w:tc>
          <w:tcPr>
            <w:tcW w:w="80" w:type="dxa"/>
            <w:vAlign w:val="bottom"/>
            <w:tcBorders>
              <w:bottom w:val="single" w:sz="8" w:color="7FACB1"/>
            </w:tcBorders>
          </w:tcPr>
          <w:p>
            <w:pPr>
              <w:spacing w:after="0"/>
              <w:rPr>
                <w:sz w:val="20"/>
                <w:szCs w:val="20"/>
                <w:color w:val="auto"/>
              </w:rPr>
            </w:pPr>
          </w:p>
        </w:tc>
        <w:tc>
          <w:tcPr>
            <w:tcW w:w="720" w:type="dxa"/>
            <w:vAlign w:val="bottom"/>
            <w:tcBorders>
              <w:bottom w:val="single" w:sz="8" w:color="7FACB1"/>
            </w:tcBorders>
          </w:tcPr>
          <w:p>
            <w:pPr>
              <w:spacing w:after="0"/>
              <w:rPr>
                <w:sz w:val="20"/>
                <w:szCs w:val="20"/>
                <w:color w:val="auto"/>
              </w:rPr>
            </w:pPr>
          </w:p>
        </w:tc>
        <w:tc>
          <w:tcPr>
            <w:tcW w:w="5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0" w:type="dxa"/>
            <w:vAlign w:val="bottom"/>
          </w:tcPr>
          <w:p>
            <w:pPr>
              <w:spacing w:after="0"/>
              <w:rPr>
                <w:sz w:val="1"/>
                <w:szCs w:val="1"/>
                <w:color w:val="auto"/>
              </w:rPr>
            </w:pPr>
          </w:p>
        </w:tc>
      </w:tr>
      <w:tr>
        <w:trPr>
          <w:trHeight w:val="237"/>
        </w:trPr>
        <w:tc>
          <w:tcPr>
            <w:tcW w:w="100" w:type="dxa"/>
            <w:vAlign w:val="bottom"/>
            <w:tcBorders>
              <w:left w:val="single" w:sz="8" w:color="BECD32"/>
            </w:tcBorders>
          </w:tcPr>
          <w:p>
            <w:pPr>
              <w:spacing w:after="0"/>
              <w:rPr>
                <w:sz w:val="20"/>
                <w:szCs w:val="20"/>
                <w:color w:val="auto"/>
              </w:rPr>
            </w:pPr>
          </w:p>
        </w:tc>
        <w:tc>
          <w:tcPr>
            <w:tcW w:w="1340" w:type="dxa"/>
            <w:vAlign w:val="bottom"/>
            <w:tcBorders>
              <w:bottom w:val="single" w:sz="8" w:color="7FACB1"/>
              <w:right w:val="single" w:sz="8" w:color="BECD32"/>
            </w:tcBorders>
            <w:gridSpan w:val="2"/>
          </w:tcPr>
          <w:p>
            <w:pPr>
              <w:jc w:val="right"/>
              <w:ind w:right="120"/>
              <w:spacing w:after="0"/>
              <w:rPr>
                <w:sz w:val="20"/>
                <w:szCs w:val="20"/>
                <w:color w:val="auto"/>
              </w:rPr>
            </w:pPr>
            <w:r>
              <w:rPr>
                <w:rFonts w:ascii="Arial" w:cs="Arial" w:eastAsia="Arial" w:hAnsi="Arial"/>
                <w:sz w:val="16"/>
                <w:szCs w:val="16"/>
                <w:color w:val="005A64"/>
              </w:rPr>
              <w:t>—</w:t>
            </w:r>
          </w:p>
        </w:tc>
        <w:tc>
          <w:tcPr>
            <w:tcW w:w="860" w:type="dxa"/>
            <w:vAlign w:val="bottom"/>
            <w:tcBorders>
              <w:bottom w:val="single" w:sz="8" w:color="7FACB1"/>
            </w:tcBorders>
            <w:gridSpan w:val="2"/>
          </w:tcPr>
          <w:p>
            <w:pPr>
              <w:spacing w:after="0"/>
              <w:rPr>
                <w:sz w:val="20"/>
                <w:szCs w:val="20"/>
                <w:color w:val="auto"/>
              </w:rPr>
            </w:pPr>
          </w:p>
        </w:tc>
        <w:tc>
          <w:tcPr>
            <w:tcW w:w="4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12.6</w:t>
            </w:r>
          </w:p>
        </w:tc>
        <w:tc>
          <w:tcPr>
            <w:tcW w:w="120" w:type="dxa"/>
            <w:vAlign w:val="bottom"/>
            <w:tcBorders>
              <w:bottom w:val="single" w:sz="8" w:color="7FACB1"/>
              <w:right w:val="single" w:sz="8" w:color="BECD32"/>
            </w:tcBorders>
          </w:tcPr>
          <w:p>
            <w:pPr>
              <w:spacing w:after="0"/>
              <w:rPr>
                <w:sz w:val="20"/>
                <w:szCs w:val="20"/>
                <w:color w:val="auto"/>
              </w:rPr>
            </w:pPr>
          </w:p>
        </w:tc>
        <w:tc>
          <w:tcPr>
            <w:tcW w:w="60" w:type="dxa"/>
            <w:vAlign w:val="bottom"/>
            <w:tcBorders>
              <w:bottom w:val="single" w:sz="8" w:color="7FACB1"/>
            </w:tcBorders>
          </w:tcPr>
          <w:p>
            <w:pPr>
              <w:spacing w:after="0"/>
              <w:rPr>
                <w:sz w:val="20"/>
                <w:szCs w:val="20"/>
                <w:color w:val="auto"/>
              </w:rPr>
            </w:pPr>
          </w:p>
        </w:tc>
        <w:tc>
          <w:tcPr>
            <w:tcW w:w="1380" w:type="dxa"/>
            <w:vAlign w:val="bottom"/>
            <w:tcBorders>
              <w:bottom w:val="single" w:sz="8" w:color="7FACB1"/>
              <w:right w:val="single" w:sz="8" w:color="BECD32"/>
            </w:tcBorders>
            <w:gridSpan w:val="2"/>
          </w:tcPr>
          <w:p>
            <w:pPr>
              <w:jc w:val="right"/>
              <w:ind w:right="140"/>
              <w:spacing w:after="0"/>
              <w:rPr>
                <w:sz w:val="20"/>
                <w:szCs w:val="20"/>
                <w:color w:val="auto"/>
              </w:rPr>
            </w:pPr>
            <w:r>
              <w:rPr>
                <w:rFonts w:ascii="Arial" w:cs="Arial" w:eastAsia="Arial" w:hAnsi="Arial"/>
                <w:sz w:val="16"/>
                <w:szCs w:val="16"/>
                <w:color w:val="005A64"/>
              </w:rPr>
              <w:t>—</w:t>
            </w:r>
          </w:p>
        </w:tc>
        <w:tc>
          <w:tcPr>
            <w:tcW w:w="800" w:type="dxa"/>
            <w:vAlign w:val="bottom"/>
            <w:tcBorders>
              <w:bottom w:val="single" w:sz="8" w:color="7FACB1"/>
            </w:tcBorders>
            <w:gridSpan w:val="2"/>
          </w:tcPr>
          <w:p>
            <w:pPr>
              <w:spacing w:after="0"/>
              <w:rPr>
                <w:sz w:val="20"/>
                <w:szCs w:val="20"/>
                <w:color w:val="auto"/>
              </w:rPr>
            </w:pPr>
          </w:p>
        </w:tc>
        <w:tc>
          <w:tcPr>
            <w:tcW w:w="5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54.5</w:t>
            </w:r>
          </w:p>
        </w:tc>
        <w:tc>
          <w:tcPr>
            <w:tcW w:w="0" w:type="dxa"/>
            <w:vAlign w:val="bottom"/>
          </w:tcPr>
          <w:p>
            <w:pPr>
              <w:spacing w:after="0"/>
              <w:rPr>
                <w:sz w:val="1"/>
                <w:szCs w:val="1"/>
                <w:color w:val="auto"/>
              </w:rPr>
            </w:pPr>
          </w:p>
        </w:tc>
      </w:tr>
      <w:tr>
        <w:trPr>
          <w:trHeight w:val="236"/>
        </w:trPr>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3.7</w:t>
            </w:r>
          </w:p>
        </w:tc>
        <w:tc>
          <w:tcPr>
            <w:tcW w:w="100" w:type="dxa"/>
            <w:vAlign w:val="bottom"/>
            <w:tcBorders>
              <w:bottom w:val="single" w:sz="8" w:color="7FACB1"/>
              <w:right w:val="single" w:sz="8" w:color="BECD32"/>
            </w:tcBorders>
          </w:tcPr>
          <w:p>
            <w:pPr>
              <w:spacing w:after="0"/>
              <w:rPr>
                <w:sz w:val="20"/>
                <w:szCs w:val="20"/>
                <w:color w:val="auto"/>
              </w:rPr>
            </w:pPr>
          </w:p>
        </w:tc>
        <w:tc>
          <w:tcPr>
            <w:tcW w:w="80" w:type="dxa"/>
            <w:vAlign w:val="bottom"/>
            <w:tcBorders>
              <w:bottom w:val="single" w:sz="8" w:color="7FACB1"/>
            </w:tcBorders>
          </w:tcPr>
          <w:p>
            <w:pPr>
              <w:spacing w:after="0"/>
              <w:rPr>
                <w:sz w:val="20"/>
                <w:szCs w:val="20"/>
                <w:color w:val="auto"/>
              </w:rPr>
            </w:pPr>
          </w:p>
        </w:tc>
        <w:tc>
          <w:tcPr>
            <w:tcW w:w="780" w:type="dxa"/>
            <w:vAlign w:val="bottom"/>
            <w:tcBorders>
              <w:bottom w:val="single" w:sz="8" w:color="7FACB1"/>
            </w:tcBorders>
          </w:tcPr>
          <w:p>
            <w:pPr>
              <w:spacing w:after="0"/>
              <w:rPr>
                <w:sz w:val="20"/>
                <w:szCs w:val="20"/>
                <w:color w:val="auto"/>
              </w:rPr>
            </w:pPr>
          </w:p>
        </w:tc>
        <w:tc>
          <w:tcPr>
            <w:tcW w:w="4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7.7</w:t>
            </w:r>
          </w:p>
        </w:tc>
        <w:tc>
          <w:tcPr>
            <w:tcW w:w="120" w:type="dxa"/>
            <w:vAlign w:val="bottom"/>
            <w:tcBorders>
              <w:bottom w:val="single" w:sz="8" w:color="7FACB1"/>
              <w:right w:val="single" w:sz="8" w:color="BECD32"/>
            </w:tcBorders>
          </w:tcPr>
          <w:p>
            <w:pPr>
              <w:spacing w:after="0"/>
              <w:rPr>
                <w:sz w:val="20"/>
                <w:szCs w:val="20"/>
                <w:color w:val="auto"/>
              </w:rPr>
            </w:pPr>
          </w:p>
        </w:tc>
        <w:tc>
          <w:tcPr>
            <w:tcW w:w="1320" w:type="dxa"/>
            <w:vAlign w:val="bottom"/>
            <w:tcBorders>
              <w:bottom w:val="single" w:sz="8" w:color="7FACB1"/>
            </w:tcBorders>
            <w:gridSpan w:val="2"/>
          </w:tcPr>
          <w:p>
            <w:pPr>
              <w:jc w:val="right"/>
              <w:spacing w:after="0"/>
              <w:rPr>
                <w:sz w:val="20"/>
                <w:szCs w:val="20"/>
                <w:color w:val="auto"/>
              </w:rPr>
            </w:pPr>
            <w:r>
              <w:rPr>
                <w:rFonts w:ascii="Arial" w:cs="Arial" w:eastAsia="Arial" w:hAnsi="Arial"/>
                <w:sz w:val="16"/>
                <w:szCs w:val="16"/>
                <w:color w:val="005A64"/>
              </w:rPr>
              <w:t>5.8</w:t>
            </w:r>
          </w:p>
        </w:tc>
        <w:tc>
          <w:tcPr>
            <w:tcW w:w="120" w:type="dxa"/>
            <w:vAlign w:val="bottom"/>
            <w:tcBorders>
              <w:bottom w:val="single" w:sz="8" w:color="7FACB1"/>
              <w:right w:val="single" w:sz="8" w:color="BECD32"/>
            </w:tcBorders>
          </w:tcPr>
          <w:p>
            <w:pPr>
              <w:spacing w:after="0"/>
              <w:rPr>
                <w:sz w:val="20"/>
                <w:szCs w:val="20"/>
                <w:color w:val="auto"/>
              </w:rPr>
            </w:pPr>
          </w:p>
        </w:tc>
        <w:tc>
          <w:tcPr>
            <w:tcW w:w="80" w:type="dxa"/>
            <w:vAlign w:val="bottom"/>
            <w:tcBorders>
              <w:bottom w:val="single" w:sz="8" w:color="7FACB1"/>
            </w:tcBorders>
          </w:tcPr>
          <w:p>
            <w:pPr>
              <w:spacing w:after="0"/>
              <w:rPr>
                <w:sz w:val="20"/>
                <w:szCs w:val="20"/>
                <w:color w:val="auto"/>
              </w:rPr>
            </w:pPr>
          </w:p>
        </w:tc>
        <w:tc>
          <w:tcPr>
            <w:tcW w:w="720" w:type="dxa"/>
            <w:vAlign w:val="bottom"/>
            <w:tcBorders>
              <w:bottom w:val="single" w:sz="8" w:color="7FACB1"/>
            </w:tcBorders>
          </w:tcPr>
          <w:p>
            <w:pPr>
              <w:spacing w:after="0"/>
              <w:rPr>
                <w:sz w:val="20"/>
                <w:szCs w:val="20"/>
                <w:color w:val="auto"/>
              </w:rPr>
            </w:pPr>
          </w:p>
        </w:tc>
        <w:tc>
          <w:tcPr>
            <w:tcW w:w="5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22.9</w:t>
            </w:r>
          </w:p>
        </w:tc>
        <w:tc>
          <w:tcPr>
            <w:tcW w:w="0" w:type="dxa"/>
            <w:vAlign w:val="bottom"/>
          </w:tcPr>
          <w:p>
            <w:pPr>
              <w:spacing w:after="0"/>
              <w:rPr>
                <w:sz w:val="1"/>
                <w:szCs w:val="1"/>
                <w:color w:val="auto"/>
              </w:rPr>
            </w:pPr>
          </w:p>
        </w:tc>
      </w:tr>
      <w:tr>
        <w:trPr>
          <w:trHeight w:val="239"/>
        </w:trPr>
        <w:tc>
          <w:tcPr>
            <w:tcW w:w="100" w:type="dxa"/>
            <w:vAlign w:val="bottom"/>
            <w:tcBorders>
              <w:left w:val="single" w:sz="8" w:color="BECD32"/>
              <w:bottom w:val="single" w:sz="8" w:color="BECD32"/>
            </w:tcBorders>
          </w:tcPr>
          <w:p>
            <w:pPr>
              <w:spacing w:after="0"/>
              <w:rPr>
                <w:sz w:val="20"/>
                <w:szCs w:val="20"/>
                <w:color w:val="auto"/>
              </w:rPr>
            </w:pPr>
          </w:p>
        </w:tc>
        <w:tc>
          <w:tcPr>
            <w:tcW w:w="1240" w:type="dxa"/>
            <w:vAlign w:val="bottom"/>
            <w:tcBorders>
              <w:bottom w:val="single" w:sz="8" w:color="BECD32"/>
            </w:tcBorders>
          </w:tcPr>
          <w:p>
            <w:pPr>
              <w:jc w:val="right"/>
              <w:spacing w:after="0"/>
              <w:rPr>
                <w:sz w:val="20"/>
                <w:szCs w:val="20"/>
                <w:color w:val="auto"/>
              </w:rPr>
            </w:pPr>
            <w:r>
              <w:rPr>
                <w:rFonts w:ascii="Arial" w:cs="Arial" w:eastAsia="Arial" w:hAnsi="Arial"/>
                <w:sz w:val="16"/>
                <w:szCs w:val="16"/>
                <w:b w:val="1"/>
                <w:bCs w:val="1"/>
                <w:color w:val="005A64"/>
              </w:rPr>
              <w:t>24.1</w:t>
            </w:r>
          </w:p>
        </w:tc>
        <w:tc>
          <w:tcPr>
            <w:tcW w:w="10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005A64"/>
            </w:tcBorders>
          </w:tcPr>
          <w:p>
            <w:pPr>
              <w:spacing w:after="0"/>
              <w:rPr>
                <w:sz w:val="20"/>
                <w:szCs w:val="20"/>
                <w:color w:val="auto"/>
              </w:rPr>
            </w:pPr>
          </w:p>
        </w:tc>
        <w:tc>
          <w:tcPr>
            <w:tcW w:w="4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20.3</w:t>
            </w:r>
          </w:p>
        </w:tc>
        <w:tc>
          <w:tcPr>
            <w:tcW w:w="120" w:type="dxa"/>
            <w:vAlign w:val="bottom"/>
            <w:tcBorders>
              <w:right w:val="single" w:sz="8" w:color="BECD32"/>
            </w:tcBorders>
          </w:tcPr>
          <w:p>
            <w:pPr>
              <w:spacing w:after="0"/>
              <w:rPr>
                <w:sz w:val="20"/>
                <w:szCs w:val="20"/>
                <w:color w:val="auto"/>
              </w:rPr>
            </w:pPr>
          </w:p>
        </w:tc>
        <w:tc>
          <w:tcPr>
            <w:tcW w:w="132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52.4</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005A64"/>
            </w:tcBorders>
          </w:tcPr>
          <w:p>
            <w:pPr>
              <w:spacing w:after="0"/>
              <w:rPr>
                <w:sz w:val="20"/>
                <w:szCs w:val="20"/>
                <w:color w:val="auto"/>
              </w:rPr>
            </w:pPr>
          </w:p>
        </w:tc>
        <w:tc>
          <w:tcPr>
            <w:tcW w:w="5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77.4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840" w:space="720"/>
            <w:col w:w="5680"/>
          </w:cols>
          <w:pgMar w:left="320" w:top="341" w:right="339" w:bottom="1440" w:gutter="0" w:footer="0" w:header="0"/>
          <w:type w:val="continuous"/>
        </w:sectPr>
      </w:pPr>
    </w:p>
    <w:p>
      <w:pPr>
        <w:spacing w:after="0" w:line="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six months ended June 30, 2024, other operating income decreased compared to the six months ended June 30, 2023, as the result on derivative instruments at fair value through profit or loss arising on foreign exchange forward contracts that did not qualify for hedge accounting changed from a gain to a loss, which is recorded in other operating expenses (see Note 4.2).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341"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June 30, 2024, the amount of our grants deferred in our unaudited interim condensed consolidated financial statements amounted to €85.4 million compared to €5.9 million for the period ended December 31,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4.4 Finance Result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finance result recognized during the three and six months ended June 30, 2024 and 2023, is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4"/>
          </w:tcPr>
          <w:p>
            <w:pPr>
              <w:jc w:val="center"/>
              <w:ind w:left="359"/>
              <w:spacing w:after="0"/>
              <w:rPr>
                <w:sz w:val="20"/>
                <w:szCs w:val="20"/>
                <w:color w:val="auto"/>
              </w:rPr>
            </w:pPr>
            <w:r>
              <w:rPr>
                <w:rFonts w:ascii="Arial" w:cs="Arial" w:eastAsia="Arial" w:hAnsi="Arial"/>
                <w:sz w:val="16"/>
                <w:szCs w:val="16"/>
                <w:b w:val="1"/>
                <w:bCs w:val="1"/>
                <w:color w:val="005A64"/>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gridSpan w:val="4"/>
          </w:tcPr>
          <w:p>
            <w:pPr>
              <w:jc w:val="center"/>
              <w:ind w:left="439"/>
              <w:spacing w:after="0"/>
              <w:rPr>
                <w:sz w:val="20"/>
                <w:szCs w:val="20"/>
                <w:color w:val="auto"/>
              </w:rPr>
            </w:pPr>
            <w:r>
              <w:rPr>
                <w:rFonts w:ascii="Arial" w:cs="Arial" w:eastAsia="Arial" w:hAnsi="Arial"/>
                <w:sz w:val="16"/>
                <w:szCs w:val="16"/>
                <w:b w:val="1"/>
                <w:bCs w:val="1"/>
                <w:color w:val="005A64"/>
              </w:rPr>
              <w:t>Six months ended</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005A64"/>
                <w:w w:val="99"/>
              </w:rPr>
              <w:t>June 30,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60" w:type="dxa"/>
            <w:vAlign w:val="bottom"/>
            <w:gridSpan w:val="4"/>
          </w:tcPr>
          <w:p>
            <w:pPr>
              <w:jc w:val="center"/>
              <w:ind w:left="479"/>
              <w:spacing w:after="0"/>
              <w:rPr>
                <w:sz w:val="20"/>
                <w:szCs w:val="20"/>
                <w:color w:val="auto"/>
              </w:rPr>
            </w:pPr>
            <w:r>
              <w:rPr>
                <w:rFonts w:ascii="Arial" w:cs="Arial" w:eastAsia="Arial" w:hAnsi="Arial"/>
                <w:sz w:val="16"/>
                <w:szCs w:val="16"/>
                <w:b w:val="1"/>
                <w:bCs w:val="1"/>
                <w:color w:val="005A64"/>
                <w:w w:val="99"/>
              </w:rPr>
              <w:t>June 30,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460" w:type="dxa"/>
            <w:vAlign w:val="bottom"/>
            <w:vMerge w:val="restart"/>
          </w:tcPr>
          <w:p>
            <w:pPr>
              <w:ind w:left="20"/>
              <w:spacing w:after="0"/>
              <w:rPr>
                <w:sz w:val="20"/>
                <w:szCs w:val="20"/>
                <w:color w:val="auto"/>
              </w:rPr>
            </w:pPr>
            <w:r>
              <w:rPr>
                <w:rFonts w:ascii="Arial" w:cs="Arial" w:eastAsia="Arial" w:hAnsi="Arial"/>
                <w:sz w:val="16"/>
                <w:szCs w:val="16"/>
                <w:i w:val="1"/>
                <w:iCs w:val="1"/>
                <w:color w:val="005A64"/>
              </w:rPr>
              <w:t>(in millions €)</w:t>
            </w:r>
          </w:p>
        </w:tc>
        <w:tc>
          <w:tcPr>
            <w:tcW w:w="100" w:type="dxa"/>
            <w:vAlign w:val="bottom"/>
            <w:vMerge w:val="restart"/>
          </w:tcPr>
          <w:p>
            <w:pPr>
              <w:spacing w:after="0"/>
              <w:rPr>
                <w:sz w:val="11"/>
                <w:szCs w:val="11"/>
                <w:color w:val="auto"/>
              </w:rPr>
            </w:pPr>
          </w:p>
        </w:tc>
        <w:tc>
          <w:tcPr>
            <w:tcW w:w="1340" w:type="dxa"/>
            <w:vAlign w:val="bottom"/>
            <w:tcBorders>
              <w:bottom w:val="single" w:sz="8" w:color="BECE33"/>
            </w:tcBorders>
            <w:gridSpan w:val="2"/>
          </w:tcPr>
          <w:p>
            <w:pPr>
              <w:spacing w:after="0"/>
              <w:rPr>
                <w:sz w:val="11"/>
                <w:szCs w:val="11"/>
                <w:color w:val="auto"/>
              </w:rPr>
            </w:pPr>
          </w:p>
        </w:tc>
        <w:tc>
          <w:tcPr>
            <w:tcW w:w="100" w:type="dxa"/>
            <w:vAlign w:val="bottom"/>
            <w:tcBorders>
              <w:bottom w:val="single" w:sz="8" w:color="BECE33"/>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20" w:type="dxa"/>
            <w:vAlign w:val="bottom"/>
          </w:tcPr>
          <w:p>
            <w:pPr>
              <w:spacing w:after="0"/>
              <w:rPr>
                <w:sz w:val="11"/>
                <w:szCs w:val="11"/>
                <w:color w:val="auto"/>
              </w:rPr>
            </w:pPr>
          </w:p>
        </w:tc>
        <w:tc>
          <w:tcPr>
            <w:tcW w:w="1320" w:type="dxa"/>
            <w:vAlign w:val="bottom"/>
            <w:tcBorders>
              <w:bottom w:val="single" w:sz="8" w:color="BECE33"/>
            </w:tcBorders>
            <w:gridSpan w:val="2"/>
          </w:tcPr>
          <w:p>
            <w:pPr>
              <w:spacing w:after="0"/>
              <w:rPr>
                <w:sz w:val="11"/>
                <w:szCs w:val="11"/>
                <w:color w:val="auto"/>
              </w:rPr>
            </w:pPr>
          </w:p>
        </w:tc>
        <w:tc>
          <w:tcPr>
            <w:tcW w:w="120" w:type="dxa"/>
            <w:vAlign w:val="bottom"/>
            <w:tcBorders>
              <w:bottom w:val="single" w:sz="8" w:color="BECE33"/>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33"/>
        </w:trPr>
        <w:tc>
          <w:tcPr>
            <w:tcW w:w="5460" w:type="dxa"/>
            <w:vAlign w:val="bottom"/>
            <w:tcBorders>
              <w:bottom w:val="single" w:sz="8" w:color="005A64"/>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Borders>
              <w:left w:val="single" w:sz="8" w:color="BECE33"/>
            </w:tcBorders>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005A64"/>
            </w:tcBorders>
          </w:tcPr>
          <w:p>
            <w:pPr>
              <w:spacing w:after="0"/>
              <w:rPr>
                <w:sz w:val="20"/>
                <w:szCs w:val="20"/>
                <w:color w:val="auto"/>
              </w:rPr>
            </w:pPr>
          </w:p>
        </w:tc>
        <w:tc>
          <w:tcPr>
            <w:tcW w:w="500" w:type="dxa"/>
            <w:vAlign w:val="bottom"/>
            <w:tcBorders>
              <w:bottom w:val="single" w:sz="8" w:color="005A64"/>
            </w:tcBorders>
            <w:vMerge w:val="continue"/>
          </w:tcPr>
          <w:p>
            <w:pPr>
              <w:spacing w:after="0"/>
              <w:rPr>
                <w:sz w:val="20"/>
                <w:szCs w:val="20"/>
                <w:color w:val="auto"/>
              </w:rPr>
            </w:pP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005A64"/>
            </w:tcBorders>
          </w:tcPr>
          <w:p>
            <w:pPr>
              <w:spacing w:after="0"/>
              <w:rPr>
                <w:sz w:val="20"/>
                <w:szCs w:val="20"/>
                <w:color w:val="auto"/>
              </w:rPr>
            </w:pPr>
          </w:p>
        </w:tc>
        <w:tc>
          <w:tcPr>
            <w:tcW w:w="540" w:type="dxa"/>
            <w:vAlign w:val="bottom"/>
            <w:tcBorders>
              <w:bottom w:val="single" w:sz="8" w:color="005A64"/>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60" w:type="dxa"/>
            <w:vAlign w:val="bottom"/>
            <w:tcBorders>
              <w:bottom w:val="single" w:sz="8" w:color="7FACB1"/>
            </w:tcBorders>
          </w:tcPr>
          <w:p>
            <w:pPr>
              <w:ind w:left="20"/>
              <w:spacing w:after="0"/>
              <w:rPr>
                <w:sz w:val="20"/>
                <w:szCs w:val="20"/>
                <w:color w:val="auto"/>
              </w:rPr>
            </w:pPr>
            <w:r>
              <w:rPr>
                <w:rFonts w:ascii="Arial" w:cs="Arial" w:eastAsia="Arial" w:hAnsi="Arial"/>
                <w:sz w:val="16"/>
                <w:szCs w:val="16"/>
                <w:b w:val="1"/>
                <w:bCs w:val="1"/>
                <w:color w:val="3C9673"/>
              </w:rPr>
              <w:t>Finance result</w:t>
            </w:r>
          </w:p>
        </w:tc>
        <w:tc>
          <w:tcPr>
            <w:tcW w:w="100" w:type="dxa"/>
            <w:vAlign w:val="bottom"/>
          </w:tcPr>
          <w:p>
            <w:pPr>
              <w:spacing w:after="0"/>
              <w:rPr>
                <w:sz w:val="20"/>
                <w:szCs w:val="20"/>
                <w:color w:val="auto"/>
              </w:rPr>
            </w:pPr>
          </w:p>
        </w:tc>
        <w:tc>
          <w:tcPr>
            <w:tcW w:w="10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spacing w:after="0"/>
              <w:rPr>
                <w:sz w:val="20"/>
                <w:szCs w:val="20"/>
                <w:color w:val="auto"/>
              </w:rPr>
            </w:pP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spacing w:after="0"/>
              <w:rPr>
                <w:sz w:val="20"/>
                <w:szCs w:val="20"/>
                <w:color w:val="auto"/>
              </w:rPr>
            </w:pP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spacing w:after="0"/>
              <w:rPr>
                <w:sz w:val="20"/>
                <w:szCs w:val="20"/>
                <w:color w:val="auto"/>
              </w:rPr>
            </w:pP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40" w:type="dxa"/>
            <w:vAlign w:val="bottom"/>
            <w:tcBorders>
              <w:bottom w:val="single" w:sz="8" w:color="7FACB1"/>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60" w:type="dxa"/>
            <w:vAlign w:val="bottom"/>
            <w:tcBorders>
              <w:bottom w:val="single" w:sz="8" w:color="7FACB1"/>
            </w:tcBorders>
          </w:tcPr>
          <w:p>
            <w:pPr>
              <w:ind w:left="20"/>
              <w:spacing w:after="0"/>
              <w:rPr>
                <w:sz w:val="20"/>
                <w:szCs w:val="20"/>
                <w:color w:val="auto"/>
              </w:rPr>
            </w:pPr>
            <w:r>
              <w:rPr>
                <w:rFonts w:ascii="Arial" w:cs="Arial" w:eastAsia="Arial" w:hAnsi="Arial"/>
                <w:sz w:val="16"/>
                <w:szCs w:val="16"/>
                <w:b w:val="1"/>
                <w:bCs w:val="1"/>
                <w:color w:val="005A64"/>
              </w:rPr>
              <w:t>Finance income</w:t>
            </w:r>
          </w:p>
        </w:tc>
        <w:tc>
          <w:tcPr>
            <w:tcW w:w="100" w:type="dxa"/>
            <w:vAlign w:val="bottom"/>
          </w:tcPr>
          <w:p>
            <w:pPr>
              <w:spacing w:after="0"/>
              <w:rPr>
                <w:sz w:val="20"/>
                <w:szCs w:val="20"/>
                <w:color w:val="auto"/>
              </w:rPr>
            </w:pPr>
          </w:p>
        </w:tc>
        <w:tc>
          <w:tcPr>
            <w:tcW w:w="10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b w:val="1"/>
                <w:bCs w:val="1"/>
                <w:color w:val="005A64"/>
              </w:rPr>
              <w:t>167.7</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b w:val="1"/>
                <w:bCs w:val="1"/>
                <w:color w:val="005A64"/>
              </w:rPr>
              <w:t>152.4</w:t>
            </w: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b w:val="1"/>
                <w:bCs w:val="1"/>
                <w:color w:val="005A64"/>
              </w:rPr>
              <w:t>345.3</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40" w:type="dxa"/>
            <w:vAlign w:val="bottom"/>
            <w:tcBorders>
              <w:bottom w:val="single" w:sz="8" w:color="7FACB1"/>
            </w:tcBorders>
          </w:tcPr>
          <w:p>
            <w:pPr>
              <w:jc w:val="right"/>
              <w:spacing w:after="0"/>
              <w:rPr>
                <w:sz w:val="20"/>
                <w:szCs w:val="20"/>
                <w:color w:val="auto"/>
              </w:rPr>
            </w:pPr>
            <w:r>
              <w:rPr>
                <w:rFonts w:ascii="Arial" w:cs="Arial" w:eastAsia="Arial" w:hAnsi="Arial"/>
                <w:sz w:val="16"/>
                <w:szCs w:val="16"/>
                <w:b w:val="1"/>
                <w:bCs w:val="1"/>
                <w:color w:val="005A64"/>
              </w:rPr>
              <w:t>208.9</w:t>
            </w:r>
          </w:p>
        </w:tc>
        <w:tc>
          <w:tcPr>
            <w:tcW w:w="0" w:type="dxa"/>
            <w:vAlign w:val="bottom"/>
          </w:tcPr>
          <w:p>
            <w:pPr>
              <w:spacing w:after="0"/>
              <w:rPr>
                <w:sz w:val="1"/>
                <w:szCs w:val="1"/>
                <w:color w:val="auto"/>
              </w:rPr>
            </w:pPr>
          </w:p>
        </w:tc>
      </w:tr>
      <w:tr>
        <w:trPr>
          <w:trHeight w:val="234"/>
        </w:trPr>
        <w:tc>
          <w:tcPr>
            <w:tcW w:w="5460" w:type="dxa"/>
            <w:vAlign w:val="bottom"/>
            <w:tcBorders>
              <w:bottom w:val="single" w:sz="8" w:color="7FACB1"/>
            </w:tcBorders>
          </w:tcPr>
          <w:p>
            <w:pPr>
              <w:ind w:left="140"/>
              <w:spacing w:after="0"/>
              <w:rPr>
                <w:sz w:val="20"/>
                <w:szCs w:val="20"/>
                <w:color w:val="auto"/>
              </w:rPr>
            </w:pPr>
            <w:r>
              <w:rPr>
                <w:rFonts w:ascii="Arial" w:cs="Arial" w:eastAsia="Arial" w:hAnsi="Arial"/>
                <w:sz w:val="16"/>
                <w:szCs w:val="16"/>
                <w:color w:val="005A64"/>
              </w:rPr>
              <w:t>Gains from financial instruments</w:t>
            </w:r>
          </w:p>
        </w:tc>
        <w:tc>
          <w:tcPr>
            <w:tcW w:w="100" w:type="dxa"/>
            <w:vAlign w:val="bottom"/>
          </w:tcPr>
          <w:p>
            <w:pPr>
              <w:spacing w:after="0"/>
              <w:rPr>
                <w:sz w:val="20"/>
                <w:szCs w:val="20"/>
                <w:color w:val="auto"/>
              </w:rPr>
            </w:pPr>
          </w:p>
        </w:tc>
        <w:tc>
          <w:tcPr>
            <w:tcW w:w="10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167.7</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126.6</w:t>
            </w: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342.6</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208.9</w:t>
            </w:r>
          </w:p>
        </w:tc>
        <w:tc>
          <w:tcPr>
            <w:tcW w:w="0" w:type="dxa"/>
            <w:vAlign w:val="bottom"/>
          </w:tcPr>
          <w:p>
            <w:pPr>
              <w:spacing w:after="0"/>
              <w:rPr>
                <w:sz w:val="1"/>
                <w:szCs w:val="1"/>
                <w:color w:val="auto"/>
              </w:rPr>
            </w:pPr>
          </w:p>
        </w:tc>
      </w:tr>
      <w:tr>
        <w:trPr>
          <w:trHeight w:val="237"/>
        </w:trPr>
        <w:tc>
          <w:tcPr>
            <w:tcW w:w="5460" w:type="dxa"/>
            <w:vAlign w:val="bottom"/>
            <w:tcBorders>
              <w:bottom w:val="single" w:sz="8" w:color="7FACB1"/>
            </w:tcBorders>
          </w:tcPr>
          <w:p>
            <w:pPr>
              <w:ind w:left="140"/>
              <w:spacing w:after="0"/>
              <w:rPr>
                <w:sz w:val="20"/>
                <w:szCs w:val="20"/>
                <w:color w:val="auto"/>
              </w:rPr>
            </w:pPr>
            <w:r>
              <w:rPr>
                <w:rFonts w:ascii="Arial" w:cs="Arial" w:eastAsia="Arial" w:hAnsi="Arial"/>
                <w:sz w:val="16"/>
                <w:szCs w:val="16"/>
                <w:color w:val="005A64"/>
              </w:rPr>
              <w:t>Foreign exchange differences, net</w:t>
            </w:r>
          </w:p>
        </w:tc>
        <w:tc>
          <w:tcPr>
            <w:tcW w:w="100" w:type="dxa"/>
            <w:vAlign w:val="bottom"/>
          </w:tcPr>
          <w:p>
            <w:pPr>
              <w:spacing w:after="0"/>
              <w:rPr>
                <w:sz w:val="20"/>
                <w:szCs w:val="20"/>
                <w:color w:val="auto"/>
              </w:rPr>
            </w:pPr>
          </w:p>
        </w:tc>
        <w:tc>
          <w:tcPr>
            <w:tcW w:w="10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25.8</w:t>
            </w: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2.7</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0" w:type="dxa"/>
            <w:vAlign w:val="bottom"/>
          </w:tcPr>
          <w:p>
            <w:pPr>
              <w:spacing w:after="0"/>
              <w:rPr>
                <w:sz w:val="1"/>
                <w:szCs w:val="1"/>
                <w:color w:val="auto"/>
              </w:rPr>
            </w:pPr>
          </w:p>
        </w:tc>
      </w:tr>
      <w:tr>
        <w:trPr>
          <w:trHeight w:val="239"/>
        </w:trPr>
        <w:tc>
          <w:tcPr>
            <w:tcW w:w="5460" w:type="dxa"/>
            <w:vAlign w:val="bottom"/>
            <w:tcBorders>
              <w:bottom w:val="single" w:sz="8" w:color="7FACB1"/>
            </w:tcBorders>
          </w:tcPr>
          <w:p>
            <w:pPr>
              <w:ind w:left="20"/>
              <w:spacing w:after="0"/>
              <w:rPr>
                <w:sz w:val="20"/>
                <w:szCs w:val="20"/>
                <w:color w:val="auto"/>
              </w:rPr>
            </w:pPr>
            <w:r>
              <w:rPr>
                <w:rFonts w:ascii="Arial" w:cs="Arial" w:eastAsia="Arial" w:hAnsi="Arial"/>
                <w:sz w:val="16"/>
                <w:szCs w:val="16"/>
                <w:b w:val="1"/>
                <w:bCs w:val="1"/>
                <w:color w:val="005A64"/>
              </w:rPr>
              <w:t>Finance expenses</w:t>
            </w:r>
          </w:p>
        </w:tc>
        <w:tc>
          <w:tcPr>
            <w:tcW w:w="100" w:type="dxa"/>
            <w:vAlign w:val="bottom"/>
          </w:tcPr>
          <w:p>
            <w:pPr>
              <w:spacing w:after="0"/>
              <w:rPr>
                <w:sz w:val="20"/>
                <w:szCs w:val="20"/>
                <w:color w:val="auto"/>
              </w:rPr>
            </w:pPr>
          </w:p>
        </w:tc>
        <w:tc>
          <w:tcPr>
            <w:tcW w:w="10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b w:val="1"/>
                <w:bCs w:val="1"/>
                <w:color w:val="005A64"/>
              </w:rPr>
              <w:t>(7.3)</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b w:val="1"/>
                <w:bCs w:val="1"/>
                <w:color w:val="005A64"/>
              </w:rPr>
              <w:t>(1.3)</w:t>
            </w: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b w:val="1"/>
                <w:bCs w:val="1"/>
                <w:color w:val="005A64"/>
              </w:rPr>
              <w:t>(9.5)</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40" w:type="dxa"/>
            <w:vAlign w:val="bottom"/>
            <w:tcBorders>
              <w:bottom w:val="single" w:sz="8" w:color="7FACB1"/>
            </w:tcBorders>
          </w:tcPr>
          <w:p>
            <w:pPr>
              <w:jc w:val="right"/>
              <w:spacing w:after="0"/>
              <w:rPr>
                <w:sz w:val="20"/>
                <w:szCs w:val="20"/>
                <w:color w:val="auto"/>
              </w:rPr>
            </w:pPr>
            <w:r>
              <w:rPr>
                <w:rFonts w:ascii="Arial" w:cs="Arial" w:eastAsia="Arial" w:hAnsi="Arial"/>
                <w:sz w:val="16"/>
                <w:szCs w:val="16"/>
                <w:b w:val="1"/>
                <w:bCs w:val="1"/>
                <w:color w:val="005A64"/>
              </w:rPr>
              <w:t>(4.5)</w:t>
            </w:r>
          </w:p>
        </w:tc>
        <w:tc>
          <w:tcPr>
            <w:tcW w:w="0" w:type="dxa"/>
            <w:vAlign w:val="bottom"/>
          </w:tcPr>
          <w:p>
            <w:pPr>
              <w:spacing w:after="0"/>
              <w:rPr>
                <w:sz w:val="1"/>
                <w:szCs w:val="1"/>
                <w:color w:val="auto"/>
              </w:rPr>
            </w:pPr>
          </w:p>
        </w:tc>
      </w:tr>
      <w:tr>
        <w:trPr>
          <w:trHeight w:val="234"/>
        </w:trPr>
        <w:tc>
          <w:tcPr>
            <w:tcW w:w="5460" w:type="dxa"/>
            <w:vAlign w:val="bottom"/>
            <w:tcBorders>
              <w:bottom w:val="single" w:sz="8" w:color="7FACB1"/>
            </w:tcBorders>
          </w:tcPr>
          <w:p>
            <w:pPr>
              <w:ind w:left="140"/>
              <w:spacing w:after="0"/>
              <w:rPr>
                <w:sz w:val="20"/>
                <w:szCs w:val="20"/>
                <w:color w:val="auto"/>
              </w:rPr>
            </w:pPr>
            <w:r>
              <w:rPr>
                <w:rFonts w:ascii="Arial" w:cs="Arial" w:eastAsia="Arial" w:hAnsi="Arial"/>
                <w:sz w:val="16"/>
                <w:szCs w:val="16"/>
                <w:color w:val="005A64"/>
              </w:rPr>
              <w:t>Foreign exchange differences, net</w:t>
            </w:r>
          </w:p>
        </w:tc>
        <w:tc>
          <w:tcPr>
            <w:tcW w:w="100" w:type="dxa"/>
            <w:vAlign w:val="bottom"/>
          </w:tcPr>
          <w:p>
            <w:pPr>
              <w:spacing w:after="0"/>
              <w:rPr>
                <w:sz w:val="20"/>
                <w:szCs w:val="20"/>
                <w:color w:val="auto"/>
              </w:rPr>
            </w:pPr>
          </w:p>
        </w:tc>
        <w:tc>
          <w:tcPr>
            <w:tcW w:w="10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(2.5)</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(2.0)</w:t>
            </w:r>
          </w:p>
        </w:tc>
        <w:tc>
          <w:tcPr>
            <w:tcW w:w="0" w:type="dxa"/>
            <w:vAlign w:val="bottom"/>
          </w:tcPr>
          <w:p>
            <w:pPr>
              <w:spacing w:after="0"/>
              <w:rPr>
                <w:sz w:val="1"/>
                <w:szCs w:val="1"/>
                <w:color w:val="auto"/>
              </w:rPr>
            </w:pPr>
          </w:p>
        </w:tc>
      </w:tr>
      <w:tr>
        <w:trPr>
          <w:trHeight w:val="236"/>
        </w:trPr>
        <w:tc>
          <w:tcPr>
            <w:tcW w:w="5460" w:type="dxa"/>
            <w:vAlign w:val="bottom"/>
            <w:tcBorders>
              <w:bottom w:val="single" w:sz="8" w:color="7FACB1"/>
            </w:tcBorders>
          </w:tcPr>
          <w:p>
            <w:pPr>
              <w:ind w:left="140"/>
              <w:spacing w:after="0"/>
              <w:rPr>
                <w:sz w:val="20"/>
                <w:szCs w:val="20"/>
                <w:color w:val="auto"/>
              </w:rPr>
            </w:pPr>
            <w:r>
              <w:rPr>
                <w:rFonts w:ascii="Arial" w:cs="Arial" w:eastAsia="Arial" w:hAnsi="Arial"/>
                <w:sz w:val="16"/>
                <w:szCs w:val="16"/>
                <w:color w:val="005A64"/>
              </w:rPr>
              <w:t>Other</w:t>
            </w:r>
          </w:p>
        </w:tc>
        <w:tc>
          <w:tcPr>
            <w:tcW w:w="100" w:type="dxa"/>
            <w:vAlign w:val="bottom"/>
          </w:tcPr>
          <w:p>
            <w:pPr>
              <w:spacing w:after="0"/>
              <w:rPr>
                <w:sz w:val="20"/>
                <w:szCs w:val="20"/>
                <w:color w:val="auto"/>
              </w:rPr>
            </w:pPr>
          </w:p>
        </w:tc>
        <w:tc>
          <w:tcPr>
            <w:tcW w:w="10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(4.8)</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(1.3)</w:t>
            </w: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(9.5)</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(2.5)</w:t>
            </w:r>
          </w:p>
        </w:tc>
        <w:tc>
          <w:tcPr>
            <w:tcW w:w="0" w:type="dxa"/>
            <w:vAlign w:val="bottom"/>
          </w:tcPr>
          <w:p>
            <w:pPr>
              <w:spacing w:after="0"/>
              <w:rPr>
                <w:sz w:val="1"/>
                <w:szCs w:val="1"/>
                <w:color w:val="auto"/>
              </w:rPr>
            </w:pPr>
          </w:p>
        </w:tc>
      </w:tr>
      <w:tr>
        <w:trPr>
          <w:trHeight w:val="239"/>
        </w:trPr>
        <w:tc>
          <w:tcPr>
            <w:tcW w:w="546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finance result</w:t>
            </w:r>
          </w:p>
        </w:tc>
        <w:tc>
          <w:tcPr>
            <w:tcW w:w="100" w:type="dxa"/>
            <w:vAlign w:val="bottom"/>
          </w:tcPr>
          <w:p>
            <w:pPr>
              <w:spacing w:after="0"/>
              <w:rPr>
                <w:sz w:val="20"/>
                <w:szCs w:val="20"/>
                <w:color w:val="auto"/>
              </w:rPr>
            </w:pPr>
          </w:p>
        </w:tc>
        <w:tc>
          <w:tcPr>
            <w:tcW w:w="1340" w:type="dxa"/>
            <w:vAlign w:val="bottom"/>
            <w:tcBorders>
              <w:left w:val="single" w:sz="8" w:color="BECE33"/>
              <w:bottom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160.4</w:t>
            </w:r>
          </w:p>
        </w:tc>
        <w:tc>
          <w:tcPr>
            <w:tcW w:w="100" w:type="dxa"/>
            <w:vAlign w:val="bottom"/>
            <w:tcBorders>
              <w:bottom w:val="single" w:sz="8" w:color="BECE33"/>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005A64"/>
            </w:tcBorders>
          </w:tcPr>
          <w:p>
            <w:pPr>
              <w:spacing w:after="0"/>
              <w:rPr>
                <w:sz w:val="20"/>
                <w:szCs w:val="20"/>
                <w:color w:val="auto"/>
              </w:rPr>
            </w:pPr>
          </w:p>
        </w:tc>
        <w:tc>
          <w:tcPr>
            <w:tcW w:w="50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151.1</w:t>
            </w:r>
          </w:p>
        </w:tc>
        <w:tc>
          <w:tcPr>
            <w:tcW w:w="120" w:type="dxa"/>
            <w:vAlign w:val="bottom"/>
            <w:tcBorders>
              <w:right w:val="single" w:sz="8" w:color="BECE33"/>
            </w:tcBorders>
          </w:tcPr>
          <w:p>
            <w:pPr>
              <w:spacing w:after="0"/>
              <w:rPr>
                <w:sz w:val="20"/>
                <w:szCs w:val="20"/>
                <w:color w:val="auto"/>
              </w:rPr>
            </w:pPr>
          </w:p>
        </w:tc>
        <w:tc>
          <w:tcPr>
            <w:tcW w:w="1320" w:type="dxa"/>
            <w:vAlign w:val="bottom"/>
            <w:tcBorders>
              <w:bottom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335.8</w:t>
            </w:r>
          </w:p>
        </w:tc>
        <w:tc>
          <w:tcPr>
            <w:tcW w:w="120" w:type="dxa"/>
            <w:vAlign w:val="bottom"/>
            <w:tcBorders>
              <w:bottom w:val="single" w:sz="8" w:color="BECE33"/>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005A64"/>
            </w:tcBorders>
          </w:tcPr>
          <w:p>
            <w:pPr>
              <w:spacing w:after="0"/>
              <w:rPr>
                <w:sz w:val="20"/>
                <w:szCs w:val="20"/>
                <w:color w:val="auto"/>
              </w:rPr>
            </w:pPr>
          </w:p>
        </w:tc>
        <w:tc>
          <w:tcPr>
            <w:tcW w:w="5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204.4</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three and six months ended June 30, 2024 and 2023, the finance result was mainly derived from returns like interests and sales resulting from our financial investments as well as fair value adjustments of our money market funds.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5. Income Taxes</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six months ended June 30, 2024 and 2023, income taxes were calculated based on the best estimate of the weighted average annual income tax rates expected for the full financial years (estimated annual effective income tax rates) on ordinary income before tax adjusted by the tax effect of any discrete items. The income tax asset represents the portion of prepayments for corporate income taxes and trade taxes in Germany that have been estimated for the full financial year 2024 but not yet offset by income tax expenses calculated for the six months ended June 30, 2024. For the six months ended June 30, 2024, our effective income tax rate was approximately 1.3%. For the six months ended June 30, 2023, our effective income tax rate was approximately (5.5)%. The change in the effective income tax rate was mainly driven by the expected negative result for 2024 and management’s assessment of the requirements in IAS 12, including on the character and amounts of taxable future profits, the periods in which those profits are expected to occur, and the availability of tax planning opportunities. Thus, in countries where the requirements of IAS 12 were not fulfilled, no deferred tax asset was recognized. Such assessment takes into account the fact that there is an inherent risk of failure in pharmaceutical development and uncertainty of approvals that depend on external regulatory agencies’ opinions.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June 30, 2024, it is considered highly probable that taxable profits for the U.S. tax group will be available against which the deferred tax assets can be utilized in the near future fulfilling the requirements set out by IAS 12.</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apply the mandatory exception to recognizing and disclosing information about deferred tax assets and liabilities arising from Pillar Two income taxes. Furthermore, we reviewed the corporate structure in light of the introduction of Pillar Two Model Rules in various jurisdictions. Since the Group’s relevant effective tax rate calculated for Pillar Two Purposes is mainly above 15% in all jurisdictions in which it operates, it has been determined that the Group is not materially subject to Pillar Two “top-up” taxes. Therefore, the consolidated financial statements for the three and six months ended June 30, 2024, do not include further information otherwise required by paragraphs 88B and 88C of IAS 12.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34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The income taxes recognized during the three and six months ended June 30, 2024 and 2023,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005A64"/>
              </w:rPr>
              <w:t>Three months ended</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4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005A64"/>
              </w:rPr>
              <w:t>Six months ended</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4"/>
          </w:tcPr>
          <w:p>
            <w:pPr>
              <w:jc w:val="center"/>
              <w:ind w:left="479"/>
              <w:spacing w:after="0"/>
              <w:rPr>
                <w:sz w:val="20"/>
                <w:szCs w:val="20"/>
                <w:color w:val="auto"/>
              </w:rPr>
            </w:pPr>
            <w:r>
              <w:rPr>
                <w:rFonts w:ascii="Arial" w:cs="Arial" w:eastAsia="Arial" w:hAnsi="Arial"/>
                <w:sz w:val="16"/>
                <w:szCs w:val="16"/>
                <w:b w:val="1"/>
                <w:bCs w:val="1"/>
                <w:color w:val="005A64"/>
              </w:rPr>
              <w:t>June 30,</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40" w:type="dxa"/>
            <w:vAlign w:val="bottom"/>
            <w:gridSpan w:val="4"/>
          </w:tcPr>
          <w:p>
            <w:pPr>
              <w:jc w:val="center"/>
              <w:ind w:left="499"/>
              <w:spacing w:after="0"/>
              <w:rPr>
                <w:sz w:val="20"/>
                <w:szCs w:val="20"/>
                <w:color w:val="auto"/>
              </w:rPr>
            </w:pPr>
            <w:r>
              <w:rPr>
                <w:rFonts w:ascii="Arial" w:cs="Arial" w:eastAsia="Arial" w:hAnsi="Arial"/>
                <w:sz w:val="16"/>
                <w:szCs w:val="16"/>
                <w:b w:val="1"/>
                <w:bCs w:val="1"/>
                <w:color w:val="005A64"/>
                <w:w w:val="99"/>
              </w:rPr>
              <w:t>June 30,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440" w:type="dxa"/>
            <w:vAlign w:val="bottom"/>
            <w:vMerge w:val="restart"/>
          </w:tcPr>
          <w:p>
            <w:pPr>
              <w:ind w:left="20"/>
              <w:spacing w:after="0"/>
              <w:rPr>
                <w:sz w:val="20"/>
                <w:szCs w:val="20"/>
                <w:color w:val="auto"/>
              </w:rPr>
            </w:pPr>
            <w:r>
              <w:rPr>
                <w:rFonts w:ascii="Arial" w:cs="Arial" w:eastAsia="Arial" w:hAnsi="Arial"/>
                <w:sz w:val="16"/>
                <w:szCs w:val="16"/>
                <w:i w:val="1"/>
                <w:iCs w:val="1"/>
                <w:color w:val="005A64"/>
              </w:rPr>
              <w:t>(in millions €)</w:t>
            </w:r>
          </w:p>
        </w:tc>
        <w:tc>
          <w:tcPr>
            <w:tcW w:w="100" w:type="dxa"/>
            <w:vAlign w:val="bottom"/>
            <w:vMerge w:val="restart"/>
          </w:tcPr>
          <w:p>
            <w:pPr>
              <w:spacing w:after="0"/>
              <w:rPr>
                <w:sz w:val="11"/>
                <w:szCs w:val="11"/>
                <w:color w:val="auto"/>
              </w:rPr>
            </w:pPr>
          </w:p>
        </w:tc>
        <w:tc>
          <w:tcPr>
            <w:tcW w:w="1360" w:type="dxa"/>
            <w:vAlign w:val="bottom"/>
            <w:tcBorders>
              <w:bottom w:val="single" w:sz="8" w:color="BECD32"/>
            </w:tcBorders>
            <w:gridSpan w:val="2"/>
          </w:tcPr>
          <w:p>
            <w:pPr>
              <w:spacing w:after="0"/>
              <w:rPr>
                <w:sz w:val="11"/>
                <w:szCs w:val="11"/>
                <w:color w:val="auto"/>
              </w:rPr>
            </w:pPr>
          </w:p>
        </w:tc>
        <w:tc>
          <w:tcPr>
            <w:tcW w:w="100" w:type="dxa"/>
            <w:vAlign w:val="bottom"/>
            <w:tcBorders>
              <w:bottom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20" w:type="dxa"/>
            <w:vAlign w:val="bottom"/>
          </w:tcPr>
          <w:p>
            <w:pPr>
              <w:spacing w:after="0"/>
              <w:rPr>
                <w:sz w:val="11"/>
                <w:szCs w:val="11"/>
                <w:color w:val="auto"/>
              </w:rPr>
            </w:pPr>
          </w:p>
        </w:tc>
        <w:tc>
          <w:tcPr>
            <w:tcW w:w="1320" w:type="dxa"/>
            <w:vAlign w:val="bottom"/>
            <w:tcBorders>
              <w:bottom w:val="single" w:sz="8" w:color="BECD32"/>
            </w:tcBorders>
            <w:gridSpan w:val="2"/>
          </w:tcPr>
          <w:p>
            <w:pPr>
              <w:spacing w:after="0"/>
              <w:rPr>
                <w:sz w:val="11"/>
                <w:szCs w:val="11"/>
                <w:color w:val="auto"/>
              </w:rPr>
            </w:pPr>
          </w:p>
        </w:tc>
        <w:tc>
          <w:tcPr>
            <w:tcW w:w="120" w:type="dxa"/>
            <w:vAlign w:val="bottom"/>
            <w:tcBorders>
              <w:bottom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33"/>
        </w:trPr>
        <w:tc>
          <w:tcPr>
            <w:tcW w:w="5440" w:type="dxa"/>
            <w:vAlign w:val="bottom"/>
            <w:tcBorders>
              <w:bottom w:val="single" w:sz="8" w:color="005A64"/>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005A64"/>
            </w:tcBorders>
          </w:tcPr>
          <w:p>
            <w:pPr>
              <w:spacing w:after="0"/>
              <w:rPr>
                <w:sz w:val="20"/>
                <w:szCs w:val="20"/>
                <w:color w:val="auto"/>
              </w:rPr>
            </w:pPr>
          </w:p>
        </w:tc>
        <w:tc>
          <w:tcPr>
            <w:tcW w:w="560" w:type="dxa"/>
            <w:vAlign w:val="bottom"/>
            <w:tcBorders>
              <w:bottom w:val="single" w:sz="8" w:color="005A64"/>
            </w:tcBorders>
            <w:vMerge w:val="continue"/>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005A64"/>
            </w:tcBorders>
          </w:tcPr>
          <w:p>
            <w:pPr>
              <w:spacing w:after="0"/>
              <w:rPr>
                <w:sz w:val="20"/>
                <w:szCs w:val="20"/>
                <w:color w:val="auto"/>
              </w:rPr>
            </w:pPr>
          </w:p>
        </w:tc>
        <w:tc>
          <w:tcPr>
            <w:tcW w:w="560" w:type="dxa"/>
            <w:vAlign w:val="bottom"/>
            <w:tcBorders>
              <w:bottom w:val="single" w:sz="8" w:color="005A64"/>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Current income taxes</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14.3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(199.7)</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6.5</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7FACB1"/>
            </w:tcBorders>
          </w:tcPr>
          <w:p>
            <w:pPr>
              <w:spacing w:after="0"/>
              <w:rPr>
                <w:sz w:val="20"/>
                <w:szCs w:val="20"/>
                <w:color w:val="auto"/>
              </w:rPr>
            </w:pPr>
          </w:p>
        </w:tc>
        <w:tc>
          <w:tcPr>
            <w:tcW w:w="5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43.5</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Deferred taxes</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(22.1)</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(21.2)</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7FACB1"/>
            </w:tcBorders>
          </w:tcPr>
          <w:p>
            <w:pPr>
              <w:spacing w:after="0"/>
              <w:rPr>
                <w:sz w:val="20"/>
                <w:szCs w:val="20"/>
                <w:color w:val="auto"/>
              </w:rPr>
            </w:pPr>
          </w:p>
        </w:tc>
        <w:tc>
          <w:tcPr>
            <w:tcW w:w="5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(59.8)</w:t>
            </w:r>
          </w:p>
        </w:tc>
        <w:tc>
          <w:tcPr>
            <w:tcW w:w="0" w:type="dxa"/>
            <w:vAlign w:val="bottom"/>
          </w:tcPr>
          <w:p>
            <w:pPr>
              <w:spacing w:after="0"/>
              <w:rPr>
                <w:sz w:val="1"/>
                <w:szCs w:val="1"/>
                <w:color w:val="auto"/>
              </w:rPr>
            </w:pPr>
          </w:p>
        </w:tc>
      </w:tr>
      <w:tr>
        <w:trPr>
          <w:trHeight w:val="239"/>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Income taxes expenses / (income)</w:t>
            </w:r>
          </w:p>
        </w:tc>
        <w:tc>
          <w:tcPr>
            <w:tcW w:w="100" w:type="dxa"/>
            <w:vAlign w:val="bottom"/>
          </w:tcPr>
          <w:p>
            <w:pPr>
              <w:spacing w:after="0"/>
              <w:rPr>
                <w:sz w:val="20"/>
                <w:szCs w:val="20"/>
                <w:color w:val="auto"/>
              </w:rPr>
            </w:pPr>
          </w:p>
        </w:tc>
        <w:tc>
          <w:tcPr>
            <w:tcW w:w="1360" w:type="dxa"/>
            <w:vAlign w:val="bottom"/>
            <w:tcBorders>
              <w:left w:val="single" w:sz="8" w:color="BECD32"/>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2.0</w:t>
            </w:r>
          </w:p>
        </w:tc>
        <w:tc>
          <w:tcPr>
            <w:tcW w:w="10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005A64"/>
            </w:tcBorders>
          </w:tcPr>
          <w:p>
            <w:pPr>
              <w:spacing w:after="0"/>
              <w:rPr>
                <w:sz w:val="20"/>
                <w:szCs w:val="20"/>
                <w:color w:val="auto"/>
              </w:rPr>
            </w:pPr>
          </w:p>
        </w:tc>
        <w:tc>
          <w:tcPr>
            <w:tcW w:w="5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(221.8)</w:t>
            </w:r>
          </w:p>
        </w:tc>
        <w:tc>
          <w:tcPr>
            <w:tcW w:w="120" w:type="dxa"/>
            <w:vAlign w:val="bottom"/>
            <w:tcBorders>
              <w:right w:val="single" w:sz="8" w:color="BECD32"/>
            </w:tcBorders>
          </w:tcPr>
          <w:p>
            <w:pPr>
              <w:spacing w:after="0"/>
              <w:rPr>
                <w:sz w:val="20"/>
                <w:szCs w:val="20"/>
                <w:color w:val="auto"/>
              </w:rPr>
            </w:pPr>
          </w:p>
        </w:tc>
        <w:tc>
          <w:tcPr>
            <w:tcW w:w="132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(14.7)</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005A64"/>
            </w:tcBorders>
          </w:tcPr>
          <w:p>
            <w:pPr>
              <w:spacing w:after="0"/>
              <w:rPr>
                <w:sz w:val="20"/>
                <w:szCs w:val="20"/>
                <w:color w:val="auto"/>
              </w:rPr>
            </w:pPr>
          </w:p>
        </w:tc>
        <w:tc>
          <w:tcPr>
            <w:tcW w:w="5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(16.3)</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6. Goodwill and Other Intangible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Goodwill</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Due to our decreased market capitalization, which was lower than the carrying amount of the Group’s total net assets as of June 30, 2024, we performed an impairment test for our cash generating units, or CGUs, of immunotherapies, JPT and the external business of InstaDeep as of June 30, 2024.</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recoverable amount of the CGUs was determined based on their value in use. In assessing value in use, the estimated future cash flows are derived based on the most recent strategic business plan approved by our management for the years 2024 until 2030 and on a model for the years 2031 until 2056 that reflects the profit potential of the full economic cycle of our product candidates. The estimated future cash flows are discounted to their present value using a pre-tax discount rate that reflects current market assessments of the time value of money and the risks specific to the CGUs.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result of the analysis, we did not identify an impairment for the CGUs immunotherapies, JPT and the external business of InstaDeep as of June 30,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Other intangible assets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examine the existence of indications of impairment using various factors, particularly deviations from sales forecasts and the analysis of changes in medium-term planning. The identification of indications of impairment takes place with the involvement of the responsible departments, taking external and internal information sources into consideration.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informed by our partner MediLink Therapeutics (Suzhou) Co., Ltd, or MediLink, that the U.S. Food and Drug Administration, or FDA, has placed a partial clinical hold on the multicenter, open-label, first-in-human Phase 1 clinical (NCT05653752) trial sponsored by MediLink that evaluates the early-stage ADC product candidate, BNT326/YL202, as a later-line treatment in heavily pre-treated patients with advanced or metastatic epidermal growth factor receptor, or EGFR, -mutated non-small cell lung cancer, or NSCLC, or HR+/HER2-negative breast cancer.</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this information, we identified a triggering event in connection with the asset related to the product candidate BNT326/YL202 and performed an impairment test. As a result of the analysis, we did not identify an impairment for this asset.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34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7. Financial Assets and Financial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Financial Assets and Liabilities at Amortized Cost and at Fair Value through OCI and Profit or Loss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Set out below is an overview of financial assets and liabilities at amortized cost and at fair value through OCI and profit or loss,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234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40" w:type="dxa"/>
            <w:vAlign w:val="bottom"/>
            <w:gridSpan w:val="2"/>
          </w:tcPr>
          <w:p>
            <w:pPr>
              <w:ind w:left="20"/>
              <w:spacing w:after="0"/>
              <w:rPr>
                <w:sz w:val="20"/>
                <w:szCs w:val="20"/>
                <w:color w:val="auto"/>
              </w:rPr>
            </w:pPr>
            <w:r>
              <w:rPr>
                <w:rFonts w:ascii="Arial" w:cs="Arial" w:eastAsia="Arial" w:hAnsi="Arial"/>
                <w:sz w:val="13"/>
                <w:szCs w:val="13"/>
                <w:b w:val="1"/>
                <w:bCs w:val="1"/>
                <w:color w:val="005A64"/>
              </w:rPr>
              <w:t>June 30, 2024</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BECE33"/>
            </w:tcBorders>
          </w:tcPr>
          <w:p>
            <w:pPr>
              <w:spacing w:after="0"/>
              <w:rPr>
                <w:sz w:val="11"/>
                <w:szCs w:val="11"/>
                <w:color w:val="auto"/>
              </w:rPr>
            </w:pPr>
          </w:p>
        </w:tc>
        <w:tc>
          <w:tcPr>
            <w:tcW w:w="980" w:type="dxa"/>
            <w:vAlign w:val="bottom"/>
            <w:tcBorders>
              <w:bottom w:val="single" w:sz="8" w:color="BECE33"/>
            </w:tcBorders>
          </w:tcPr>
          <w:p>
            <w:pPr>
              <w:spacing w:after="0"/>
              <w:rPr>
                <w:sz w:val="11"/>
                <w:szCs w:val="11"/>
                <w:color w:val="auto"/>
              </w:rPr>
            </w:pPr>
          </w:p>
        </w:tc>
        <w:tc>
          <w:tcPr>
            <w:tcW w:w="180" w:type="dxa"/>
            <w:vAlign w:val="bottom"/>
            <w:tcBorders>
              <w:bottom w:val="single" w:sz="8" w:color="BECE33"/>
            </w:tcBorders>
          </w:tcPr>
          <w:p>
            <w:pPr>
              <w:spacing w:after="0"/>
              <w:rPr>
                <w:sz w:val="11"/>
                <w:szCs w:val="11"/>
                <w:color w:val="auto"/>
              </w:rPr>
            </w:pPr>
          </w:p>
        </w:tc>
        <w:tc>
          <w:tcPr>
            <w:tcW w:w="880" w:type="dxa"/>
            <w:vAlign w:val="bottom"/>
            <w:tcBorders>
              <w:bottom w:val="single" w:sz="8" w:color="BECE33"/>
            </w:tcBorders>
          </w:tcPr>
          <w:p>
            <w:pPr>
              <w:spacing w:after="0"/>
              <w:rPr>
                <w:sz w:val="11"/>
                <w:szCs w:val="11"/>
                <w:color w:val="auto"/>
              </w:rPr>
            </w:pPr>
          </w:p>
        </w:tc>
        <w:tc>
          <w:tcPr>
            <w:tcW w:w="1260" w:type="dxa"/>
            <w:vAlign w:val="bottom"/>
            <w:tcBorders>
              <w:bottom w:val="single" w:sz="8" w:color="BECE33"/>
            </w:tcBorders>
            <w:gridSpan w:val="3"/>
          </w:tcPr>
          <w:p>
            <w:pPr>
              <w:spacing w:after="0"/>
              <w:rPr>
                <w:sz w:val="11"/>
                <w:szCs w:val="11"/>
                <w:color w:val="auto"/>
              </w:rPr>
            </w:pPr>
          </w:p>
        </w:tc>
        <w:tc>
          <w:tcPr>
            <w:tcW w:w="880" w:type="dxa"/>
            <w:vAlign w:val="bottom"/>
            <w:tcBorders>
              <w:bottom w:val="single" w:sz="8" w:color="BECE33"/>
            </w:tcBorders>
          </w:tcPr>
          <w:p>
            <w:pPr>
              <w:spacing w:after="0"/>
              <w:rPr>
                <w:sz w:val="11"/>
                <w:szCs w:val="11"/>
                <w:color w:val="auto"/>
              </w:rPr>
            </w:pPr>
          </w:p>
        </w:tc>
        <w:tc>
          <w:tcPr>
            <w:tcW w:w="200" w:type="dxa"/>
            <w:vAlign w:val="bottom"/>
            <w:tcBorders>
              <w:bottom w:val="single" w:sz="8" w:color="BECE33"/>
            </w:tcBorders>
          </w:tcPr>
          <w:p>
            <w:pPr>
              <w:spacing w:after="0"/>
              <w:rPr>
                <w:sz w:val="11"/>
                <w:szCs w:val="11"/>
                <w:color w:val="auto"/>
              </w:rPr>
            </w:pPr>
          </w:p>
        </w:tc>
        <w:tc>
          <w:tcPr>
            <w:tcW w:w="960" w:type="dxa"/>
            <w:vAlign w:val="bottom"/>
            <w:tcBorders>
              <w:bottom w:val="single" w:sz="8" w:color="BECE33"/>
            </w:tcBorders>
          </w:tcPr>
          <w:p>
            <w:pPr>
              <w:spacing w:after="0"/>
              <w:rPr>
                <w:sz w:val="11"/>
                <w:szCs w:val="11"/>
                <w:color w:val="auto"/>
              </w:rPr>
            </w:pPr>
          </w:p>
        </w:tc>
        <w:tc>
          <w:tcPr>
            <w:tcW w:w="180" w:type="dxa"/>
            <w:vAlign w:val="bottom"/>
            <w:tcBorders>
              <w:bottom w:val="single" w:sz="8" w:color="BECE33"/>
            </w:tcBorders>
          </w:tcPr>
          <w:p>
            <w:pPr>
              <w:spacing w:after="0"/>
              <w:rPr>
                <w:sz w:val="11"/>
                <w:szCs w:val="11"/>
                <w:color w:val="auto"/>
              </w:rPr>
            </w:pPr>
          </w:p>
        </w:tc>
        <w:tc>
          <w:tcPr>
            <w:tcW w:w="1160" w:type="dxa"/>
            <w:vAlign w:val="bottom"/>
            <w:tcBorders>
              <w:bottom w:val="single" w:sz="8" w:color="BECE33"/>
            </w:tcBorders>
            <w:gridSpan w:val="2"/>
          </w:tcPr>
          <w:p>
            <w:pPr>
              <w:spacing w:after="0"/>
              <w:rPr>
                <w:sz w:val="11"/>
                <w:szCs w:val="11"/>
                <w:color w:val="auto"/>
              </w:rPr>
            </w:pPr>
          </w:p>
        </w:tc>
        <w:tc>
          <w:tcPr>
            <w:tcW w:w="960" w:type="dxa"/>
            <w:vAlign w:val="bottom"/>
            <w:tcBorders>
              <w:bottom w:val="single" w:sz="8" w:color="BECE33"/>
            </w:tcBorders>
          </w:tcPr>
          <w:p>
            <w:pPr>
              <w:spacing w:after="0"/>
              <w:rPr>
                <w:sz w:val="11"/>
                <w:szCs w:val="11"/>
                <w:color w:val="auto"/>
              </w:rPr>
            </w:pPr>
          </w:p>
        </w:tc>
        <w:tc>
          <w:tcPr>
            <w:tcW w:w="180" w:type="dxa"/>
            <w:vAlign w:val="bottom"/>
            <w:tcBorders>
              <w:bottom w:val="single" w:sz="8" w:color="BECE33"/>
            </w:tcBorders>
          </w:tcPr>
          <w:p>
            <w:pPr>
              <w:spacing w:after="0"/>
              <w:rPr>
                <w:sz w:val="11"/>
                <w:szCs w:val="11"/>
                <w:color w:val="auto"/>
              </w:rPr>
            </w:pPr>
          </w:p>
        </w:tc>
        <w:tc>
          <w:tcPr>
            <w:tcW w:w="900" w:type="dxa"/>
            <w:vAlign w:val="bottom"/>
            <w:tcBorders>
              <w:bottom w:val="single" w:sz="8" w:color="BECE33"/>
            </w:tcBorders>
          </w:tcPr>
          <w:p>
            <w:pPr>
              <w:spacing w:after="0"/>
              <w:rPr>
                <w:sz w:val="11"/>
                <w:szCs w:val="11"/>
                <w:color w:val="auto"/>
              </w:rPr>
            </w:pPr>
          </w:p>
        </w:tc>
        <w:tc>
          <w:tcPr>
            <w:tcW w:w="100" w:type="dxa"/>
            <w:vAlign w:val="bottom"/>
            <w:tcBorders>
              <w:bottom w:val="single" w:sz="8" w:color="BECE33"/>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0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gridSpan w:val="3"/>
          </w:tcPr>
          <w:p>
            <w:pPr>
              <w:ind w:left="140"/>
              <w:spacing w:after="0"/>
              <w:rPr>
                <w:sz w:val="20"/>
                <w:szCs w:val="20"/>
                <w:color w:val="auto"/>
              </w:rPr>
            </w:pPr>
            <w:r>
              <w:rPr>
                <w:rFonts w:ascii="Arial" w:cs="Arial" w:eastAsia="Arial" w:hAnsi="Arial"/>
                <w:sz w:val="13"/>
                <w:szCs w:val="13"/>
                <w:b w:val="1"/>
                <w:bCs w:val="1"/>
                <w:color w:val="005A64"/>
              </w:rPr>
              <w:t>Carrying amount</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b w:val="1"/>
                <w:bCs w:val="1"/>
                <w:color w:val="005A64"/>
              </w:rPr>
              <w:t>Fair value</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240" w:type="dxa"/>
            <w:vAlign w:val="bottom"/>
            <w:vMerge w:val="restart"/>
          </w:tcPr>
          <w:p>
            <w:pPr>
              <w:ind w:left="20"/>
              <w:spacing w:after="0"/>
              <w:rPr>
                <w:sz w:val="20"/>
                <w:szCs w:val="20"/>
                <w:color w:val="auto"/>
              </w:rPr>
            </w:pPr>
            <w:r>
              <w:rPr>
                <w:rFonts w:ascii="Arial" w:cs="Arial" w:eastAsia="Arial" w:hAnsi="Arial"/>
                <w:sz w:val="13"/>
                <w:szCs w:val="13"/>
                <w:i w:val="1"/>
                <w:iCs w:val="1"/>
                <w:color w:val="005A64"/>
              </w:rPr>
              <w:t>(in millions €)</w:t>
            </w:r>
          </w:p>
        </w:tc>
        <w:tc>
          <w:tcPr>
            <w:tcW w:w="100" w:type="dxa"/>
            <w:vAlign w:val="bottom"/>
            <w:tcBorders>
              <w:right w:val="single" w:sz="8" w:color="BECD32"/>
            </w:tcBorders>
            <w:vMerge w:val="restart"/>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b w:val="1"/>
                <w:bCs w:val="1"/>
                <w:color w:val="005A64"/>
              </w:rPr>
              <w:t>Category</w:t>
            </w:r>
            <w:r>
              <w:rPr>
                <w:rFonts w:ascii="Arial" w:cs="Arial" w:eastAsia="Arial" w:hAnsi="Arial"/>
                <w:sz w:val="16"/>
                <w:szCs w:val="16"/>
                <w:b w:val="1"/>
                <w:bCs w:val="1"/>
                <w:color w:val="005A64"/>
                <w:vertAlign w:val="superscript"/>
              </w:rPr>
              <w:t>(1)</w:t>
            </w:r>
          </w:p>
        </w:tc>
        <w:tc>
          <w:tcPr>
            <w:tcW w:w="180" w:type="dxa"/>
            <w:vAlign w:val="bottom"/>
            <w:vMerge w:val="restart"/>
          </w:tcPr>
          <w:p>
            <w:pPr>
              <w:spacing w:after="0"/>
              <w:rPr>
                <w:sz w:val="14"/>
                <w:szCs w:val="14"/>
                <w:color w:val="auto"/>
              </w:rPr>
            </w:pPr>
          </w:p>
        </w:tc>
        <w:tc>
          <w:tcPr>
            <w:tcW w:w="880" w:type="dxa"/>
            <w:vAlign w:val="bottom"/>
            <w:tcBorders>
              <w:top w:val="single" w:sz="8" w:color="005A64"/>
            </w:tcBorders>
            <w:vMerge w:val="restart"/>
          </w:tcPr>
          <w:p>
            <w:pPr>
              <w:jc w:val="right"/>
              <w:spacing w:after="0"/>
              <w:rPr>
                <w:sz w:val="20"/>
                <w:szCs w:val="20"/>
                <w:color w:val="auto"/>
              </w:rPr>
            </w:pPr>
            <w:r>
              <w:rPr>
                <w:rFonts w:ascii="Arial" w:cs="Arial" w:eastAsia="Arial" w:hAnsi="Arial"/>
                <w:sz w:val="13"/>
                <w:szCs w:val="13"/>
                <w:b w:val="1"/>
                <w:bCs w:val="1"/>
                <w:color w:val="005A64"/>
              </w:rPr>
              <w:t>Current</w:t>
            </w:r>
          </w:p>
        </w:tc>
        <w:tc>
          <w:tcPr>
            <w:tcW w:w="200" w:type="dxa"/>
            <w:vAlign w:val="bottom"/>
            <w:tcBorders>
              <w:top w:val="single" w:sz="8" w:color="005A64"/>
            </w:tcBorders>
          </w:tcPr>
          <w:p>
            <w:pPr>
              <w:spacing w:after="0"/>
              <w:rPr>
                <w:sz w:val="14"/>
                <w:szCs w:val="14"/>
                <w:color w:val="auto"/>
              </w:rPr>
            </w:pPr>
          </w:p>
        </w:tc>
        <w:tc>
          <w:tcPr>
            <w:tcW w:w="860" w:type="dxa"/>
            <w:vAlign w:val="bottom"/>
            <w:tcBorders>
              <w:top w:val="single" w:sz="8" w:color="005A64"/>
            </w:tcBorders>
            <w:vMerge w:val="restart"/>
          </w:tcPr>
          <w:p>
            <w:pPr>
              <w:jc w:val="right"/>
              <w:spacing w:after="0"/>
              <w:rPr>
                <w:sz w:val="20"/>
                <w:szCs w:val="20"/>
                <w:color w:val="auto"/>
              </w:rPr>
            </w:pPr>
            <w:r>
              <w:rPr>
                <w:rFonts w:ascii="Arial" w:cs="Arial" w:eastAsia="Arial" w:hAnsi="Arial"/>
                <w:sz w:val="13"/>
                <w:szCs w:val="13"/>
                <w:b w:val="1"/>
                <w:bCs w:val="1"/>
                <w:color w:val="005A64"/>
              </w:rPr>
              <w:t>Non-current</w:t>
            </w:r>
          </w:p>
        </w:tc>
        <w:tc>
          <w:tcPr>
            <w:tcW w:w="200" w:type="dxa"/>
            <w:vAlign w:val="bottom"/>
            <w:tcBorders>
              <w:top w:val="single" w:sz="8" w:color="005A64"/>
            </w:tcBorders>
            <w:vMerge w:val="restart"/>
          </w:tcPr>
          <w:p>
            <w:pPr>
              <w:spacing w:after="0"/>
              <w:rPr>
                <w:sz w:val="14"/>
                <w:szCs w:val="14"/>
                <w:color w:val="auto"/>
              </w:rPr>
            </w:pPr>
          </w:p>
        </w:tc>
        <w:tc>
          <w:tcPr>
            <w:tcW w:w="880" w:type="dxa"/>
            <w:vAlign w:val="bottom"/>
            <w:tcBorders>
              <w:top w:val="single" w:sz="8" w:color="005A64"/>
            </w:tcBorders>
            <w:vMerge w:val="restart"/>
          </w:tcPr>
          <w:p>
            <w:pPr>
              <w:jc w:val="right"/>
              <w:spacing w:after="0"/>
              <w:rPr>
                <w:sz w:val="20"/>
                <w:szCs w:val="20"/>
                <w:color w:val="auto"/>
              </w:rPr>
            </w:pPr>
            <w:r>
              <w:rPr>
                <w:rFonts w:ascii="Arial" w:cs="Arial" w:eastAsia="Arial" w:hAnsi="Arial"/>
                <w:sz w:val="13"/>
                <w:szCs w:val="13"/>
                <w:b w:val="1"/>
                <w:bCs w:val="1"/>
                <w:color w:val="005A64"/>
              </w:rPr>
              <w:t>Total</w:t>
            </w:r>
          </w:p>
        </w:tc>
        <w:tc>
          <w:tcPr>
            <w:tcW w:w="200" w:type="dxa"/>
            <w:vAlign w:val="bottom"/>
            <w:vMerge w:val="restart"/>
          </w:tcPr>
          <w:p>
            <w:pPr>
              <w:spacing w:after="0"/>
              <w:rPr>
                <w:sz w:val="14"/>
                <w:szCs w:val="14"/>
                <w:color w:val="auto"/>
              </w:rPr>
            </w:pPr>
          </w:p>
        </w:tc>
        <w:tc>
          <w:tcPr>
            <w:tcW w:w="1140" w:type="dxa"/>
            <w:vAlign w:val="bottom"/>
            <w:tcBorders>
              <w:top w:val="single" w:sz="8" w:color="005A64"/>
            </w:tcBorders>
            <w:gridSpan w:val="2"/>
          </w:tcPr>
          <w:p>
            <w:pPr>
              <w:jc w:val="right"/>
              <w:ind w:right="200"/>
              <w:spacing w:after="0"/>
              <w:rPr>
                <w:sz w:val="20"/>
                <w:szCs w:val="20"/>
                <w:color w:val="auto"/>
              </w:rPr>
            </w:pPr>
            <w:r>
              <w:rPr>
                <w:rFonts w:ascii="Arial" w:cs="Arial" w:eastAsia="Arial" w:hAnsi="Arial"/>
                <w:sz w:val="13"/>
                <w:szCs w:val="13"/>
                <w:b w:val="1"/>
                <w:bCs w:val="1"/>
                <w:color w:val="005A64"/>
              </w:rPr>
              <w:t>Level 1 (Fair</w:t>
            </w:r>
          </w:p>
        </w:tc>
        <w:tc>
          <w:tcPr>
            <w:tcW w:w="1160" w:type="dxa"/>
            <w:vAlign w:val="bottom"/>
            <w:tcBorders>
              <w:top w:val="single" w:sz="8" w:color="005A64"/>
            </w:tcBorders>
            <w:gridSpan w:val="2"/>
          </w:tcPr>
          <w:p>
            <w:pPr>
              <w:jc w:val="right"/>
              <w:ind w:right="220"/>
              <w:spacing w:after="0"/>
              <w:rPr>
                <w:sz w:val="20"/>
                <w:szCs w:val="20"/>
                <w:color w:val="auto"/>
              </w:rPr>
            </w:pPr>
            <w:r>
              <w:rPr>
                <w:rFonts w:ascii="Arial" w:cs="Arial" w:eastAsia="Arial" w:hAnsi="Arial"/>
                <w:sz w:val="13"/>
                <w:szCs w:val="13"/>
                <w:b w:val="1"/>
                <w:bCs w:val="1"/>
                <w:color w:val="005A64"/>
              </w:rPr>
              <w:t>Level 2 (Fair</w:t>
            </w:r>
          </w:p>
        </w:tc>
        <w:tc>
          <w:tcPr>
            <w:tcW w:w="960" w:type="dxa"/>
            <w:vAlign w:val="bottom"/>
            <w:tcBorders>
              <w:top w:val="single" w:sz="8" w:color="005A64"/>
            </w:tcBorders>
          </w:tcPr>
          <w:p>
            <w:pPr>
              <w:jc w:val="right"/>
              <w:spacing w:after="0"/>
              <w:rPr>
                <w:sz w:val="20"/>
                <w:szCs w:val="20"/>
                <w:color w:val="auto"/>
              </w:rPr>
            </w:pPr>
            <w:r>
              <w:rPr>
                <w:rFonts w:ascii="Arial" w:cs="Arial" w:eastAsia="Arial" w:hAnsi="Arial"/>
                <w:sz w:val="13"/>
                <w:szCs w:val="13"/>
                <w:b w:val="1"/>
                <w:bCs w:val="1"/>
                <w:color w:val="005A64"/>
              </w:rPr>
              <w:t>Level 3 (Fair</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005A64"/>
              </w:rPr>
              <w:t>Total</w:t>
            </w:r>
          </w:p>
        </w:tc>
        <w:tc>
          <w:tcPr>
            <w:tcW w:w="100" w:type="dxa"/>
            <w:vAlign w:val="bottom"/>
            <w:tcBorders>
              <w:right w:val="single" w:sz="8" w:color="BECE33"/>
            </w:tcBorders>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40" w:type="dxa"/>
            <w:vAlign w:val="bottom"/>
            <w:tcBorders>
              <w:bottom w:val="single" w:sz="8" w:color="005A64"/>
            </w:tcBorders>
            <w:vMerge w:val="continue"/>
          </w:tcPr>
          <w:p>
            <w:pPr>
              <w:spacing w:after="0"/>
              <w:rPr>
                <w:sz w:val="15"/>
                <w:szCs w:val="15"/>
                <w:color w:val="auto"/>
              </w:rPr>
            </w:pPr>
          </w:p>
        </w:tc>
        <w:tc>
          <w:tcPr>
            <w:tcW w:w="100" w:type="dxa"/>
            <w:vAlign w:val="bottom"/>
            <w:tcBorders>
              <w:right w:val="single" w:sz="8" w:color="BECD32"/>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bottom w:val="single" w:sz="8" w:color="005A64"/>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tcBorders>
              <w:bottom w:val="single" w:sz="8" w:color="005A64"/>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bottom w:val="single" w:sz="8" w:color="005A64"/>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80" w:type="dxa"/>
            <w:vAlign w:val="bottom"/>
            <w:tcBorders>
              <w:bottom w:val="single" w:sz="8" w:color="005A64"/>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60" w:type="dxa"/>
            <w:vAlign w:val="bottom"/>
            <w:tcBorders>
              <w:bottom w:val="single" w:sz="8" w:color="005A64"/>
            </w:tcBorders>
          </w:tcPr>
          <w:p>
            <w:pPr>
              <w:jc w:val="right"/>
              <w:spacing w:after="0"/>
              <w:rPr>
                <w:sz w:val="20"/>
                <w:szCs w:val="20"/>
                <w:color w:val="auto"/>
              </w:rPr>
            </w:pPr>
            <w:r>
              <w:rPr>
                <w:rFonts w:ascii="Arial" w:cs="Arial" w:eastAsia="Arial" w:hAnsi="Arial"/>
                <w:sz w:val="13"/>
                <w:szCs w:val="13"/>
                <w:b w:val="1"/>
                <w:bCs w:val="1"/>
                <w:color w:val="005A64"/>
              </w:rPr>
              <w:t>value)</w:t>
            </w:r>
          </w:p>
        </w:tc>
        <w:tc>
          <w:tcPr>
            <w:tcW w:w="180" w:type="dxa"/>
            <w:vAlign w:val="bottom"/>
          </w:tcPr>
          <w:p>
            <w:pPr>
              <w:spacing w:after="0"/>
              <w:rPr>
                <w:sz w:val="15"/>
                <w:szCs w:val="15"/>
                <w:color w:val="auto"/>
              </w:rPr>
            </w:pPr>
          </w:p>
        </w:tc>
        <w:tc>
          <w:tcPr>
            <w:tcW w:w="960" w:type="dxa"/>
            <w:vAlign w:val="bottom"/>
            <w:tcBorders>
              <w:bottom w:val="single" w:sz="8" w:color="005A64"/>
            </w:tcBorders>
          </w:tcPr>
          <w:p>
            <w:pPr>
              <w:jc w:val="right"/>
              <w:spacing w:after="0"/>
              <w:rPr>
                <w:sz w:val="20"/>
                <w:szCs w:val="20"/>
                <w:color w:val="auto"/>
              </w:rPr>
            </w:pPr>
            <w:r>
              <w:rPr>
                <w:rFonts w:ascii="Arial" w:cs="Arial" w:eastAsia="Arial" w:hAnsi="Arial"/>
                <w:sz w:val="13"/>
                <w:szCs w:val="13"/>
                <w:b w:val="1"/>
                <w:bCs w:val="1"/>
                <w:color w:val="005A64"/>
              </w:rPr>
              <w:t>value)</w:t>
            </w:r>
          </w:p>
        </w:tc>
        <w:tc>
          <w:tcPr>
            <w:tcW w:w="200" w:type="dxa"/>
            <w:vAlign w:val="bottom"/>
          </w:tcPr>
          <w:p>
            <w:pPr>
              <w:spacing w:after="0"/>
              <w:rPr>
                <w:sz w:val="15"/>
                <w:szCs w:val="15"/>
                <w:color w:val="auto"/>
              </w:rPr>
            </w:pPr>
          </w:p>
        </w:tc>
        <w:tc>
          <w:tcPr>
            <w:tcW w:w="960" w:type="dxa"/>
            <w:vAlign w:val="bottom"/>
            <w:tcBorders>
              <w:bottom w:val="single" w:sz="8" w:color="005A64"/>
            </w:tcBorders>
          </w:tcPr>
          <w:p>
            <w:pPr>
              <w:jc w:val="right"/>
              <w:spacing w:after="0"/>
              <w:rPr>
                <w:sz w:val="20"/>
                <w:szCs w:val="20"/>
                <w:color w:val="auto"/>
              </w:rPr>
            </w:pPr>
            <w:r>
              <w:rPr>
                <w:rFonts w:ascii="Arial" w:cs="Arial" w:eastAsia="Arial" w:hAnsi="Arial"/>
                <w:sz w:val="13"/>
                <w:szCs w:val="13"/>
                <w:b w:val="1"/>
                <w:bCs w:val="1"/>
                <w:color w:val="005A64"/>
              </w:rPr>
              <w:t>value)</w:t>
            </w:r>
          </w:p>
        </w:tc>
        <w:tc>
          <w:tcPr>
            <w:tcW w:w="180" w:type="dxa"/>
            <w:vAlign w:val="bottom"/>
          </w:tcPr>
          <w:p>
            <w:pPr>
              <w:spacing w:after="0"/>
              <w:rPr>
                <w:sz w:val="15"/>
                <w:szCs w:val="15"/>
                <w:color w:val="auto"/>
              </w:rPr>
            </w:pPr>
          </w:p>
        </w:tc>
        <w:tc>
          <w:tcPr>
            <w:tcW w:w="900" w:type="dxa"/>
            <w:vAlign w:val="bottom"/>
            <w:tcBorders>
              <w:bottom w:val="single" w:sz="8" w:color="005A64"/>
            </w:tcBorders>
            <w:vMerge w:val="continue"/>
          </w:tcPr>
          <w:p>
            <w:pPr>
              <w:spacing w:after="0"/>
              <w:rPr>
                <w:sz w:val="15"/>
                <w:szCs w:val="15"/>
                <w:color w:val="auto"/>
              </w:rPr>
            </w:pPr>
          </w:p>
        </w:tc>
        <w:tc>
          <w:tcPr>
            <w:tcW w:w="100" w:type="dxa"/>
            <w:vAlign w:val="bottom"/>
            <w:tcBorders>
              <w:right w:val="single" w:sz="8" w:color="BECE33"/>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13"/>
                <w:szCs w:val="13"/>
                <w:b w:val="1"/>
                <w:bCs w:val="1"/>
                <w:color w:val="3C9673"/>
              </w:rPr>
              <w:t>Financial assets measured at fair</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40" w:type="dxa"/>
            <w:vAlign w:val="bottom"/>
            <w:tcBorders>
              <w:bottom w:val="single" w:sz="8" w:color="7FACB1"/>
            </w:tcBorders>
          </w:tcPr>
          <w:p>
            <w:pPr>
              <w:ind w:left="20"/>
              <w:spacing w:after="0"/>
              <w:rPr>
                <w:sz w:val="20"/>
                <w:szCs w:val="20"/>
                <w:color w:val="auto"/>
              </w:rPr>
            </w:pPr>
            <w:r>
              <w:rPr>
                <w:rFonts w:ascii="Arial" w:cs="Arial" w:eastAsia="Arial" w:hAnsi="Arial"/>
                <w:sz w:val="13"/>
                <w:szCs w:val="13"/>
                <w:b w:val="1"/>
                <w:bCs w:val="1"/>
                <w:color w:val="3C9673"/>
              </w:rPr>
              <w:t>value</w:t>
            </w:r>
          </w:p>
        </w:tc>
        <w:tc>
          <w:tcPr>
            <w:tcW w:w="10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bottom w:val="single" w:sz="8" w:color="7FACB1"/>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bottom w:val="single" w:sz="8" w:color="7FACB1"/>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bottom w:val="single" w:sz="8" w:color="7FACB1"/>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bottom w:val="single" w:sz="8" w:color="7FACB1"/>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00" w:type="dxa"/>
            <w:vAlign w:val="bottom"/>
            <w:tcBorders>
              <w:right w:val="single" w:sz="8" w:color="BECD32"/>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4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Foreign exchange forward contracts</w:t>
            </w:r>
          </w:p>
        </w:tc>
        <w:tc>
          <w:tcPr>
            <w:tcW w:w="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FVTPL</w:t>
            </w:r>
          </w:p>
        </w:tc>
        <w:tc>
          <w:tcPr>
            <w:tcW w:w="880" w:type="dxa"/>
            <w:vAlign w:val="bottom"/>
          </w:tcPr>
          <w:p>
            <w:pPr>
              <w:jc w:val="right"/>
              <w:spacing w:after="0"/>
              <w:rPr>
                <w:sz w:val="20"/>
                <w:szCs w:val="20"/>
                <w:color w:val="auto"/>
              </w:rPr>
            </w:pPr>
            <w:r>
              <w:rPr>
                <w:rFonts w:ascii="Arial" w:cs="Arial" w:eastAsia="Arial" w:hAnsi="Arial"/>
                <w:sz w:val="13"/>
                <w:szCs w:val="13"/>
                <w:color w:val="005A64"/>
              </w:rPr>
              <w:t>1.1</w:t>
            </w:r>
          </w:p>
        </w:tc>
        <w:tc>
          <w:tcPr>
            <w:tcW w:w="20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1.1</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60" w:type="dxa"/>
            <w:vAlign w:val="bottom"/>
          </w:tcPr>
          <w:p>
            <w:pPr>
              <w:jc w:val="right"/>
              <w:spacing w:after="0"/>
              <w:rPr>
                <w:sz w:val="20"/>
                <w:szCs w:val="20"/>
                <w:color w:val="auto"/>
              </w:rPr>
            </w:pPr>
            <w:r>
              <w:rPr>
                <w:rFonts w:ascii="Arial" w:cs="Arial" w:eastAsia="Arial" w:hAnsi="Arial"/>
                <w:sz w:val="13"/>
                <w:szCs w:val="13"/>
                <w:color w:val="005A64"/>
              </w:rPr>
              <w:t>1.1</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1.1</w:t>
            </w:r>
          </w:p>
        </w:tc>
        <w:tc>
          <w:tcPr>
            <w:tcW w:w="100" w:type="dxa"/>
            <w:vAlign w:val="bottom"/>
            <w:tcBorders>
              <w:right w:val="single" w:sz="8" w:color="BECD32"/>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2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34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Money market funds</w:t>
            </w: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FVTPL</w:t>
            </w:r>
          </w:p>
        </w:tc>
        <w:tc>
          <w:tcPr>
            <w:tcW w:w="880" w:type="dxa"/>
            <w:vAlign w:val="bottom"/>
          </w:tcPr>
          <w:p>
            <w:pPr>
              <w:jc w:val="right"/>
              <w:spacing w:after="0"/>
              <w:rPr>
                <w:sz w:val="20"/>
                <w:szCs w:val="20"/>
                <w:color w:val="auto"/>
              </w:rPr>
            </w:pPr>
            <w:r>
              <w:rPr>
                <w:rFonts w:ascii="Arial" w:cs="Arial" w:eastAsia="Arial" w:hAnsi="Arial"/>
                <w:sz w:val="13"/>
                <w:szCs w:val="13"/>
                <w:color w:val="005A64"/>
              </w:rPr>
              <w:t>5,409.7</w:t>
            </w:r>
          </w:p>
        </w:tc>
        <w:tc>
          <w:tcPr>
            <w:tcW w:w="2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5,409.7</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05A64"/>
              </w:rPr>
              <w:t>5,409.7</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5,409.7</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2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34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Non-listed equity investments</w:t>
            </w: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FVTOCI</w:t>
            </w:r>
          </w:p>
        </w:tc>
        <w:tc>
          <w:tcPr>
            <w:tcW w:w="880" w:type="dxa"/>
            <w:vAlign w:val="bottom"/>
          </w:tcPr>
          <w:p>
            <w:pPr>
              <w:jc w:val="right"/>
              <w:spacing w:after="0"/>
              <w:rPr>
                <w:sz w:val="20"/>
                <w:szCs w:val="20"/>
                <w:color w:val="auto"/>
              </w:rPr>
            </w:pPr>
            <w:r>
              <w:rPr>
                <w:rFonts w:ascii="Arial" w:cs="Arial" w:eastAsia="Arial" w:hAnsi="Arial"/>
                <w:sz w:val="13"/>
                <w:szCs w:val="13"/>
                <w:color w:val="005A64"/>
              </w:rPr>
              <w:t>—</w:t>
            </w:r>
          </w:p>
        </w:tc>
        <w:tc>
          <w:tcPr>
            <w:tcW w:w="1060" w:type="dxa"/>
            <w:vAlign w:val="bottom"/>
            <w:gridSpan w:val="2"/>
          </w:tcPr>
          <w:p>
            <w:pPr>
              <w:jc w:val="right"/>
              <w:spacing w:after="0"/>
              <w:rPr>
                <w:sz w:val="20"/>
                <w:szCs w:val="20"/>
                <w:color w:val="auto"/>
              </w:rPr>
            </w:pPr>
            <w:r>
              <w:rPr>
                <w:rFonts w:ascii="Arial" w:cs="Arial" w:eastAsia="Arial" w:hAnsi="Arial"/>
                <w:sz w:val="13"/>
                <w:szCs w:val="13"/>
                <w:color w:val="005A64"/>
              </w:rPr>
              <w:t>2.3</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2.3</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960" w:type="dxa"/>
            <w:vAlign w:val="bottom"/>
          </w:tcPr>
          <w:p>
            <w:pPr>
              <w:jc w:val="right"/>
              <w:spacing w:after="0"/>
              <w:rPr>
                <w:sz w:val="20"/>
                <w:szCs w:val="20"/>
                <w:color w:val="auto"/>
              </w:rPr>
            </w:pPr>
            <w:r>
              <w:rPr>
                <w:rFonts w:ascii="Arial" w:cs="Arial" w:eastAsia="Arial" w:hAnsi="Arial"/>
                <w:sz w:val="13"/>
                <w:szCs w:val="13"/>
                <w:color w:val="005A64"/>
              </w:rPr>
              <w:t>2.3</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5A64"/>
              </w:rPr>
              <w:t>2.3</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2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34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Listed equity investments</w:t>
            </w: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FVTOCI</w:t>
            </w:r>
          </w:p>
        </w:tc>
        <w:tc>
          <w:tcPr>
            <w:tcW w:w="880" w:type="dxa"/>
            <w:vAlign w:val="bottom"/>
          </w:tcPr>
          <w:p>
            <w:pPr>
              <w:jc w:val="right"/>
              <w:spacing w:after="0"/>
              <w:rPr>
                <w:sz w:val="20"/>
                <w:szCs w:val="20"/>
                <w:color w:val="auto"/>
              </w:rPr>
            </w:pPr>
            <w:r>
              <w:rPr>
                <w:rFonts w:ascii="Arial" w:cs="Arial" w:eastAsia="Arial" w:hAnsi="Arial"/>
                <w:sz w:val="13"/>
                <w:szCs w:val="13"/>
                <w:color w:val="005A64"/>
              </w:rPr>
              <w:t>—</w:t>
            </w:r>
          </w:p>
        </w:tc>
        <w:tc>
          <w:tcPr>
            <w:tcW w:w="1060" w:type="dxa"/>
            <w:vAlign w:val="bottom"/>
            <w:gridSpan w:val="2"/>
          </w:tcPr>
          <w:p>
            <w:pPr>
              <w:jc w:val="right"/>
              <w:spacing w:after="0"/>
              <w:rPr>
                <w:sz w:val="20"/>
                <w:szCs w:val="20"/>
                <w:color w:val="auto"/>
              </w:rPr>
            </w:pPr>
            <w:r>
              <w:rPr>
                <w:rFonts w:ascii="Arial" w:cs="Arial" w:eastAsia="Arial" w:hAnsi="Arial"/>
                <w:sz w:val="13"/>
                <w:szCs w:val="13"/>
                <w:color w:val="005A64"/>
              </w:rPr>
              <w:t>130.7</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130.7</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05A64"/>
              </w:rPr>
              <w:t>130.7</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130.7</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2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34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Royalty assets</w:t>
            </w: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FVTPL</w:t>
            </w:r>
          </w:p>
        </w:tc>
        <w:tc>
          <w:tcPr>
            <w:tcW w:w="880" w:type="dxa"/>
            <w:vAlign w:val="bottom"/>
          </w:tcPr>
          <w:p>
            <w:pPr>
              <w:jc w:val="right"/>
              <w:spacing w:after="0"/>
              <w:rPr>
                <w:sz w:val="20"/>
                <w:szCs w:val="20"/>
                <w:color w:val="auto"/>
              </w:rPr>
            </w:pPr>
            <w:r>
              <w:rPr>
                <w:rFonts w:ascii="Arial" w:cs="Arial" w:eastAsia="Arial" w:hAnsi="Arial"/>
                <w:sz w:val="13"/>
                <w:szCs w:val="13"/>
                <w:color w:val="005A64"/>
              </w:rPr>
              <w:t>—</w:t>
            </w:r>
          </w:p>
        </w:tc>
        <w:tc>
          <w:tcPr>
            <w:tcW w:w="1060" w:type="dxa"/>
            <w:vAlign w:val="bottom"/>
            <w:gridSpan w:val="2"/>
          </w:tcPr>
          <w:p>
            <w:pPr>
              <w:jc w:val="right"/>
              <w:spacing w:after="0"/>
              <w:rPr>
                <w:sz w:val="20"/>
                <w:szCs w:val="20"/>
                <w:color w:val="auto"/>
              </w:rPr>
            </w:pPr>
            <w:r>
              <w:rPr>
                <w:rFonts w:ascii="Arial" w:cs="Arial" w:eastAsia="Arial" w:hAnsi="Arial"/>
                <w:sz w:val="13"/>
                <w:szCs w:val="13"/>
                <w:color w:val="005A64"/>
              </w:rPr>
              <w:t>43.4</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43.4</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960" w:type="dxa"/>
            <w:vAlign w:val="bottom"/>
          </w:tcPr>
          <w:p>
            <w:pPr>
              <w:jc w:val="right"/>
              <w:spacing w:after="0"/>
              <w:rPr>
                <w:sz w:val="20"/>
                <w:szCs w:val="20"/>
                <w:color w:val="auto"/>
              </w:rPr>
            </w:pPr>
            <w:r>
              <w:rPr>
                <w:rFonts w:ascii="Arial" w:cs="Arial" w:eastAsia="Arial" w:hAnsi="Arial"/>
                <w:sz w:val="13"/>
                <w:szCs w:val="13"/>
                <w:color w:val="005A64"/>
              </w:rPr>
              <w:t>43.4</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5A64"/>
              </w:rPr>
              <w:t>43.4</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2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13"/>
                <w:szCs w:val="13"/>
                <w:b w:val="1"/>
                <w:bCs w:val="1"/>
                <w:color w:val="3C9673"/>
              </w:rPr>
              <w:t>Financial assets not measured at</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40" w:type="dxa"/>
            <w:vAlign w:val="bottom"/>
            <w:tcBorders>
              <w:bottom w:val="single" w:sz="8" w:color="7FACB1"/>
            </w:tcBorders>
          </w:tcPr>
          <w:p>
            <w:pPr>
              <w:ind w:left="20"/>
              <w:spacing w:after="0"/>
              <w:rPr>
                <w:sz w:val="20"/>
                <w:szCs w:val="20"/>
                <w:color w:val="auto"/>
              </w:rPr>
            </w:pPr>
            <w:r>
              <w:rPr>
                <w:rFonts w:ascii="Arial" w:cs="Arial" w:eastAsia="Arial" w:hAnsi="Arial"/>
                <w:sz w:val="13"/>
                <w:szCs w:val="13"/>
                <w:b w:val="1"/>
                <w:bCs w:val="1"/>
                <w:color w:val="3C9673"/>
              </w:rPr>
              <w:t>fair value</w:t>
            </w:r>
          </w:p>
        </w:tc>
        <w:tc>
          <w:tcPr>
            <w:tcW w:w="10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bottom w:val="single" w:sz="8" w:color="7FACB1"/>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bottom w:val="single" w:sz="8" w:color="7FACB1"/>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bottom w:val="single" w:sz="8" w:color="7FACB1"/>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bottom w:val="single" w:sz="8" w:color="7FACB1"/>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00" w:type="dxa"/>
            <w:vAlign w:val="bottom"/>
            <w:tcBorders>
              <w:right w:val="single" w:sz="8" w:color="BECD32"/>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4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Trade and other receivables</w:t>
            </w:r>
          </w:p>
        </w:tc>
        <w:tc>
          <w:tcPr>
            <w:tcW w:w="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AC</w:t>
            </w:r>
          </w:p>
        </w:tc>
        <w:tc>
          <w:tcPr>
            <w:tcW w:w="880" w:type="dxa"/>
            <w:vAlign w:val="bottom"/>
          </w:tcPr>
          <w:p>
            <w:pPr>
              <w:jc w:val="right"/>
              <w:spacing w:after="0"/>
              <w:rPr>
                <w:sz w:val="20"/>
                <w:szCs w:val="20"/>
                <w:color w:val="auto"/>
              </w:rPr>
            </w:pPr>
            <w:r>
              <w:rPr>
                <w:rFonts w:ascii="Arial" w:cs="Arial" w:eastAsia="Arial" w:hAnsi="Arial"/>
                <w:sz w:val="13"/>
                <w:szCs w:val="13"/>
                <w:color w:val="005A64"/>
              </w:rPr>
              <w:t>75.8</w:t>
            </w:r>
          </w:p>
        </w:tc>
        <w:tc>
          <w:tcPr>
            <w:tcW w:w="20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75.8</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75.8</w:t>
            </w:r>
          </w:p>
        </w:tc>
        <w:tc>
          <w:tcPr>
            <w:tcW w:w="100" w:type="dxa"/>
            <w:vAlign w:val="bottom"/>
            <w:tcBorders>
              <w:right w:val="single" w:sz="8" w:color="BECD32"/>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2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34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Security investments</w:t>
            </w: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AC</w:t>
            </w:r>
          </w:p>
        </w:tc>
        <w:tc>
          <w:tcPr>
            <w:tcW w:w="880" w:type="dxa"/>
            <w:vAlign w:val="bottom"/>
          </w:tcPr>
          <w:p>
            <w:pPr>
              <w:jc w:val="right"/>
              <w:spacing w:after="0"/>
              <w:rPr>
                <w:sz w:val="20"/>
                <w:szCs w:val="20"/>
                <w:color w:val="auto"/>
              </w:rPr>
            </w:pPr>
            <w:r>
              <w:rPr>
                <w:rFonts w:ascii="Arial" w:cs="Arial" w:eastAsia="Arial" w:hAnsi="Arial"/>
                <w:sz w:val="13"/>
                <w:szCs w:val="13"/>
                <w:color w:val="005A64"/>
              </w:rPr>
              <w:t>6,916.7</w:t>
            </w:r>
          </w:p>
        </w:tc>
        <w:tc>
          <w:tcPr>
            <w:tcW w:w="1060" w:type="dxa"/>
            <w:vAlign w:val="bottom"/>
            <w:gridSpan w:val="2"/>
          </w:tcPr>
          <w:p>
            <w:pPr>
              <w:jc w:val="right"/>
              <w:spacing w:after="0"/>
              <w:rPr>
                <w:sz w:val="20"/>
                <w:szCs w:val="20"/>
                <w:color w:val="auto"/>
              </w:rPr>
            </w:pPr>
            <w:r>
              <w:rPr>
                <w:rFonts w:ascii="Arial" w:cs="Arial" w:eastAsia="Arial" w:hAnsi="Arial"/>
                <w:sz w:val="13"/>
                <w:szCs w:val="13"/>
                <w:color w:val="005A64"/>
              </w:rPr>
              <w:t>1,191.7</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8,108.4</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8,108.4</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2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34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Other financial assets</w:t>
            </w: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AC</w:t>
            </w:r>
          </w:p>
        </w:tc>
        <w:tc>
          <w:tcPr>
            <w:tcW w:w="880" w:type="dxa"/>
            <w:vAlign w:val="bottom"/>
          </w:tcPr>
          <w:p>
            <w:pPr>
              <w:jc w:val="right"/>
              <w:spacing w:after="0"/>
              <w:rPr>
                <w:sz w:val="20"/>
                <w:szCs w:val="20"/>
                <w:color w:val="auto"/>
              </w:rPr>
            </w:pPr>
            <w:r>
              <w:rPr>
                <w:rFonts w:ascii="Arial" w:cs="Arial" w:eastAsia="Arial" w:hAnsi="Arial"/>
                <w:sz w:val="13"/>
                <w:szCs w:val="13"/>
                <w:color w:val="005A64"/>
              </w:rPr>
              <w:t>1.2</w:t>
            </w:r>
          </w:p>
        </w:tc>
        <w:tc>
          <w:tcPr>
            <w:tcW w:w="1060" w:type="dxa"/>
            <w:vAlign w:val="bottom"/>
            <w:gridSpan w:val="2"/>
          </w:tcPr>
          <w:p>
            <w:pPr>
              <w:jc w:val="right"/>
              <w:spacing w:after="0"/>
              <w:rPr>
                <w:sz w:val="20"/>
                <w:szCs w:val="20"/>
                <w:color w:val="auto"/>
              </w:rPr>
            </w:pPr>
            <w:r>
              <w:rPr>
                <w:rFonts w:ascii="Arial" w:cs="Arial" w:eastAsia="Arial" w:hAnsi="Arial"/>
                <w:sz w:val="13"/>
                <w:szCs w:val="13"/>
                <w:color w:val="005A64"/>
              </w:rPr>
              <w:t>18.0</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19.2</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19.2</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2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34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Bank deposits</w:t>
            </w: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AC</w:t>
            </w:r>
          </w:p>
        </w:tc>
        <w:tc>
          <w:tcPr>
            <w:tcW w:w="880" w:type="dxa"/>
            <w:vAlign w:val="bottom"/>
          </w:tcPr>
          <w:p>
            <w:pPr>
              <w:jc w:val="right"/>
              <w:spacing w:after="0"/>
              <w:rPr>
                <w:sz w:val="20"/>
                <w:szCs w:val="20"/>
                <w:color w:val="auto"/>
              </w:rPr>
            </w:pPr>
            <w:r>
              <w:rPr>
                <w:rFonts w:ascii="Arial" w:cs="Arial" w:eastAsia="Arial" w:hAnsi="Arial"/>
                <w:sz w:val="13"/>
                <w:szCs w:val="13"/>
                <w:color w:val="005A64"/>
              </w:rPr>
              <w:t>4,050.0</w:t>
            </w:r>
          </w:p>
        </w:tc>
        <w:tc>
          <w:tcPr>
            <w:tcW w:w="2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4,050.0</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4,050.0</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2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34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Reverse Repo</w:t>
            </w: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AC</w:t>
            </w:r>
          </w:p>
        </w:tc>
        <w:tc>
          <w:tcPr>
            <w:tcW w:w="880" w:type="dxa"/>
            <w:vAlign w:val="bottom"/>
          </w:tcPr>
          <w:p>
            <w:pPr>
              <w:jc w:val="right"/>
              <w:spacing w:after="0"/>
              <w:rPr>
                <w:sz w:val="20"/>
                <w:szCs w:val="20"/>
                <w:color w:val="auto"/>
              </w:rPr>
            </w:pPr>
            <w:r>
              <w:rPr>
                <w:rFonts w:ascii="Arial" w:cs="Arial" w:eastAsia="Arial" w:hAnsi="Arial"/>
                <w:sz w:val="13"/>
                <w:szCs w:val="13"/>
                <w:color w:val="005A64"/>
              </w:rPr>
              <w:t>450.0</w:t>
            </w:r>
          </w:p>
        </w:tc>
        <w:tc>
          <w:tcPr>
            <w:tcW w:w="2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450.0</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450.0</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2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34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Cash at banks and on hand</w:t>
            </w: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AC</w:t>
            </w:r>
          </w:p>
        </w:tc>
        <w:tc>
          <w:tcPr>
            <w:tcW w:w="880" w:type="dxa"/>
            <w:vAlign w:val="bottom"/>
          </w:tcPr>
          <w:p>
            <w:pPr>
              <w:jc w:val="right"/>
              <w:spacing w:after="0"/>
              <w:rPr>
                <w:sz w:val="20"/>
                <w:szCs w:val="20"/>
                <w:color w:val="auto"/>
              </w:rPr>
            </w:pPr>
            <w:r>
              <w:rPr>
                <w:rFonts w:ascii="Arial" w:cs="Arial" w:eastAsia="Arial" w:hAnsi="Arial"/>
                <w:sz w:val="13"/>
                <w:szCs w:val="13"/>
                <w:color w:val="005A64"/>
              </w:rPr>
              <w:t>467.0</w:t>
            </w:r>
          </w:p>
        </w:tc>
        <w:tc>
          <w:tcPr>
            <w:tcW w:w="2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467.0</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467.0</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2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13"/>
                <w:szCs w:val="13"/>
                <w:b w:val="1"/>
                <w:bCs w:val="1"/>
                <w:color w:val="3C9673"/>
              </w:rPr>
              <w:t>Financial liabilities measured at fair</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40" w:type="dxa"/>
            <w:vAlign w:val="bottom"/>
            <w:tcBorders>
              <w:bottom w:val="single" w:sz="8" w:color="7FACB1"/>
            </w:tcBorders>
          </w:tcPr>
          <w:p>
            <w:pPr>
              <w:ind w:left="20"/>
              <w:spacing w:after="0"/>
              <w:rPr>
                <w:sz w:val="20"/>
                <w:szCs w:val="20"/>
                <w:color w:val="auto"/>
              </w:rPr>
            </w:pPr>
            <w:r>
              <w:rPr>
                <w:rFonts w:ascii="Arial" w:cs="Arial" w:eastAsia="Arial" w:hAnsi="Arial"/>
                <w:sz w:val="13"/>
                <w:szCs w:val="13"/>
                <w:b w:val="1"/>
                <w:bCs w:val="1"/>
                <w:color w:val="3C9673"/>
              </w:rPr>
              <w:t>value</w:t>
            </w:r>
          </w:p>
        </w:tc>
        <w:tc>
          <w:tcPr>
            <w:tcW w:w="10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bottom w:val="single" w:sz="8" w:color="7FACB1"/>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bottom w:val="single" w:sz="8" w:color="7FACB1"/>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bottom w:val="single" w:sz="8" w:color="7FACB1"/>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bottom w:val="single" w:sz="8" w:color="7FACB1"/>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00" w:type="dxa"/>
            <w:vAlign w:val="bottom"/>
            <w:tcBorders>
              <w:right w:val="single" w:sz="8" w:color="BECD32"/>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4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Foreign exchange forward contracts</w:t>
            </w:r>
          </w:p>
        </w:tc>
        <w:tc>
          <w:tcPr>
            <w:tcW w:w="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FVTPL</w:t>
            </w:r>
          </w:p>
        </w:tc>
        <w:tc>
          <w:tcPr>
            <w:tcW w:w="880" w:type="dxa"/>
            <w:vAlign w:val="bottom"/>
          </w:tcPr>
          <w:p>
            <w:pPr>
              <w:jc w:val="right"/>
              <w:spacing w:after="0"/>
              <w:rPr>
                <w:sz w:val="20"/>
                <w:szCs w:val="20"/>
                <w:color w:val="auto"/>
              </w:rPr>
            </w:pPr>
            <w:r>
              <w:rPr>
                <w:rFonts w:ascii="Arial" w:cs="Arial" w:eastAsia="Arial" w:hAnsi="Arial"/>
                <w:sz w:val="13"/>
                <w:szCs w:val="13"/>
                <w:color w:val="005A64"/>
              </w:rPr>
              <w:t>7.5</w:t>
            </w:r>
          </w:p>
        </w:tc>
        <w:tc>
          <w:tcPr>
            <w:tcW w:w="20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7.5</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60" w:type="dxa"/>
            <w:vAlign w:val="bottom"/>
          </w:tcPr>
          <w:p>
            <w:pPr>
              <w:jc w:val="right"/>
              <w:spacing w:after="0"/>
              <w:rPr>
                <w:sz w:val="20"/>
                <w:szCs w:val="20"/>
                <w:color w:val="auto"/>
              </w:rPr>
            </w:pPr>
            <w:r>
              <w:rPr>
                <w:rFonts w:ascii="Arial" w:cs="Arial" w:eastAsia="Arial" w:hAnsi="Arial"/>
                <w:sz w:val="13"/>
                <w:szCs w:val="13"/>
                <w:color w:val="005A64"/>
              </w:rPr>
              <w:t>7.5</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7.5</w:t>
            </w:r>
          </w:p>
        </w:tc>
        <w:tc>
          <w:tcPr>
            <w:tcW w:w="100" w:type="dxa"/>
            <w:vAlign w:val="bottom"/>
            <w:tcBorders>
              <w:right w:val="single" w:sz="8" w:color="BECD32"/>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2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34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Contingent consideration</w:t>
            </w: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FVTPL</w:t>
            </w:r>
          </w:p>
        </w:tc>
        <w:tc>
          <w:tcPr>
            <w:tcW w:w="880" w:type="dxa"/>
            <w:vAlign w:val="bottom"/>
          </w:tcPr>
          <w:p>
            <w:pPr>
              <w:jc w:val="right"/>
              <w:spacing w:after="0"/>
              <w:rPr>
                <w:sz w:val="20"/>
                <w:szCs w:val="20"/>
                <w:color w:val="auto"/>
              </w:rPr>
            </w:pPr>
            <w:r>
              <w:rPr>
                <w:rFonts w:ascii="Arial" w:cs="Arial" w:eastAsia="Arial" w:hAnsi="Arial"/>
                <w:sz w:val="13"/>
                <w:szCs w:val="13"/>
                <w:color w:val="005A64"/>
              </w:rPr>
              <w:t>—</w:t>
            </w:r>
          </w:p>
        </w:tc>
        <w:tc>
          <w:tcPr>
            <w:tcW w:w="1060" w:type="dxa"/>
            <w:vAlign w:val="bottom"/>
            <w:gridSpan w:val="2"/>
          </w:tcPr>
          <w:p>
            <w:pPr>
              <w:jc w:val="right"/>
              <w:spacing w:after="0"/>
              <w:rPr>
                <w:sz w:val="20"/>
                <w:szCs w:val="20"/>
                <w:color w:val="auto"/>
              </w:rPr>
            </w:pPr>
            <w:r>
              <w:rPr>
                <w:rFonts w:ascii="Arial" w:cs="Arial" w:eastAsia="Arial" w:hAnsi="Arial"/>
                <w:sz w:val="13"/>
                <w:szCs w:val="13"/>
                <w:color w:val="005A64"/>
              </w:rPr>
              <w:t>42.1</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42.1</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960" w:type="dxa"/>
            <w:vAlign w:val="bottom"/>
          </w:tcPr>
          <w:p>
            <w:pPr>
              <w:jc w:val="right"/>
              <w:spacing w:after="0"/>
              <w:rPr>
                <w:sz w:val="20"/>
                <w:szCs w:val="20"/>
                <w:color w:val="auto"/>
              </w:rPr>
            </w:pPr>
            <w:r>
              <w:rPr>
                <w:rFonts w:ascii="Arial" w:cs="Arial" w:eastAsia="Arial" w:hAnsi="Arial"/>
                <w:sz w:val="13"/>
                <w:szCs w:val="13"/>
                <w:color w:val="005A64"/>
              </w:rPr>
              <w:t>42.1</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5A64"/>
              </w:rPr>
              <w:t>42.1</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2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13"/>
                <w:szCs w:val="13"/>
                <w:b w:val="1"/>
                <w:bCs w:val="1"/>
                <w:color w:val="3C9673"/>
              </w:rPr>
              <w:t>Financial liabilities not measured at</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40" w:type="dxa"/>
            <w:vAlign w:val="bottom"/>
            <w:tcBorders>
              <w:bottom w:val="single" w:sz="8" w:color="7FACB1"/>
            </w:tcBorders>
          </w:tcPr>
          <w:p>
            <w:pPr>
              <w:ind w:left="20"/>
              <w:spacing w:after="0"/>
              <w:rPr>
                <w:sz w:val="20"/>
                <w:szCs w:val="20"/>
                <w:color w:val="auto"/>
              </w:rPr>
            </w:pPr>
            <w:r>
              <w:rPr>
                <w:rFonts w:ascii="Arial" w:cs="Arial" w:eastAsia="Arial" w:hAnsi="Arial"/>
                <w:sz w:val="13"/>
                <w:szCs w:val="13"/>
                <w:b w:val="1"/>
                <w:bCs w:val="1"/>
                <w:color w:val="3C9673"/>
              </w:rPr>
              <w:t>fair value</w:t>
            </w:r>
          </w:p>
        </w:tc>
        <w:tc>
          <w:tcPr>
            <w:tcW w:w="10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bottom w:val="single" w:sz="8" w:color="7FACB1"/>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bottom w:val="single" w:sz="8" w:color="7FACB1"/>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bottom w:val="single" w:sz="8" w:color="7FACB1"/>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bottom w:val="single" w:sz="8" w:color="7FACB1"/>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00" w:type="dxa"/>
            <w:vAlign w:val="bottom"/>
            <w:tcBorders>
              <w:right w:val="single" w:sz="8" w:color="BECD32"/>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4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Lease liabilities</w:t>
            </w:r>
          </w:p>
        </w:tc>
        <w:tc>
          <w:tcPr>
            <w:tcW w:w="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n/a</w:t>
            </w:r>
          </w:p>
        </w:tc>
        <w:tc>
          <w:tcPr>
            <w:tcW w:w="880" w:type="dxa"/>
            <w:vAlign w:val="bottom"/>
          </w:tcPr>
          <w:p>
            <w:pPr>
              <w:jc w:val="right"/>
              <w:spacing w:after="0"/>
              <w:rPr>
                <w:sz w:val="20"/>
                <w:szCs w:val="20"/>
                <w:color w:val="auto"/>
              </w:rPr>
            </w:pPr>
            <w:r>
              <w:rPr>
                <w:rFonts w:ascii="Arial" w:cs="Arial" w:eastAsia="Arial" w:hAnsi="Arial"/>
                <w:sz w:val="13"/>
                <w:szCs w:val="13"/>
                <w:color w:val="005A64"/>
              </w:rPr>
              <w:t>35.3</w:t>
            </w:r>
          </w:p>
        </w:tc>
        <w:tc>
          <w:tcPr>
            <w:tcW w:w="1060" w:type="dxa"/>
            <w:vAlign w:val="bottom"/>
            <w:gridSpan w:val="2"/>
          </w:tcPr>
          <w:p>
            <w:pPr>
              <w:jc w:val="right"/>
              <w:spacing w:after="0"/>
              <w:rPr>
                <w:sz w:val="20"/>
                <w:szCs w:val="20"/>
                <w:color w:val="auto"/>
              </w:rPr>
            </w:pPr>
            <w:r>
              <w:rPr>
                <w:rFonts w:ascii="Arial" w:cs="Arial" w:eastAsia="Arial" w:hAnsi="Arial"/>
                <w:sz w:val="13"/>
                <w:szCs w:val="13"/>
                <w:color w:val="005A64"/>
              </w:rPr>
              <w:t>219.3</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254.6</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254.6</w:t>
            </w:r>
          </w:p>
        </w:tc>
        <w:tc>
          <w:tcPr>
            <w:tcW w:w="100" w:type="dxa"/>
            <w:vAlign w:val="bottom"/>
            <w:tcBorders>
              <w:right w:val="single" w:sz="8" w:color="BECD32"/>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2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34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Trade payables and other payables</w:t>
            </w: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AC</w:t>
            </w:r>
          </w:p>
        </w:tc>
        <w:tc>
          <w:tcPr>
            <w:tcW w:w="880" w:type="dxa"/>
            <w:vAlign w:val="bottom"/>
          </w:tcPr>
          <w:p>
            <w:pPr>
              <w:jc w:val="right"/>
              <w:spacing w:after="0"/>
              <w:rPr>
                <w:sz w:val="20"/>
                <w:szCs w:val="20"/>
                <w:color w:val="auto"/>
              </w:rPr>
            </w:pPr>
            <w:r>
              <w:rPr>
                <w:rFonts w:ascii="Arial" w:cs="Arial" w:eastAsia="Arial" w:hAnsi="Arial"/>
                <w:sz w:val="13"/>
                <w:szCs w:val="13"/>
                <w:color w:val="005A64"/>
              </w:rPr>
              <w:t>881.5</w:t>
            </w:r>
          </w:p>
        </w:tc>
        <w:tc>
          <w:tcPr>
            <w:tcW w:w="2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881.5</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881.5</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2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34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Other financial liabilities</w:t>
            </w: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AC</w:t>
            </w:r>
          </w:p>
        </w:tc>
        <w:tc>
          <w:tcPr>
            <w:tcW w:w="880" w:type="dxa"/>
            <w:vAlign w:val="bottom"/>
          </w:tcPr>
          <w:p>
            <w:pPr>
              <w:jc w:val="right"/>
              <w:spacing w:after="0"/>
              <w:rPr>
                <w:sz w:val="20"/>
                <w:szCs w:val="20"/>
                <w:color w:val="auto"/>
              </w:rPr>
            </w:pPr>
            <w:r>
              <w:rPr>
                <w:rFonts w:ascii="Arial" w:cs="Arial" w:eastAsia="Arial" w:hAnsi="Arial"/>
                <w:sz w:val="13"/>
                <w:szCs w:val="13"/>
                <w:color w:val="005A64"/>
              </w:rPr>
              <w:t>138.5</w:t>
            </w:r>
          </w:p>
        </w:tc>
        <w:tc>
          <w:tcPr>
            <w:tcW w:w="2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138.5</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138.5</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24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Borders>
              <w:bottom w:val="single" w:sz="8" w:color="BECE33"/>
            </w:tcBorders>
          </w:tcPr>
          <w:p>
            <w:pPr>
              <w:spacing w:after="0"/>
              <w:rPr>
                <w:sz w:val="2"/>
                <w:szCs w:val="2"/>
                <w:color w:val="auto"/>
              </w:rPr>
            </w:pPr>
          </w:p>
        </w:tc>
        <w:tc>
          <w:tcPr>
            <w:tcW w:w="98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880" w:type="dxa"/>
            <w:vAlign w:val="bottom"/>
            <w:tcBorders>
              <w:bottom w:val="single" w:sz="8" w:color="BECE33"/>
            </w:tcBorders>
          </w:tcPr>
          <w:p>
            <w:pPr>
              <w:spacing w:after="0"/>
              <w:rPr>
                <w:sz w:val="2"/>
                <w:szCs w:val="2"/>
                <w:color w:val="auto"/>
              </w:rPr>
            </w:pPr>
          </w:p>
        </w:tc>
        <w:tc>
          <w:tcPr>
            <w:tcW w:w="200" w:type="dxa"/>
            <w:vAlign w:val="bottom"/>
            <w:tcBorders>
              <w:bottom w:val="single" w:sz="8" w:color="BECE33"/>
            </w:tcBorders>
          </w:tcPr>
          <w:p>
            <w:pPr>
              <w:spacing w:after="0"/>
              <w:rPr>
                <w:sz w:val="2"/>
                <w:szCs w:val="2"/>
                <w:color w:val="auto"/>
              </w:rPr>
            </w:pPr>
          </w:p>
        </w:tc>
        <w:tc>
          <w:tcPr>
            <w:tcW w:w="860" w:type="dxa"/>
            <w:vAlign w:val="bottom"/>
            <w:tcBorders>
              <w:bottom w:val="single" w:sz="8" w:color="BECE33"/>
            </w:tcBorders>
          </w:tcPr>
          <w:p>
            <w:pPr>
              <w:spacing w:after="0"/>
              <w:rPr>
                <w:sz w:val="2"/>
                <w:szCs w:val="2"/>
                <w:color w:val="auto"/>
              </w:rPr>
            </w:pPr>
          </w:p>
        </w:tc>
        <w:tc>
          <w:tcPr>
            <w:tcW w:w="200" w:type="dxa"/>
            <w:vAlign w:val="bottom"/>
            <w:tcBorders>
              <w:bottom w:val="single" w:sz="8" w:color="BECE33"/>
            </w:tcBorders>
          </w:tcPr>
          <w:p>
            <w:pPr>
              <w:spacing w:after="0"/>
              <w:rPr>
                <w:sz w:val="2"/>
                <w:szCs w:val="2"/>
                <w:color w:val="auto"/>
              </w:rPr>
            </w:pPr>
          </w:p>
        </w:tc>
        <w:tc>
          <w:tcPr>
            <w:tcW w:w="880" w:type="dxa"/>
            <w:vAlign w:val="bottom"/>
            <w:tcBorders>
              <w:bottom w:val="single" w:sz="8" w:color="BECE33"/>
            </w:tcBorders>
          </w:tcPr>
          <w:p>
            <w:pPr>
              <w:spacing w:after="0"/>
              <w:rPr>
                <w:sz w:val="2"/>
                <w:szCs w:val="2"/>
                <w:color w:val="auto"/>
              </w:rPr>
            </w:pPr>
          </w:p>
        </w:tc>
        <w:tc>
          <w:tcPr>
            <w:tcW w:w="200" w:type="dxa"/>
            <w:vAlign w:val="bottom"/>
            <w:tcBorders>
              <w:bottom w:val="single" w:sz="8" w:color="BECE33"/>
            </w:tcBorders>
          </w:tcPr>
          <w:p>
            <w:pPr>
              <w:spacing w:after="0"/>
              <w:rPr>
                <w:sz w:val="2"/>
                <w:szCs w:val="2"/>
                <w:color w:val="auto"/>
              </w:rPr>
            </w:pPr>
          </w:p>
        </w:tc>
        <w:tc>
          <w:tcPr>
            <w:tcW w:w="96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960" w:type="dxa"/>
            <w:vAlign w:val="bottom"/>
            <w:tcBorders>
              <w:bottom w:val="single" w:sz="8" w:color="BECE33"/>
            </w:tcBorders>
          </w:tcPr>
          <w:p>
            <w:pPr>
              <w:spacing w:after="0"/>
              <w:rPr>
                <w:sz w:val="2"/>
                <w:szCs w:val="2"/>
                <w:color w:val="auto"/>
              </w:rPr>
            </w:pPr>
          </w:p>
        </w:tc>
        <w:tc>
          <w:tcPr>
            <w:tcW w:w="200" w:type="dxa"/>
            <w:vAlign w:val="bottom"/>
            <w:tcBorders>
              <w:bottom w:val="single" w:sz="8" w:color="BECE33"/>
            </w:tcBorders>
          </w:tcPr>
          <w:p>
            <w:pPr>
              <w:spacing w:after="0"/>
              <w:rPr>
                <w:sz w:val="2"/>
                <w:szCs w:val="2"/>
                <w:color w:val="auto"/>
              </w:rPr>
            </w:pPr>
          </w:p>
        </w:tc>
        <w:tc>
          <w:tcPr>
            <w:tcW w:w="96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900" w:type="dxa"/>
            <w:vAlign w:val="bottom"/>
            <w:tcBorders>
              <w:bottom w:val="single" w:sz="8" w:color="BECE33"/>
            </w:tcBorders>
          </w:tcPr>
          <w:p>
            <w:pPr>
              <w:spacing w:after="0"/>
              <w:rPr>
                <w:sz w:val="2"/>
                <w:szCs w:val="2"/>
                <w:color w:val="auto"/>
              </w:rPr>
            </w:pPr>
          </w:p>
        </w:tc>
        <w:tc>
          <w:tcPr>
            <w:tcW w:w="100" w:type="dxa"/>
            <w:vAlign w:val="bottom"/>
            <w:tcBorders>
              <w:bottom w:val="single" w:sz="8" w:color="BECE33"/>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80" w:hanging="272"/>
        <w:spacing w:after="0" w:line="227" w:lineRule="auto"/>
        <w:tabs>
          <w:tab w:leader="none" w:pos="379" w:val="left"/>
        </w:tabs>
        <w:numPr>
          <w:ilvl w:val="0"/>
          <w:numId w:val="6"/>
        </w:numPr>
        <w:rPr>
          <w:rFonts w:ascii="Arial" w:cs="Arial" w:eastAsia="Arial" w:hAnsi="Arial"/>
          <w:sz w:val="21"/>
          <w:szCs w:val="21"/>
          <w:color w:val="005A64"/>
          <w:vertAlign w:val="superscript"/>
        </w:rPr>
      </w:pPr>
      <w:r>
        <w:rPr>
          <w:rFonts w:ascii="Arial" w:cs="Arial" w:eastAsia="Arial" w:hAnsi="Arial"/>
          <w:sz w:val="16"/>
          <w:szCs w:val="16"/>
          <w:color w:val="005A64"/>
        </w:rPr>
        <w:t>Financial assets and liabilities categorized at amortized cost mainly correspond to fair value. Fair values are not disclosed because the book values represent a reasonable approximation of fair value.</w:t>
      </w:r>
    </w:p>
    <w:p>
      <w:pPr>
        <w:spacing w:after="0" w:line="2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six months ended June 30, 2024, the non-listed and listed equity investments increased by €79.9 million compared to year-end 2023 mainly due to our investment in Autolus Therapeutics plc in February 2024 and offsetting subsequent fair value changes amounting to €(109.0) million in the first half of 2024.</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 developments in our financial assets and liabilities mainly resulted from growth and reallocation of existing capital. This led to a decrease of €2,036.4 million in money market funds and increases of €2,118.7 million in security investments and €1,460.5 million in bank deposits compared to year-end 2023.</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341"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516255</wp:posOffset>
            </wp:positionV>
            <wp:extent cx="712343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00" w:type="dxa"/>
            <w:vAlign w:val="bottom"/>
            <w:gridSpan w:val="2"/>
          </w:tcPr>
          <w:p>
            <w:pPr>
              <w:ind w:left="20"/>
              <w:spacing w:after="0"/>
              <w:rPr>
                <w:sz w:val="20"/>
                <w:szCs w:val="20"/>
                <w:color w:val="auto"/>
              </w:rPr>
            </w:pPr>
            <w:r>
              <w:rPr>
                <w:rFonts w:ascii="Arial" w:cs="Arial" w:eastAsia="Arial" w:hAnsi="Arial"/>
                <w:sz w:val="13"/>
                <w:szCs w:val="13"/>
                <w:b w:val="1"/>
                <w:bCs w:val="1"/>
                <w:color w:val="005A64"/>
              </w:rPr>
              <w:t>December 31, 2023</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gridSpan w:val="3"/>
          </w:tcPr>
          <w:p>
            <w:pPr>
              <w:ind w:left="140"/>
              <w:spacing w:after="0"/>
              <w:rPr>
                <w:sz w:val="20"/>
                <w:szCs w:val="20"/>
                <w:color w:val="auto"/>
              </w:rPr>
            </w:pPr>
            <w:r>
              <w:rPr>
                <w:rFonts w:ascii="Arial" w:cs="Arial" w:eastAsia="Arial" w:hAnsi="Arial"/>
                <w:sz w:val="13"/>
                <w:szCs w:val="13"/>
                <w:b w:val="1"/>
                <w:bCs w:val="1"/>
                <w:color w:val="005A64"/>
              </w:rPr>
              <w:t>Carrying amount</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b w:val="1"/>
                <w:bCs w:val="1"/>
                <w:color w:val="005A64"/>
              </w:rPr>
              <w:t>Fair value</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005A64"/>
            </w:tcBorders>
          </w:tcPr>
          <w:p>
            <w:pPr>
              <w:spacing w:after="0" w:line="20" w:lineRule="exact"/>
              <w:rPr>
                <w:sz w:val="1"/>
                <w:szCs w:val="1"/>
                <w:color w:val="auto"/>
              </w:rPr>
            </w:pPr>
          </w:p>
        </w:tc>
        <w:tc>
          <w:tcPr>
            <w:tcW w:w="200" w:type="dxa"/>
            <w:vAlign w:val="bottom"/>
            <w:tcBorders>
              <w:bottom w:val="single" w:sz="8" w:color="005A64"/>
            </w:tcBorders>
          </w:tcPr>
          <w:p>
            <w:pPr>
              <w:spacing w:after="0" w:line="20" w:lineRule="exact"/>
              <w:rPr>
                <w:sz w:val="1"/>
                <w:szCs w:val="1"/>
                <w:color w:val="auto"/>
              </w:rPr>
            </w:pPr>
          </w:p>
        </w:tc>
        <w:tc>
          <w:tcPr>
            <w:tcW w:w="880" w:type="dxa"/>
            <w:vAlign w:val="bottom"/>
            <w:tcBorders>
              <w:bottom w:val="single" w:sz="8" w:color="005A64"/>
            </w:tcBorders>
          </w:tcPr>
          <w:p>
            <w:pPr>
              <w:spacing w:after="0" w:line="20" w:lineRule="exact"/>
              <w:rPr>
                <w:sz w:val="1"/>
                <w:szCs w:val="1"/>
                <w:color w:val="auto"/>
              </w:rPr>
            </w:pPr>
          </w:p>
        </w:tc>
        <w:tc>
          <w:tcPr>
            <w:tcW w:w="200" w:type="dxa"/>
            <w:vAlign w:val="bottom"/>
            <w:tcBorders>
              <w:bottom w:val="single" w:sz="8" w:color="005A64"/>
            </w:tcBorders>
          </w:tcPr>
          <w:p>
            <w:pPr>
              <w:spacing w:after="0" w:line="20" w:lineRule="exact"/>
              <w:rPr>
                <w:sz w:val="1"/>
                <w:szCs w:val="1"/>
                <w:color w:val="auto"/>
              </w:rPr>
            </w:pPr>
          </w:p>
        </w:tc>
        <w:tc>
          <w:tcPr>
            <w:tcW w:w="880" w:type="dxa"/>
            <w:vAlign w:val="bottom"/>
            <w:tcBorders>
              <w:bottom w:val="single" w:sz="8" w:color="005A64"/>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005A64"/>
            </w:tcBorders>
            <w:gridSpan w:val="2"/>
          </w:tcPr>
          <w:p>
            <w:pPr>
              <w:spacing w:after="0" w:line="20" w:lineRule="exact"/>
              <w:rPr>
                <w:sz w:val="1"/>
                <w:szCs w:val="1"/>
                <w:color w:val="auto"/>
              </w:rPr>
            </w:pPr>
          </w:p>
        </w:tc>
        <w:tc>
          <w:tcPr>
            <w:tcW w:w="1140" w:type="dxa"/>
            <w:vAlign w:val="bottom"/>
            <w:tcBorders>
              <w:bottom w:val="single" w:sz="8" w:color="005A64"/>
            </w:tcBorders>
            <w:gridSpan w:val="2"/>
          </w:tcPr>
          <w:p>
            <w:pPr>
              <w:spacing w:after="0" w:line="20" w:lineRule="exact"/>
              <w:rPr>
                <w:sz w:val="1"/>
                <w:szCs w:val="1"/>
                <w:color w:val="auto"/>
              </w:rPr>
            </w:pPr>
          </w:p>
        </w:tc>
        <w:tc>
          <w:tcPr>
            <w:tcW w:w="960" w:type="dxa"/>
            <w:vAlign w:val="bottom"/>
            <w:tcBorders>
              <w:bottom w:val="single" w:sz="8" w:color="005A64"/>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005A64"/>
              </w:rPr>
              <w:t>Category</w:t>
            </w:r>
            <w:r>
              <w:rPr>
                <w:rFonts w:ascii="Arial" w:cs="Arial" w:eastAsia="Arial" w:hAnsi="Arial"/>
                <w:sz w:val="16"/>
                <w:szCs w:val="16"/>
                <w:b w:val="1"/>
                <w:bCs w:val="1"/>
                <w:color w:val="005A64"/>
                <w:vertAlign w:val="superscript"/>
              </w:rPr>
              <w:t>(1)</w:t>
            </w:r>
          </w:p>
        </w:tc>
        <w:tc>
          <w:tcPr>
            <w:tcW w:w="200" w:type="dxa"/>
            <w:vAlign w:val="bottom"/>
            <w:vMerge w:val="restart"/>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005A64"/>
              </w:rPr>
              <w:t>Level 1 (Fair</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005A64"/>
              </w:rPr>
              <w:t>Level 2 (Fair</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005A64"/>
              </w:rPr>
              <w:t>Level 3 (Fair</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300" w:type="dxa"/>
            <w:vAlign w:val="bottom"/>
            <w:tcBorders>
              <w:bottom w:val="single" w:sz="8" w:color="005A64"/>
            </w:tcBorders>
          </w:tcPr>
          <w:p>
            <w:pPr>
              <w:ind w:left="20"/>
              <w:spacing w:after="0"/>
              <w:rPr>
                <w:sz w:val="20"/>
                <w:szCs w:val="20"/>
                <w:color w:val="auto"/>
              </w:rPr>
            </w:pPr>
            <w:r>
              <w:rPr>
                <w:rFonts w:ascii="Arial" w:cs="Arial" w:eastAsia="Arial" w:hAnsi="Arial"/>
                <w:sz w:val="13"/>
                <w:szCs w:val="13"/>
                <w:i w:val="1"/>
                <w:iCs w:val="1"/>
                <w:color w:val="005A64"/>
              </w:rPr>
              <w:t>(in millions €)</w:t>
            </w:r>
          </w:p>
        </w:tc>
        <w:tc>
          <w:tcPr>
            <w:tcW w:w="200" w:type="dxa"/>
            <w:vAlign w:val="bottom"/>
          </w:tcPr>
          <w:p>
            <w:pPr>
              <w:spacing w:after="0"/>
              <w:rPr>
                <w:sz w:val="16"/>
                <w:szCs w:val="16"/>
                <w:color w:val="auto"/>
              </w:rPr>
            </w:pPr>
          </w:p>
        </w:tc>
        <w:tc>
          <w:tcPr>
            <w:tcW w:w="960" w:type="dxa"/>
            <w:vAlign w:val="bottom"/>
            <w:tcBorders>
              <w:bottom w:val="single" w:sz="8" w:color="005A64"/>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80" w:type="dxa"/>
            <w:vAlign w:val="bottom"/>
            <w:tcBorders>
              <w:bottom w:val="single" w:sz="8" w:color="005A64"/>
            </w:tcBorders>
          </w:tcPr>
          <w:p>
            <w:pPr>
              <w:jc w:val="right"/>
              <w:spacing w:after="0"/>
              <w:rPr>
                <w:sz w:val="20"/>
                <w:szCs w:val="20"/>
                <w:color w:val="auto"/>
              </w:rPr>
            </w:pPr>
            <w:r>
              <w:rPr>
                <w:rFonts w:ascii="Arial" w:cs="Arial" w:eastAsia="Arial" w:hAnsi="Arial"/>
                <w:sz w:val="13"/>
                <w:szCs w:val="13"/>
                <w:b w:val="1"/>
                <w:bCs w:val="1"/>
                <w:color w:val="005A64"/>
              </w:rPr>
              <w:t>Current</w:t>
            </w:r>
          </w:p>
        </w:tc>
        <w:tc>
          <w:tcPr>
            <w:tcW w:w="200" w:type="dxa"/>
            <w:vAlign w:val="bottom"/>
          </w:tcPr>
          <w:p>
            <w:pPr>
              <w:spacing w:after="0"/>
              <w:rPr>
                <w:sz w:val="16"/>
                <w:szCs w:val="16"/>
                <w:color w:val="auto"/>
              </w:rPr>
            </w:pPr>
          </w:p>
        </w:tc>
        <w:tc>
          <w:tcPr>
            <w:tcW w:w="880" w:type="dxa"/>
            <w:vAlign w:val="bottom"/>
            <w:tcBorders>
              <w:bottom w:val="single" w:sz="8" w:color="005A64"/>
            </w:tcBorders>
          </w:tcPr>
          <w:p>
            <w:pPr>
              <w:jc w:val="right"/>
              <w:spacing w:after="0"/>
              <w:rPr>
                <w:sz w:val="20"/>
                <w:szCs w:val="20"/>
                <w:color w:val="auto"/>
              </w:rPr>
            </w:pPr>
            <w:r>
              <w:rPr>
                <w:rFonts w:ascii="Arial" w:cs="Arial" w:eastAsia="Arial" w:hAnsi="Arial"/>
                <w:sz w:val="13"/>
                <w:szCs w:val="13"/>
                <w:b w:val="1"/>
                <w:bCs w:val="1"/>
                <w:color w:val="005A64"/>
              </w:rPr>
              <w:t>Non-current</w:t>
            </w:r>
          </w:p>
        </w:tc>
        <w:tc>
          <w:tcPr>
            <w:tcW w:w="200" w:type="dxa"/>
            <w:vAlign w:val="bottom"/>
          </w:tcPr>
          <w:p>
            <w:pPr>
              <w:spacing w:after="0"/>
              <w:rPr>
                <w:sz w:val="16"/>
                <w:szCs w:val="16"/>
                <w:color w:val="auto"/>
              </w:rPr>
            </w:pPr>
          </w:p>
        </w:tc>
        <w:tc>
          <w:tcPr>
            <w:tcW w:w="880" w:type="dxa"/>
            <w:vAlign w:val="bottom"/>
            <w:tcBorders>
              <w:bottom w:val="single" w:sz="8" w:color="005A64"/>
            </w:tcBorders>
          </w:tcPr>
          <w:p>
            <w:pPr>
              <w:jc w:val="right"/>
              <w:spacing w:after="0"/>
              <w:rPr>
                <w:sz w:val="20"/>
                <w:szCs w:val="20"/>
                <w:color w:val="auto"/>
              </w:rPr>
            </w:pPr>
            <w:r>
              <w:rPr>
                <w:rFonts w:ascii="Arial" w:cs="Arial" w:eastAsia="Arial" w:hAnsi="Arial"/>
                <w:sz w:val="13"/>
                <w:szCs w:val="13"/>
                <w:b w:val="1"/>
                <w:bCs w:val="1"/>
                <w:color w:val="005A64"/>
              </w:rPr>
              <w:t>Total</w:t>
            </w:r>
          </w:p>
        </w:tc>
        <w:tc>
          <w:tcPr>
            <w:tcW w:w="200" w:type="dxa"/>
            <w:vAlign w:val="bottom"/>
          </w:tcPr>
          <w:p>
            <w:pPr>
              <w:spacing w:after="0"/>
              <w:rPr>
                <w:sz w:val="16"/>
                <w:szCs w:val="16"/>
                <w:color w:val="auto"/>
              </w:rPr>
            </w:pPr>
          </w:p>
        </w:tc>
        <w:tc>
          <w:tcPr>
            <w:tcW w:w="960" w:type="dxa"/>
            <w:vAlign w:val="bottom"/>
            <w:tcBorders>
              <w:bottom w:val="single" w:sz="8" w:color="005A64"/>
            </w:tcBorders>
          </w:tcPr>
          <w:p>
            <w:pPr>
              <w:jc w:val="right"/>
              <w:spacing w:after="0"/>
              <w:rPr>
                <w:sz w:val="20"/>
                <w:szCs w:val="20"/>
                <w:color w:val="auto"/>
              </w:rPr>
            </w:pPr>
            <w:r>
              <w:rPr>
                <w:rFonts w:ascii="Arial" w:cs="Arial" w:eastAsia="Arial" w:hAnsi="Arial"/>
                <w:sz w:val="13"/>
                <w:szCs w:val="13"/>
                <w:b w:val="1"/>
                <w:bCs w:val="1"/>
                <w:color w:val="005A64"/>
              </w:rPr>
              <w:t>value)</w:t>
            </w:r>
          </w:p>
        </w:tc>
        <w:tc>
          <w:tcPr>
            <w:tcW w:w="180" w:type="dxa"/>
            <w:vAlign w:val="bottom"/>
          </w:tcPr>
          <w:p>
            <w:pPr>
              <w:spacing w:after="0"/>
              <w:rPr>
                <w:sz w:val="16"/>
                <w:szCs w:val="16"/>
                <w:color w:val="auto"/>
              </w:rPr>
            </w:pPr>
          </w:p>
        </w:tc>
        <w:tc>
          <w:tcPr>
            <w:tcW w:w="960" w:type="dxa"/>
            <w:vAlign w:val="bottom"/>
            <w:tcBorders>
              <w:bottom w:val="single" w:sz="8" w:color="005A64"/>
            </w:tcBorders>
          </w:tcPr>
          <w:p>
            <w:pPr>
              <w:jc w:val="right"/>
              <w:spacing w:after="0"/>
              <w:rPr>
                <w:sz w:val="20"/>
                <w:szCs w:val="20"/>
                <w:color w:val="auto"/>
              </w:rPr>
            </w:pPr>
            <w:r>
              <w:rPr>
                <w:rFonts w:ascii="Arial" w:cs="Arial" w:eastAsia="Arial" w:hAnsi="Arial"/>
                <w:sz w:val="13"/>
                <w:szCs w:val="13"/>
                <w:b w:val="1"/>
                <w:bCs w:val="1"/>
                <w:color w:val="005A64"/>
              </w:rPr>
              <w:t>value)</w:t>
            </w:r>
          </w:p>
        </w:tc>
        <w:tc>
          <w:tcPr>
            <w:tcW w:w="180" w:type="dxa"/>
            <w:vAlign w:val="bottom"/>
          </w:tcPr>
          <w:p>
            <w:pPr>
              <w:spacing w:after="0"/>
              <w:rPr>
                <w:sz w:val="16"/>
                <w:szCs w:val="16"/>
                <w:color w:val="auto"/>
              </w:rPr>
            </w:pPr>
          </w:p>
        </w:tc>
        <w:tc>
          <w:tcPr>
            <w:tcW w:w="960" w:type="dxa"/>
            <w:vAlign w:val="bottom"/>
            <w:tcBorders>
              <w:bottom w:val="single" w:sz="8" w:color="005A64"/>
            </w:tcBorders>
          </w:tcPr>
          <w:p>
            <w:pPr>
              <w:jc w:val="right"/>
              <w:spacing w:after="0"/>
              <w:rPr>
                <w:sz w:val="20"/>
                <w:szCs w:val="20"/>
                <w:color w:val="auto"/>
              </w:rPr>
            </w:pPr>
            <w:r>
              <w:rPr>
                <w:rFonts w:ascii="Arial" w:cs="Arial" w:eastAsia="Arial" w:hAnsi="Arial"/>
                <w:sz w:val="13"/>
                <w:szCs w:val="13"/>
                <w:b w:val="1"/>
                <w:bCs w:val="1"/>
                <w:color w:val="005A64"/>
              </w:rPr>
              <w:t>value)</w:t>
            </w:r>
          </w:p>
        </w:tc>
        <w:tc>
          <w:tcPr>
            <w:tcW w:w="200" w:type="dxa"/>
            <w:vAlign w:val="bottom"/>
          </w:tcPr>
          <w:p>
            <w:pPr>
              <w:spacing w:after="0"/>
              <w:rPr>
                <w:sz w:val="16"/>
                <w:szCs w:val="16"/>
                <w:color w:val="auto"/>
              </w:rPr>
            </w:pPr>
          </w:p>
        </w:tc>
        <w:tc>
          <w:tcPr>
            <w:tcW w:w="880" w:type="dxa"/>
            <w:vAlign w:val="bottom"/>
            <w:tcBorders>
              <w:bottom w:val="single" w:sz="8" w:color="005A64"/>
            </w:tcBorders>
          </w:tcPr>
          <w:p>
            <w:pPr>
              <w:jc w:val="right"/>
              <w:spacing w:after="0"/>
              <w:rPr>
                <w:sz w:val="20"/>
                <w:szCs w:val="20"/>
                <w:color w:val="auto"/>
              </w:rPr>
            </w:pPr>
            <w:r>
              <w:rPr>
                <w:rFonts w:ascii="Arial" w:cs="Arial" w:eastAsia="Arial" w:hAnsi="Arial"/>
                <w:sz w:val="13"/>
                <w:szCs w:val="13"/>
                <w:b w:val="1"/>
                <w:bCs w:val="1"/>
                <w:color w:val="005A64"/>
              </w:rPr>
              <w:t>Total</w:t>
            </w:r>
          </w:p>
        </w:tc>
        <w:tc>
          <w:tcPr>
            <w:tcW w:w="0" w:type="dxa"/>
            <w:vAlign w:val="bottom"/>
          </w:tcPr>
          <w:p>
            <w:pPr>
              <w:spacing w:after="0"/>
              <w:rPr>
                <w:sz w:val="1"/>
                <w:szCs w:val="1"/>
                <w:color w:val="auto"/>
              </w:rPr>
            </w:pPr>
          </w:p>
        </w:tc>
      </w:tr>
      <w:tr>
        <w:trPr>
          <w:trHeight w:val="151"/>
        </w:trPr>
        <w:tc>
          <w:tcPr>
            <w:tcW w:w="2500" w:type="dxa"/>
            <w:vAlign w:val="bottom"/>
            <w:gridSpan w:val="2"/>
          </w:tcPr>
          <w:p>
            <w:pPr>
              <w:ind w:left="20"/>
              <w:spacing w:after="0"/>
              <w:rPr>
                <w:sz w:val="20"/>
                <w:szCs w:val="20"/>
                <w:color w:val="auto"/>
              </w:rPr>
            </w:pPr>
            <w:r>
              <w:rPr>
                <w:rFonts w:ascii="Arial" w:cs="Arial" w:eastAsia="Arial" w:hAnsi="Arial"/>
                <w:sz w:val="13"/>
                <w:szCs w:val="13"/>
                <w:b w:val="1"/>
                <w:bCs w:val="1"/>
                <w:color w:val="3C9673"/>
              </w:rPr>
              <w:t>Financial assets measured at fair</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500" w:type="dxa"/>
            <w:vAlign w:val="bottom"/>
            <w:gridSpan w:val="2"/>
          </w:tcPr>
          <w:p>
            <w:pPr>
              <w:ind w:left="20"/>
              <w:spacing w:after="0"/>
              <w:rPr>
                <w:sz w:val="20"/>
                <w:szCs w:val="20"/>
                <w:color w:val="auto"/>
              </w:rPr>
            </w:pPr>
            <w:r>
              <w:rPr>
                <w:rFonts w:ascii="Arial" w:cs="Arial" w:eastAsia="Arial" w:hAnsi="Arial"/>
                <w:sz w:val="13"/>
                <w:szCs w:val="13"/>
                <w:b w:val="1"/>
                <w:bCs w:val="1"/>
                <w:color w:val="3C9673"/>
              </w:rPr>
              <w:t>value</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30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7FACB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7FACB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500" w:type="dxa"/>
            <w:vAlign w:val="bottom"/>
            <w:gridSpan w:val="2"/>
          </w:tcPr>
          <w:p>
            <w:pPr>
              <w:ind w:left="140"/>
              <w:spacing w:after="0"/>
              <w:rPr>
                <w:sz w:val="20"/>
                <w:szCs w:val="20"/>
                <w:color w:val="auto"/>
              </w:rPr>
            </w:pPr>
            <w:r>
              <w:rPr>
                <w:rFonts w:ascii="Arial" w:cs="Arial" w:eastAsia="Arial" w:hAnsi="Arial"/>
                <w:sz w:val="13"/>
                <w:szCs w:val="13"/>
                <w:color w:val="005A64"/>
              </w:rPr>
              <w:t>Money market funds</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FVTPL</w:t>
            </w:r>
          </w:p>
        </w:tc>
        <w:tc>
          <w:tcPr>
            <w:tcW w:w="880" w:type="dxa"/>
            <w:vAlign w:val="bottom"/>
          </w:tcPr>
          <w:p>
            <w:pPr>
              <w:jc w:val="right"/>
              <w:spacing w:after="0"/>
              <w:rPr>
                <w:sz w:val="20"/>
                <w:szCs w:val="20"/>
                <w:color w:val="auto"/>
              </w:rPr>
            </w:pPr>
            <w:r>
              <w:rPr>
                <w:rFonts w:ascii="Arial" w:cs="Arial" w:eastAsia="Arial" w:hAnsi="Arial"/>
                <w:sz w:val="13"/>
                <w:szCs w:val="13"/>
                <w:color w:val="005A64"/>
              </w:rPr>
              <w:t>7,446.1</w:t>
            </w:r>
          </w:p>
        </w:tc>
        <w:tc>
          <w:tcPr>
            <w:tcW w:w="2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7,446.1</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05A64"/>
              </w:rPr>
              <w:t>7,446.1</w:t>
            </w:r>
          </w:p>
        </w:tc>
        <w:tc>
          <w:tcPr>
            <w:tcW w:w="18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7,446.1</w:t>
            </w:r>
          </w:p>
        </w:tc>
        <w:tc>
          <w:tcPr>
            <w:tcW w:w="0" w:type="dxa"/>
            <w:vAlign w:val="bottom"/>
          </w:tcPr>
          <w:p>
            <w:pPr>
              <w:spacing w:after="0"/>
              <w:rPr>
                <w:sz w:val="1"/>
                <w:szCs w:val="1"/>
                <w:color w:val="auto"/>
              </w:rPr>
            </w:pPr>
          </w:p>
        </w:tc>
      </w:tr>
      <w:tr>
        <w:trPr>
          <w:trHeight w:val="28"/>
        </w:trPr>
        <w:tc>
          <w:tcPr>
            <w:tcW w:w="23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500" w:type="dxa"/>
            <w:vAlign w:val="bottom"/>
            <w:gridSpan w:val="2"/>
          </w:tcPr>
          <w:p>
            <w:pPr>
              <w:ind w:left="140"/>
              <w:spacing w:after="0"/>
              <w:rPr>
                <w:sz w:val="20"/>
                <w:szCs w:val="20"/>
                <w:color w:val="auto"/>
              </w:rPr>
            </w:pPr>
            <w:r>
              <w:rPr>
                <w:rFonts w:ascii="Arial" w:cs="Arial" w:eastAsia="Arial" w:hAnsi="Arial"/>
                <w:sz w:val="13"/>
                <w:szCs w:val="13"/>
                <w:color w:val="005A64"/>
              </w:rPr>
              <w:t>Non-listed equity investments</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FVTOCI</w:t>
            </w:r>
          </w:p>
        </w:tc>
        <w:tc>
          <w:tcPr>
            <w:tcW w:w="880" w:type="dxa"/>
            <w:vAlign w:val="bottom"/>
          </w:tcPr>
          <w:p>
            <w:pPr>
              <w:jc w:val="right"/>
              <w:spacing w:after="0"/>
              <w:rPr>
                <w:sz w:val="20"/>
                <w:szCs w:val="20"/>
                <w:color w:val="auto"/>
              </w:rPr>
            </w:pPr>
            <w:r>
              <w:rPr>
                <w:rFonts w:ascii="Arial" w:cs="Arial" w:eastAsia="Arial" w:hAnsi="Arial"/>
                <w:sz w:val="13"/>
                <w:szCs w:val="13"/>
                <w:color w:val="005A64"/>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005A64"/>
              </w:rPr>
              <w:t>27.1</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27.1</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60" w:type="dxa"/>
            <w:vAlign w:val="bottom"/>
          </w:tcPr>
          <w:p>
            <w:pPr>
              <w:jc w:val="right"/>
              <w:spacing w:after="0"/>
              <w:rPr>
                <w:sz w:val="20"/>
                <w:szCs w:val="20"/>
                <w:color w:val="auto"/>
              </w:rPr>
            </w:pPr>
            <w:r>
              <w:rPr>
                <w:rFonts w:ascii="Arial" w:cs="Arial" w:eastAsia="Arial" w:hAnsi="Arial"/>
                <w:sz w:val="13"/>
                <w:szCs w:val="13"/>
                <w:color w:val="005A64"/>
              </w:rPr>
              <w:t>27.1</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27.1</w:t>
            </w:r>
          </w:p>
        </w:tc>
        <w:tc>
          <w:tcPr>
            <w:tcW w:w="0" w:type="dxa"/>
            <w:vAlign w:val="bottom"/>
          </w:tcPr>
          <w:p>
            <w:pPr>
              <w:spacing w:after="0"/>
              <w:rPr>
                <w:sz w:val="1"/>
                <w:szCs w:val="1"/>
                <w:color w:val="auto"/>
              </w:rPr>
            </w:pPr>
          </w:p>
        </w:tc>
      </w:tr>
      <w:tr>
        <w:trPr>
          <w:trHeight w:val="28"/>
        </w:trPr>
        <w:tc>
          <w:tcPr>
            <w:tcW w:w="23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00" w:type="dxa"/>
            <w:vAlign w:val="bottom"/>
            <w:gridSpan w:val="2"/>
          </w:tcPr>
          <w:p>
            <w:pPr>
              <w:ind w:left="140"/>
              <w:spacing w:after="0"/>
              <w:rPr>
                <w:sz w:val="20"/>
                <w:szCs w:val="20"/>
                <w:color w:val="auto"/>
              </w:rPr>
            </w:pPr>
            <w:r>
              <w:rPr>
                <w:rFonts w:ascii="Arial" w:cs="Arial" w:eastAsia="Arial" w:hAnsi="Arial"/>
                <w:sz w:val="13"/>
                <w:szCs w:val="13"/>
                <w:color w:val="005A64"/>
              </w:rPr>
              <w:t>Listed equity investments</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FVTOCI</w:t>
            </w:r>
          </w:p>
        </w:tc>
        <w:tc>
          <w:tcPr>
            <w:tcW w:w="880" w:type="dxa"/>
            <w:vAlign w:val="bottom"/>
          </w:tcPr>
          <w:p>
            <w:pPr>
              <w:jc w:val="right"/>
              <w:spacing w:after="0"/>
              <w:rPr>
                <w:sz w:val="20"/>
                <w:szCs w:val="20"/>
                <w:color w:val="auto"/>
              </w:rPr>
            </w:pPr>
            <w:r>
              <w:rPr>
                <w:rFonts w:ascii="Arial" w:cs="Arial" w:eastAsia="Arial" w:hAnsi="Arial"/>
                <w:sz w:val="13"/>
                <w:szCs w:val="13"/>
                <w:color w:val="005A64"/>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005A64"/>
              </w:rPr>
              <w:t>26.0</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26.0</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05A64"/>
              </w:rPr>
              <w:t>26.0</w:t>
            </w:r>
          </w:p>
        </w:tc>
        <w:tc>
          <w:tcPr>
            <w:tcW w:w="18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26.0</w:t>
            </w:r>
          </w:p>
        </w:tc>
        <w:tc>
          <w:tcPr>
            <w:tcW w:w="0" w:type="dxa"/>
            <w:vAlign w:val="bottom"/>
          </w:tcPr>
          <w:p>
            <w:pPr>
              <w:spacing w:after="0"/>
              <w:rPr>
                <w:sz w:val="1"/>
                <w:szCs w:val="1"/>
                <w:color w:val="auto"/>
              </w:rPr>
            </w:pPr>
          </w:p>
        </w:tc>
      </w:tr>
      <w:tr>
        <w:trPr>
          <w:trHeight w:val="28"/>
        </w:trPr>
        <w:tc>
          <w:tcPr>
            <w:tcW w:w="23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500" w:type="dxa"/>
            <w:vAlign w:val="bottom"/>
            <w:gridSpan w:val="2"/>
          </w:tcPr>
          <w:p>
            <w:pPr>
              <w:ind w:left="20"/>
              <w:spacing w:after="0"/>
              <w:rPr>
                <w:sz w:val="20"/>
                <w:szCs w:val="20"/>
                <w:color w:val="auto"/>
              </w:rPr>
            </w:pPr>
            <w:r>
              <w:rPr>
                <w:rFonts w:ascii="Arial" w:cs="Arial" w:eastAsia="Arial" w:hAnsi="Arial"/>
                <w:sz w:val="13"/>
                <w:szCs w:val="13"/>
                <w:b w:val="1"/>
                <w:bCs w:val="1"/>
                <w:color w:val="3C9673"/>
              </w:rPr>
              <w:t>Financial assets not measured at fair</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500" w:type="dxa"/>
            <w:vAlign w:val="bottom"/>
            <w:gridSpan w:val="2"/>
          </w:tcPr>
          <w:p>
            <w:pPr>
              <w:ind w:left="20"/>
              <w:spacing w:after="0"/>
              <w:rPr>
                <w:sz w:val="20"/>
                <w:szCs w:val="20"/>
                <w:color w:val="auto"/>
              </w:rPr>
            </w:pPr>
            <w:r>
              <w:rPr>
                <w:rFonts w:ascii="Arial" w:cs="Arial" w:eastAsia="Arial" w:hAnsi="Arial"/>
                <w:sz w:val="13"/>
                <w:szCs w:val="13"/>
                <w:b w:val="1"/>
                <w:bCs w:val="1"/>
                <w:color w:val="3C9673"/>
              </w:rPr>
              <w:t>value</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30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7FACB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7FACB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500" w:type="dxa"/>
            <w:vAlign w:val="bottom"/>
            <w:gridSpan w:val="2"/>
          </w:tcPr>
          <w:p>
            <w:pPr>
              <w:ind w:left="140"/>
              <w:spacing w:after="0"/>
              <w:rPr>
                <w:sz w:val="20"/>
                <w:szCs w:val="20"/>
                <w:color w:val="auto"/>
              </w:rPr>
            </w:pPr>
            <w:r>
              <w:rPr>
                <w:rFonts w:ascii="Arial" w:cs="Arial" w:eastAsia="Arial" w:hAnsi="Arial"/>
                <w:sz w:val="13"/>
                <w:szCs w:val="13"/>
                <w:color w:val="005A64"/>
              </w:rPr>
              <w:t>Trade and other receivables</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AC</w:t>
            </w:r>
          </w:p>
        </w:tc>
        <w:tc>
          <w:tcPr>
            <w:tcW w:w="880" w:type="dxa"/>
            <w:vAlign w:val="bottom"/>
          </w:tcPr>
          <w:p>
            <w:pPr>
              <w:jc w:val="right"/>
              <w:spacing w:after="0"/>
              <w:rPr>
                <w:sz w:val="20"/>
                <w:szCs w:val="20"/>
                <w:color w:val="auto"/>
              </w:rPr>
            </w:pPr>
            <w:r>
              <w:rPr>
                <w:rFonts w:ascii="Arial" w:cs="Arial" w:eastAsia="Arial" w:hAnsi="Arial"/>
                <w:sz w:val="13"/>
                <w:szCs w:val="13"/>
                <w:color w:val="005A64"/>
              </w:rPr>
              <w:t>2,155.7</w:t>
            </w:r>
          </w:p>
        </w:tc>
        <w:tc>
          <w:tcPr>
            <w:tcW w:w="2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2,155.7</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2,155.7</w:t>
            </w:r>
          </w:p>
        </w:tc>
        <w:tc>
          <w:tcPr>
            <w:tcW w:w="0" w:type="dxa"/>
            <w:vAlign w:val="bottom"/>
          </w:tcPr>
          <w:p>
            <w:pPr>
              <w:spacing w:after="0"/>
              <w:rPr>
                <w:sz w:val="1"/>
                <w:szCs w:val="1"/>
                <w:color w:val="auto"/>
              </w:rPr>
            </w:pPr>
          </w:p>
        </w:tc>
      </w:tr>
      <w:tr>
        <w:trPr>
          <w:trHeight w:val="28"/>
        </w:trPr>
        <w:tc>
          <w:tcPr>
            <w:tcW w:w="23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500" w:type="dxa"/>
            <w:vAlign w:val="bottom"/>
            <w:gridSpan w:val="2"/>
          </w:tcPr>
          <w:p>
            <w:pPr>
              <w:ind w:left="140"/>
              <w:spacing w:after="0"/>
              <w:rPr>
                <w:sz w:val="20"/>
                <w:szCs w:val="20"/>
                <w:color w:val="auto"/>
              </w:rPr>
            </w:pPr>
            <w:r>
              <w:rPr>
                <w:rFonts w:ascii="Arial" w:cs="Arial" w:eastAsia="Arial" w:hAnsi="Arial"/>
                <w:sz w:val="13"/>
                <w:szCs w:val="13"/>
                <w:color w:val="005A64"/>
              </w:rPr>
              <w:t>Security investments</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AC</w:t>
            </w:r>
          </w:p>
        </w:tc>
        <w:tc>
          <w:tcPr>
            <w:tcW w:w="880" w:type="dxa"/>
            <w:vAlign w:val="bottom"/>
          </w:tcPr>
          <w:p>
            <w:pPr>
              <w:jc w:val="right"/>
              <w:spacing w:after="0"/>
              <w:rPr>
                <w:sz w:val="20"/>
                <w:szCs w:val="20"/>
                <w:color w:val="auto"/>
              </w:rPr>
            </w:pPr>
            <w:r>
              <w:rPr>
                <w:rFonts w:ascii="Arial" w:cs="Arial" w:eastAsia="Arial" w:hAnsi="Arial"/>
                <w:sz w:val="13"/>
                <w:szCs w:val="13"/>
                <w:color w:val="005A64"/>
              </w:rPr>
              <w:t>4,885.1</w:t>
            </w:r>
          </w:p>
        </w:tc>
        <w:tc>
          <w:tcPr>
            <w:tcW w:w="1080" w:type="dxa"/>
            <w:vAlign w:val="bottom"/>
            <w:gridSpan w:val="2"/>
          </w:tcPr>
          <w:p>
            <w:pPr>
              <w:jc w:val="right"/>
              <w:spacing w:after="0"/>
              <w:rPr>
                <w:sz w:val="20"/>
                <w:szCs w:val="20"/>
                <w:color w:val="auto"/>
              </w:rPr>
            </w:pPr>
            <w:r>
              <w:rPr>
                <w:rFonts w:ascii="Arial" w:cs="Arial" w:eastAsia="Arial" w:hAnsi="Arial"/>
                <w:sz w:val="13"/>
                <w:szCs w:val="13"/>
                <w:color w:val="005A64"/>
              </w:rPr>
              <w:t>1,104.6</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5,989.7</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5,989.7</w:t>
            </w:r>
          </w:p>
        </w:tc>
        <w:tc>
          <w:tcPr>
            <w:tcW w:w="0" w:type="dxa"/>
            <w:vAlign w:val="bottom"/>
          </w:tcPr>
          <w:p>
            <w:pPr>
              <w:spacing w:after="0"/>
              <w:rPr>
                <w:sz w:val="1"/>
                <w:szCs w:val="1"/>
                <w:color w:val="auto"/>
              </w:rPr>
            </w:pPr>
          </w:p>
        </w:tc>
      </w:tr>
      <w:tr>
        <w:trPr>
          <w:trHeight w:val="28"/>
        </w:trPr>
        <w:tc>
          <w:tcPr>
            <w:tcW w:w="23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500" w:type="dxa"/>
            <w:vAlign w:val="bottom"/>
            <w:gridSpan w:val="2"/>
          </w:tcPr>
          <w:p>
            <w:pPr>
              <w:ind w:left="140"/>
              <w:spacing w:after="0"/>
              <w:rPr>
                <w:sz w:val="20"/>
                <w:szCs w:val="20"/>
                <w:color w:val="auto"/>
              </w:rPr>
            </w:pPr>
            <w:r>
              <w:rPr>
                <w:rFonts w:ascii="Arial" w:cs="Arial" w:eastAsia="Arial" w:hAnsi="Arial"/>
                <w:sz w:val="13"/>
                <w:szCs w:val="13"/>
                <w:color w:val="005A64"/>
              </w:rPr>
              <w:t>Other financial assets</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AC</w:t>
            </w:r>
          </w:p>
        </w:tc>
        <w:tc>
          <w:tcPr>
            <w:tcW w:w="880" w:type="dxa"/>
            <w:vAlign w:val="bottom"/>
          </w:tcPr>
          <w:p>
            <w:pPr>
              <w:jc w:val="right"/>
              <w:spacing w:after="0"/>
              <w:rPr>
                <w:sz w:val="20"/>
                <w:szCs w:val="20"/>
                <w:color w:val="auto"/>
              </w:rPr>
            </w:pPr>
            <w:r>
              <w:rPr>
                <w:rFonts w:ascii="Arial" w:cs="Arial" w:eastAsia="Arial" w:hAnsi="Arial"/>
                <w:sz w:val="13"/>
                <w:szCs w:val="13"/>
                <w:color w:val="005A64"/>
              </w:rPr>
              <w:t>0.2</w:t>
            </w:r>
          </w:p>
        </w:tc>
        <w:tc>
          <w:tcPr>
            <w:tcW w:w="1080" w:type="dxa"/>
            <w:vAlign w:val="bottom"/>
            <w:gridSpan w:val="2"/>
          </w:tcPr>
          <w:p>
            <w:pPr>
              <w:jc w:val="right"/>
              <w:spacing w:after="0"/>
              <w:rPr>
                <w:sz w:val="20"/>
                <w:szCs w:val="20"/>
                <w:color w:val="auto"/>
              </w:rPr>
            </w:pPr>
            <w:r>
              <w:rPr>
                <w:rFonts w:ascii="Arial" w:cs="Arial" w:eastAsia="Arial" w:hAnsi="Arial"/>
                <w:sz w:val="13"/>
                <w:szCs w:val="13"/>
                <w:color w:val="005A64"/>
              </w:rPr>
              <w:t>18.4</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18.6</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18.6</w:t>
            </w:r>
          </w:p>
        </w:tc>
        <w:tc>
          <w:tcPr>
            <w:tcW w:w="0" w:type="dxa"/>
            <w:vAlign w:val="bottom"/>
          </w:tcPr>
          <w:p>
            <w:pPr>
              <w:spacing w:after="0"/>
              <w:rPr>
                <w:sz w:val="1"/>
                <w:szCs w:val="1"/>
                <w:color w:val="auto"/>
              </w:rPr>
            </w:pPr>
          </w:p>
        </w:tc>
      </w:tr>
      <w:tr>
        <w:trPr>
          <w:trHeight w:val="28"/>
        </w:trPr>
        <w:tc>
          <w:tcPr>
            <w:tcW w:w="23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00" w:type="dxa"/>
            <w:vAlign w:val="bottom"/>
            <w:gridSpan w:val="2"/>
          </w:tcPr>
          <w:p>
            <w:pPr>
              <w:ind w:left="140"/>
              <w:spacing w:after="0"/>
              <w:rPr>
                <w:sz w:val="20"/>
                <w:szCs w:val="20"/>
                <w:color w:val="auto"/>
              </w:rPr>
            </w:pPr>
            <w:r>
              <w:rPr>
                <w:rFonts w:ascii="Arial" w:cs="Arial" w:eastAsia="Arial" w:hAnsi="Arial"/>
                <w:sz w:val="13"/>
                <w:szCs w:val="13"/>
                <w:color w:val="005A64"/>
              </w:rPr>
              <w:t>Bank deposits</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AC</w:t>
            </w:r>
          </w:p>
        </w:tc>
        <w:tc>
          <w:tcPr>
            <w:tcW w:w="880" w:type="dxa"/>
            <w:vAlign w:val="bottom"/>
          </w:tcPr>
          <w:p>
            <w:pPr>
              <w:jc w:val="right"/>
              <w:spacing w:after="0"/>
              <w:rPr>
                <w:sz w:val="20"/>
                <w:szCs w:val="20"/>
                <w:color w:val="auto"/>
              </w:rPr>
            </w:pPr>
            <w:r>
              <w:rPr>
                <w:rFonts w:ascii="Arial" w:cs="Arial" w:eastAsia="Arial" w:hAnsi="Arial"/>
                <w:sz w:val="13"/>
                <w:szCs w:val="13"/>
                <w:color w:val="005A64"/>
              </w:rPr>
              <w:t>2,589.5</w:t>
            </w:r>
          </w:p>
        </w:tc>
        <w:tc>
          <w:tcPr>
            <w:tcW w:w="2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2,589.5</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2,589.5</w:t>
            </w:r>
          </w:p>
        </w:tc>
        <w:tc>
          <w:tcPr>
            <w:tcW w:w="0" w:type="dxa"/>
            <w:vAlign w:val="bottom"/>
          </w:tcPr>
          <w:p>
            <w:pPr>
              <w:spacing w:after="0"/>
              <w:rPr>
                <w:sz w:val="1"/>
                <w:szCs w:val="1"/>
                <w:color w:val="auto"/>
              </w:rPr>
            </w:pPr>
          </w:p>
        </w:tc>
      </w:tr>
      <w:tr>
        <w:trPr>
          <w:trHeight w:val="28"/>
        </w:trPr>
        <w:tc>
          <w:tcPr>
            <w:tcW w:w="23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500" w:type="dxa"/>
            <w:vAlign w:val="bottom"/>
            <w:gridSpan w:val="2"/>
          </w:tcPr>
          <w:p>
            <w:pPr>
              <w:ind w:left="140"/>
              <w:spacing w:after="0"/>
              <w:rPr>
                <w:sz w:val="20"/>
                <w:szCs w:val="20"/>
                <w:color w:val="auto"/>
              </w:rPr>
            </w:pPr>
            <w:r>
              <w:rPr>
                <w:rFonts w:ascii="Arial" w:cs="Arial" w:eastAsia="Arial" w:hAnsi="Arial"/>
                <w:sz w:val="13"/>
                <w:szCs w:val="13"/>
                <w:color w:val="005A64"/>
              </w:rPr>
              <w:t>Reverse Repo</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AC</w:t>
            </w:r>
          </w:p>
        </w:tc>
        <w:tc>
          <w:tcPr>
            <w:tcW w:w="880" w:type="dxa"/>
            <w:vAlign w:val="bottom"/>
          </w:tcPr>
          <w:p>
            <w:pPr>
              <w:jc w:val="right"/>
              <w:spacing w:after="0"/>
              <w:rPr>
                <w:sz w:val="20"/>
                <w:szCs w:val="20"/>
                <w:color w:val="auto"/>
              </w:rPr>
            </w:pPr>
            <w:r>
              <w:rPr>
                <w:rFonts w:ascii="Arial" w:cs="Arial" w:eastAsia="Arial" w:hAnsi="Arial"/>
                <w:sz w:val="13"/>
                <w:szCs w:val="13"/>
                <w:color w:val="005A64"/>
              </w:rPr>
              <w:t>1,175.0</w:t>
            </w:r>
          </w:p>
        </w:tc>
        <w:tc>
          <w:tcPr>
            <w:tcW w:w="2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1,175.0</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1,175.0</w:t>
            </w:r>
          </w:p>
        </w:tc>
        <w:tc>
          <w:tcPr>
            <w:tcW w:w="0" w:type="dxa"/>
            <w:vAlign w:val="bottom"/>
          </w:tcPr>
          <w:p>
            <w:pPr>
              <w:spacing w:after="0"/>
              <w:rPr>
                <w:sz w:val="1"/>
                <w:szCs w:val="1"/>
                <w:color w:val="auto"/>
              </w:rPr>
            </w:pPr>
          </w:p>
        </w:tc>
      </w:tr>
      <w:tr>
        <w:trPr>
          <w:trHeight w:val="28"/>
        </w:trPr>
        <w:tc>
          <w:tcPr>
            <w:tcW w:w="23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500" w:type="dxa"/>
            <w:vAlign w:val="bottom"/>
            <w:gridSpan w:val="2"/>
          </w:tcPr>
          <w:p>
            <w:pPr>
              <w:ind w:left="140"/>
              <w:spacing w:after="0"/>
              <w:rPr>
                <w:sz w:val="20"/>
                <w:szCs w:val="20"/>
                <w:color w:val="auto"/>
              </w:rPr>
            </w:pPr>
            <w:r>
              <w:rPr>
                <w:rFonts w:ascii="Arial" w:cs="Arial" w:eastAsia="Arial" w:hAnsi="Arial"/>
                <w:sz w:val="13"/>
                <w:szCs w:val="13"/>
                <w:color w:val="005A64"/>
              </w:rPr>
              <w:t>Cash at banks and on hand</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AC</w:t>
            </w:r>
          </w:p>
        </w:tc>
        <w:tc>
          <w:tcPr>
            <w:tcW w:w="880" w:type="dxa"/>
            <w:vAlign w:val="bottom"/>
          </w:tcPr>
          <w:p>
            <w:pPr>
              <w:jc w:val="right"/>
              <w:spacing w:after="0"/>
              <w:rPr>
                <w:sz w:val="20"/>
                <w:szCs w:val="20"/>
                <w:color w:val="auto"/>
              </w:rPr>
            </w:pPr>
            <w:r>
              <w:rPr>
                <w:rFonts w:ascii="Arial" w:cs="Arial" w:eastAsia="Arial" w:hAnsi="Arial"/>
                <w:sz w:val="13"/>
                <w:szCs w:val="13"/>
                <w:color w:val="005A64"/>
              </w:rPr>
              <w:t>453.1</w:t>
            </w:r>
          </w:p>
        </w:tc>
        <w:tc>
          <w:tcPr>
            <w:tcW w:w="2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453.1</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453.1</w:t>
            </w:r>
          </w:p>
        </w:tc>
        <w:tc>
          <w:tcPr>
            <w:tcW w:w="0" w:type="dxa"/>
            <w:vAlign w:val="bottom"/>
          </w:tcPr>
          <w:p>
            <w:pPr>
              <w:spacing w:after="0"/>
              <w:rPr>
                <w:sz w:val="1"/>
                <w:szCs w:val="1"/>
                <w:color w:val="auto"/>
              </w:rPr>
            </w:pPr>
          </w:p>
        </w:tc>
      </w:tr>
      <w:tr>
        <w:trPr>
          <w:trHeight w:val="28"/>
        </w:trPr>
        <w:tc>
          <w:tcPr>
            <w:tcW w:w="23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500" w:type="dxa"/>
            <w:vAlign w:val="bottom"/>
            <w:gridSpan w:val="2"/>
          </w:tcPr>
          <w:p>
            <w:pPr>
              <w:ind w:left="20"/>
              <w:spacing w:after="0"/>
              <w:rPr>
                <w:sz w:val="20"/>
                <w:szCs w:val="20"/>
                <w:color w:val="auto"/>
              </w:rPr>
            </w:pPr>
            <w:r>
              <w:rPr>
                <w:rFonts w:ascii="Arial" w:cs="Arial" w:eastAsia="Arial" w:hAnsi="Arial"/>
                <w:sz w:val="13"/>
                <w:szCs w:val="13"/>
                <w:b w:val="1"/>
                <w:bCs w:val="1"/>
                <w:color w:val="3C9673"/>
              </w:rPr>
              <w:t>Financial liabilities measured at fair</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500" w:type="dxa"/>
            <w:vAlign w:val="bottom"/>
            <w:gridSpan w:val="2"/>
          </w:tcPr>
          <w:p>
            <w:pPr>
              <w:ind w:left="20"/>
              <w:spacing w:after="0"/>
              <w:rPr>
                <w:sz w:val="20"/>
                <w:szCs w:val="20"/>
                <w:color w:val="auto"/>
              </w:rPr>
            </w:pPr>
            <w:r>
              <w:rPr>
                <w:rFonts w:ascii="Arial" w:cs="Arial" w:eastAsia="Arial" w:hAnsi="Arial"/>
                <w:sz w:val="13"/>
                <w:szCs w:val="13"/>
                <w:b w:val="1"/>
                <w:bCs w:val="1"/>
                <w:color w:val="3C9673"/>
              </w:rPr>
              <w:t>value</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30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7FACB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7FACB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500" w:type="dxa"/>
            <w:vAlign w:val="bottom"/>
            <w:gridSpan w:val="2"/>
          </w:tcPr>
          <w:p>
            <w:pPr>
              <w:ind w:left="140"/>
              <w:spacing w:after="0"/>
              <w:rPr>
                <w:sz w:val="20"/>
                <w:szCs w:val="20"/>
                <w:color w:val="auto"/>
              </w:rPr>
            </w:pPr>
            <w:r>
              <w:rPr>
                <w:rFonts w:ascii="Arial" w:cs="Arial" w:eastAsia="Arial" w:hAnsi="Arial"/>
                <w:sz w:val="13"/>
                <w:szCs w:val="13"/>
                <w:color w:val="005A64"/>
              </w:rPr>
              <w:t>Foreign exchange forward contracts</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FVTPL</w:t>
            </w:r>
          </w:p>
        </w:tc>
        <w:tc>
          <w:tcPr>
            <w:tcW w:w="880" w:type="dxa"/>
            <w:vAlign w:val="bottom"/>
          </w:tcPr>
          <w:p>
            <w:pPr>
              <w:jc w:val="right"/>
              <w:spacing w:after="0"/>
              <w:rPr>
                <w:sz w:val="20"/>
                <w:szCs w:val="20"/>
                <w:color w:val="auto"/>
              </w:rPr>
            </w:pPr>
            <w:r>
              <w:rPr>
                <w:rFonts w:ascii="Arial" w:cs="Arial" w:eastAsia="Arial" w:hAnsi="Arial"/>
                <w:sz w:val="13"/>
                <w:szCs w:val="13"/>
                <w:color w:val="005A64"/>
              </w:rPr>
              <w:t>0.4</w:t>
            </w:r>
          </w:p>
        </w:tc>
        <w:tc>
          <w:tcPr>
            <w:tcW w:w="2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0.4</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60" w:type="dxa"/>
            <w:vAlign w:val="bottom"/>
          </w:tcPr>
          <w:p>
            <w:pPr>
              <w:jc w:val="right"/>
              <w:spacing w:after="0"/>
              <w:rPr>
                <w:sz w:val="20"/>
                <w:szCs w:val="20"/>
                <w:color w:val="auto"/>
              </w:rPr>
            </w:pPr>
            <w:r>
              <w:rPr>
                <w:rFonts w:ascii="Arial" w:cs="Arial" w:eastAsia="Arial" w:hAnsi="Arial"/>
                <w:sz w:val="13"/>
                <w:szCs w:val="13"/>
                <w:color w:val="005A64"/>
              </w:rPr>
              <w:t>0.4</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0.4</w:t>
            </w:r>
          </w:p>
        </w:tc>
        <w:tc>
          <w:tcPr>
            <w:tcW w:w="0" w:type="dxa"/>
            <w:vAlign w:val="bottom"/>
          </w:tcPr>
          <w:p>
            <w:pPr>
              <w:spacing w:after="0"/>
              <w:rPr>
                <w:sz w:val="1"/>
                <w:szCs w:val="1"/>
                <w:color w:val="auto"/>
              </w:rPr>
            </w:pPr>
          </w:p>
        </w:tc>
      </w:tr>
      <w:tr>
        <w:trPr>
          <w:trHeight w:val="28"/>
        </w:trPr>
        <w:tc>
          <w:tcPr>
            <w:tcW w:w="23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500" w:type="dxa"/>
            <w:vAlign w:val="bottom"/>
            <w:gridSpan w:val="2"/>
          </w:tcPr>
          <w:p>
            <w:pPr>
              <w:ind w:left="140"/>
              <w:spacing w:after="0"/>
              <w:rPr>
                <w:sz w:val="20"/>
                <w:szCs w:val="20"/>
                <w:color w:val="auto"/>
              </w:rPr>
            </w:pPr>
            <w:r>
              <w:rPr>
                <w:rFonts w:ascii="Arial" w:cs="Arial" w:eastAsia="Arial" w:hAnsi="Arial"/>
                <w:sz w:val="13"/>
                <w:szCs w:val="13"/>
                <w:color w:val="005A64"/>
              </w:rPr>
              <w:t>Contingent consideration</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FVTPL</w:t>
            </w:r>
          </w:p>
        </w:tc>
        <w:tc>
          <w:tcPr>
            <w:tcW w:w="880" w:type="dxa"/>
            <w:vAlign w:val="bottom"/>
          </w:tcPr>
          <w:p>
            <w:pPr>
              <w:jc w:val="right"/>
              <w:spacing w:after="0"/>
              <w:rPr>
                <w:sz w:val="20"/>
                <w:szCs w:val="20"/>
                <w:color w:val="auto"/>
              </w:rPr>
            </w:pPr>
            <w:r>
              <w:rPr>
                <w:rFonts w:ascii="Arial" w:cs="Arial" w:eastAsia="Arial" w:hAnsi="Arial"/>
                <w:sz w:val="13"/>
                <w:szCs w:val="13"/>
                <w:color w:val="005A64"/>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005A64"/>
              </w:rPr>
              <w:t>38.8</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38.8</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60" w:type="dxa"/>
            <w:vAlign w:val="bottom"/>
          </w:tcPr>
          <w:p>
            <w:pPr>
              <w:jc w:val="right"/>
              <w:spacing w:after="0"/>
              <w:rPr>
                <w:sz w:val="20"/>
                <w:szCs w:val="20"/>
                <w:color w:val="auto"/>
              </w:rPr>
            </w:pPr>
            <w:r>
              <w:rPr>
                <w:rFonts w:ascii="Arial" w:cs="Arial" w:eastAsia="Arial" w:hAnsi="Arial"/>
                <w:sz w:val="13"/>
                <w:szCs w:val="13"/>
                <w:color w:val="005A64"/>
              </w:rPr>
              <w:t>38.8</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38.8</w:t>
            </w:r>
          </w:p>
        </w:tc>
        <w:tc>
          <w:tcPr>
            <w:tcW w:w="0" w:type="dxa"/>
            <w:vAlign w:val="bottom"/>
          </w:tcPr>
          <w:p>
            <w:pPr>
              <w:spacing w:after="0"/>
              <w:rPr>
                <w:sz w:val="1"/>
                <w:szCs w:val="1"/>
                <w:color w:val="auto"/>
              </w:rPr>
            </w:pPr>
          </w:p>
        </w:tc>
      </w:tr>
      <w:tr>
        <w:trPr>
          <w:trHeight w:val="28"/>
        </w:trPr>
        <w:tc>
          <w:tcPr>
            <w:tcW w:w="23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500" w:type="dxa"/>
            <w:vAlign w:val="bottom"/>
            <w:gridSpan w:val="2"/>
          </w:tcPr>
          <w:p>
            <w:pPr>
              <w:ind w:left="20"/>
              <w:spacing w:after="0"/>
              <w:rPr>
                <w:sz w:val="20"/>
                <w:szCs w:val="20"/>
                <w:color w:val="auto"/>
              </w:rPr>
            </w:pPr>
            <w:r>
              <w:rPr>
                <w:rFonts w:ascii="Arial" w:cs="Arial" w:eastAsia="Arial" w:hAnsi="Arial"/>
                <w:sz w:val="13"/>
                <w:szCs w:val="13"/>
                <w:b w:val="1"/>
                <w:bCs w:val="1"/>
                <w:color w:val="3C9673"/>
              </w:rPr>
              <w:t>Financial liabilities not measured at</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500" w:type="dxa"/>
            <w:vAlign w:val="bottom"/>
            <w:gridSpan w:val="2"/>
          </w:tcPr>
          <w:p>
            <w:pPr>
              <w:ind w:left="20"/>
              <w:spacing w:after="0"/>
              <w:rPr>
                <w:sz w:val="20"/>
                <w:szCs w:val="20"/>
                <w:color w:val="auto"/>
              </w:rPr>
            </w:pPr>
            <w:r>
              <w:rPr>
                <w:rFonts w:ascii="Arial" w:cs="Arial" w:eastAsia="Arial" w:hAnsi="Arial"/>
                <w:sz w:val="13"/>
                <w:szCs w:val="13"/>
                <w:b w:val="1"/>
                <w:bCs w:val="1"/>
                <w:color w:val="3C9673"/>
              </w:rPr>
              <w:t>fair value</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30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7FACB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7FACB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500" w:type="dxa"/>
            <w:vAlign w:val="bottom"/>
            <w:gridSpan w:val="2"/>
          </w:tcPr>
          <w:p>
            <w:pPr>
              <w:ind w:left="140"/>
              <w:spacing w:after="0"/>
              <w:rPr>
                <w:sz w:val="20"/>
                <w:szCs w:val="20"/>
                <w:color w:val="auto"/>
              </w:rPr>
            </w:pPr>
            <w:r>
              <w:rPr>
                <w:rFonts w:ascii="Arial" w:cs="Arial" w:eastAsia="Arial" w:hAnsi="Arial"/>
                <w:sz w:val="13"/>
                <w:szCs w:val="13"/>
                <w:color w:val="005A64"/>
              </w:rPr>
              <w:t>Lease liabilities</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n/a</w:t>
            </w:r>
          </w:p>
        </w:tc>
        <w:tc>
          <w:tcPr>
            <w:tcW w:w="880" w:type="dxa"/>
            <w:vAlign w:val="bottom"/>
          </w:tcPr>
          <w:p>
            <w:pPr>
              <w:jc w:val="right"/>
              <w:spacing w:after="0"/>
              <w:rPr>
                <w:sz w:val="20"/>
                <w:szCs w:val="20"/>
                <w:color w:val="auto"/>
              </w:rPr>
            </w:pPr>
            <w:r>
              <w:rPr>
                <w:rFonts w:ascii="Arial" w:cs="Arial" w:eastAsia="Arial" w:hAnsi="Arial"/>
                <w:sz w:val="13"/>
                <w:szCs w:val="13"/>
                <w:color w:val="005A64"/>
              </w:rPr>
              <w:t>28.1</w:t>
            </w:r>
          </w:p>
        </w:tc>
        <w:tc>
          <w:tcPr>
            <w:tcW w:w="1080" w:type="dxa"/>
            <w:vAlign w:val="bottom"/>
            <w:gridSpan w:val="2"/>
          </w:tcPr>
          <w:p>
            <w:pPr>
              <w:jc w:val="right"/>
              <w:spacing w:after="0"/>
              <w:rPr>
                <w:sz w:val="20"/>
                <w:szCs w:val="20"/>
                <w:color w:val="auto"/>
              </w:rPr>
            </w:pPr>
            <w:r>
              <w:rPr>
                <w:rFonts w:ascii="Arial" w:cs="Arial" w:eastAsia="Arial" w:hAnsi="Arial"/>
                <w:sz w:val="13"/>
                <w:szCs w:val="13"/>
                <w:color w:val="005A64"/>
              </w:rPr>
              <w:t>188.6</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216.7</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216.7</w:t>
            </w:r>
          </w:p>
        </w:tc>
        <w:tc>
          <w:tcPr>
            <w:tcW w:w="0" w:type="dxa"/>
            <w:vAlign w:val="bottom"/>
          </w:tcPr>
          <w:p>
            <w:pPr>
              <w:spacing w:after="0"/>
              <w:rPr>
                <w:sz w:val="1"/>
                <w:szCs w:val="1"/>
                <w:color w:val="auto"/>
              </w:rPr>
            </w:pPr>
          </w:p>
        </w:tc>
      </w:tr>
      <w:tr>
        <w:trPr>
          <w:trHeight w:val="28"/>
        </w:trPr>
        <w:tc>
          <w:tcPr>
            <w:tcW w:w="23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00" w:type="dxa"/>
            <w:vAlign w:val="bottom"/>
            <w:gridSpan w:val="2"/>
          </w:tcPr>
          <w:p>
            <w:pPr>
              <w:ind w:left="140"/>
              <w:spacing w:after="0"/>
              <w:rPr>
                <w:sz w:val="20"/>
                <w:szCs w:val="20"/>
                <w:color w:val="auto"/>
              </w:rPr>
            </w:pPr>
            <w:r>
              <w:rPr>
                <w:rFonts w:ascii="Arial" w:cs="Arial" w:eastAsia="Arial" w:hAnsi="Arial"/>
                <w:sz w:val="13"/>
                <w:szCs w:val="13"/>
                <w:color w:val="005A64"/>
              </w:rPr>
              <w:t>Loans and borrowings</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AC</w:t>
            </w:r>
          </w:p>
        </w:tc>
        <w:tc>
          <w:tcPr>
            <w:tcW w:w="880" w:type="dxa"/>
            <w:vAlign w:val="bottom"/>
          </w:tcPr>
          <w:p>
            <w:pPr>
              <w:jc w:val="right"/>
              <w:spacing w:after="0"/>
              <w:rPr>
                <w:sz w:val="20"/>
                <w:szCs w:val="20"/>
                <w:color w:val="auto"/>
              </w:rPr>
            </w:pPr>
            <w:r>
              <w:rPr>
                <w:rFonts w:ascii="Arial" w:cs="Arial" w:eastAsia="Arial" w:hAnsi="Arial"/>
                <w:sz w:val="13"/>
                <w:szCs w:val="13"/>
                <w:color w:val="005A64"/>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005A64"/>
              </w:rPr>
              <w:t>2.3</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2.3</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2.3</w:t>
            </w:r>
          </w:p>
        </w:tc>
        <w:tc>
          <w:tcPr>
            <w:tcW w:w="0" w:type="dxa"/>
            <w:vAlign w:val="bottom"/>
          </w:tcPr>
          <w:p>
            <w:pPr>
              <w:spacing w:after="0"/>
              <w:rPr>
                <w:sz w:val="1"/>
                <w:szCs w:val="1"/>
                <w:color w:val="auto"/>
              </w:rPr>
            </w:pPr>
          </w:p>
        </w:tc>
      </w:tr>
      <w:tr>
        <w:trPr>
          <w:trHeight w:val="28"/>
        </w:trPr>
        <w:tc>
          <w:tcPr>
            <w:tcW w:w="23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500" w:type="dxa"/>
            <w:vAlign w:val="bottom"/>
            <w:gridSpan w:val="2"/>
          </w:tcPr>
          <w:p>
            <w:pPr>
              <w:ind w:left="140"/>
              <w:spacing w:after="0"/>
              <w:rPr>
                <w:sz w:val="20"/>
                <w:szCs w:val="20"/>
                <w:color w:val="auto"/>
              </w:rPr>
            </w:pPr>
            <w:r>
              <w:rPr>
                <w:rFonts w:ascii="Arial" w:cs="Arial" w:eastAsia="Arial" w:hAnsi="Arial"/>
                <w:sz w:val="13"/>
                <w:szCs w:val="13"/>
                <w:color w:val="005A64"/>
              </w:rPr>
              <w:t>Trade payables and other payables</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AC</w:t>
            </w:r>
          </w:p>
        </w:tc>
        <w:tc>
          <w:tcPr>
            <w:tcW w:w="880" w:type="dxa"/>
            <w:vAlign w:val="bottom"/>
          </w:tcPr>
          <w:p>
            <w:pPr>
              <w:jc w:val="right"/>
              <w:spacing w:after="0"/>
              <w:rPr>
                <w:sz w:val="20"/>
                <w:szCs w:val="20"/>
                <w:color w:val="auto"/>
              </w:rPr>
            </w:pPr>
            <w:r>
              <w:rPr>
                <w:rFonts w:ascii="Arial" w:cs="Arial" w:eastAsia="Arial" w:hAnsi="Arial"/>
                <w:sz w:val="13"/>
                <w:szCs w:val="13"/>
                <w:color w:val="005A64"/>
              </w:rPr>
              <w:t>354.0</w:t>
            </w:r>
          </w:p>
        </w:tc>
        <w:tc>
          <w:tcPr>
            <w:tcW w:w="2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354.0</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354.0</w:t>
            </w:r>
          </w:p>
        </w:tc>
        <w:tc>
          <w:tcPr>
            <w:tcW w:w="0" w:type="dxa"/>
            <w:vAlign w:val="bottom"/>
          </w:tcPr>
          <w:p>
            <w:pPr>
              <w:spacing w:after="0"/>
              <w:rPr>
                <w:sz w:val="1"/>
                <w:szCs w:val="1"/>
                <w:color w:val="auto"/>
              </w:rPr>
            </w:pPr>
          </w:p>
        </w:tc>
      </w:tr>
      <w:tr>
        <w:trPr>
          <w:trHeight w:val="28"/>
        </w:trPr>
        <w:tc>
          <w:tcPr>
            <w:tcW w:w="23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00" w:type="dxa"/>
            <w:vAlign w:val="bottom"/>
            <w:gridSpan w:val="2"/>
          </w:tcPr>
          <w:p>
            <w:pPr>
              <w:ind w:left="140"/>
              <w:spacing w:after="0"/>
              <w:rPr>
                <w:sz w:val="20"/>
                <w:szCs w:val="20"/>
                <w:color w:val="auto"/>
              </w:rPr>
            </w:pPr>
            <w:r>
              <w:rPr>
                <w:rFonts w:ascii="Arial" w:cs="Arial" w:eastAsia="Arial" w:hAnsi="Arial"/>
                <w:sz w:val="13"/>
                <w:szCs w:val="13"/>
                <w:color w:val="005A64"/>
              </w:rPr>
              <w:t>Other financial liabilities</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AC</w:t>
            </w:r>
          </w:p>
        </w:tc>
        <w:tc>
          <w:tcPr>
            <w:tcW w:w="880" w:type="dxa"/>
            <w:vAlign w:val="bottom"/>
          </w:tcPr>
          <w:p>
            <w:pPr>
              <w:jc w:val="right"/>
              <w:spacing w:after="0"/>
              <w:rPr>
                <w:sz w:val="20"/>
                <w:szCs w:val="20"/>
                <w:color w:val="auto"/>
              </w:rPr>
            </w:pPr>
            <w:r>
              <w:rPr>
                <w:rFonts w:ascii="Arial" w:cs="Arial" w:eastAsia="Arial" w:hAnsi="Arial"/>
                <w:sz w:val="13"/>
                <w:szCs w:val="13"/>
                <w:color w:val="005A64"/>
              </w:rPr>
              <w:t>414.9</w:t>
            </w:r>
          </w:p>
        </w:tc>
        <w:tc>
          <w:tcPr>
            <w:tcW w:w="2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414.9</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414.9</w:t>
            </w:r>
          </w:p>
        </w:tc>
        <w:tc>
          <w:tcPr>
            <w:tcW w:w="0" w:type="dxa"/>
            <w:vAlign w:val="bottom"/>
          </w:tcPr>
          <w:p>
            <w:pPr>
              <w:spacing w:after="0"/>
              <w:rPr>
                <w:sz w:val="1"/>
                <w:szCs w:val="1"/>
                <w:color w:val="auto"/>
              </w:rPr>
            </w:pPr>
          </w:p>
        </w:tc>
      </w:tr>
      <w:tr>
        <w:trPr>
          <w:trHeight w:val="28"/>
        </w:trPr>
        <w:tc>
          <w:tcPr>
            <w:tcW w:w="230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80" w:hanging="272"/>
        <w:spacing w:after="0" w:line="235" w:lineRule="auto"/>
        <w:tabs>
          <w:tab w:leader="none" w:pos="309" w:val="left"/>
        </w:tabs>
        <w:numPr>
          <w:ilvl w:val="0"/>
          <w:numId w:val="7"/>
        </w:numPr>
        <w:rPr>
          <w:rFonts w:ascii="Arial" w:cs="Arial" w:eastAsia="Arial" w:hAnsi="Arial"/>
          <w:sz w:val="21"/>
          <w:szCs w:val="21"/>
          <w:color w:val="005A64"/>
          <w:vertAlign w:val="superscript"/>
        </w:rPr>
      </w:pPr>
      <w:r>
        <w:rPr>
          <w:rFonts w:ascii="Arial" w:cs="Arial" w:eastAsia="Arial" w:hAnsi="Arial"/>
          <w:sz w:val="16"/>
          <w:szCs w:val="16"/>
          <w:color w:val="005A64"/>
        </w:rPr>
        <w:t>Financial assets and liabilities categorized at amortized costs mainly correspond to fair value. Fair values are not disclosed because the book values represent a reasonable approximation of fair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Equity investments designated at Fair Value through OCI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investments in equity securities measured at fair value through other comprehensive income comprise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4632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64" w:lineRule="exact"/>
        <w:rPr>
          <w:sz w:val="20"/>
          <w:szCs w:val="20"/>
          <w:color w:val="auto"/>
        </w:rPr>
      </w:pPr>
    </w:p>
    <w:p>
      <w:pPr>
        <w:ind w:left="20"/>
        <w:spacing w:after="0" w:line="286" w:lineRule="auto"/>
        <w:rPr>
          <w:sz w:val="20"/>
          <w:szCs w:val="20"/>
          <w:color w:val="auto"/>
        </w:rPr>
      </w:pPr>
      <w:r>
        <w:rPr>
          <w:rFonts w:ascii="Arial" w:cs="Arial" w:eastAsia="Arial" w:hAnsi="Arial"/>
          <w:sz w:val="16"/>
          <w:szCs w:val="16"/>
          <w:color w:val="005A64"/>
        </w:rPr>
        <w:t>Net gain / (loss) on equity instruments designated at fair value through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4632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5A64"/>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632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2200" w:type="dxa"/>
            <w:vAlign w:val="bottom"/>
            <w:gridSpan w:val="4"/>
          </w:tcPr>
          <w:p>
            <w:pPr>
              <w:jc w:val="center"/>
              <w:ind w:left="339"/>
              <w:spacing w:after="0"/>
              <w:rPr>
                <w:sz w:val="20"/>
                <w:szCs w:val="20"/>
                <w:color w:val="auto"/>
              </w:rPr>
            </w:pPr>
            <w:r>
              <w:rPr>
                <w:rFonts w:ascii="Arial" w:cs="Arial" w:eastAsia="Arial" w:hAnsi="Arial"/>
                <w:sz w:val="16"/>
                <w:szCs w:val="16"/>
                <w:b w:val="1"/>
                <w:bCs w:val="1"/>
                <w:color w:val="005A64"/>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005A64"/>
              </w:rPr>
              <w:t>Six months ended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200" w:type="dxa"/>
            <w:vAlign w:val="bottom"/>
            <w:gridSpan w:val="4"/>
          </w:tcPr>
          <w:p>
            <w:pPr>
              <w:jc w:val="center"/>
              <w:ind w:left="399"/>
              <w:spacing w:after="0"/>
              <w:rPr>
                <w:sz w:val="20"/>
                <w:szCs w:val="20"/>
                <w:color w:val="auto"/>
              </w:rPr>
            </w:pPr>
            <w:r>
              <w:rPr>
                <w:rFonts w:ascii="Arial" w:cs="Arial" w:eastAsia="Arial" w:hAnsi="Arial"/>
                <w:sz w:val="16"/>
                <w:szCs w:val="16"/>
                <w:b w:val="1"/>
                <w:bCs w:val="1"/>
                <w:color w:val="005A64"/>
                <w:w w:val="99"/>
              </w:rPr>
              <w:t>June 30,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005A64"/>
                <w:w w:val="99"/>
              </w:rPr>
              <w:t>June 30,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340" w:type="dxa"/>
            <w:vAlign w:val="bottom"/>
            <w:tcBorders>
              <w:bottom w:val="single" w:sz="8" w:color="BECD32"/>
            </w:tcBorders>
            <w:gridSpan w:val="2"/>
          </w:tcPr>
          <w:p>
            <w:pPr>
              <w:spacing w:after="0"/>
              <w:rPr>
                <w:sz w:val="11"/>
                <w:szCs w:val="11"/>
                <w:color w:val="auto"/>
              </w:rPr>
            </w:pPr>
          </w:p>
        </w:tc>
        <w:tc>
          <w:tcPr>
            <w:tcW w:w="120" w:type="dxa"/>
            <w:vAlign w:val="bottom"/>
            <w:tcBorders>
              <w:bottom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20" w:type="dxa"/>
            <w:vAlign w:val="bottom"/>
          </w:tcPr>
          <w:p>
            <w:pPr>
              <w:spacing w:after="0"/>
              <w:rPr>
                <w:sz w:val="11"/>
                <w:szCs w:val="11"/>
                <w:color w:val="auto"/>
              </w:rPr>
            </w:pPr>
          </w:p>
        </w:tc>
        <w:tc>
          <w:tcPr>
            <w:tcW w:w="1320" w:type="dxa"/>
            <w:vAlign w:val="bottom"/>
            <w:tcBorders>
              <w:bottom w:val="single" w:sz="8" w:color="BECD32"/>
            </w:tcBorders>
            <w:gridSpan w:val="2"/>
          </w:tcPr>
          <w:p>
            <w:pPr>
              <w:spacing w:after="0"/>
              <w:rPr>
                <w:sz w:val="11"/>
                <w:szCs w:val="11"/>
                <w:color w:val="auto"/>
              </w:rPr>
            </w:pPr>
          </w:p>
        </w:tc>
        <w:tc>
          <w:tcPr>
            <w:tcW w:w="120" w:type="dxa"/>
            <w:vAlign w:val="bottom"/>
            <w:tcBorders>
              <w:bottom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33"/>
        </w:trPr>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005A64"/>
            </w:tcBorders>
          </w:tcPr>
          <w:p>
            <w:pPr>
              <w:spacing w:after="0"/>
              <w:rPr>
                <w:sz w:val="20"/>
                <w:szCs w:val="20"/>
                <w:color w:val="auto"/>
              </w:rPr>
            </w:pPr>
          </w:p>
        </w:tc>
        <w:tc>
          <w:tcPr>
            <w:tcW w:w="480" w:type="dxa"/>
            <w:vAlign w:val="bottom"/>
            <w:tcBorders>
              <w:bottom w:val="single" w:sz="8" w:color="005A64"/>
            </w:tcBorders>
            <w:vMerge w:val="continue"/>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005A64"/>
            </w:tcBorders>
          </w:tcPr>
          <w:p>
            <w:pPr>
              <w:spacing w:after="0"/>
              <w:rPr>
                <w:sz w:val="20"/>
                <w:szCs w:val="20"/>
                <w:color w:val="auto"/>
              </w:rPr>
            </w:pPr>
          </w:p>
        </w:tc>
        <w:tc>
          <w:tcPr>
            <w:tcW w:w="520" w:type="dxa"/>
            <w:vAlign w:val="bottom"/>
            <w:tcBorders>
              <w:bottom w:val="single" w:sz="8" w:color="005A64"/>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340" w:type="dxa"/>
            <w:vAlign w:val="bottom"/>
            <w:tcBorders>
              <w:left w:val="single" w:sz="8" w:color="BECD32"/>
            </w:tcBorders>
            <w:gridSpan w:val="2"/>
          </w:tcPr>
          <w:p>
            <w:pPr>
              <w:jc w:val="right"/>
              <w:spacing w:after="0"/>
              <w:rPr>
                <w:sz w:val="20"/>
                <w:szCs w:val="20"/>
                <w:color w:val="auto"/>
              </w:rPr>
            </w:pPr>
            <w:r>
              <w:rPr>
                <w:rFonts w:ascii="Arial" w:cs="Arial" w:eastAsia="Arial" w:hAnsi="Arial"/>
                <w:sz w:val="16"/>
                <w:szCs w:val="16"/>
                <w:color w:val="005A64"/>
              </w:rPr>
              <w:t>(115.9)</w:t>
            </w:r>
          </w:p>
        </w:tc>
        <w:tc>
          <w:tcPr>
            <w:tcW w:w="12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005A64"/>
              </w:rPr>
              <w:t>4.4</w:t>
            </w:r>
          </w:p>
        </w:tc>
        <w:tc>
          <w:tcPr>
            <w:tcW w:w="120" w:type="dxa"/>
            <w:vAlign w:val="bottom"/>
            <w:tcBorders>
              <w:right w:val="single" w:sz="8" w:color="BECD32"/>
            </w:tcBorders>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(109.0)</w:t>
            </w:r>
          </w:p>
        </w:tc>
        <w:tc>
          <w:tcPr>
            <w:tcW w:w="12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005A64"/>
              </w:rPr>
              <w:t>4.4</w:t>
            </w:r>
          </w:p>
        </w:tc>
        <w:tc>
          <w:tcPr>
            <w:tcW w:w="0" w:type="dxa"/>
            <w:vAlign w:val="bottom"/>
          </w:tcPr>
          <w:p>
            <w:pPr>
              <w:spacing w:after="0"/>
              <w:rPr>
                <w:sz w:val="1"/>
                <w:szCs w:val="1"/>
                <w:color w:val="auto"/>
              </w:rPr>
            </w:pPr>
          </w:p>
        </w:tc>
      </w:tr>
      <w:tr>
        <w:trPr>
          <w:trHeight w:val="123"/>
        </w:trPr>
        <w:tc>
          <w:tcPr>
            <w:tcW w:w="100" w:type="dxa"/>
            <w:vAlign w:val="bottom"/>
            <w:tcBorders>
              <w:left w:val="single" w:sz="8" w:color="BECD32"/>
            </w:tcBorders>
          </w:tcPr>
          <w:p>
            <w:pPr>
              <w:spacing w:after="0"/>
              <w:rPr>
                <w:sz w:val="10"/>
                <w:szCs w:val="10"/>
                <w:color w:val="auto"/>
              </w:rPr>
            </w:pPr>
          </w:p>
        </w:tc>
        <w:tc>
          <w:tcPr>
            <w:tcW w:w="1240" w:type="dxa"/>
            <w:vAlign w:val="bottom"/>
            <w:tcBorders>
              <w:bottom w:val="single" w:sz="8" w:color="7FACB1"/>
            </w:tcBorders>
          </w:tcPr>
          <w:p>
            <w:pPr>
              <w:spacing w:after="0"/>
              <w:rPr>
                <w:sz w:val="10"/>
                <w:szCs w:val="10"/>
                <w:color w:val="auto"/>
              </w:rPr>
            </w:pPr>
          </w:p>
        </w:tc>
        <w:tc>
          <w:tcPr>
            <w:tcW w:w="120" w:type="dxa"/>
            <w:vAlign w:val="bottom"/>
            <w:tcBorders>
              <w:right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bottom w:val="single" w:sz="8" w:color="7FACB1"/>
            </w:tcBorders>
          </w:tcPr>
          <w:p>
            <w:pPr>
              <w:spacing w:after="0"/>
              <w:rPr>
                <w:sz w:val="10"/>
                <w:szCs w:val="10"/>
                <w:color w:val="auto"/>
              </w:rPr>
            </w:pPr>
          </w:p>
        </w:tc>
        <w:tc>
          <w:tcPr>
            <w:tcW w:w="480" w:type="dxa"/>
            <w:vAlign w:val="bottom"/>
            <w:tcBorders>
              <w:bottom w:val="single" w:sz="8" w:color="7FACB1"/>
            </w:tcBorders>
          </w:tcPr>
          <w:p>
            <w:pPr>
              <w:spacing w:after="0"/>
              <w:rPr>
                <w:sz w:val="10"/>
                <w:szCs w:val="10"/>
                <w:color w:val="auto"/>
              </w:rPr>
            </w:pPr>
          </w:p>
        </w:tc>
        <w:tc>
          <w:tcPr>
            <w:tcW w:w="12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Borders>
              <w:bottom w:val="single" w:sz="8" w:color="7FACB1"/>
            </w:tcBorders>
          </w:tcPr>
          <w:p>
            <w:pPr>
              <w:spacing w:after="0"/>
              <w:rPr>
                <w:sz w:val="10"/>
                <w:szCs w:val="10"/>
                <w:color w:val="auto"/>
              </w:rPr>
            </w:pPr>
          </w:p>
        </w:tc>
        <w:tc>
          <w:tcPr>
            <w:tcW w:w="120" w:type="dxa"/>
            <w:vAlign w:val="bottom"/>
            <w:tcBorders>
              <w:right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7FACB1"/>
            </w:tcBorders>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1340" w:type="dxa"/>
            <w:vAlign w:val="bottom"/>
            <w:tcBorders>
              <w:left w:val="single" w:sz="8" w:color="BECD32"/>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(115.9)</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005A64"/>
            </w:tcBorders>
          </w:tcPr>
          <w:p>
            <w:pPr>
              <w:spacing w:after="0"/>
              <w:rPr>
                <w:sz w:val="20"/>
                <w:szCs w:val="20"/>
                <w:color w:val="auto"/>
              </w:rPr>
            </w:pPr>
          </w:p>
        </w:tc>
        <w:tc>
          <w:tcPr>
            <w:tcW w:w="4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4.4</w:t>
            </w:r>
          </w:p>
        </w:tc>
        <w:tc>
          <w:tcPr>
            <w:tcW w:w="120" w:type="dxa"/>
            <w:vAlign w:val="bottom"/>
            <w:tcBorders>
              <w:right w:val="single" w:sz="8" w:color="BECD32"/>
            </w:tcBorders>
          </w:tcPr>
          <w:p>
            <w:pPr>
              <w:spacing w:after="0"/>
              <w:rPr>
                <w:sz w:val="20"/>
                <w:szCs w:val="20"/>
                <w:color w:val="auto"/>
              </w:rPr>
            </w:pPr>
          </w:p>
        </w:tc>
        <w:tc>
          <w:tcPr>
            <w:tcW w:w="132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(109.0)</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005A64"/>
            </w:tcBorders>
          </w:tcPr>
          <w:p>
            <w:pPr>
              <w:spacing w:after="0"/>
              <w:rPr>
                <w:sz w:val="20"/>
                <w:szCs w:val="20"/>
                <w:color w:val="auto"/>
              </w:rPr>
            </w:pPr>
          </w:p>
        </w:tc>
        <w:tc>
          <w:tcPr>
            <w:tcW w:w="5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060" w:space="500"/>
            <w:col w:w="5680"/>
          </w:cols>
          <w:pgMar w:left="320" w:top="3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341"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Measurement of fair values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shows the valuation techniques used in measuring fair values for financial instruments in our consolidated statements of financial position, as well as the significant unobservable inputs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2343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5A64"/>
        </w:rPr>
        <w:t>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5430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Forward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526415</wp:posOffset>
            </wp:positionV>
            <wp:extent cx="15430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Non-listed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15430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Listed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15430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Money market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5430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Contingent</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5430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Royalty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15430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005A64"/>
        </w:rPr>
        <w:t>Valuation technique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29210</wp:posOffset>
            </wp:positionV>
            <wp:extent cx="26828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9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005A64"/>
        </w:rPr>
        <w:t>Discounted cash flow using par method. Expected future cash flows based on foreign exchange forwards discounted over the respective remaining term of the contracts using the respective deposit interest rates and spot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-1270</wp:posOffset>
            </wp:positionV>
            <wp:extent cx="26828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4"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005A64"/>
        </w:rPr>
        <w:t>Quantitative and qualitative factors such as actual and forecasted results, cash position and financing round 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26828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98" w:lineRule="exact"/>
        <w:rPr>
          <w:sz w:val="20"/>
          <w:szCs w:val="20"/>
          <w:color w:val="auto"/>
        </w:rPr>
      </w:pPr>
    </w:p>
    <w:p>
      <w:pPr>
        <w:jc w:val="both"/>
        <w:ind w:right="380"/>
        <w:spacing w:after="0" w:line="299" w:lineRule="auto"/>
        <w:rPr>
          <w:sz w:val="20"/>
          <w:szCs w:val="20"/>
          <w:color w:val="auto"/>
        </w:rPr>
      </w:pPr>
      <w:r>
        <w:rPr>
          <w:rFonts w:ascii="Arial" w:cs="Arial" w:eastAsia="Arial" w:hAnsi="Arial"/>
          <w:sz w:val="16"/>
          <w:szCs w:val="16"/>
          <w:color w:val="005A64"/>
        </w:rPr>
        <w:t>Stock prices of the listed companies and applicable exchange rates, if the listing is in a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26828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005A64"/>
        </w:rPr>
        <w:t>Quoted prices on an active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29210</wp:posOffset>
            </wp:positionV>
            <wp:extent cx="26828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53" w:lineRule="exact"/>
        <w:rPr>
          <w:sz w:val="20"/>
          <w:szCs w:val="20"/>
          <w:color w:val="auto"/>
        </w:rPr>
      </w:pPr>
    </w:p>
    <w:p>
      <w:pPr>
        <w:spacing w:after="0" w:line="275" w:lineRule="auto"/>
        <w:rPr>
          <w:sz w:val="20"/>
          <w:szCs w:val="20"/>
          <w:color w:val="auto"/>
        </w:rPr>
      </w:pPr>
      <w:r>
        <w:rPr>
          <w:rFonts w:ascii="Arial" w:cs="Arial" w:eastAsia="Arial" w:hAnsi="Arial"/>
          <w:sz w:val="16"/>
          <w:szCs w:val="16"/>
          <w:color w:val="005A64"/>
        </w:rPr>
        <w:t>Present value of expected future payments and reflecting changes in expected achievement of underlying performance parameters and compounding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wp:posOffset>
            </wp:positionV>
            <wp:extent cx="26828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005A64"/>
        </w:rPr>
        <w:t>Present value of expected future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26828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right="1780"/>
        <w:spacing w:after="0" w:line="427" w:lineRule="auto"/>
        <w:rPr>
          <w:sz w:val="20"/>
          <w:szCs w:val="20"/>
          <w:color w:val="auto"/>
        </w:rPr>
      </w:pPr>
      <w:r>
        <w:rPr>
          <w:rFonts w:ascii="Arial" w:cs="Arial" w:eastAsia="Arial" w:hAnsi="Arial"/>
          <w:sz w:val="16"/>
          <w:szCs w:val="16"/>
          <w:b w:val="1"/>
          <w:bCs w:val="1"/>
          <w:color w:val="005A64"/>
        </w:rPr>
        <w:t xml:space="preserve">Significant unobservable inputs </w:t>
      </w:r>
      <w:r>
        <w:rPr>
          <w:rFonts w:ascii="Arial" w:cs="Arial" w:eastAsia="Arial" w:hAnsi="Arial"/>
          <w:sz w:val="16"/>
          <w:szCs w:val="16"/>
          <w:color w:val="005A64"/>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415925</wp:posOffset>
            </wp:positionV>
            <wp:extent cx="26917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9176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-269240</wp:posOffset>
            </wp:positionV>
            <wp:extent cx="26917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005A64"/>
        </w:rPr>
        <w:t>– Actual and forecasted results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005A64"/>
        </w:rPr>
        <w:t>– Net Asset Value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005A64"/>
        </w:rPr>
        <w:t>– Cash position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5A64"/>
        </w:rPr>
        <w:t>– Nature and pricing indication of latest financing 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27940</wp:posOffset>
            </wp:positionV>
            <wp:extent cx="26917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005A64"/>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158115</wp:posOffset>
            </wp:positionV>
            <wp:extent cx="26917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005A64"/>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29210</wp:posOffset>
            </wp:positionV>
            <wp:extent cx="26917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5A64"/>
        </w:rPr>
        <w:t>– Expected future payments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005A64"/>
        </w:rPr>
        <w:t>– Applied cost of capital</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005A64"/>
        </w:rPr>
        <w:t>– Expected future cash flows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005A64"/>
        </w:rPr>
        <w:t>– Applied cost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26917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9176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-269240</wp:posOffset>
            </wp:positionV>
            <wp:extent cx="26917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140" w:space="480"/>
            <w:col w:w="4100" w:space="280"/>
            <w:col w:w="4240"/>
          </w:cols>
          <w:pgMar w:left="320" w:top="341" w:right="33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Recurring Fair Values (Level 3)</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shows the recurring fair value measurement of contingent consideration and royalty assets as well as the effect of the measurements on our unaudited interim condensed consolidated statements of profit or loss for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08088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40716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5A64"/>
        </w:rPr>
        <w:t>As of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71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005A64"/>
        </w:rPr>
        <w:t>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716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C9673"/>
        </w:rPr>
        <w:t>Net effect on profit or loss - Finance income /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71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005A64"/>
        </w:rPr>
        <w:t>Net 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716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5A64"/>
        </w:rPr>
        <w:t>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71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5A64"/>
        </w:rPr>
        <w:t>As of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716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5A64"/>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29210</wp:posOffset>
            </wp:positionV>
            <wp:extent cx="13798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5A64"/>
        </w:rPr>
        <w:t>Royalty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29210</wp:posOffset>
            </wp:positionV>
            <wp:extent cx="13798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5A6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29210</wp:posOffset>
            </wp:positionV>
            <wp:extent cx="13798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5A6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192405</wp:posOffset>
            </wp:positionV>
            <wp:extent cx="13798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9855"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29210</wp:posOffset>
            </wp:positionV>
            <wp:extent cx="13798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09" w:lineRule="exact"/>
        <w:rPr>
          <w:sz w:val="20"/>
          <w:szCs w:val="20"/>
          <w:color w:val="auto"/>
        </w:rPr>
      </w:pPr>
    </w:p>
    <w:p>
      <w:pPr>
        <w:ind w:left="1080"/>
        <w:spacing w:after="0"/>
        <w:rPr>
          <w:sz w:val="20"/>
          <w:szCs w:val="20"/>
          <w:color w:val="auto"/>
        </w:rPr>
      </w:pPr>
      <w:r>
        <w:rPr>
          <w:rFonts w:ascii="Arial" w:cs="Arial" w:eastAsia="Arial" w:hAnsi="Arial"/>
          <w:sz w:val="16"/>
          <w:szCs w:val="16"/>
          <w:color w:val="005A6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29210</wp:posOffset>
            </wp:positionV>
            <wp:extent cx="13798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005A6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29210</wp:posOffset>
            </wp:positionV>
            <wp:extent cx="13798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005A64"/>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jc w:val="right"/>
        <w:ind w:right="100"/>
        <w:spacing w:after="0"/>
        <w:rPr>
          <w:sz w:val="20"/>
          <w:szCs w:val="20"/>
          <w:color w:val="auto"/>
        </w:rPr>
      </w:pPr>
      <w:r>
        <w:rPr>
          <w:rFonts w:ascii="Arial" w:cs="Arial" w:eastAsia="Arial" w:hAnsi="Arial"/>
          <w:sz w:val="16"/>
          <w:szCs w:val="16"/>
          <w:b w:val="1"/>
          <w:bCs w:val="1"/>
          <w:color w:val="005A64"/>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29210</wp:posOffset>
            </wp:positionV>
            <wp:extent cx="13887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53" w:lineRule="exact"/>
        <w:rPr>
          <w:sz w:val="20"/>
          <w:szCs w:val="20"/>
          <w:color w:val="auto"/>
        </w:rPr>
      </w:pPr>
    </w:p>
    <w:p>
      <w:pPr>
        <w:jc w:val="right"/>
        <w:ind w:right="100"/>
        <w:spacing w:after="0"/>
        <w:rPr>
          <w:sz w:val="20"/>
          <w:szCs w:val="20"/>
          <w:color w:val="auto"/>
        </w:rPr>
      </w:pPr>
      <w:r>
        <w:rPr>
          <w:rFonts w:ascii="Arial" w:cs="Arial" w:eastAsia="Arial" w:hAnsi="Arial"/>
          <w:sz w:val="16"/>
          <w:szCs w:val="16"/>
          <w:b w:val="1"/>
          <w:bCs w:val="1"/>
          <w:color w:val="005A64"/>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29210</wp:posOffset>
            </wp:positionV>
            <wp:extent cx="13887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53" w:lineRule="exact"/>
        <w:rPr>
          <w:sz w:val="20"/>
          <w:szCs w:val="20"/>
          <w:color w:val="auto"/>
        </w:rPr>
      </w:pPr>
    </w:p>
    <w:p>
      <w:pPr>
        <w:jc w:val="right"/>
        <w:ind w:right="100"/>
        <w:spacing w:after="0"/>
        <w:rPr>
          <w:sz w:val="20"/>
          <w:szCs w:val="20"/>
          <w:color w:val="auto"/>
        </w:rPr>
      </w:pPr>
      <w:r>
        <w:rPr>
          <w:rFonts w:ascii="Arial" w:cs="Arial" w:eastAsia="Arial" w:hAnsi="Arial"/>
          <w:sz w:val="16"/>
          <w:szCs w:val="16"/>
          <w:b w:val="1"/>
          <w:bCs w:val="1"/>
          <w:color w:val="005A64"/>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29210</wp:posOffset>
            </wp:positionV>
            <wp:extent cx="13887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5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005A6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192405</wp:posOffset>
            </wp:positionV>
            <wp:extent cx="13887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88745" cy="8890"/>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29210</wp:posOffset>
            </wp:positionV>
            <wp:extent cx="13887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309"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005A6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29210</wp:posOffset>
            </wp:positionV>
            <wp:extent cx="13887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53" w:lineRule="exact"/>
        <w:rPr>
          <w:sz w:val="20"/>
          <w:szCs w:val="20"/>
          <w:color w:val="auto"/>
        </w:rPr>
      </w:pPr>
    </w:p>
    <w:p>
      <w:pPr>
        <w:jc w:val="right"/>
        <w:ind w:right="100"/>
        <w:spacing w:after="0"/>
        <w:rPr>
          <w:sz w:val="20"/>
          <w:szCs w:val="20"/>
          <w:color w:val="auto"/>
        </w:rPr>
      </w:pPr>
      <w:r>
        <w:rPr>
          <w:rFonts w:ascii="Arial" w:cs="Arial" w:eastAsia="Arial" w:hAnsi="Arial"/>
          <w:sz w:val="16"/>
          <w:szCs w:val="16"/>
          <w:b w:val="1"/>
          <w:bCs w:val="1"/>
          <w:color w:val="005A64"/>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29210</wp:posOffset>
            </wp:positionV>
            <wp:extent cx="13887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53" w:lineRule="exact"/>
        <w:rPr>
          <w:sz w:val="20"/>
          <w:szCs w:val="20"/>
          <w:color w:val="auto"/>
        </w:rPr>
      </w:pPr>
    </w:p>
    <w:p>
      <w:pPr>
        <w:jc w:val="right"/>
        <w:ind w:right="100"/>
        <w:spacing w:after="0"/>
        <w:rPr>
          <w:sz w:val="20"/>
          <w:szCs w:val="20"/>
          <w:color w:val="auto"/>
        </w:rPr>
      </w:pPr>
      <w:r>
        <w:rPr>
          <w:rFonts w:ascii="Arial" w:cs="Arial" w:eastAsia="Arial" w:hAnsi="Arial"/>
          <w:sz w:val="16"/>
          <w:szCs w:val="16"/>
          <w:b w:val="1"/>
          <w:bCs w:val="1"/>
          <w:color w:val="005A64"/>
        </w:rPr>
        <w:t>(38.8)</w:t>
      </w:r>
    </w:p>
    <w:p>
      <w:pPr>
        <w:spacing w:after="0" w:line="39" w:lineRule="exact"/>
        <w:rPr>
          <w:sz w:val="20"/>
          <w:szCs w:val="20"/>
          <w:color w:val="auto"/>
        </w:rPr>
      </w:pPr>
    </w:p>
    <w:p>
      <w:pPr>
        <w:sectPr>
          <w:pgSz w:w="11900" w:h="16838" w:orient="portrait"/>
          <w:cols w:equalWidth="0" w:num="3">
            <w:col w:w="6800" w:space="720"/>
            <w:col w:w="1240" w:space="420"/>
            <w:col w:w="2060"/>
          </w:cols>
          <w:pgMar w:left="320" w:top="341" w:right="339" w:bottom="1440" w:gutter="0" w:footer="0" w:header="0"/>
          <w:type w:val="continuous"/>
        </w:sectPr>
      </w:pPr>
    </w:p>
    <w:p>
      <w:pPr>
        <w:spacing w:after="0" w:line="34" w:lineRule="exact"/>
        <w:rPr>
          <w:sz w:val="20"/>
          <w:szCs w:val="20"/>
          <w:color w:val="auto"/>
        </w:rPr>
      </w:pPr>
    </w:p>
    <w:p>
      <w:pPr>
        <w:ind w:left="140"/>
        <w:spacing w:after="0"/>
        <w:rPr>
          <w:sz w:val="20"/>
          <w:szCs w:val="20"/>
          <w:color w:val="auto"/>
        </w:rPr>
      </w:pPr>
      <w:r>
        <w:rPr>
          <w:rFonts w:ascii="Arial" w:cs="Arial" w:eastAsia="Arial" w:hAnsi="Arial"/>
          <w:sz w:val="16"/>
          <w:szCs w:val="16"/>
          <w:color w:val="005A64"/>
        </w:rPr>
        <w:t>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71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005A64"/>
        </w:rPr>
        <w:t>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716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C9673"/>
        </w:rPr>
        <w:t>Net effect on profit or loss - Finance income /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716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005A64"/>
        </w:rPr>
        <w:t>Net 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71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C9673"/>
        </w:rPr>
        <w:t>Net deferred effects on other non-financial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71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005A64"/>
        </w:rPr>
        <w:t>Net 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716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5A64"/>
        </w:rPr>
        <w:t>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716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38"/>
        </w:trPr>
        <w:tc>
          <w:tcPr>
            <w:tcW w:w="80" w:type="dxa"/>
            <w:vAlign w:val="bottom"/>
            <w:tcBorders>
              <w:top w:val="single" w:sz="8" w:color="BECD32"/>
              <w:left w:val="single" w:sz="8" w:color="BECD32"/>
            </w:tcBorders>
          </w:tcPr>
          <w:p>
            <w:pPr>
              <w:spacing w:after="0"/>
              <w:rPr>
                <w:sz w:val="20"/>
                <w:szCs w:val="20"/>
                <w:color w:val="auto"/>
              </w:rPr>
            </w:pPr>
          </w:p>
        </w:tc>
        <w:tc>
          <w:tcPr>
            <w:tcW w:w="2180" w:type="dxa"/>
            <w:vAlign w:val="bottom"/>
            <w:tcBorders>
              <w:top w:val="single" w:sz="8" w:color="BECD32"/>
              <w:bottom w:val="single" w:sz="8" w:color="7FACB1"/>
            </w:tcBorders>
          </w:tcPr>
          <w:p>
            <w:pPr>
              <w:jc w:val="right"/>
              <w:spacing w:after="0"/>
              <w:rPr>
                <w:sz w:val="20"/>
                <w:szCs w:val="20"/>
                <w:color w:val="auto"/>
              </w:rPr>
            </w:pPr>
            <w:r>
              <w:rPr>
                <w:rFonts w:ascii="Arial" w:cs="Arial" w:eastAsia="Arial" w:hAnsi="Arial"/>
                <w:sz w:val="16"/>
                <w:szCs w:val="16"/>
                <w:color w:val="005A64"/>
              </w:rPr>
              <w:t>37.7</w:t>
            </w:r>
          </w:p>
        </w:tc>
        <w:tc>
          <w:tcPr>
            <w:tcW w:w="200" w:type="dxa"/>
            <w:vAlign w:val="bottom"/>
            <w:tcBorders>
              <w:top w:val="single" w:sz="8" w:color="BECD32"/>
            </w:tcBorders>
          </w:tcPr>
          <w:p>
            <w:pPr>
              <w:spacing w:after="0"/>
              <w:rPr>
                <w:sz w:val="20"/>
                <w:szCs w:val="20"/>
                <w:color w:val="auto"/>
              </w:rPr>
            </w:pPr>
          </w:p>
        </w:tc>
        <w:tc>
          <w:tcPr>
            <w:tcW w:w="2200" w:type="dxa"/>
            <w:vAlign w:val="bottom"/>
            <w:tcBorders>
              <w:top w:val="single" w:sz="8" w:color="BECD32"/>
              <w:bottom w:val="single" w:sz="8" w:color="7FACB1"/>
              <w:right w:val="single" w:sz="8" w:color="BECD32"/>
            </w:tcBorders>
          </w:tcPr>
          <w:p>
            <w:pPr>
              <w:jc w:val="right"/>
              <w:spacing w:after="0"/>
              <w:rPr>
                <w:sz w:val="20"/>
                <w:szCs w:val="20"/>
                <w:color w:val="auto"/>
              </w:rPr>
            </w:pPr>
            <w:r>
              <w:rPr>
                <w:rFonts w:ascii="Arial" w:cs="Arial" w:eastAsia="Arial" w:hAnsi="Arial"/>
                <w:sz w:val="16"/>
                <w:szCs w:val="16"/>
                <w:color w:val="005A64"/>
              </w:rPr>
              <w:t>—</w:t>
            </w:r>
          </w:p>
        </w:tc>
      </w:tr>
      <w:tr>
        <w:trPr>
          <w:trHeight w:val="236"/>
        </w:trPr>
        <w:tc>
          <w:tcPr>
            <w:tcW w:w="80" w:type="dxa"/>
            <w:vAlign w:val="bottom"/>
            <w:tcBorders>
              <w:left w:val="single" w:sz="8" w:color="BECD32"/>
            </w:tcBorders>
          </w:tcPr>
          <w:p>
            <w:pPr>
              <w:spacing w:after="0"/>
              <w:rPr>
                <w:sz w:val="20"/>
                <w:szCs w:val="20"/>
                <w:color w:val="auto"/>
              </w:rPr>
            </w:pPr>
          </w:p>
        </w:tc>
        <w:tc>
          <w:tcPr>
            <w:tcW w:w="2380" w:type="dxa"/>
            <w:vAlign w:val="bottom"/>
            <w:gridSpan w:val="2"/>
          </w:tcPr>
          <w:p>
            <w:pPr>
              <w:jc w:val="right"/>
              <w:ind w:right="220"/>
              <w:spacing w:after="0"/>
              <w:rPr>
                <w:sz w:val="20"/>
                <w:szCs w:val="20"/>
                <w:color w:val="auto"/>
              </w:rPr>
            </w:pPr>
            <w:r>
              <w:rPr>
                <w:rFonts w:ascii="Arial" w:cs="Arial" w:eastAsia="Arial" w:hAnsi="Arial"/>
                <w:sz w:val="16"/>
                <w:szCs w:val="16"/>
                <w:color w:val="005A64"/>
              </w:rPr>
              <w:t>—</w:t>
            </w:r>
          </w:p>
        </w:tc>
        <w:tc>
          <w:tcPr>
            <w:tcW w:w="2200" w:type="dxa"/>
            <w:vAlign w:val="bottom"/>
            <w:tcBorders>
              <w:right w:val="single" w:sz="8" w:color="BECD32"/>
            </w:tcBorders>
          </w:tcPr>
          <w:p>
            <w:pPr>
              <w:jc w:val="right"/>
              <w:spacing w:after="0"/>
              <w:rPr>
                <w:sz w:val="20"/>
                <w:szCs w:val="20"/>
                <w:color w:val="auto"/>
              </w:rPr>
            </w:pPr>
            <w:r>
              <w:rPr>
                <w:rFonts w:ascii="Arial" w:cs="Arial" w:eastAsia="Arial" w:hAnsi="Arial"/>
                <w:sz w:val="16"/>
                <w:szCs w:val="16"/>
                <w:color w:val="005A64"/>
              </w:rPr>
              <w:t>—</w:t>
            </w:r>
          </w:p>
        </w:tc>
      </w:tr>
      <w:tr>
        <w:trPr>
          <w:trHeight w:val="243"/>
        </w:trPr>
        <w:tc>
          <w:tcPr>
            <w:tcW w:w="80" w:type="dxa"/>
            <w:vAlign w:val="bottom"/>
            <w:tcBorders>
              <w:left w:val="single" w:sz="8" w:color="BECD32"/>
            </w:tcBorders>
          </w:tcPr>
          <w:p>
            <w:pPr>
              <w:spacing w:after="0"/>
              <w:rPr>
                <w:sz w:val="21"/>
                <w:szCs w:val="21"/>
                <w:color w:val="auto"/>
              </w:rPr>
            </w:pPr>
          </w:p>
        </w:tc>
        <w:tc>
          <w:tcPr>
            <w:tcW w:w="2180" w:type="dxa"/>
            <w:vAlign w:val="bottom"/>
            <w:tcBorders>
              <w:top w:val="single" w:sz="8" w:color="7FACB1"/>
              <w:bottom w:val="single" w:sz="8" w:color="7FACB1"/>
            </w:tcBorders>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tcBorders>
              <w:top w:val="single" w:sz="8" w:color="7FACB1"/>
              <w:bottom w:val="single" w:sz="8" w:color="7FACB1"/>
              <w:right w:val="single" w:sz="8" w:color="BECD32"/>
            </w:tcBorders>
          </w:tcPr>
          <w:p>
            <w:pPr>
              <w:spacing w:after="0"/>
              <w:rPr>
                <w:sz w:val="21"/>
                <w:szCs w:val="21"/>
                <w:color w:val="auto"/>
              </w:rPr>
            </w:pPr>
          </w:p>
        </w:tc>
      </w:tr>
      <w:tr>
        <w:trPr>
          <w:trHeight w:val="230"/>
        </w:trPr>
        <w:tc>
          <w:tcPr>
            <w:tcW w:w="80" w:type="dxa"/>
            <w:vAlign w:val="bottom"/>
            <w:tcBorders>
              <w:left w:val="single" w:sz="8" w:color="BECD32"/>
            </w:tcBorders>
          </w:tcPr>
          <w:p>
            <w:pPr>
              <w:spacing w:after="0"/>
              <w:rPr>
                <w:sz w:val="20"/>
                <w:szCs w:val="20"/>
                <w:color w:val="auto"/>
              </w:rPr>
            </w:pPr>
          </w:p>
        </w:tc>
        <w:tc>
          <w:tcPr>
            <w:tcW w:w="2380" w:type="dxa"/>
            <w:vAlign w:val="bottom"/>
            <w:gridSpan w:val="2"/>
          </w:tcPr>
          <w:p>
            <w:pPr>
              <w:jc w:val="right"/>
              <w:ind w:right="220"/>
              <w:spacing w:after="0"/>
              <w:rPr>
                <w:sz w:val="20"/>
                <w:szCs w:val="20"/>
                <w:color w:val="auto"/>
              </w:rPr>
            </w:pPr>
            <w:r>
              <w:rPr>
                <w:rFonts w:ascii="Arial" w:cs="Arial" w:eastAsia="Arial" w:hAnsi="Arial"/>
                <w:sz w:val="16"/>
                <w:szCs w:val="16"/>
                <w:color w:val="005A64"/>
              </w:rPr>
              <w:t>—</w:t>
            </w:r>
          </w:p>
        </w:tc>
        <w:tc>
          <w:tcPr>
            <w:tcW w:w="2200" w:type="dxa"/>
            <w:vAlign w:val="bottom"/>
            <w:tcBorders>
              <w:right w:val="single" w:sz="8" w:color="BECD32"/>
            </w:tcBorders>
          </w:tcPr>
          <w:p>
            <w:pPr>
              <w:jc w:val="right"/>
              <w:spacing w:after="0"/>
              <w:rPr>
                <w:sz w:val="20"/>
                <w:szCs w:val="20"/>
                <w:color w:val="auto"/>
              </w:rPr>
            </w:pPr>
            <w:r>
              <w:rPr>
                <w:rFonts w:ascii="Arial" w:cs="Arial" w:eastAsia="Arial" w:hAnsi="Arial"/>
                <w:sz w:val="16"/>
                <w:szCs w:val="16"/>
                <w:color w:val="005A64"/>
              </w:rPr>
              <w:t>(3.3)</w:t>
            </w:r>
          </w:p>
        </w:tc>
      </w:tr>
      <w:tr>
        <w:trPr>
          <w:trHeight w:val="243"/>
        </w:trPr>
        <w:tc>
          <w:tcPr>
            <w:tcW w:w="80" w:type="dxa"/>
            <w:vAlign w:val="bottom"/>
            <w:tcBorders>
              <w:left w:val="single" w:sz="8" w:color="BECD32"/>
            </w:tcBorders>
          </w:tcPr>
          <w:p>
            <w:pPr>
              <w:spacing w:after="0"/>
              <w:rPr>
                <w:sz w:val="21"/>
                <w:szCs w:val="21"/>
                <w:color w:val="auto"/>
              </w:rPr>
            </w:pPr>
          </w:p>
        </w:tc>
        <w:tc>
          <w:tcPr>
            <w:tcW w:w="2180" w:type="dxa"/>
            <w:vAlign w:val="bottom"/>
            <w:tcBorders>
              <w:top w:val="single" w:sz="8" w:color="7FACB1"/>
              <w:bottom w:val="single" w:sz="8" w:color="7FACB1"/>
            </w:tcBorders>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tcBorders>
              <w:top w:val="single" w:sz="8" w:color="7FACB1"/>
              <w:bottom w:val="single" w:sz="8" w:color="7FACB1"/>
              <w:right w:val="single" w:sz="8" w:color="BECD32"/>
            </w:tcBorders>
          </w:tcPr>
          <w:p>
            <w:pPr>
              <w:spacing w:after="0"/>
              <w:rPr>
                <w:sz w:val="21"/>
                <w:szCs w:val="21"/>
                <w:color w:val="auto"/>
              </w:rPr>
            </w:pPr>
          </w:p>
        </w:tc>
      </w:tr>
      <w:tr>
        <w:trPr>
          <w:trHeight w:val="230"/>
        </w:trPr>
        <w:tc>
          <w:tcPr>
            <w:tcW w:w="80" w:type="dxa"/>
            <w:vAlign w:val="bottom"/>
            <w:tcBorders>
              <w:left w:val="single" w:sz="8" w:color="BECD32"/>
            </w:tcBorders>
          </w:tcPr>
          <w:p>
            <w:pPr>
              <w:spacing w:after="0"/>
              <w:rPr>
                <w:sz w:val="20"/>
                <w:szCs w:val="20"/>
                <w:color w:val="auto"/>
              </w:rPr>
            </w:pPr>
          </w:p>
        </w:tc>
        <w:tc>
          <w:tcPr>
            <w:tcW w:w="21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5.7</w:t>
            </w:r>
          </w:p>
        </w:tc>
        <w:tc>
          <w:tcPr>
            <w:tcW w:w="200" w:type="dxa"/>
            <w:vAlign w:val="bottom"/>
          </w:tcPr>
          <w:p>
            <w:pPr>
              <w:spacing w:after="0"/>
              <w:rPr>
                <w:sz w:val="20"/>
                <w:szCs w:val="20"/>
                <w:color w:val="auto"/>
              </w:rPr>
            </w:pPr>
          </w:p>
        </w:tc>
        <w:tc>
          <w:tcPr>
            <w:tcW w:w="2200" w:type="dxa"/>
            <w:vAlign w:val="bottom"/>
            <w:tcBorders>
              <w:bottom w:val="single" w:sz="8" w:color="7FACB1"/>
              <w:right w:val="single" w:sz="8" w:color="BECD32"/>
            </w:tcBorders>
          </w:tcPr>
          <w:p>
            <w:pPr>
              <w:jc w:val="right"/>
              <w:spacing w:after="0"/>
              <w:rPr>
                <w:sz w:val="20"/>
                <w:szCs w:val="20"/>
                <w:color w:val="auto"/>
              </w:rPr>
            </w:pPr>
            <w:r>
              <w:rPr>
                <w:rFonts w:ascii="Arial" w:cs="Arial" w:eastAsia="Arial" w:hAnsi="Arial"/>
                <w:sz w:val="16"/>
                <w:szCs w:val="16"/>
                <w:color w:val="005A64"/>
              </w:rPr>
              <w:t>—</w:t>
            </w:r>
          </w:p>
        </w:tc>
      </w:tr>
      <w:tr>
        <w:trPr>
          <w:trHeight w:val="239"/>
        </w:trPr>
        <w:tc>
          <w:tcPr>
            <w:tcW w:w="2260" w:type="dxa"/>
            <w:vAlign w:val="bottom"/>
            <w:tcBorders>
              <w:left w:val="single" w:sz="8" w:color="BECD32"/>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43.4</w:t>
            </w:r>
          </w:p>
        </w:tc>
        <w:tc>
          <w:tcPr>
            <w:tcW w:w="200" w:type="dxa"/>
            <w:vAlign w:val="bottom"/>
            <w:tcBorders>
              <w:bottom w:val="single" w:sz="8" w:color="BECD32"/>
            </w:tcBorders>
          </w:tcPr>
          <w:p>
            <w:pPr>
              <w:spacing w:after="0"/>
              <w:rPr>
                <w:sz w:val="20"/>
                <w:szCs w:val="20"/>
                <w:color w:val="auto"/>
              </w:rPr>
            </w:pPr>
          </w:p>
        </w:tc>
        <w:tc>
          <w:tcPr>
            <w:tcW w:w="2200" w:type="dxa"/>
            <w:vAlign w:val="bottom"/>
            <w:tcBorders>
              <w:bottom w:val="single" w:sz="8" w:color="BECD32"/>
              <w:right w:val="single" w:sz="8" w:color="BECD32"/>
            </w:tcBorders>
          </w:tcPr>
          <w:p>
            <w:pPr>
              <w:jc w:val="right"/>
              <w:spacing w:after="0"/>
              <w:rPr>
                <w:sz w:val="20"/>
                <w:szCs w:val="20"/>
                <w:color w:val="auto"/>
              </w:rPr>
            </w:pPr>
            <w:r>
              <w:rPr>
                <w:rFonts w:ascii="Arial" w:cs="Arial" w:eastAsia="Arial" w:hAnsi="Arial"/>
                <w:sz w:val="16"/>
                <w:szCs w:val="16"/>
                <w:b w:val="1"/>
                <w:bCs w:val="1"/>
                <w:color w:val="005A64"/>
              </w:rPr>
              <w:t>(42.1)</w:t>
            </w:r>
          </w:p>
        </w:tc>
      </w:tr>
    </w:tbl>
    <w:p>
      <w:pPr>
        <w:spacing w:after="0" w:line="200" w:lineRule="exact"/>
        <w:rPr>
          <w:sz w:val="20"/>
          <w:szCs w:val="20"/>
          <w:color w:val="auto"/>
        </w:rPr>
      </w:pPr>
    </w:p>
    <w:p>
      <w:pPr>
        <w:sectPr>
          <w:pgSz w:w="11900" w:h="16838" w:orient="portrait"/>
          <w:cols w:equalWidth="0" w:num="2">
            <w:col w:w="5800" w:space="720"/>
            <w:col w:w="4720"/>
          </w:cols>
          <w:pgMar w:left="320" w:top="3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341"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sensitivity of the fair values of contingent consideration to the significant, unobservable, variable input factors, with all other factors remaining constant, is shown in the following table: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2343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00" w:type="dxa"/>
            <w:vAlign w:val="bottom"/>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80" w:type="dxa"/>
            <w:vAlign w:val="bottom"/>
            <w:tcBorders>
              <w:top w:val="single" w:sz="8" w:color="BECD32"/>
            </w:tcBorders>
          </w:tcPr>
          <w:p>
            <w:pPr>
              <w:spacing w:after="0"/>
              <w:rPr>
                <w:sz w:val="17"/>
                <w:szCs w:val="17"/>
                <w:color w:val="auto"/>
              </w:rPr>
            </w:pPr>
          </w:p>
        </w:tc>
        <w:tc>
          <w:tcPr>
            <w:tcW w:w="1760" w:type="dxa"/>
            <w:vAlign w:val="bottom"/>
            <w:tcBorders>
              <w:top w:val="single" w:sz="8" w:color="BECD32"/>
            </w:tcBorders>
          </w:tcPr>
          <w:p>
            <w:pPr>
              <w:spacing w:after="0"/>
              <w:rPr>
                <w:sz w:val="17"/>
                <w:szCs w:val="17"/>
                <w:color w:val="auto"/>
              </w:rPr>
            </w:pPr>
          </w:p>
        </w:tc>
        <w:tc>
          <w:tcPr>
            <w:tcW w:w="120" w:type="dxa"/>
            <w:vAlign w:val="bottom"/>
            <w:tcBorders>
              <w:top w:val="single" w:sz="8" w:color="BECD32"/>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5A64"/>
              </w:rPr>
              <w:t>Change in fair value with</w:t>
            </w:r>
          </w:p>
        </w:tc>
        <w:tc>
          <w:tcPr>
            <w:tcW w:w="2700" w:type="dxa"/>
            <w:vAlign w:val="bottom"/>
          </w:tcPr>
          <w:p>
            <w:pPr>
              <w:jc w:val="right"/>
              <w:spacing w:after="0"/>
              <w:rPr>
                <w:sz w:val="20"/>
                <w:szCs w:val="20"/>
                <w:color w:val="auto"/>
              </w:rPr>
            </w:pPr>
            <w:r>
              <w:rPr>
                <w:rFonts w:ascii="Arial" w:cs="Arial" w:eastAsia="Arial" w:hAnsi="Arial"/>
                <w:sz w:val="16"/>
                <w:szCs w:val="16"/>
                <w:b w:val="1"/>
                <w:bCs w:val="1"/>
                <w:color w:val="005A64"/>
              </w:rPr>
              <w:t>Change in fair value with</w:t>
            </w:r>
          </w:p>
        </w:tc>
      </w:tr>
      <w:tr>
        <w:trPr>
          <w:trHeight w:val="189"/>
        </w:trPr>
        <w:tc>
          <w:tcPr>
            <w:tcW w:w="3500" w:type="dxa"/>
            <w:vAlign w:val="bottom"/>
          </w:tcPr>
          <w:p>
            <w:pPr>
              <w:spacing w:after="0"/>
              <w:rPr>
                <w:sz w:val="16"/>
                <w:szCs w:val="16"/>
                <w:color w:val="auto"/>
              </w:rPr>
            </w:pPr>
          </w:p>
        </w:tc>
        <w:tc>
          <w:tcPr>
            <w:tcW w:w="12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Borders>
              <w:right w:val="single" w:sz="8" w:color="BECD32"/>
            </w:tcBorders>
            <w:gridSpan w:val="2"/>
          </w:tcPr>
          <w:p>
            <w:pPr>
              <w:jc w:val="right"/>
              <w:ind w:right="140"/>
              <w:spacing w:after="0"/>
              <w:rPr>
                <w:sz w:val="20"/>
                <w:szCs w:val="20"/>
                <w:color w:val="auto"/>
              </w:rPr>
            </w:pPr>
            <w:r>
              <w:rPr>
                <w:rFonts w:ascii="Arial" w:cs="Arial" w:eastAsia="Arial" w:hAnsi="Arial"/>
                <w:sz w:val="16"/>
                <w:szCs w:val="16"/>
                <w:b w:val="1"/>
                <w:bCs w:val="1"/>
                <w:color w:val="005A64"/>
              </w:rPr>
              <w:t>Change in</w:t>
            </w:r>
          </w:p>
        </w:tc>
        <w:tc>
          <w:tcPr>
            <w:tcW w:w="80" w:type="dxa"/>
            <w:vAlign w:val="bottom"/>
          </w:tcPr>
          <w:p>
            <w:pPr>
              <w:spacing w:after="0"/>
              <w:rPr>
                <w:sz w:val="16"/>
                <w:szCs w:val="16"/>
                <w:color w:val="auto"/>
              </w:rPr>
            </w:pPr>
          </w:p>
        </w:tc>
        <w:tc>
          <w:tcPr>
            <w:tcW w:w="28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5A64"/>
              </w:rPr>
              <w:t>increasing input factor (in millions</w:t>
            </w:r>
          </w:p>
        </w:tc>
        <w:tc>
          <w:tcPr>
            <w:tcW w:w="2700" w:type="dxa"/>
            <w:vAlign w:val="bottom"/>
          </w:tcPr>
          <w:p>
            <w:pPr>
              <w:jc w:val="right"/>
              <w:spacing w:after="0"/>
              <w:rPr>
                <w:sz w:val="20"/>
                <w:szCs w:val="20"/>
                <w:color w:val="auto"/>
              </w:rPr>
            </w:pPr>
            <w:r>
              <w:rPr>
                <w:rFonts w:ascii="Arial" w:cs="Arial" w:eastAsia="Arial" w:hAnsi="Arial"/>
                <w:sz w:val="16"/>
                <w:szCs w:val="16"/>
                <w:b w:val="1"/>
                <w:bCs w:val="1"/>
                <w:color w:val="005A64"/>
              </w:rPr>
              <w:t>decreasing input factor (in</w:t>
            </w:r>
          </w:p>
        </w:tc>
      </w:tr>
      <w:tr>
        <w:trPr>
          <w:trHeight w:val="240"/>
        </w:trPr>
        <w:tc>
          <w:tcPr>
            <w:tcW w:w="350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Input factor</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assumptions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w:t>
            </w:r>
          </w:p>
        </w:tc>
        <w:tc>
          <w:tcPr>
            <w:tcW w:w="180" w:type="dxa"/>
            <w:vAlign w:val="bottom"/>
          </w:tcPr>
          <w:p>
            <w:pPr>
              <w:spacing w:after="0"/>
              <w:rPr>
                <w:sz w:val="20"/>
                <w:szCs w:val="20"/>
                <w:color w:val="auto"/>
              </w:rPr>
            </w:pPr>
          </w:p>
        </w:tc>
        <w:tc>
          <w:tcPr>
            <w:tcW w:w="270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millions €)</w:t>
            </w:r>
          </w:p>
        </w:tc>
      </w:tr>
      <w:tr>
        <w:trPr>
          <w:trHeight w:val="234"/>
        </w:trPr>
        <w:tc>
          <w:tcPr>
            <w:tcW w:w="350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Cash flow projections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10 %</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4.2</w:t>
            </w:r>
          </w:p>
        </w:tc>
        <w:tc>
          <w:tcPr>
            <w:tcW w:w="180" w:type="dxa"/>
            <w:vAlign w:val="bottom"/>
          </w:tcPr>
          <w:p>
            <w:pPr>
              <w:spacing w:after="0"/>
              <w:rPr>
                <w:sz w:val="20"/>
                <w:szCs w:val="20"/>
                <w:color w:val="auto"/>
              </w:rPr>
            </w:pPr>
          </w:p>
        </w:tc>
        <w:tc>
          <w:tcPr>
            <w:tcW w:w="27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(4.2)</w:t>
            </w:r>
          </w:p>
        </w:tc>
      </w:tr>
      <w:tr>
        <w:trPr>
          <w:trHeight w:val="237"/>
        </w:trPr>
        <w:tc>
          <w:tcPr>
            <w:tcW w:w="3500" w:type="dxa"/>
            <w:vAlign w:val="bottom"/>
            <w:tcBorders>
              <w:bottom w:val="single" w:sz="8" w:color="005A64"/>
            </w:tcBorders>
          </w:tcPr>
          <w:p>
            <w:pPr>
              <w:ind w:left="20"/>
              <w:spacing w:after="0"/>
              <w:rPr>
                <w:sz w:val="20"/>
                <w:szCs w:val="20"/>
                <w:color w:val="auto"/>
              </w:rPr>
            </w:pPr>
            <w:r>
              <w:rPr>
                <w:rFonts w:ascii="Arial" w:cs="Arial" w:eastAsia="Arial" w:hAnsi="Arial"/>
                <w:sz w:val="16"/>
                <w:szCs w:val="16"/>
                <w:color w:val="005A64"/>
              </w:rPr>
              <w:t>Discount rate</w:t>
            </w:r>
          </w:p>
        </w:tc>
        <w:tc>
          <w:tcPr>
            <w:tcW w:w="120" w:type="dxa"/>
            <w:vAlign w:val="bottom"/>
            <w:tcBorders>
              <w:right w:val="single" w:sz="8" w:color="BECD32"/>
            </w:tcBorders>
          </w:tcPr>
          <w:p>
            <w:pPr>
              <w:spacing w:after="0"/>
              <w:rPr>
                <w:sz w:val="20"/>
                <w:szCs w:val="20"/>
                <w:color w:val="auto"/>
              </w:rPr>
            </w:pPr>
          </w:p>
        </w:tc>
        <w:tc>
          <w:tcPr>
            <w:tcW w:w="184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color w:val="005A64"/>
              </w:rPr>
              <w:t>1 %</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Borders>
              <w:bottom w:val="single" w:sz="8" w:color="005A64"/>
            </w:tcBorders>
          </w:tcPr>
          <w:p>
            <w:pPr>
              <w:jc w:val="right"/>
              <w:spacing w:after="0"/>
              <w:rPr>
                <w:sz w:val="20"/>
                <w:szCs w:val="20"/>
                <w:color w:val="auto"/>
              </w:rPr>
            </w:pPr>
            <w:r>
              <w:rPr>
                <w:rFonts w:ascii="Arial" w:cs="Arial" w:eastAsia="Arial" w:hAnsi="Arial"/>
                <w:sz w:val="16"/>
                <w:szCs w:val="16"/>
                <w:color w:val="005A64"/>
              </w:rPr>
              <w:t>(0.8)</w:t>
            </w:r>
          </w:p>
        </w:tc>
        <w:tc>
          <w:tcPr>
            <w:tcW w:w="180" w:type="dxa"/>
            <w:vAlign w:val="bottom"/>
          </w:tcPr>
          <w:p>
            <w:pPr>
              <w:spacing w:after="0"/>
              <w:rPr>
                <w:sz w:val="20"/>
                <w:szCs w:val="20"/>
                <w:color w:val="auto"/>
              </w:rPr>
            </w:pPr>
          </w:p>
        </w:tc>
        <w:tc>
          <w:tcPr>
            <w:tcW w:w="2700" w:type="dxa"/>
            <w:vAlign w:val="bottom"/>
            <w:tcBorders>
              <w:bottom w:val="single" w:sz="8" w:color="005A64"/>
            </w:tcBorders>
          </w:tcPr>
          <w:p>
            <w:pPr>
              <w:jc w:val="right"/>
              <w:spacing w:after="0"/>
              <w:rPr>
                <w:sz w:val="20"/>
                <w:szCs w:val="20"/>
                <w:color w:val="auto"/>
              </w:rPr>
            </w:pPr>
            <w:r>
              <w:rPr>
                <w:rFonts w:ascii="Arial" w:cs="Arial" w:eastAsia="Arial" w:hAnsi="Arial"/>
                <w:sz w:val="16"/>
                <w:szCs w:val="16"/>
                <w:color w:val="005A64"/>
              </w:rPr>
              <w:t>0.8</w:t>
            </w:r>
          </w:p>
        </w:tc>
      </w:tr>
    </w:tbl>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sensitivity of the fair values of royalty assets to the significant, unobservable, variable input factors, with all other factors remaining constant, is shown in the following table: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Royalty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2343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120" w:type="dxa"/>
            <w:vAlign w:val="bottom"/>
            <w:tcBorders>
              <w:right w:val="single" w:sz="8" w:color="BECD32"/>
            </w:tcBorders>
          </w:tcPr>
          <w:p>
            <w:pPr>
              <w:spacing w:after="0"/>
              <w:rPr>
                <w:sz w:val="18"/>
                <w:szCs w:val="18"/>
                <w:color w:val="auto"/>
              </w:rPr>
            </w:pPr>
          </w:p>
        </w:tc>
        <w:tc>
          <w:tcPr>
            <w:tcW w:w="80" w:type="dxa"/>
            <w:vAlign w:val="bottom"/>
            <w:tcBorders>
              <w:top w:val="single" w:sz="8" w:color="BECD32"/>
            </w:tcBorders>
          </w:tcPr>
          <w:p>
            <w:pPr>
              <w:spacing w:after="0"/>
              <w:rPr>
                <w:sz w:val="18"/>
                <w:szCs w:val="18"/>
                <w:color w:val="auto"/>
              </w:rPr>
            </w:pPr>
          </w:p>
        </w:tc>
        <w:tc>
          <w:tcPr>
            <w:tcW w:w="1880" w:type="dxa"/>
            <w:vAlign w:val="bottom"/>
            <w:tcBorders>
              <w:top w:val="single" w:sz="8" w:color="BECD32"/>
              <w:right w:val="single" w:sz="8" w:color="BECD32"/>
            </w:tcBorders>
            <w:gridSpan w:val="2"/>
            <w:vMerge w:val="restart"/>
          </w:tcPr>
          <w:p>
            <w:pPr>
              <w:jc w:val="right"/>
              <w:ind w:right="140"/>
              <w:spacing w:after="0"/>
              <w:rPr>
                <w:sz w:val="20"/>
                <w:szCs w:val="20"/>
                <w:color w:val="auto"/>
              </w:rPr>
            </w:pPr>
            <w:r>
              <w:rPr>
                <w:rFonts w:ascii="Arial" w:cs="Arial" w:eastAsia="Arial" w:hAnsi="Arial"/>
                <w:sz w:val="16"/>
                <w:szCs w:val="16"/>
                <w:b w:val="1"/>
                <w:bCs w:val="1"/>
                <w:color w:val="005A64"/>
              </w:rPr>
              <w:t>Change in</w:t>
            </w:r>
          </w:p>
        </w:tc>
        <w:tc>
          <w:tcPr>
            <w:tcW w:w="80" w:type="dxa"/>
            <w:vAlign w:val="bottom"/>
          </w:tcPr>
          <w:p>
            <w:pPr>
              <w:spacing w:after="0"/>
              <w:rPr>
                <w:sz w:val="18"/>
                <w:szCs w:val="18"/>
                <w:color w:val="auto"/>
              </w:rPr>
            </w:pPr>
          </w:p>
        </w:tc>
        <w:tc>
          <w:tcPr>
            <w:tcW w:w="28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5A64"/>
              </w:rPr>
              <w:t>Change in fair value with</w:t>
            </w:r>
          </w:p>
        </w:tc>
        <w:tc>
          <w:tcPr>
            <w:tcW w:w="2700" w:type="dxa"/>
            <w:vAlign w:val="bottom"/>
          </w:tcPr>
          <w:p>
            <w:pPr>
              <w:jc w:val="right"/>
              <w:spacing w:after="0"/>
              <w:rPr>
                <w:sz w:val="20"/>
                <w:szCs w:val="20"/>
                <w:color w:val="auto"/>
              </w:rPr>
            </w:pPr>
            <w:r>
              <w:rPr>
                <w:rFonts w:ascii="Arial" w:cs="Arial" w:eastAsia="Arial" w:hAnsi="Arial"/>
                <w:sz w:val="16"/>
                <w:szCs w:val="16"/>
                <w:b w:val="1"/>
                <w:bCs w:val="1"/>
                <w:color w:val="005A64"/>
              </w:rPr>
              <w:t>Change in fair value with</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12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Borders>
              <w:right w:val="single" w:sz="8" w:color="BECD32"/>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5A64"/>
              </w:rPr>
              <w:t>increasing input factor (in millions</w:t>
            </w:r>
          </w:p>
        </w:tc>
        <w:tc>
          <w:tcPr>
            <w:tcW w:w="2700" w:type="dxa"/>
            <w:vAlign w:val="bottom"/>
          </w:tcPr>
          <w:p>
            <w:pPr>
              <w:jc w:val="right"/>
              <w:spacing w:after="0"/>
              <w:rPr>
                <w:sz w:val="20"/>
                <w:szCs w:val="20"/>
                <w:color w:val="auto"/>
              </w:rPr>
            </w:pPr>
            <w:r>
              <w:rPr>
                <w:rFonts w:ascii="Arial" w:cs="Arial" w:eastAsia="Arial" w:hAnsi="Arial"/>
                <w:sz w:val="16"/>
                <w:szCs w:val="16"/>
                <w:b w:val="1"/>
                <w:bCs w:val="1"/>
                <w:color w:val="005A64"/>
              </w:rPr>
              <w:t>decreasing input factor (in</w:t>
            </w:r>
          </w:p>
        </w:tc>
        <w:tc>
          <w:tcPr>
            <w:tcW w:w="0" w:type="dxa"/>
            <w:vAlign w:val="bottom"/>
          </w:tcPr>
          <w:p>
            <w:pPr>
              <w:spacing w:after="0"/>
              <w:rPr>
                <w:sz w:val="1"/>
                <w:szCs w:val="1"/>
                <w:color w:val="auto"/>
              </w:rPr>
            </w:pPr>
          </w:p>
        </w:tc>
      </w:tr>
      <w:tr>
        <w:trPr>
          <w:trHeight w:val="226"/>
        </w:trPr>
        <w:tc>
          <w:tcPr>
            <w:tcW w:w="350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Input factor</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assumptions</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w:t>
            </w:r>
          </w:p>
        </w:tc>
        <w:tc>
          <w:tcPr>
            <w:tcW w:w="180" w:type="dxa"/>
            <w:vAlign w:val="bottom"/>
          </w:tcPr>
          <w:p>
            <w:pPr>
              <w:spacing w:after="0"/>
              <w:rPr>
                <w:sz w:val="19"/>
                <w:szCs w:val="19"/>
                <w:color w:val="auto"/>
              </w:rPr>
            </w:pPr>
          </w:p>
        </w:tc>
        <w:tc>
          <w:tcPr>
            <w:tcW w:w="270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millions €)</w:t>
            </w:r>
          </w:p>
        </w:tc>
        <w:tc>
          <w:tcPr>
            <w:tcW w:w="0" w:type="dxa"/>
            <w:vAlign w:val="bottom"/>
          </w:tcPr>
          <w:p>
            <w:pPr>
              <w:spacing w:after="0"/>
              <w:rPr>
                <w:sz w:val="1"/>
                <w:szCs w:val="1"/>
                <w:color w:val="auto"/>
              </w:rPr>
            </w:pPr>
          </w:p>
        </w:tc>
      </w:tr>
      <w:tr>
        <w:trPr>
          <w:trHeight w:val="234"/>
        </w:trPr>
        <w:tc>
          <w:tcPr>
            <w:tcW w:w="350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Cash flow projections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10 %</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5.5</w:t>
            </w:r>
          </w:p>
        </w:tc>
        <w:tc>
          <w:tcPr>
            <w:tcW w:w="180" w:type="dxa"/>
            <w:vAlign w:val="bottom"/>
          </w:tcPr>
          <w:p>
            <w:pPr>
              <w:spacing w:after="0"/>
              <w:rPr>
                <w:sz w:val="20"/>
                <w:szCs w:val="20"/>
                <w:color w:val="auto"/>
              </w:rPr>
            </w:pPr>
          </w:p>
        </w:tc>
        <w:tc>
          <w:tcPr>
            <w:tcW w:w="27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(5.5)</w:t>
            </w:r>
          </w:p>
        </w:tc>
        <w:tc>
          <w:tcPr>
            <w:tcW w:w="0" w:type="dxa"/>
            <w:vAlign w:val="bottom"/>
          </w:tcPr>
          <w:p>
            <w:pPr>
              <w:spacing w:after="0"/>
              <w:rPr>
                <w:sz w:val="1"/>
                <w:szCs w:val="1"/>
                <w:color w:val="auto"/>
              </w:rPr>
            </w:pPr>
          </w:p>
        </w:tc>
      </w:tr>
      <w:tr>
        <w:trPr>
          <w:trHeight w:val="236"/>
        </w:trPr>
        <w:tc>
          <w:tcPr>
            <w:tcW w:w="3500" w:type="dxa"/>
            <w:vAlign w:val="bottom"/>
            <w:tcBorders>
              <w:bottom w:val="single" w:sz="8" w:color="005A64"/>
            </w:tcBorders>
          </w:tcPr>
          <w:p>
            <w:pPr>
              <w:ind w:left="20"/>
              <w:spacing w:after="0"/>
              <w:rPr>
                <w:sz w:val="20"/>
                <w:szCs w:val="20"/>
                <w:color w:val="auto"/>
              </w:rPr>
            </w:pPr>
            <w:r>
              <w:rPr>
                <w:rFonts w:ascii="Arial" w:cs="Arial" w:eastAsia="Arial" w:hAnsi="Arial"/>
                <w:sz w:val="16"/>
                <w:szCs w:val="16"/>
                <w:color w:val="005A64"/>
              </w:rPr>
              <w:t>Discount rate</w:t>
            </w:r>
          </w:p>
        </w:tc>
        <w:tc>
          <w:tcPr>
            <w:tcW w:w="120" w:type="dxa"/>
            <w:vAlign w:val="bottom"/>
            <w:tcBorders>
              <w:right w:val="single" w:sz="8" w:color="BECD32"/>
            </w:tcBorders>
          </w:tcPr>
          <w:p>
            <w:pPr>
              <w:spacing w:after="0"/>
              <w:rPr>
                <w:sz w:val="20"/>
                <w:szCs w:val="20"/>
                <w:color w:val="auto"/>
              </w:rPr>
            </w:pPr>
          </w:p>
        </w:tc>
        <w:tc>
          <w:tcPr>
            <w:tcW w:w="184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color w:val="005A64"/>
              </w:rPr>
              <w:t>1 %</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Borders>
              <w:bottom w:val="single" w:sz="8" w:color="005A64"/>
            </w:tcBorders>
          </w:tcPr>
          <w:p>
            <w:pPr>
              <w:jc w:val="right"/>
              <w:spacing w:after="0"/>
              <w:rPr>
                <w:sz w:val="20"/>
                <w:szCs w:val="20"/>
                <w:color w:val="auto"/>
              </w:rPr>
            </w:pPr>
            <w:r>
              <w:rPr>
                <w:rFonts w:ascii="Arial" w:cs="Arial" w:eastAsia="Arial" w:hAnsi="Arial"/>
                <w:sz w:val="16"/>
                <w:szCs w:val="16"/>
                <w:color w:val="005A64"/>
              </w:rPr>
              <w:t>(3.8)</w:t>
            </w:r>
          </w:p>
        </w:tc>
        <w:tc>
          <w:tcPr>
            <w:tcW w:w="180" w:type="dxa"/>
            <w:vAlign w:val="bottom"/>
          </w:tcPr>
          <w:p>
            <w:pPr>
              <w:spacing w:after="0"/>
              <w:rPr>
                <w:sz w:val="20"/>
                <w:szCs w:val="20"/>
                <w:color w:val="auto"/>
              </w:rPr>
            </w:pPr>
          </w:p>
        </w:tc>
        <w:tc>
          <w:tcPr>
            <w:tcW w:w="2700" w:type="dxa"/>
            <w:vAlign w:val="bottom"/>
            <w:tcBorders>
              <w:bottom w:val="single" w:sz="8" w:color="005A64"/>
            </w:tcBorders>
          </w:tcPr>
          <w:p>
            <w:pPr>
              <w:jc w:val="right"/>
              <w:spacing w:after="0"/>
              <w:rPr>
                <w:sz w:val="20"/>
                <w:szCs w:val="20"/>
                <w:color w:val="auto"/>
              </w:rPr>
            </w:pPr>
            <w:r>
              <w:rPr>
                <w:rFonts w:ascii="Arial" w:cs="Arial" w:eastAsia="Arial" w:hAnsi="Arial"/>
                <w:sz w:val="16"/>
                <w:szCs w:val="16"/>
                <w:color w:val="005A64"/>
              </w:rPr>
              <w:t>4.2</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estimated fair value of non-listed equity investments would, for example, increase (decrease) if the price of the latest financing round of the respective investment were to increase (decrease) and the overall company value were higher (lower).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Risk Management Activities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No changes have occurred regarding our risk management activities as disclosed in the notes to our audited consolidated financial statements included in our Annual Report on Form 20-F as of and for the year ended December 31, 2023.</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8. Issued Capital and Reserves</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June 30, 2024, the number of shares outstanding was 237,766,235. This amount excludes 10,785,965 shares held in treasury. As of December 31, 2023, the number of shares outstanding was 237,725,735, excluding 10,826,465 shares held in treasury.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9.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23430" cy="12604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23430" cy="126047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43548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54830" cy="889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Contractual disputes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548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Obligations from onerous CMO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548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5483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548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5A64"/>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548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5483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Total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548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5483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Total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548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548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5A64"/>
        </w:rPr>
        <w:t>June 30, 2024</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005A64"/>
        </w:rPr>
        <w:t>239.1</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005A64"/>
        </w:rPr>
        <w:t>50.8</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005A64"/>
        </w:rPr>
        <w:t>83.0</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5A64"/>
        </w:rPr>
        <w:t>372.9</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005A64"/>
        </w:rPr>
        <w:t>363.9</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005A64"/>
        </w:rPr>
        <w:t>9.0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005A64"/>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29210</wp:posOffset>
            </wp:positionV>
            <wp:extent cx="12687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05A64"/>
        </w:rPr>
        <w:t>118.2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29210</wp:posOffset>
            </wp:positionV>
            <wp:extent cx="12687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05A64"/>
        </w:rPr>
        <w:t>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29210</wp:posOffset>
            </wp:positionV>
            <wp:extent cx="12687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05A64"/>
        </w:rPr>
        <w:t>79.7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29210</wp:posOffset>
            </wp:positionV>
            <wp:extent cx="12687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005A64"/>
        </w:rPr>
        <w:t>278.1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29210</wp:posOffset>
            </wp:positionV>
            <wp:extent cx="12687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05A64"/>
        </w:rPr>
        <w:t>269.3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29210</wp:posOffset>
            </wp:positionV>
            <wp:extent cx="12687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05A64"/>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29210</wp:posOffset>
            </wp:positionV>
            <wp:extent cx="12687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240" w:space="720"/>
            <w:col w:w="1060" w:space="720"/>
            <w:col w:w="1500"/>
          </w:cols>
          <w:pgMar w:left="320" w:top="341" w:right="339" w:bottom="1440" w:gutter="0" w:footer="0" w:header="0"/>
          <w:type w:val="continuous"/>
        </w:sectPr>
      </w:pP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2024, our current provisions included € 239.1 million related to our non-binding proposal with the NIH to amend and restate our agreement with NIH, including a possible financial resolution and facilitating continued collaboration. Neither of the parties is bound by the proposal, and the ultimate outcome remains subject to significant uncertainties.</w:t>
      </w:r>
    </w:p>
    <w:p>
      <w:pPr>
        <w:sectPr>
          <w:pgSz w:w="11900" w:h="16838" w:orient="portrait"/>
          <w:cols w:equalWidth="0" w:num="1">
            <w:col w:w="11240"/>
          </w:cols>
          <w:pgMar w:left="320" w:top="3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341"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2024, our current provisions included €50.8 million (€80.2 million as of December 31, 2023) of obligations for production capacities derived from contracts with contract manufacturing organizations, or CMOs, that became redundant. The effects were driven by reducing production capacities as well as further fostering the global production network with our collaboration partners during the year ended December 31, 2023. The related expenses were recognized in cost of sales in our consolidated statements of profit or loss. The change of €(29.4) million compared to December 31, 2023, related entirely to consumption.</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2024, our current provisions included €83.0 million in other obligations mainly comprising inventor remunerations as well as customs and duties (€ 79.7 million as of December 31, 2023, mainly comprising inventor remunerations as well as customs and duties). The change of €3.3 million compared to December 31, 2023, related mainly to additions.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10. Contingencies</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contingencies include, but are not limited to, intellectual property disputes and product liability and other product-related litigation. From time to time, in the normal course and conduct of our business, we may be involved in discussions with third parties about considering, for example, the use and/or remuneration for use of such third party’s intellectual property. As of June 30, 2024, none of such intellectual property-related considerations that we have been notified of, and for which potential claims could be brought against us or our subsidiaries in the future, fulfill the criteria for recording a provision. We are subject to an increasing number of product liability claims. Such claims often involve highly complex issues related to medical causation, correctness and completeness of product information (Summary of Product Characteristics/package leaflet) as well as label warnings and reliance thereon, scientific evidence and findings, actual and provable injury, and other matters. These complexities vary from matter to matter. As of June 30, 2024, none of these claims fulfill the criteria for recording a provision. Substantially all of our contingencies are subject to significant uncertainties and, therefore, determining the likelihood of a loss and/or the measurement of any loss can be complex. Consequently, we are unable to estimate the range of reasonably possible loss.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 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We will continue to evaluate whether, if circumstances were to change in the future, the recording of a provision may be needed and whether potential indemnification entitlements exist against any such claim.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Certain pending matters to which we are a party are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Alnylam Proceedings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March 2022, Alnylam Pharmaceuticals, Inc., or Alnylam, filed a lawsuit against Pfizer and Pharmacia &amp; Upjohn Co. LLC in the U.S. District Court for the District of Delaware alleging that an existing patent owned by Alnylam, U.S. Patent No. 11,246,933, or the ‘933 Patent, is infringed by the cationic lipid used in </w:t>
      </w:r>
      <w:r>
        <w:rPr>
          <w:rFonts w:ascii="Arial" w:cs="Arial" w:eastAsia="Arial" w:hAnsi="Arial"/>
          <w:sz w:val="18"/>
          <w:szCs w:val="18"/>
          <w:i w:val="1"/>
          <w:iCs w:val="1"/>
          <w:color w:val="auto"/>
        </w:rPr>
        <w:t>Comirnaty</w:t>
      </w:r>
      <w:r>
        <w:rPr>
          <w:rFonts w:ascii="Arial" w:cs="Arial" w:eastAsia="Arial" w:hAnsi="Arial"/>
          <w:sz w:val="18"/>
          <w:szCs w:val="18"/>
          <w:color w:val="auto"/>
        </w:rPr>
        <w:t>, and seeking monetary relief, which is not specified in their filings. We filed a counterclaim to become party to the Alnylam proceeding, and in June 2022, Alnylam added to its claims allegations that we induced infringement of the ‘933 Patent. Additionally, in July 2022, Alnylam filed a lawsuit against us, our wholly owned subsidiary, BioNTech Manufacturing GmbH, Pfizer and Pharmacia &amp; Upjohn Co. LLC in the U.S. District Court for the District of Delaware alleging that we also induced infringement of a newly issued patent, U.S. Patent No. 11,382,979, or the ‘979 Patent, which is a continuation of the ‘933 Patent. The two lawsuits were consolidated on July 28, 2022. In May 2023, Alnylam filed a third lawsuit against Pfizer Inc. and Pharmacia &amp; Upjohn Co. LLC in the U.S. District Court for the District of Delaware alleging infringement of U.S. Patent Nos. 11,633,479; 11,633,480; 11,612,657; and 11,590,229, all of which are continuations of the ‘933 Patent. We filed a counterclaim to become party to the new proceeding, and in July 2023, Alnylam added to its claims allegations that we induced infringement of the four new patents. All of the lawsuits have been consolidated into a single proceeding, which is currently expected to go to trial in July 2025.</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we have strong defenses against the allegations claimed relative to each of the patents and intend to vigorously defend ourselves in the proceedings mentioned above. However, our analysis of Alnylam’s claims is ongoing and complex, and we believe the outcome of the suit remains substantially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34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CureVac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5A64"/>
        </w:rPr>
        <w:t>Infringement Proceedings – EP’122, DE’961, DE‘974, DE’575, and EP’668</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July 2022, CureVac AG, or CureVac, filed a lawsuit against us and our wholly owned subsidiaries, BioNTech Manufacturing GmbH and BioNTech Manufacturing Marburg GmbH, in the Düsseldorf Regional Court,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one European patent, EP1857122B1, or the EP’122 Patent, and three Utility Models DE202015009961U1, DE202015009974U1, and DE202021003575U1. In August 2022, CureVac added European Patent EP3708668B1, or the EP’668 Patent, to its German lawsuit.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15, 2023, the Düsseldorf Regional Court held a hearing on infringement with respect to all five IP rights. At the hearing, the Court suspended its infringement ruling with respect to EP’122 until December 28, 2023. On September 28, 2023, the Court issued orders suspending its infringement rulings with respect to the remaining four IP rights (DE’961, DE’974, DE’575, and EP’668) pending validity decisions in the DE’961, DE’974, and DE’575 cancellation proceedings before the German Patent and Trademark Office and in the EP’668 opposition proceedings before the Opposition Division of the European Patent Office, or the EPO. In the September 28th orders, the Court explained that it was suspending its infringement rulings until validity decisions are reached, while contemporaneously noting concerns regarding the validity of DE’961, DE’974, DE’575, and EP’668. On December 28, 2023, the Düsseldorf Regional Court stayed the infringement proceedings as to EP’122 until a final appellate decision is rendered as to the validity of EP’122 by the Federal Court of Justice. On June 7, 2024, CureVac waived DE’575 and withdrew this utility model from the infringement proceedings. On July 2, 2024, the Opposition Division of the EPO issued a preliminary opinion noting that it believes that EP’668 is likely invalid.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5A64"/>
        </w:rPr>
        <w:t>Infringement Proceedings – EP’755, DE’123, and DE’130</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July 2023, CureVac SE filed a second lawsuit against us and our wholly owned subsidiaries, BioNTech Manufacturing GmbH and BioNTech Manufacturing Marburg GmbH, in the Düsseldorf Regional Court,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one European patent, EP4023755B1, or the EP’755 Patent, and two Utility Models DE202021004123U1, and DE202021004130U1. On June 7, 2024, CureVac waived DE’123 and withdrew this utility model from the infringement proceedings. A hearing on infringement with respect to EP’755 and DE’130 is scheduled to occur in the Düsseldorf Regional Court on September 10, 2024.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005A64"/>
        </w:rPr>
        <w:t>Nullity Proceedings – EP’122</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2022, we filed a nullity action in the Federal Patent Court of Germany seeking a declaration that the EP’122 Patent is invalid. In April 2023, the Federal Patent Court of Germany issued a preliminary opinion in the EP’122 nullity action in support of the validity of EP’122. The preliminary opinion did not address any infringement of the EP’122 Patent. The preliminary opinion is a preliminary assessment by the court of the merits of a claim, and is non-binding. On December 19, 2023, the Federal Patent Court held an oral hearing, after which it nullified EP’122. On April 30, 2024, the Federal Patent Court issued a judgment containing its written reasons for nullifying EP’122. On May 7, 2024, CureVac appealed the judgment, which is currently pending.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05A64"/>
        </w:rPr>
        <w:t>Cancellation Proceedings – DE’961, DE‘974, and DE’575</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November 2022, we filed cancellation actions seeking the cancellation of the three German Utility Models in the German Patent and Trademark Office. On December 27, 2023, the German Patent and Trademark Office issued a preliminary opinion that DE’974 is likely to be cancelled. On January 23, 2024, the German Patent and Trademark Office issued a preliminary opinion that DE’961 is likely to be cancelled. On March 7, 2024, the German Patent and Trademark Office issued a preliminary opinion that DE’575 is likely to be cancelled. On June 6, 2024, CureVac submitted a written statement to the German Patent and Trademark Office waiving DE’575. On June 12, 2024, we withdrew our request for cancellation of DE’575. On June 25 and 26, 2024, the German Patent and Trademark Office heard oral arguments regarding DE’961 and DE’974, and at the conclusion of the hearing on June 26, 2024, confirmed that both DE’961 and DE’974 were cancelled.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34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005A64"/>
        </w:rPr>
        <w:t>Cancellation Proceedings– DE’123 and DE’130</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November 2023, we filed cancellation actions seeking the cancellation of German Utility Models DE’123 and DE’130 in the German Patent and Trademark Office. On June 6, 2024, CureVac submitted a written statement to the German Patent and Trademark Office waiving DE’123. On June 12, 2024, we withdrew our request for cancellation of DE’123.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005A64"/>
        </w:rPr>
        <w:t>United States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July 2022, we and Pfizer filed a complaint for a declaratory judgment in the U.S. District Court for the District of Massachusetts, seeking a judgment of non-infringement by </w:t>
      </w:r>
      <w:r>
        <w:rPr>
          <w:rFonts w:ascii="Arial" w:cs="Arial" w:eastAsia="Arial" w:hAnsi="Arial"/>
          <w:sz w:val="18"/>
          <w:szCs w:val="18"/>
          <w:i w:val="1"/>
          <w:iCs w:val="1"/>
          <w:color w:val="auto"/>
        </w:rPr>
        <w:t>Comirnaty</w:t>
      </w:r>
      <w:r>
        <w:rPr>
          <w:rFonts w:ascii="Arial" w:cs="Arial" w:eastAsia="Arial" w:hAnsi="Arial"/>
          <w:sz w:val="18"/>
          <w:szCs w:val="18"/>
          <w:color w:val="auto"/>
        </w:rPr>
        <w:t xml:space="preserve"> of U.S. Patent Nos. 11,135,312; 11,149,278 and 11,241,493. In May 2023, the action in the U.S. District Court for the District of Massachusetts was transferred to the U.S. District Court for the Eastern District of Virginia, where CureVac filed counterclaims asserting infringement of six additional U.S. patents, U.S. Patent Nos. 10,760,070; 11,286,492; 11,345,920; 11,471,525; 11,576,966; and 11,596,686. In July 2023, CureVac filed amended counterclaims to assert an additional U.S. patent, U.S. Patent No. 11,667,910. In June 2024, CureVac voluntarily dismissed with prejudice its claims of infringement with respect to the ‘493, ‘525, and ‘966 patents. Currently, a three-week trial is scheduled to begin in early March 2025.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005A64"/>
        </w:rPr>
        <w:t>United Kingdom</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2022, we and Pfizer filed a declaration of non-infringement and revocation action against the EP’122 Patent and the EP’668 Patent in the Business and Property Courts of England and Wales. In October 2022, CureVac responded by filing a counterclaim alleging infringement of the EP’122 and EP’668 patents in the Business and Property Courts of England and Wales, in the UK High Court of Justice, or the UK High Court. On December 18, 2023, we and Pfizer amended our pleadings to add a claim for revocation and declarations of invalidity and non-infringement with respect to EP’755. The UK High Court held a trial on EP’668 and EP’755 between July 10, 2024, and July 24, 2024, and a judgment is expected later this year. A separate trial on EP’122 is yet to be scheduled by the UK High Court.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All of the above proceedings are currently pending.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we have strong defenses against the allegations claimed relative to each of the patents and utility models and intend to vigorously defend ourselves in the proceedings mentioned above. However, our analysis of CureVac’s claims is ongoing and complex, and we believe the ultimate outcomes remain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Moderna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5A64"/>
        </w:rPr>
        <w:t>Germany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Infringement Proceedings – EP’949 and EP’565</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2022, Moderna filed a lawsuit against us and Pfizer and our wholly owned subsidiaries, BioNTech Manufacturing GmbH, BioNTech Europe GmbH and BioNTech Manufacturing Marburg GmbH, Pfizer Manufacturing Belgium NV, Pfizer Ireland Pharmaceuticals and Pfizer Inc. in the Düsseldorf Regional Court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two European patents, 3590949B1, or the EP’949 Patent, and 3718565B1, or the EP’565 Patent. On November 7, 2023, the Opposition Division of the EPO revoked EP’565 after a one-day oral hearing, and on December 7, 2023, it issued its written decision revoking EP’565. On December 8, 2023, the Opposition Division issued a preliminary opinion noting that it believes EP’949 is likely invalid. As a result of those developments in the EPO proceedings, the Düsseldorf Regional Court postponed its hearing on infringement, originally scheduled for December 12, 2023, to January 21, 2025. On February 7, 2024, Moderna appealed the Opposition Division’s revocation decision on EP’565, and the appeal is currently pending. On May 16, 2024, the Opposition Division decided that the EP’949 Patent is valid, in amended form, and issued its written decision regarding the same on July 8, 2024. BioNTech is expected to appeal this decision.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5A64"/>
        </w:rPr>
        <w:t>United Kingdom</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In August 2022, Moderna filed a lawsuit asserting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the EP’949 Patent and EP’565 Patent against us and our wholly owned subsidiaries, BioNTech Manufacturing GmbH, BioNTech Europe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341"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GmbH and BioNTech Manufacturing Marburg GmbH, Pfizer Limited, Pfizer Manufacturing Belgium NV and Pfizer Inc. in the Business and Property Courts of England and Wales, in the UK High Court. In September 2022, we and Pfizer filed a revocation action in the Business and Property Courts of England and Wales requesting revocation of the EP’949 Patent and EP’565 Patent.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UK High Court held a trial between April 22, 2024, and May 21, 2024. On July 2, 2024, the UK High Court released two judgments. The first judgment concerns the validity of the EP’949 Patent and the EP’565 Patent. In this first judgment, the UK High Court found that the EP’565 Patent is invalid and therefore not infringed, while the EP’949 Patent is valid and infringed. The second judgment concerns whether Moderna’s October 2020 commitment not to “enforce [its] COVID-19 related patents against those making vaccines intended to combat the pandemic,” or the Patent Pledge, amounted to a consent under UK law to carry out any acts that would otherwise amount to patent infringement. With respect to this judgment, the UK High Court found that Moderna’s Patent Pledge amounted to consent to carry out activities that might otherwise infringe its patents prior to March 2022, but not after March 2022. A hearing before the UK High Court is scheduled for September 25, 2024, where the parties are expected to apply for the right to appeal.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5A64"/>
        </w:rPr>
        <w:t>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District Court Litigation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August 2022, Moderna filed a lawsuit in the United States District Court for the District of Massachusetts against us and our wholly owned subsidiaries BioNTech Manufacturing GmbH and BioNTech US Inc. and Pfizer Inc. alleging </w:t>
      </w:r>
      <w:r>
        <w:rPr>
          <w:rFonts w:ascii="Arial" w:cs="Arial" w:eastAsia="Arial" w:hAnsi="Arial"/>
          <w:sz w:val="18"/>
          <w:szCs w:val="18"/>
          <w:i w:val="1"/>
          <w:iCs w:val="1"/>
          <w:color w:val="auto"/>
        </w:rPr>
        <w:t>Comirnaty</w:t>
      </w:r>
      <w:r>
        <w:rPr>
          <w:rFonts w:ascii="Arial" w:cs="Arial" w:eastAsia="Arial" w:hAnsi="Arial"/>
          <w:sz w:val="18"/>
          <w:szCs w:val="18"/>
          <w:color w:val="auto"/>
        </w:rPr>
        <w:t xml:space="preserve">’s infringement of U.S. Patent Nos. 10,898,574; 10,702,600 and 10,933,127 and seeking monetary relief. On April 12, 2024, the United States District Court for the District of Massachusetts stayed the litigation pending resolution of the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of U.S. Patent Nos. 10,702,600 and 10,933,127.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 Partes Review</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 xml:space="preserve">In August 2023, Pfizer and we filed petitions seeking inter partes review of U.S. Patent Nos. 10,702,600 and 10,933,127 before the United States Patent Trial and Appeal Board, or the PTAB. On March 6, 2024, the PTAB issued decisions instituting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proceedings on all challenged claims of U.S. Patent Nos. 10,702,600 and 10,933,127. An oral hearing on the merits is currently scheduled to occur in December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005A64"/>
        </w:rPr>
        <w:t>Netherlands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September 2022, Moderna filed a lawsuit against us and our wholly owned subsidiary BioNTech Manufacturing GmbH and Pfizer B.V., Pfizer Export B.V., C.P. Pharmaceuticals International C.V. and Pfizer Inc. in the District Court of The Hague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the EP‘949 Patent and the EP’565 Patent. The District Court of the Hague held a hearing on October 6, 2023, on infringement and validity with respect to the EP’949 Patent. On December 6, 2023, the Court found EP’949 to be invalid. On March 5, 2024, Moderna appealed this decision, and the appeal is pending. The EP’565 case has been stayed pending the outcome of Moderna’s appeal of the Opposition Division’s revocation of EP’565.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05A64"/>
        </w:rPr>
        <w:t>Ireland</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May 2023, Moderna filed a lawsuit against us and our wholly owned subsidiary BioNTech Manufacturing GmbH, Pfizer Inc., Pfizer Healthcare Ireland, Pfizer Ireland Pharmaceuticals, and C.P. Pharmaceuticals International C.V.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the EP’949 Patent and EP’565 Patent in the High Court of Ireland. On February 26, 2024, the High Court of Ireland stayed the lawsuit pending the final determination of the EPO opposition proceedings for EP’949 and EP’565 (in each case including any appeals).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005A64"/>
        </w:rPr>
        <w:t>Belgium</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May 2023, Moderna filed a lawsuit against us, our wholly owned subsidiary BioNTech Manufacturing GmbH, Pfizer Inc. and Pfizer Manufacturing Belgium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the EP’949 Patent and the EP’565 Patent in the Brussels Dutch-speaking Enterprise Court. On May 29, 2024, the parties filed a joint request to stay the proceedings, which was entered by the Enterprise Court.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All of the above proceedings are currently 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34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we have strong defenses against the allegations claimed relative to each of the patents and intend to vigorously defend ourselves in the proceedings mentioned above. However, our analysis of Moderna’s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Arbutus and Genevant Proceedings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April 2023, Arbutus Biopharma Corp., or Arbutus, and Genevant Sciences GmbH, or Genevant, filed a lawsuit against Pfizer and us in the U.S. District Court for the District of New Jersey alleging that Pfizer and we have infringed the following patents owned by Arbutus: U.S. Patent Nos. 9,504,651; 8,492,359; 11,141,378; 11,298,320; and 11,318,098, through the use of Genevant’s lipid nanoparticle technology and methods for producing such lipids in </w:t>
      </w:r>
      <w:r>
        <w:rPr>
          <w:rFonts w:ascii="Arial" w:cs="Arial" w:eastAsia="Arial" w:hAnsi="Arial"/>
          <w:sz w:val="18"/>
          <w:szCs w:val="18"/>
          <w:i w:val="1"/>
          <w:iCs w:val="1"/>
          <w:color w:val="auto"/>
        </w:rPr>
        <w:t>Comirnaty</w:t>
      </w:r>
      <w:r>
        <w:rPr>
          <w:rFonts w:ascii="Arial" w:cs="Arial" w:eastAsia="Arial" w:hAnsi="Arial"/>
          <w:sz w:val="18"/>
          <w:szCs w:val="18"/>
          <w:color w:val="auto"/>
        </w:rPr>
        <w:t>, and seeking monetary relief. This proceeding is currently pending.</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we have strong defenses against the allegations claimed relative to each of the patents and intend to vigorously defend ourselves in the lawsuit mentioned above. However, our analysis of Arbutus and Genevant’s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GlaxoSmithKline Proceedings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April 2024, GlaxoSmithKline Biologicals SA and GlaxoSmithKline LLC filed a lawsuit against Pfizer and us and our wholly owned subsidiaries BioNTech Manufacturing GmbH and BioNTech US Inc. in the United States District Court for the District of Delaware alleging that the cationic lipid used in </w:t>
      </w:r>
      <w:r>
        <w:rPr>
          <w:rFonts w:ascii="Arial" w:cs="Arial" w:eastAsia="Arial" w:hAnsi="Arial"/>
          <w:sz w:val="18"/>
          <w:szCs w:val="18"/>
          <w:i w:val="1"/>
          <w:iCs w:val="1"/>
          <w:color w:val="auto"/>
        </w:rPr>
        <w:t>Comirnaty</w:t>
      </w:r>
      <w:r>
        <w:rPr>
          <w:rFonts w:ascii="Arial" w:cs="Arial" w:eastAsia="Arial" w:hAnsi="Arial"/>
          <w:sz w:val="18"/>
          <w:szCs w:val="18"/>
          <w:color w:val="auto"/>
        </w:rPr>
        <w:t xml:space="preserve"> infringes U.S. Patent Nos. 11,638,693; 11,638,694; 11,666,534; 11,766,401; and 11,786,467; and seeking monetary relief. This proceeding is currently pending.</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we have strong defenses against the allegations claimed relative to each of the patents and intend to vigorously defend ourselves in the lawsuit mentioned above. However, our analysis of GlaxoSmithKline’s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11. Related Party Disclosures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ATHOS KG, Holzkirchen, Germany is the sole shareholder of AT Impf GmbH, Munich, Germany and a beneficial owner of our ordinary shares. Entities controlled by ATHOS KG mainly provide rental and property management activities and sell property, plant and equipment to us. The total amount of transactions with ATHOS KG or entities controlled by them had no significant impact on our unaudited interim condensed consolidated financial statements as of and for the three and six months ended June 30, 2024, compared to the details disclosed in Note 21 to our audited consolidated financial statements included in our Annual Report on Form 20-F as of and for the year ended December 31, 2023.</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12. Events after the Reporting Period</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previously disclosed, we are in discussions with the University of Pennsylvania concerning royalties and other amounts allegedly owed under a license agreement on sales of our COVID-19 vaccine since commercialization. While we believe we have a strong legal position and disagree with the opinion being taken by the University of Pennsylvania, the ultimate outcome of the matter is uncertain, and we cannot guarantee that our interpretation of the license agreement will prevail.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34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July 2024, we shared a non-binding proposal with the University of Pennsylvania to amend and restate our agreement, including a possible financial resolution and facilitating continued collaboration. Neither of the parties is bound by the proposal, and the ultimate outcome remains subject to significant uncertainties.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will continue to evaluate the discussion with the University of Pennsylvania. As of today, we are unable to estimate a potential financial effect. If we ultimately may pay some or all of the amounts in dispute, it could cause a material adverse effect on our results of operations and/or our cash flows.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such assessments require management to make significant judgments, as described in Note 3 to our audited consolidated financial statements included in our Annual Report on Form 20-F as of and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34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7"/>
          <w:szCs w:val="27"/>
          <w:b w:val="1"/>
          <w:bCs w:val="1"/>
          <w:color w:val="005A64"/>
        </w:rPr>
        <w:t>Operating and Financial Review and Prospects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this report, unless stated or the context otherwise requires, references to the “Company”, “BioNTech”, “Group”, “we”, “us” and “our” refer to BioNTech SE and its consolidated subsidiaries. The following “Operating and Financial Review and Prospects” should be read together with the unaudited interim condensed consolidated financial statements and related notes as presented above. The following discussion is based on our financial information prepared in accordance with the International Financial Reporting Standards, or IFRS, as issued by the International Accounting Standards Board, which may differ in material respects from generally accepted accounting principles in other jurisdictions, including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in the “Risk Factors” section further below. Please also see “Forward-Looking Statements” included elsewhere in this quarterly report for the three and six months ended June 30, 2024.</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Overview</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global next-generation immunotherapy company pioneering novel medicines against cancer, infectious diseases and other serious diseases. Since our founding in 2008, we have focused on harnessing the power of the immune system to address human diseases with unmet medical needs and major global health burdens. Our fully integrated model combines decades of research in immunology with a multi-technology innovation engine, GMP manufacturing, translational drug discovery, clinical development, commercial capabilities, computational medicine, data science and artificial intelligence, or AI, and machine learning, or ML, capabilities to discover, develop and commercialize our marketed product and product candidates.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built a broad toolkit across multiple technology platforms, including a diverse range of potentially first-in-class therapeutic approaches. This includes investigational messenger ribonucleic acid, or mRNA vaccines, protein-based therapeutics (including targeted antibodies such as monoclonal, bispecific and antibody-drug conjugates, or ADCs), cell therapies and small molecules.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expect each platform to yield a pipeline of product candidates for further development. Our multi-technology combination of platforms and product candidates positions us as pioneers in the field of individualized, patient-centric therapeutic approaches in oncology and infectious diseases. We aim to expand this status into other disease areas in the future.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oncology, we endeavor to address the continuum of cancer disease. The root causes of cancer treatment failure are cancer heterogeneity and interindividual variability. Driven by random sequential mutations, every patient’s cancer is unique and within one patient’s tumor, every cell is different. Addressing these two challenges is the core of our strategy. To augment anti-tumor activity and to counteract resistance mechanisms we seek to combine compounds with non-overlapping, synergistic mechanisms of action.</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infectious diseases, our product strategy is rooted in global social responsibility and our goal of contributing to equitable access to medicine.</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Our approach has generated a robust and diversified product pipeline across a range of technologies in oncology and infectious disease, and has led to the approval of our first marketed product, </w:t>
      </w:r>
      <w:r>
        <w:rPr>
          <w:rFonts w:ascii="Arial" w:cs="Arial" w:eastAsia="Arial" w:hAnsi="Arial"/>
          <w:sz w:val="18"/>
          <w:szCs w:val="18"/>
          <w:i w:val="1"/>
          <w:iCs w:val="1"/>
          <w:color w:val="auto"/>
        </w:rPr>
        <w:t>Comirnaty</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Corporate Development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key component of our corporate strategy is strengthening our clinical pipeline, technology platforms, digital capabilities and infrastructure through select strategic partnerships and acquisitions.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May 2024, we expanded our strategic partnership with the Coalition for Epidemic Preparedness Innovations, or CEPI, to contribute to building a sustainable and resilient end-to-end African vaccine ecosystem. CEPI is committing up to $145 million to support us in establishing mRNA vaccine research and development, or R&amp;D, clinical and commercial-scale manufacturing capabilities at our facility in Kigali, Rwanda. These capabilities will contribute to our efforts to better prepare for potential future epidemic and pandemic threats in Africa.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34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Environmental, Social, and Governance (ESG)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BioNTech was founded out of a responsibility to patients and to society and this is still the vision that drives the Company. It gives grounds for BioNTech’s enhanced responsibility: for translating the Company’s science into the health of people worldwide and contributing to equitable access to innovative medicines, for environmental and climate protection, for respecting human rights and for fostering the full potential of all employees. BioNTech recognizes its responsibility as a corporate citizen and is committed to supporting its local communities and beyond through donations, sponsorships and volunteer activities.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BioNTech’s performance on environmental, social, and governance matters is regularly assessed by external rating agencies. The Institutional Shareholder Services Group, or ISS, has recently extended its ESG Quality Score assessment by the two dimensions “Environment” and “Social” complementing the already assessed dimension “Governance”. These scores indicate a company’s transparency with a focus on environmental and social matters on a scale from 1 (high disclosure) to 10 (low disclosure). BioNTech currently achieves a rating of 1 in both recently added dimensions, “Environment” and “Social” (as of July 12, 2024).</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BioNTech’s CSR Management, including the fields of action and the material CSR topics, is presented in detail in the separate 2023 Sustainability Report and made available online at www.biontech.com. More information about BioNTech’s performance in selected ESG ratings, BioNTech’s Human Rights Statement as well as further relevant information and material can also be found on the Company’s website.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 xml:space="preserve">Marketed Product: </w:t>
      </w:r>
      <w:r>
        <w:rPr>
          <w:rFonts w:ascii="Arial" w:cs="Arial" w:eastAsia="Arial" w:hAnsi="Arial"/>
          <w:sz w:val="18"/>
          <w:szCs w:val="18"/>
          <w:b w:val="1"/>
          <w:bCs w:val="1"/>
          <w:i w:val="1"/>
          <w:iCs w:val="1"/>
          <w:color w:val="005A64"/>
        </w:rPr>
        <w:t>Comirnaty</w:t>
      </w:r>
      <w:r>
        <w:rPr>
          <w:rFonts w:ascii="Arial" w:cs="Arial" w:eastAsia="Arial" w:hAnsi="Arial"/>
          <w:sz w:val="18"/>
          <w:szCs w:val="18"/>
          <w:b w:val="1"/>
          <w:bCs w:val="1"/>
          <w:color w:val="005A64"/>
        </w:rPr>
        <w:t>, our COVID-19 Vaccine Program (BNT162)</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COVID-19 vaccination has played an important role in saving lives and livelihoods across the world. Our commercial product, </w:t>
      </w:r>
      <w:r>
        <w:rPr>
          <w:rFonts w:ascii="Arial" w:cs="Arial" w:eastAsia="Arial" w:hAnsi="Arial"/>
          <w:sz w:val="18"/>
          <w:szCs w:val="18"/>
          <w:i w:val="1"/>
          <w:iCs w:val="1"/>
          <w:color w:val="auto"/>
        </w:rPr>
        <w:t>Comirnaty</w:t>
      </w:r>
      <w:r>
        <w:rPr>
          <w:rFonts w:ascii="Arial" w:cs="Arial" w:eastAsia="Arial" w:hAnsi="Arial"/>
          <w:sz w:val="18"/>
          <w:szCs w:val="18"/>
          <w:color w:val="auto"/>
        </w:rPr>
        <w:t>, was the first-ever approved mRNA-based product, and, to our knowledge, represents the fastest ever developed prophylactic vaccine from viral sampling to approval. As of December 2023, our COVID-19 vaccine products have been authorized or approved for emergency or temporary use or granted marketing authorization in more than 180 countries and regions worldwide. Our efforts have resulted in more than 4.8 billion doses shipped globally.</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Under our collaboration with Pfizer, we are the Marketing Authorization Holder in the United States, the European Union, or EU, the UK, Canada and other countries. Additionally, we are the holder of emergency use authorizations or equivalents in the United States (jointly with Pfizer) and other countries for the COVID-19 vaccine program. Pfizer has marketing and distribution rights worldwide apart from Greater China, Germany, and Türkiye. We have the marketing and distribution rights to </w:t>
      </w:r>
      <w:r>
        <w:rPr>
          <w:rFonts w:ascii="Arial" w:cs="Arial" w:eastAsia="Arial" w:hAnsi="Arial"/>
          <w:sz w:val="18"/>
          <w:szCs w:val="18"/>
          <w:i w:val="1"/>
          <w:iCs w:val="1"/>
          <w:color w:val="auto"/>
        </w:rPr>
        <w:t>Comirnaty</w:t>
      </w:r>
      <w:r>
        <w:rPr>
          <w:rFonts w:ascii="Arial" w:cs="Arial" w:eastAsia="Arial" w:hAnsi="Arial"/>
          <w:sz w:val="18"/>
          <w:szCs w:val="18"/>
          <w:color w:val="auto"/>
        </w:rPr>
        <w:t xml:space="preserve"> in Germany and Türkiye.</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Under our collaboration with Fosun Pharmaceutical Industrial Development, Co., Ltd, or Fosun Pharma, Fosun Pharma has marketing and distribution rights in Mainland China, Hong Kong Special Administrative Region, or SAR, Macau SAR and Taiwan.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05A64"/>
        </w:rPr>
        <w:t>A. Commercial Updates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2024, we have been, and expect to continue, preparing for COVID-19 vaccine adaptation and, pending regulatory approval, for commercial launch of an SARS-CoV-2 variant-adapted vaccine ahead of the upcoming 2024/2025 fall and winter season.</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approved, the 2024/2025 fall and winter formulation for individuals 12 years of age and older is expected to be made available as pre-filled syringes in most markets.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as SARS-CoV-2 continues to evolve, and the risk of severe COVID-19 disease and deaths continues, especially for high-risk populations, there will be continued demand for primary and seasonal vaccinations, especially for at-risk and immunocompromised groups. We also expect to continue the transition from an advanced purchase agreement environment to commercial market ordering in more geographies, driven by regulatory recommendations to adapt COVID-19 vaccines to newly circulating variants or sublineages of SARS-CoV-2.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005A64"/>
        </w:rPr>
        <w:t>B. Clinical Development, Regulatory and Manufacturing Updates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Omicron JN.1 sublineages currently account for the majority of COVID-19 cases globally and are antigenically distant from prior circulating SARS-CoV-2 lineages, including Omicron XBB.1.5, Omicron BA.4/BA.5, and the original SARS-CoV-2 strain. Although Omicron XBB.1.5-adapted monovalent vaccines provided some protection against a range of outcomes from JN.1-related COVID-19 disease, evidence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40"/>
          </w:cols>
          <w:pgMar w:left="320" w:top="341"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suggests that vaccines better matched to currently circulating sublineages should provide improved protection against symptomatic and severe COVID-19 disease.</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2024, the World Health Organization, or WHO, and the European Medicines Agency, or the EMA, followed by other health authorities, provided guidance highlighting that updated vaccines targeting Omicron JN.1 or JN.1 sublineages may contribute to maintaining protection against COVID-19 during the upcoming fall and winter season. On June 27, 2024, we and Pfizer announced that the Committee for Medicinal Products for Human Use, or CHMP, of the EMA has recommended marketing authorization for the companies’ Omicron JN.1-adapted monovalent COVID-19 vaccine (COMIRNATY® JN.1) for active immunization to prevent COVID-19 caused by SARS-CoV-2 in individuals 6 months of age and older. The adaptation is based on the recommendation from the WHO Technical Advisory Group on COVID-19 Vaccine Composition and the EMA’s Emergency Task Force, or ETF, to update COVID-19 vaccines to target the SARS-CoV-2 variant JN.1 for the 2024/2025 fall and winter vaccination campaign. On July 3, 2024, the European Commission, or EC, adopted an EC Decision following the CHMP’s recommendation. Shortly following the EC decision, the updated vaccine was made available to ship to EU member states.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June 6, 2024, the U.S. Food and Drug Administration’s, or FDA’s, Vaccines and Related Biological Products Advisory Committee, or VRBPAC, following their meeting held on June 5, 2024, issued guidance recommending manufacture of a JN.1-adapted monovalent COVID-19 vaccine for the 2024/2025 fall and winter season. On June 13, 2024, the FDA announced the KP.2 strain as the preferred JN.1-lineage for COVID-19 vaccines (2024-2025 Formula), if feasible. In June 2024, we and Pfizer submitted regulatory applications to the FDA for both an Omicron JN.1-adapted monovalent vaccine and initiated a rolling supplemental Biologics Licensing Application for an Omicron KP.2-adapted monovalent vaccine. The companies plan to prepare shipments in the U.S. of KP.2-adapted monovalent COVID-19 vaccines for fast delivery following potential regulatory approval, currently expected in September 2024.</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July 24, the UK’s Medicines and Healthcare products Regulatory Agency, or MHRA, approved the companies’ Omicron JN.1-adapted vaccine.</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and Pfizer have been manufacturing the Omicron JN.1-adapted monovalent COVID-19 vaccine at risk to ensure supply readiness ahead of the upcoming fall and winter season when the demand for COVID-19 vaccination is expected to increase.</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regulatory filings are based on the full body of previous clinical, pre-clinical, and real-world evidence supporting the safety and efficacy of the Pfizer-BioNTech COVID-19 vaccines. The applications also included manufacturing and pre-clinical data showing that the JN.1-adapted monovalent COVID-19 vaccine generates a substantially improved response against multiple Omicron JN.1 sublineages, including KP.2, KP.3 and other currently circulating sublineages, compared with the companies’ Omicron XBB.1.5-adapted monovalent COVID-19 vaccine. Pre-clinical data on our Omicron KP.2-adapted monovalent vaccine have also been generated and will be part of the regulatory submissions.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Pipeline of Product Candidates: Second Quarter of 2024 and Post Period-End Updates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authorized product and clinical product candidates, organized by platform and indication.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34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5A64"/>
        </w:rPr>
        <w:t>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2343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40"/>
          </w:cols>
          <w:pgMar w:left="320" w:top="341" w:right="339" w:bottom="689" w:gutter="0" w:footer="0" w:header="0"/>
        </w:sectPr>
      </w:pPr>
    </w:p>
    <w:p>
      <w:pPr>
        <w:spacing w:after="0" w:line="249"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9"/>
          <w:szCs w:val="9"/>
          <w:b w:val="1"/>
          <w:bCs w:val="1"/>
          <w:color w:val="005A64"/>
        </w:rPr>
        <w:t>Drug class</w:t>
      </w:r>
      <w:r>
        <w:rPr>
          <w:sz w:val="20"/>
          <w:szCs w:val="20"/>
          <w:color w:val="auto"/>
        </w:rPr>
        <w:tab/>
      </w:r>
      <w:r>
        <w:rPr>
          <w:rFonts w:ascii="Arial" w:cs="Arial" w:eastAsia="Arial" w:hAnsi="Arial"/>
          <w:sz w:val="8"/>
          <w:szCs w:val="8"/>
          <w:b w:val="1"/>
          <w:bCs w:val="1"/>
          <w:color w:val="005A64"/>
        </w:rPr>
        <w:t>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465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8"/>
          <w:szCs w:val="8"/>
          <w:b w:val="1"/>
          <w:bCs w:val="1"/>
          <w:color w:val="005A64"/>
        </w:rPr>
        <w:t>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8058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8"/>
        </w:trPr>
        <w:tc>
          <w:tcPr>
            <w:tcW w:w="1460" w:type="dxa"/>
            <w:vAlign w:val="bottom"/>
            <w:vMerge w:val="restart"/>
          </w:tcPr>
          <w:p>
            <w:pPr>
              <w:spacing w:after="0"/>
              <w:rPr>
                <w:sz w:val="20"/>
                <w:szCs w:val="20"/>
                <w:color w:val="auto"/>
              </w:rPr>
            </w:pPr>
            <w:r>
              <w:rPr>
                <w:rFonts w:ascii="Arial" w:cs="Arial" w:eastAsia="Arial" w:hAnsi="Arial"/>
                <w:sz w:val="9"/>
                <w:szCs w:val="9"/>
                <w:b w:val="1"/>
                <w:bCs w:val="1"/>
                <w:color w:val="005A64"/>
              </w:rPr>
              <w:t>Indication (target)</w:t>
            </w:r>
          </w:p>
        </w:tc>
        <w:tc>
          <w:tcPr>
            <w:tcW w:w="1260" w:type="dxa"/>
            <w:vAlign w:val="bottom"/>
            <w:vMerge w:val="restart"/>
          </w:tcPr>
          <w:p>
            <w:pPr>
              <w:ind w:left="680"/>
              <w:spacing w:after="0"/>
              <w:rPr>
                <w:sz w:val="20"/>
                <w:szCs w:val="20"/>
                <w:color w:val="auto"/>
              </w:rPr>
            </w:pPr>
            <w:r>
              <w:rPr>
                <w:rFonts w:ascii="Arial" w:cs="Arial" w:eastAsia="Arial" w:hAnsi="Arial"/>
                <w:sz w:val="9"/>
                <w:szCs w:val="9"/>
                <w:b w:val="1"/>
                <w:bCs w:val="1"/>
                <w:color w:val="005A64"/>
              </w:rPr>
              <w:t>Phase 1</w:t>
            </w:r>
          </w:p>
        </w:tc>
        <w:tc>
          <w:tcPr>
            <w:tcW w:w="900" w:type="dxa"/>
            <w:vAlign w:val="bottom"/>
            <w:vMerge w:val="restart"/>
          </w:tcPr>
          <w:p>
            <w:pPr>
              <w:ind w:left="240"/>
              <w:spacing w:after="0"/>
              <w:rPr>
                <w:sz w:val="20"/>
                <w:szCs w:val="20"/>
                <w:color w:val="auto"/>
              </w:rPr>
            </w:pPr>
            <w:r>
              <w:rPr>
                <w:rFonts w:ascii="Arial" w:cs="Arial" w:eastAsia="Arial" w:hAnsi="Arial"/>
                <w:sz w:val="9"/>
                <w:szCs w:val="9"/>
                <w:b w:val="1"/>
                <w:bCs w:val="1"/>
                <w:color w:val="005A64"/>
              </w:rPr>
              <w:t>Phase 1/2</w:t>
            </w:r>
          </w:p>
        </w:tc>
        <w:tc>
          <w:tcPr>
            <w:tcW w:w="840" w:type="dxa"/>
            <w:vAlign w:val="bottom"/>
            <w:vMerge w:val="restart"/>
          </w:tcPr>
          <w:p>
            <w:pPr>
              <w:ind w:left="240"/>
              <w:spacing w:after="0"/>
              <w:rPr>
                <w:sz w:val="20"/>
                <w:szCs w:val="20"/>
                <w:color w:val="auto"/>
              </w:rPr>
            </w:pPr>
            <w:r>
              <w:rPr>
                <w:rFonts w:ascii="Arial" w:cs="Arial" w:eastAsia="Arial" w:hAnsi="Arial"/>
                <w:sz w:val="9"/>
                <w:szCs w:val="9"/>
                <w:b w:val="1"/>
                <w:bCs w:val="1"/>
                <w:color w:val="005A64"/>
              </w:rPr>
              <w:t>Phase 2</w:t>
            </w:r>
          </w:p>
        </w:tc>
        <w:tc>
          <w:tcPr>
            <w:tcW w:w="780" w:type="dxa"/>
            <w:vAlign w:val="bottom"/>
            <w:vMerge w:val="restart"/>
          </w:tcPr>
          <w:p>
            <w:pPr>
              <w:ind w:left="240"/>
              <w:spacing w:after="0"/>
              <w:rPr>
                <w:sz w:val="20"/>
                <w:szCs w:val="20"/>
                <w:color w:val="auto"/>
              </w:rPr>
            </w:pPr>
            <w:r>
              <w:rPr>
                <w:rFonts w:ascii="Arial" w:cs="Arial" w:eastAsia="Arial" w:hAnsi="Arial"/>
                <w:sz w:val="9"/>
                <w:szCs w:val="9"/>
                <w:b w:val="1"/>
                <w:bCs w:val="1"/>
                <w:color w:val="005A64"/>
              </w:rPr>
              <w:t>Phase 3</w:t>
            </w:r>
          </w:p>
        </w:tc>
        <w:tc>
          <w:tcPr>
            <w:tcW w:w="600" w:type="dxa"/>
            <w:vAlign w:val="bottom"/>
          </w:tcPr>
          <w:p>
            <w:pPr>
              <w:ind w:left="180"/>
              <w:spacing w:after="0"/>
              <w:rPr>
                <w:sz w:val="20"/>
                <w:szCs w:val="20"/>
                <w:color w:val="auto"/>
              </w:rPr>
            </w:pPr>
            <w:r>
              <w:rPr>
                <w:rFonts w:ascii="Arial" w:cs="Arial" w:eastAsia="Arial" w:hAnsi="Arial"/>
                <w:sz w:val="9"/>
                <w:szCs w:val="9"/>
                <w:b w:val="1"/>
                <w:bCs w:val="1"/>
                <w:color w:val="005A64"/>
                <w:w w:val="95"/>
              </w:rPr>
              <w:t>BioNTech</w:t>
            </w:r>
          </w:p>
        </w:tc>
        <w:tc>
          <w:tcPr>
            <w:tcW w:w="0" w:type="dxa"/>
            <w:vAlign w:val="bottom"/>
          </w:tcPr>
          <w:p>
            <w:pPr>
              <w:spacing w:after="0"/>
              <w:rPr>
                <w:sz w:val="1"/>
                <w:szCs w:val="1"/>
                <w:color w:val="auto"/>
              </w:rPr>
            </w:pPr>
          </w:p>
        </w:tc>
      </w:tr>
      <w:tr>
        <w:trPr>
          <w:trHeight w:val="162"/>
        </w:trPr>
        <w:tc>
          <w:tcPr>
            <w:tcW w:w="14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9"/>
                <w:szCs w:val="9"/>
                <w:b w:val="1"/>
                <w:bCs w:val="1"/>
                <w:color w:val="005A64"/>
              </w:rPr>
              <w:t>rights</w:t>
            </w:r>
            <w:r>
              <w:rPr>
                <w:rFonts w:ascii="Arial" w:cs="Arial" w:eastAsia="Arial" w:hAnsi="Arial"/>
                <w:sz w:val="11"/>
                <w:szCs w:val="11"/>
                <w:b w:val="1"/>
                <w:bCs w:val="1"/>
                <w:color w:val="005A64"/>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wp:posOffset>
            </wp:positionV>
            <wp:extent cx="3968750" cy="2781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968750" cy="278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Collaborator/Partner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5829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4">
            <w:col w:w="1760" w:space="720"/>
            <w:col w:w="780" w:space="660"/>
            <w:col w:w="5840" w:space="560"/>
            <w:col w:w="920"/>
          </w:cols>
          <w:pgMar w:left="320" w:top="341" w:right="339" w:bottom="689" w:gutter="0" w:footer="0" w:header="0"/>
          <w:type w:val="continuous"/>
        </w:sectPr>
      </w:pPr>
    </w:p>
    <w:p>
      <w:pPr>
        <w:spacing w:after="0" w:line="391" w:lineRule="exact"/>
        <w:rPr>
          <w:sz w:val="20"/>
          <w:szCs w:val="20"/>
          <w:color w:val="auto"/>
        </w:rPr>
      </w:pPr>
    </w:p>
    <w:p>
      <w:pPr>
        <w:ind w:left="940"/>
        <w:spacing w:after="0"/>
        <w:rPr>
          <w:sz w:val="20"/>
          <w:szCs w:val="20"/>
          <w:color w:val="auto"/>
        </w:rPr>
      </w:pPr>
      <w:r>
        <w:rPr>
          <w:rFonts w:ascii="Arial" w:cs="Arial" w:eastAsia="Arial" w:hAnsi="Arial"/>
          <w:sz w:val="8"/>
          <w:szCs w:val="8"/>
          <w:b w:val="1"/>
          <w:bCs w:val="1"/>
          <w:color w:val="005A64"/>
        </w:rPr>
        <w:t>FixVac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306705</wp:posOffset>
            </wp:positionV>
            <wp:extent cx="8826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005A64"/>
        </w:rPr>
        <w:t>BNT111</w:t>
      </w:r>
    </w:p>
    <w:p>
      <w:pPr>
        <w:spacing w:after="0" w:line="165" w:lineRule="exact"/>
        <w:rPr>
          <w:sz w:val="20"/>
          <w:szCs w:val="20"/>
          <w:color w:val="auto"/>
        </w:rPr>
      </w:pPr>
    </w:p>
    <w:p>
      <w:pPr>
        <w:spacing w:after="0"/>
        <w:rPr>
          <w:sz w:val="20"/>
          <w:szCs w:val="20"/>
          <w:color w:val="auto"/>
        </w:rPr>
      </w:pPr>
      <w:r>
        <w:rPr>
          <w:rFonts w:ascii="Arial" w:cs="Arial" w:eastAsia="Arial" w:hAnsi="Arial"/>
          <w:sz w:val="8"/>
          <w:szCs w:val="8"/>
          <w:color w:val="005A64"/>
        </w:rPr>
        <w:t>BNT113</w:t>
      </w:r>
    </w:p>
    <w:p>
      <w:pPr>
        <w:spacing w:after="0" w:line="300" w:lineRule="exact"/>
        <w:rPr>
          <w:sz w:val="20"/>
          <w:szCs w:val="20"/>
          <w:color w:val="auto"/>
        </w:rPr>
      </w:pPr>
    </w:p>
    <w:p>
      <w:pPr>
        <w:spacing w:after="0"/>
        <w:rPr>
          <w:sz w:val="20"/>
          <w:szCs w:val="20"/>
          <w:color w:val="auto"/>
        </w:rPr>
      </w:pPr>
      <w:r>
        <w:rPr>
          <w:rFonts w:ascii="Arial" w:cs="Arial" w:eastAsia="Arial" w:hAnsi="Arial"/>
          <w:sz w:val="8"/>
          <w:szCs w:val="8"/>
          <w:color w:val="005A64"/>
        </w:rPr>
        <w:t>BNT116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144145</wp:posOffset>
            </wp:positionV>
            <wp:extent cx="8058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005A64"/>
        </w:rPr>
        <w:t>Advanced, R/R melanoma</w:t>
      </w:r>
    </w:p>
    <w:p>
      <w:pPr>
        <w:spacing w:after="0" w:line="99" w:lineRule="exact"/>
        <w:rPr>
          <w:sz w:val="20"/>
          <w:szCs w:val="20"/>
          <w:color w:val="auto"/>
        </w:rPr>
      </w:pPr>
    </w:p>
    <w:p>
      <w:pPr>
        <w:spacing w:after="0"/>
        <w:rPr>
          <w:sz w:val="20"/>
          <w:szCs w:val="20"/>
          <w:color w:val="auto"/>
        </w:rPr>
      </w:pPr>
      <w:r>
        <w:rPr>
          <w:rFonts w:ascii="Arial" w:cs="Arial" w:eastAsia="Arial" w:hAnsi="Arial"/>
          <w:sz w:val="8"/>
          <w:szCs w:val="8"/>
          <w:color w:val="005A64"/>
        </w:rPr>
        <w:t>Metastatic / R/R HPV16+ head and neck</w:t>
      </w:r>
    </w:p>
    <w:p>
      <w:pPr>
        <w:spacing w:after="0" w:line="24" w:lineRule="exact"/>
        <w:rPr>
          <w:sz w:val="20"/>
          <w:szCs w:val="20"/>
          <w:color w:val="auto"/>
        </w:rPr>
      </w:pPr>
    </w:p>
    <w:p>
      <w:pPr>
        <w:spacing w:after="0"/>
        <w:rPr>
          <w:sz w:val="20"/>
          <w:szCs w:val="20"/>
          <w:color w:val="auto"/>
        </w:rPr>
      </w:pPr>
      <w:r>
        <w:rPr>
          <w:rFonts w:ascii="Arial" w:cs="Arial" w:eastAsia="Arial" w:hAnsi="Arial"/>
          <w:sz w:val="9"/>
          <w:szCs w:val="9"/>
          <w:color w:val="005A64"/>
        </w:rPr>
        <w:t>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1750695</wp:posOffset>
            </wp:positionH>
            <wp:positionV relativeFrom="paragraph">
              <wp:posOffset>-39370</wp:posOffset>
            </wp:positionV>
            <wp:extent cx="825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2603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9"/>
          <w:szCs w:val="9"/>
          <w:color w:val="005A64"/>
        </w:rPr>
        <w:t>1L metastatic NSCLC</w:t>
      </w:r>
    </w:p>
    <w:p>
      <w:pPr>
        <w:spacing w:after="0" w:line="140" w:lineRule="exact"/>
        <w:rPr>
          <w:sz w:val="20"/>
          <w:szCs w:val="20"/>
          <w:color w:val="auto"/>
        </w:rPr>
      </w:pPr>
    </w:p>
    <w:p>
      <w:pPr>
        <w:spacing w:after="0"/>
        <w:rPr>
          <w:sz w:val="20"/>
          <w:szCs w:val="20"/>
          <w:color w:val="auto"/>
        </w:rPr>
      </w:pPr>
      <w:r>
        <w:rPr>
          <w:rFonts w:ascii="Arial" w:cs="Arial" w:eastAsia="Arial" w:hAnsi="Arial"/>
          <w:sz w:val="9"/>
          <w:szCs w:val="9"/>
          <w:color w:val="005A64"/>
        </w:rPr>
        <w:t>Advanced/metastatic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12001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9"/>
          <w:szCs w:val="9"/>
          <w:color w:val="005A64"/>
        </w:rPr>
        <w:t>1L advanced melanoma</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8"/>
          <w:szCs w:val="8"/>
          <w:color w:val="005A64"/>
        </w:rPr>
        <w:t>Fully owned</w:t>
      </w:r>
      <w:r>
        <w:rPr>
          <w:rFonts w:ascii="Arial" w:cs="Arial" w:eastAsia="Arial" w:hAnsi="Arial"/>
          <w:sz w:val="10"/>
          <w:szCs w:val="10"/>
          <w:color w:val="005A64"/>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-70485</wp:posOffset>
            </wp:positionV>
            <wp:extent cx="3360420" cy="29749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0420" cy="2974975"/>
                    </a:xfrm>
                    <a:prstGeom prst="rect">
                      <a:avLst/>
                    </a:prstGeom>
                    <a:noFill/>
                  </pic:spPr>
                </pic:pic>
              </a:graphicData>
            </a:graphic>
          </wp:anchor>
        </w:drawing>
      </w:r>
    </w:p>
    <w:p>
      <w:pPr>
        <w:spacing w:after="0" w:line="658" w:lineRule="exact"/>
        <w:rPr>
          <w:sz w:val="20"/>
          <w:szCs w:val="20"/>
          <w:color w:val="auto"/>
        </w:rPr>
      </w:pPr>
    </w:p>
    <w:p>
      <w:pPr>
        <w:sectPr>
          <w:pgSz w:w="11900" w:h="16838" w:orient="portrait"/>
          <w:cols w:equalWidth="0" w:num="4">
            <w:col w:w="1760" w:space="720"/>
            <w:col w:w="720" w:space="720"/>
            <w:col w:w="4700" w:space="720"/>
            <w:col w:w="1900"/>
          </w:cols>
          <w:pgMar w:left="320" w:top="341" w:right="339" w:bottom="689" w:gutter="0" w:footer="0" w:header="0"/>
          <w:type w:val="continuous"/>
        </w:sectPr>
      </w:pPr>
    </w:p>
    <w:p>
      <w:pPr>
        <w:ind w:left="20"/>
        <w:spacing w:after="0"/>
        <w:rPr>
          <w:sz w:val="20"/>
          <w:szCs w:val="20"/>
          <w:color w:val="auto"/>
        </w:rPr>
      </w:pPr>
      <w:r>
        <w:rPr>
          <w:rFonts w:ascii="Arial" w:cs="Arial" w:eastAsia="Arial" w:hAnsi="Arial"/>
          <w:sz w:val="9"/>
          <w:szCs w:val="9"/>
          <w:b w:val="1"/>
          <w:bCs w:val="1"/>
          <w:color w:val="005A64"/>
        </w:rPr>
        <w:t>mRNA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757555</wp:posOffset>
            </wp:positionV>
            <wp:extent cx="4883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005A64"/>
        </w:rPr>
        <w:t>Cell</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8"/>
          <w:szCs w:val="8"/>
          <w:b w:val="1"/>
          <w:bCs w:val="1"/>
          <w:color w:val="005A64"/>
        </w:rPr>
        <w:t>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4883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iNeST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282575</wp:posOffset>
            </wp:positionV>
            <wp:extent cx="8826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RiboMabs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8826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RiboCytokines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8826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CAR T cells + CARVac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8826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8"/>
          <w:szCs w:val="8"/>
          <w:b w:val="1"/>
          <w:bCs w:val="1"/>
          <w:color w:val="005A64"/>
        </w:rPr>
        <w:t>Neoantigen-based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8826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9"/>
          <w:szCs w:val="9"/>
          <w:color w:val="005A64"/>
        </w:rPr>
        <w:t>BNT122 (autogene</w:t>
      </w:r>
    </w:p>
    <w:p>
      <w:pPr>
        <w:spacing w:after="0" w:line="13" w:lineRule="exact"/>
        <w:rPr>
          <w:sz w:val="20"/>
          <w:szCs w:val="20"/>
          <w:color w:val="auto"/>
        </w:rPr>
      </w:pPr>
    </w:p>
    <w:p>
      <w:pPr>
        <w:spacing w:after="0"/>
        <w:rPr>
          <w:sz w:val="20"/>
          <w:szCs w:val="20"/>
          <w:color w:val="auto"/>
        </w:rPr>
      </w:pPr>
      <w:r>
        <w:rPr>
          <w:rFonts w:ascii="Arial" w:cs="Arial" w:eastAsia="Arial" w:hAnsi="Arial"/>
          <w:sz w:val="9"/>
          <w:szCs w:val="9"/>
          <w:color w:val="005A64"/>
        </w:rPr>
        <w:t>cevumeran)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251460</wp:posOffset>
            </wp:positionV>
            <wp:extent cx="8058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9"/>
          <w:szCs w:val="9"/>
          <w:color w:val="005A64"/>
        </w:rPr>
        <w:t>BNT142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8058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color w:val="005A64"/>
        </w:rPr>
        <w:t>BNT152 + BNT153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8058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color w:val="005A64"/>
        </w:rPr>
        <w:t>BNT211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8058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color w:val="005A64"/>
        </w:rPr>
        <w:t>BNT221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8058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93" w:lineRule="exact"/>
        <w:rPr>
          <w:sz w:val="20"/>
          <w:szCs w:val="20"/>
          <w:color w:val="auto"/>
        </w:rPr>
      </w:pPr>
    </w:p>
    <w:p>
      <w:pPr>
        <w:spacing w:after="0" w:line="282" w:lineRule="auto"/>
        <w:rPr>
          <w:sz w:val="20"/>
          <w:szCs w:val="20"/>
          <w:color w:val="auto"/>
        </w:rPr>
      </w:pPr>
      <w:r>
        <w:rPr>
          <w:rFonts w:ascii="Arial" w:cs="Arial" w:eastAsia="Arial" w:hAnsi="Arial"/>
          <w:sz w:val="9"/>
          <w:szCs w:val="9"/>
          <w:color w:val="005A64"/>
        </w:rPr>
        <w:t>BNT311 / GEN1046 (acasunlimab)</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9"/>
          <w:szCs w:val="9"/>
          <w:color w:val="005A64"/>
        </w:rPr>
        <w:t>Adjuvant colorectal cancer</w:t>
      </w:r>
    </w:p>
    <w:p>
      <w:pPr>
        <w:spacing w:after="0" w:line="140" w:lineRule="exact"/>
        <w:rPr>
          <w:sz w:val="20"/>
          <w:szCs w:val="20"/>
          <w:color w:val="auto"/>
        </w:rPr>
      </w:pPr>
    </w:p>
    <w:p>
      <w:pPr>
        <w:spacing w:after="0"/>
        <w:rPr>
          <w:sz w:val="20"/>
          <w:szCs w:val="20"/>
          <w:color w:val="auto"/>
        </w:rPr>
      </w:pPr>
      <w:r>
        <w:rPr>
          <w:rFonts w:ascii="Arial" w:cs="Arial" w:eastAsia="Arial" w:hAnsi="Arial"/>
          <w:sz w:val="8"/>
          <w:szCs w:val="8"/>
          <w:color w:val="005A64"/>
        </w:rPr>
        <w:t>Adjuvant pancreatic ductal adenocarcinoma</w:t>
      </w:r>
    </w:p>
    <w:p>
      <w:pPr>
        <w:spacing w:after="0" w:line="151" w:lineRule="exact"/>
        <w:rPr>
          <w:sz w:val="20"/>
          <w:szCs w:val="20"/>
          <w:color w:val="auto"/>
        </w:rPr>
      </w:pPr>
    </w:p>
    <w:p>
      <w:pPr>
        <w:spacing w:after="0"/>
        <w:rPr>
          <w:sz w:val="20"/>
          <w:szCs w:val="20"/>
          <w:color w:val="auto"/>
        </w:rPr>
      </w:pPr>
      <w:r>
        <w:rPr>
          <w:rFonts w:ascii="Arial" w:cs="Arial" w:eastAsia="Arial" w:hAnsi="Arial"/>
          <w:sz w:val="9"/>
          <w:szCs w:val="9"/>
          <w:color w:val="005A64"/>
        </w:rPr>
        <w:t>Multiple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12001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9"/>
          <w:szCs w:val="9"/>
          <w:color w:val="005A64"/>
        </w:rPr>
        <w:t>Multiple solid tumors (CD3×CLDN6)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50800</wp:posOffset>
            </wp:positionV>
            <wp:extent cx="12001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color w:val="005A64"/>
        </w:rPr>
        <w:t>Multiple solid tumors (IL-7, IL-2)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50800</wp:posOffset>
            </wp:positionV>
            <wp:extent cx="12001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color w:val="005A64"/>
        </w:rPr>
        <w:t>Multiple solid tumors (CLDN6)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50800</wp:posOffset>
            </wp:positionV>
            <wp:extent cx="12001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color w:val="005A64"/>
        </w:rPr>
        <w:t>Refractory metastatic melanoma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50800</wp:posOffset>
            </wp:positionV>
            <wp:extent cx="12001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9"/>
          <w:szCs w:val="9"/>
          <w:color w:val="005A64"/>
        </w:rPr>
        <w:t>aPD(L)1-R/R metastatic NSCLC (PD-L1×4-</w:t>
      </w:r>
    </w:p>
    <w:p>
      <w:pPr>
        <w:spacing w:after="0" w:line="13" w:lineRule="exact"/>
        <w:rPr>
          <w:sz w:val="20"/>
          <w:szCs w:val="20"/>
          <w:color w:val="auto"/>
        </w:rPr>
      </w:pPr>
    </w:p>
    <w:p>
      <w:pPr>
        <w:spacing w:after="0"/>
        <w:rPr>
          <w:sz w:val="20"/>
          <w:szCs w:val="20"/>
          <w:color w:val="auto"/>
        </w:rPr>
      </w:pPr>
      <w:r>
        <w:rPr>
          <w:rFonts w:ascii="Arial" w:cs="Arial" w:eastAsia="Arial" w:hAnsi="Arial"/>
          <w:sz w:val="9"/>
          <w:szCs w:val="9"/>
          <w:color w:val="005A64"/>
        </w:rPr>
        <w:t>1BB)</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9"/>
          <w:szCs w:val="9"/>
          <w:color w:val="005A64"/>
        </w:rPr>
        <w:t>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282575</wp:posOffset>
            </wp:positionV>
            <wp:extent cx="5232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324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9"/>
          <w:szCs w:val="9"/>
          <w:color w:val="005A64"/>
        </w:rPr>
        <w:t>Fully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5232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color w:val="005A64"/>
        </w:rPr>
        <w:t>Fully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5232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324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color w:val="005A64"/>
        </w:rPr>
        <w:t>Fully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5232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color w:val="005A64"/>
        </w:rPr>
        <w:t>Fully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5232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32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8"/>
          <w:szCs w:val="8"/>
          <w:color w:val="005A64"/>
        </w:rPr>
        <w:t>Genentech</w:t>
      </w:r>
      <w:r>
        <w:rPr>
          <w:rFonts w:ascii="Arial" w:cs="Arial" w:eastAsia="Arial" w:hAnsi="Arial"/>
          <w:sz w:val="10"/>
          <w:szCs w:val="10"/>
          <w:color w:val="005A64"/>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5829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742950</wp:posOffset>
            </wp:positionV>
            <wp:extent cx="58293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588645</wp:posOffset>
            </wp:positionV>
            <wp:extent cx="5829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434340</wp:posOffset>
            </wp:positionV>
            <wp:extent cx="5829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280035</wp:posOffset>
            </wp:positionV>
            <wp:extent cx="5829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1950" w:lineRule="exact"/>
        <w:rPr>
          <w:sz w:val="20"/>
          <w:szCs w:val="20"/>
          <w:color w:val="auto"/>
        </w:rPr>
      </w:pPr>
    </w:p>
    <w:p>
      <w:pPr>
        <w:sectPr>
          <w:pgSz w:w="11900" w:h="16838" w:orient="portrait"/>
          <w:cols w:equalWidth="0" w:num="6">
            <w:col w:w="420" w:space="520"/>
            <w:col w:w="1080" w:space="460"/>
            <w:col w:w="1220" w:space="220"/>
            <w:col w:w="4700" w:space="720"/>
            <w:col w:w="540" w:space="440"/>
            <w:col w:w="920"/>
          </w:cols>
          <w:pgMar w:left="320" w:top="341" w:right="339" w:bottom="68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8"/>
          <w:szCs w:val="8"/>
          <w:b w:val="1"/>
          <w:bCs w:val="1"/>
          <w:color w:val="005A64"/>
        </w:rPr>
        <w:t>Protein-based</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005A64"/>
        </w:rPr>
        <w:t>therapeutics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Next-generation</w:t>
      </w:r>
    </w:p>
    <w:p>
      <w:pPr>
        <w:spacing w:after="0" w:line="13" w:lineRule="exact"/>
        <w:rPr>
          <w:sz w:val="20"/>
          <w:szCs w:val="20"/>
          <w:color w:val="auto"/>
        </w:rPr>
      </w:pPr>
    </w:p>
    <w:p>
      <w:pPr>
        <w:spacing w:after="0"/>
        <w:rPr>
          <w:sz w:val="20"/>
          <w:szCs w:val="20"/>
          <w:color w:val="auto"/>
        </w:rPr>
      </w:pPr>
      <w:r>
        <w:rPr>
          <w:rFonts w:ascii="Arial" w:cs="Arial" w:eastAsia="Arial" w:hAnsi="Arial"/>
          <w:sz w:val="8"/>
          <w:szCs w:val="8"/>
          <w:b w:val="1"/>
          <w:bCs w:val="1"/>
          <w:color w:val="005A64"/>
        </w:rPr>
        <w:t>immune checkpoint</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modulators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005A64"/>
        </w:rPr>
        <w:t>BNT312 / GEN1042</w:t>
      </w:r>
    </w:p>
    <w:p>
      <w:pPr>
        <w:spacing w:after="0" w:line="151" w:lineRule="exact"/>
        <w:rPr>
          <w:sz w:val="20"/>
          <w:szCs w:val="20"/>
          <w:color w:val="auto"/>
        </w:rPr>
      </w:pPr>
    </w:p>
    <w:p>
      <w:pPr>
        <w:spacing w:after="0"/>
        <w:rPr>
          <w:sz w:val="20"/>
          <w:szCs w:val="20"/>
          <w:color w:val="auto"/>
        </w:rPr>
      </w:pPr>
      <w:r>
        <w:rPr>
          <w:rFonts w:ascii="Arial" w:cs="Arial" w:eastAsia="Arial" w:hAnsi="Arial"/>
          <w:sz w:val="8"/>
          <w:szCs w:val="8"/>
          <w:color w:val="005A64"/>
        </w:rPr>
        <w:t>BNT314 / GEN1059</w:t>
      </w:r>
    </w:p>
    <w:p>
      <w:pPr>
        <w:spacing w:after="0" w:line="151" w:lineRule="exact"/>
        <w:rPr>
          <w:sz w:val="20"/>
          <w:szCs w:val="20"/>
          <w:color w:val="auto"/>
        </w:rPr>
      </w:pPr>
    </w:p>
    <w:p>
      <w:pPr>
        <w:spacing w:after="0"/>
        <w:rPr>
          <w:sz w:val="20"/>
          <w:szCs w:val="20"/>
          <w:color w:val="auto"/>
        </w:rPr>
      </w:pPr>
      <w:r>
        <w:rPr>
          <w:rFonts w:ascii="Arial" w:cs="Arial" w:eastAsia="Arial" w:hAnsi="Arial"/>
          <w:sz w:val="8"/>
          <w:szCs w:val="8"/>
          <w:color w:val="005A64"/>
        </w:rPr>
        <w:t>BNT315 / GEN1055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8"/>
          <w:szCs w:val="8"/>
          <w:color w:val="005A64"/>
        </w:rPr>
        <w:t>BNT322 / GEN1056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8058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9"/>
          <w:szCs w:val="9"/>
          <w:color w:val="005A64"/>
        </w:rPr>
        <w:t>BNT316 / ONC-392</w:t>
      </w:r>
    </w:p>
    <w:p>
      <w:pPr>
        <w:spacing w:after="0" w:line="13" w:lineRule="exact"/>
        <w:rPr>
          <w:sz w:val="20"/>
          <w:szCs w:val="20"/>
          <w:color w:val="auto"/>
        </w:rPr>
      </w:pPr>
    </w:p>
    <w:p>
      <w:pPr>
        <w:spacing w:after="0"/>
        <w:rPr>
          <w:sz w:val="20"/>
          <w:szCs w:val="20"/>
          <w:color w:val="auto"/>
        </w:rPr>
      </w:pPr>
      <w:r>
        <w:rPr>
          <w:rFonts w:ascii="Arial" w:cs="Arial" w:eastAsia="Arial" w:hAnsi="Arial"/>
          <w:sz w:val="9"/>
          <w:szCs w:val="9"/>
          <w:color w:val="005A64"/>
        </w:rPr>
        <w:t>(gotistobart)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268605</wp:posOffset>
            </wp:positionV>
            <wp:extent cx="8058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005A64"/>
        </w:rPr>
        <w:t>Multiple solid tumors (CD40×4-1BB)</w:t>
      </w:r>
      <w:r>
        <w:rPr>
          <w:rFonts w:ascii="Arial" w:cs="Arial" w:eastAsia="Arial" w:hAnsi="Arial"/>
          <w:sz w:val="11"/>
          <w:szCs w:val="11"/>
          <w:color w:val="005A64"/>
          <w:vertAlign w:val="superscript"/>
        </w:rPr>
        <w:t>(4)</w:t>
      </w:r>
    </w:p>
    <w:p>
      <w:pPr>
        <w:spacing w:after="0" w:line="125" w:lineRule="exact"/>
        <w:rPr>
          <w:sz w:val="20"/>
          <w:szCs w:val="20"/>
          <w:color w:val="auto"/>
        </w:rPr>
      </w:pPr>
    </w:p>
    <w:p>
      <w:pPr>
        <w:spacing w:after="0"/>
        <w:rPr>
          <w:sz w:val="20"/>
          <w:szCs w:val="20"/>
          <w:color w:val="auto"/>
        </w:rPr>
      </w:pPr>
      <w:r>
        <w:rPr>
          <w:rFonts w:ascii="Arial" w:cs="Arial" w:eastAsia="Arial" w:hAnsi="Arial"/>
          <w:sz w:val="9"/>
          <w:szCs w:val="9"/>
          <w:color w:val="005A64"/>
        </w:rPr>
        <w:t>Multiple solid tumors (EpCAM×4-1BB)</w:t>
      </w:r>
    </w:p>
    <w:p>
      <w:pPr>
        <w:spacing w:after="0" w:line="140" w:lineRule="exact"/>
        <w:rPr>
          <w:sz w:val="20"/>
          <w:szCs w:val="20"/>
          <w:color w:val="auto"/>
        </w:rPr>
      </w:pPr>
    </w:p>
    <w:p>
      <w:pPr>
        <w:spacing w:after="0"/>
        <w:rPr>
          <w:sz w:val="20"/>
          <w:szCs w:val="20"/>
          <w:color w:val="auto"/>
        </w:rPr>
      </w:pPr>
      <w:r>
        <w:rPr>
          <w:rFonts w:ascii="Arial" w:cs="Arial" w:eastAsia="Arial" w:hAnsi="Arial"/>
          <w:sz w:val="9"/>
          <w:szCs w:val="9"/>
          <w:color w:val="005A64"/>
        </w:rPr>
        <w:t>Multiple solid tumors (OX40)</w:t>
      </w:r>
    </w:p>
    <w:p>
      <w:pPr>
        <w:spacing w:after="0" w:line="140" w:lineRule="exact"/>
        <w:rPr>
          <w:sz w:val="20"/>
          <w:szCs w:val="20"/>
          <w:color w:val="auto"/>
        </w:rPr>
      </w:pPr>
    </w:p>
    <w:p>
      <w:pPr>
        <w:spacing w:after="0"/>
        <w:rPr>
          <w:sz w:val="20"/>
          <w:szCs w:val="20"/>
          <w:color w:val="auto"/>
        </w:rPr>
      </w:pPr>
      <w:r>
        <w:rPr>
          <w:rFonts w:ascii="Arial" w:cs="Arial" w:eastAsia="Arial" w:hAnsi="Arial"/>
          <w:sz w:val="9"/>
          <w:szCs w:val="9"/>
          <w:color w:val="005A64"/>
        </w:rPr>
        <w:t>Multiple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12001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9"/>
          <w:szCs w:val="9"/>
          <w:color w:val="005A64"/>
        </w:rPr>
        <w:t>aPD(L)1-R/R metastatic NSCLC (CTLA-4)</w:t>
      </w:r>
    </w:p>
    <w:p>
      <w:pPr>
        <w:spacing w:after="0" w:line="126" w:lineRule="exact"/>
        <w:rPr>
          <w:sz w:val="20"/>
          <w:szCs w:val="20"/>
          <w:color w:val="auto"/>
        </w:rPr>
      </w:pPr>
    </w:p>
    <w:p>
      <w:pPr>
        <w:spacing w:after="0"/>
        <w:rPr>
          <w:sz w:val="20"/>
          <w:szCs w:val="20"/>
          <w:color w:val="auto"/>
        </w:rPr>
      </w:pPr>
      <w:r>
        <w:rPr>
          <w:rFonts w:ascii="Arial" w:cs="Arial" w:eastAsia="Arial" w:hAnsi="Arial"/>
          <w:sz w:val="9"/>
          <w:szCs w:val="9"/>
          <w:color w:val="005A64"/>
        </w:rPr>
        <w:t>Platinum-resistant ovarian cancer (CTLA-4)</w:t>
      </w:r>
    </w:p>
    <w:p>
      <w:pPr>
        <w:spacing w:after="0" w:line="113" w:lineRule="exact"/>
        <w:rPr>
          <w:sz w:val="20"/>
          <w:szCs w:val="20"/>
          <w:color w:val="auto"/>
        </w:rPr>
      </w:pPr>
    </w:p>
    <w:p>
      <w:pPr>
        <w:spacing w:after="0"/>
        <w:rPr>
          <w:sz w:val="20"/>
          <w:szCs w:val="20"/>
          <w:color w:val="auto"/>
        </w:rPr>
      </w:pPr>
      <w:r>
        <w:rPr>
          <w:rFonts w:ascii="Arial" w:cs="Arial" w:eastAsia="Arial" w:hAnsi="Arial"/>
          <w:sz w:val="8"/>
          <w:szCs w:val="8"/>
          <w:color w:val="005A64"/>
        </w:rPr>
        <w:t>Metastatic castration-resistant prostate cancer</w:t>
      </w:r>
    </w:p>
    <w:p>
      <w:pPr>
        <w:spacing w:after="0" w:line="24" w:lineRule="exact"/>
        <w:rPr>
          <w:sz w:val="20"/>
          <w:szCs w:val="20"/>
          <w:color w:val="auto"/>
        </w:rPr>
      </w:pPr>
    </w:p>
    <w:p>
      <w:pPr>
        <w:spacing w:after="0"/>
        <w:rPr>
          <w:sz w:val="20"/>
          <w:szCs w:val="20"/>
          <w:color w:val="auto"/>
        </w:rPr>
      </w:pPr>
      <w:r>
        <w:rPr>
          <w:rFonts w:ascii="Arial" w:cs="Arial" w:eastAsia="Arial" w:hAnsi="Arial"/>
          <w:sz w:val="9"/>
          <w:szCs w:val="9"/>
          <w:color w:val="005A64"/>
        </w:rPr>
        <w:t>(CTLA-4)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-39370</wp:posOffset>
            </wp:positionV>
            <wp:extent cx="1002665" cy="5746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02665" cy="57467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9"/>
          <w:szCs w:val="9"/>
          <w:color w:val="005A64"/>
        </w:rPr>
        <w:t>Multiple solid tumors (CTLA-4)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12001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9"/>
          <w:szCs w:val="9"/>
          <w:color w:val="005A64"/>
        </w:rPr>
        <w:t>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445135</wp:posOffset>
            </wp:positionV>
            <wp:extent cx="5232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9"/>
          <w:szCs w:val="9"/>
          <w:color w:val="005A64"/>
        </w:rPr>
        <w:t>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-1146175</wp:posOffset>
            </wp:positionH>
            <wp:positionV relativeFrom="paragraph">
              <wp:posOffset>67945</wp:posOffset>
            </wp:positionV>
            <wp:extent cx="1658620" cy="5746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58620" cy="5746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9"/>
          <w:szCs w:val="9"/>
          <w:color w:val="005A64"/>
        </w:rPr>
        <w:t>Genmab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445135</wp:posOffset>
            </wp:positionV>
            <wp:extent cx="5829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9"/>
          <w:szCs w:val="9"/>
          <w:color w:val="005A64"/>
        </w:rPr>
        <w:t>OncoC4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299720</wp:posOffset>
            </wp:positionV>
            <wp:extent cx="5829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518" w:lineRule="exact"/>
        <w:rPr>
          <w:sz w:val="20"/>
          <w:szCs w:val="20"/>
          <w:color w:val="auto"/>
        </w:rPr>
      </w:pPr>
    </w:p>
    <w:p>
      <w:pPr>
        <w:sectPr>
          <w:pgSz w:w="11900" w:h="16838" w:orient="portrait"/>
          <w:cols w:equalWidth="0" w:num="6">
            <w:col w:w="620" w:space="320"/>
            <w:col w:w="840" w:space="700"/>
            <w:col w:w="800" w:space="640"/>
            <w:col w:w="4700" w:space="720"/>
            <w:col w:w="540" w:space="440"/>
            <w:col w:w="920"/>
          </w:cols>
          <w:pgMar w:left="320" w:top="341" w:right="339" w:bottom="689"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ind w:left="940"/>
        <w:spacing w:after="0"/>
        <w:rPr>
          <w:sz w:val="20"/>
          <w:szCs w:val="20"/>
          <w:color w:val="auto"/>
        </w:rPr>
      </w:pPr>
      <w:r>
        <w:rPr>
          <w:rFonts w:ascii="Arial" w:cs="Arial" w:eastAsia="Arial" w:hAnsi="Arial"/>
          <w:sz w:val="8"/>
          <w:szCs w:val="8"/>
          <w:b w:val="1"/>
          <w:bCs w:val="1"/>
          <w:color w:val="005A64"/>
        </w:rPr>
        <w:t>Targeted cancer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161290</wp:posOffset>
            </wp:positionV>
            <wp:extent cx="8826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-189865</wp:posOffset>
            </wp:positionV>
            <wp:extent cx="8826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40"/>
        <w:spacing w:after="0"/>
        <w:rPr>
          <w:sz w:val="20"/>
          <w:szCs w:val="20"/>
          <w:color w:val="auto"/>
        </w:rPr>
      </w:pPr>
      <w:r>
        <w:rPr>
          <w:rFonts w:ascii="Arial" w:cs="Arial" w:eastAsia="Arial" w:hAnsi="Arial"/>
          <w:sz w:val="9"/>
          <w:szCs w:val="9"/>
          <w:b w:val="1"/>
          <w:bCs w:val="1"/>
          <w:color w:val="005A64"/>
        </w:rPr>
        <w:t>Antibody-drug conjugates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005A64"/>
        </w:rPr>
        <w:t>BNT327/PM8002 +</w:t>
      </w:r>
    </w:p>
    <w:p>
      <w:pPr>
        <w:spacing w:after="0" w:line="24" w:lineRule="exact"/>
        <w:rPr>
          <w:sz w:val="20"/>
          <w:szCs w:val="20"/>
          <w:color w:val="auto"/>
        </w:rPr>
      </w:pPr>
    </w:p>
    <w:p>
      <w:pPr>
        <w:spacing w:after="0"/>
        <w:rPr>
          <w:sz w:val="20"/>
          <w:szCs w:val="20"/>
          <w:color w:val="auto"/>
        </w:rPr>
      </w:pPr>
      <w:r>
        <w:rPr>
          <w:rFonts w:ascii="Arial" w:cs="Arial" w:eastAsia="Arial" w:hAnsi="Arial"/>
          <w:sz w:val="9"/>
          <w:szCs w:val="9"/>
          <w:color w:val="005A64"/>
        </w:rPr>
        <w:t>BNT32/DB-1305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54610</wp:posOffset>
            </wp:positionV>
            <wp:extent cx="8058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9"/>
          <w:szCs w:val="9"/>
          <w:color w:val="005A64"/>
        </w:rPr>
        <w:t>BNT321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153670</wp:posOffset>
            </wp:positionV>
            <wp:extent cx="80581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8"/>
          <w:szCs w:val="8"/>
          <w:color w:val="005A64"/>
        </w:rPr>
        <w:t>BNT323 / DB-1303</w:t>
      </w:r>
    </w:p>
    <w:p>
      <w:pPr>
        <w:spacing w:after="0" w:line="300" w:lineRule="exact"/>
        <w:rPr>
          <w:sz w:val="20"/>
          <w:szCs w:val="20"/>
          <w:color w:val="auto"/>
        </w:rPr>
      </w:pPr>
    </w:p>
    <w:p>
      <w:pPr>
        <w:spacing w:after="0"/>
        <w:rPr>
          <w:sz w:val="20"/>
          <w:szCs w:val="20"/>
          <w:color w:val="auto"/>
        </w:rPr>
      </w:pPr>
      <w:r>
        <w:rPr>
          <w:rFonts w:ascii="Arial" w:cs="Arial" w:eastAsia="Arial" w:hAnsi="Arial"/>
          <w:sz w:val="8"/>
          <w:szCs w:val="8"/>
          <w:color w:val="005A64"/>
        </w:rPr>
        <w:t>BNT324 / DB-1311</w:t>
      </w:r>
    </w:p>
    <w:p>
      <w:pPr>
        <w:spacing w:after="0" w:line="151" w:lineRule="exact"/>
        <w:rPr>
          <w:sz w:val="20"/>
          <w:szCs w:val="20"/>
          <w:color w:val="auto"/>
        </w:rPr>
      </w:pPr>
    </w:p>
    <w:p>
      <w:pPr>
        <w:spacing w:after="0"/>
        <w:rPr>
          <w:sz w:val="20"/>
          <w:szCs w:val="20"/>
          <w:color w:val="auto"/>
        </w:rPr>
      </w:pPr>
      <w:r>
        <w:rPr>
          <w:rFonts w:ascii="Arial" w:cs="Arial" w:eastAsia="Arial" w:hAnsi="Arial"/>
          <w:sz w:val="8"/>
          <w:szCs w:val="8"/>
          <w:color w:val="005A64"/>
        </w:rPr>
        <w:t>BNT325 / DB-1305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8058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9"/>
          <w:szCs w:val="9"/>
          <w:color w:val="005A64"/>
        </w:rPr>
        <w:t>Multiple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85090</wp:posOffset>
            </wp:positionV>
            <wp:extent cx="12001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8"/>
          <w:szCs w:val="8"/>
          <w:color w:val="005A64"/>
        </w:rPr>
        <w:t>Adjuvant pancreatic ductal adenocarcinoma</w:t>
      </w:r>
    </w:p>
    <w:p>
      <w:pPr>
        <w:spacing w:after="0" w:line="24" w:lineRule="exact"/>
        <w:rPr>
          <w:sz w:val="20"/>
          <w:szCs w:val="20"/>
          <w:color w:val="auto"/>
        </w:rPr>
      </w:pPr>
    </w:p>
    <w:p>
      <w:pPr>
        <w:spacing w:after="0"/>
        <w:rPr>
          <w:sz w:val="20"/>
          <w:szCs w:val="20"/>
          <w:color w:val="auto"/>
        </w:rPr>
      </w:pPr>
      <w:r>
        <w:rPr>
          <w:rFonts w:ascii="Arial" w:cs="Arial" w:eastAsia="Arial" w:hAnsi="Arial"/>
          <w:sz w:val="9"/>
          <w:szCs w:val="9"/>
          <w:color w:val="005A64"/>
        </w:rPr>
        <w:t>(sLea)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1750695</wp:posOffset>
            </wp:positionH>
            <wp:positionV relativeFrom="paragraph">
              <wp:posOffset>-39370</wp:posOffset>
            </wp:positionV>
            <wp:extent cx="825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2540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9"/>
          <w:szCs w:val="9"/>
          <w:color w:val="005A64"/>
        </w:rPr>
        <w:t>Metastatic pancreatic cancer (sLea)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120015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9"/>
          <w:szCs w:val="9"/>
          <w:color w:val="005A64"/>
        </w:rPr>
        <w:t>HR+/HER2-low metastatic breast cancer</w:t>
      </w:r>
    </w:p>
    <w:p>
      <w:pPr>
        <w:spacing w:after="0" w:line="13" w:lineRule="exact"/>
        <w:rPr>
          <w:sz w:val="20"/>
          <w:szCs w:val="20"/>
          <w:color w:val="auto"/>
        </w:rPr>
      </w:pPr>
    </w:p>
    <w:p>
      <w:pPr>
        <w:spacing w:after="0"/>
        <w:rPr>
          <w:sz w:val="20"/>
          <w:szCs w:val="20"/>
          <w:color w:val="auto"/>
        </w:rPr>
      </w:pPr>
      <w:r>
        <w:rPr>
          <w:rFonts w:ascii="Arial" w:cs="Arial" w:eastAsia="Arial" w:hAnsi="Arial"/>
          <w:sz w:val="9"/>
          <w:szCs w:val="9"/>
          <w:color w:val="005A64"/>
        </w:rPr>
        <w:t>(HER2)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-39370</wp:posOffset>
            </wp:positionV>
            <wp:extent cx="1002665" cy="6597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02665" cy="65976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9"/>
          <w:szCs w:val="9"/>
          <w:color w:val="005A64"/>
        </w:rPr>
        <w:t>Multiple solid tumors (HER2)</w:t>
      </w:r>
    </w:p>
    <w:p>
      <w:pPr>
        <w:spacing w:after="0" w:line="140" w:lineRule="exact"/>
        <w:rPr>
          <w:sz w:val="20"/>
          <w:szCs w:val="20"/>
          <w:color w:val="auto"/>
        </w:rPr>
      </w:pPr>
    </w:p>
    <w:p>
      <w:pPr>
        <w:spacing w:after="0"/>
        <w:rPr>
          <w:sz w:val="20"/>
          <w:szCs w:val="20"/>
          <w:color w:val="auto"/>
        </w:rPr>
      </w:pPr>
      <w:r>
        <w:rPr>
          <w:rFonts w:ascii="Arial" w:cs="Arial" w:eastAsia="Arial" w:hAnsi="Arial"/>
          <w:sz w:val="9"/>
          <w:szCs w:val="9"/>
          <w:color w:val="005A64"/>
        </w:rPr>
        <w:t>Multiple solid tumors (B7H3)</w:t>
      </w:r>
    </w:p>
    <w:p>
      <w:pPr>
        <w:spacing w:after="0" w:line="140" w:lineRule="exact"/>
        <w:rPr>
          <w:sz w:val="20"/>
          <w:szCs w:val="20"/>
          <w:color w:val="auto"/>
        </w:rPr>
      </w:pPr>
    </w:p>
    <w:p>
      <w:pPr>
        <w:spacing w:after="0"/>
        <w:rPr>
          <w:sz w:val="20"/>
          <w:szCs w:val="20"/>
          <w:color w:val="auto"/>
        </w:rPr>
      </w:pPr>
      <w:r>
        <w:rPr>
          <w:rFonts w:ascii="Arial" w:cs="Arial" w:eastAsia="Arial" w:hAnsi="Arial"/>
          <w:sz w:val="9"/>
          <w:szCs w:val="9"/>
          <w:color w:val="005A64"/>
        </w:rPr>
        <w:t>Multiple solid tumors (TROP2)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12001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9"/>
          <w:szCs w:val="9"/>
          <w:color w:val="005A64"/>
        </w:rPr>
        <w:t>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205105</wp:posOffset>
            </wp:positionV>
            <wp:extent cx="825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205105</wp:posOffset>
            </wp:positionV>
            <wp:extent cx="825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-1133475</wp:posOffset>
            </wp:positionH>
            <wp:positionV relativeFrom="paragraph">
              <wp:posOffset>205105</wp:posOffset>
            </wp:positionV>
            <wp:extent cx="889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-1073150</wp:posOffset>
            </wp:positionH>
            <wp:positionV relativeFrom="paragraph">
              <wp:posOffset>85090</wp:posOffset>
            </wp:positionV>
            <wp:extent cx="15862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9"/>
          <w:szCs w:val="9"/>
          <w:color w:val="005A64"/>
        </w:rPr>
        <w:t>Fully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-25400</wp:posOffset>
            </wp:positionV>
            <wp:extent cx="2674620" cy="9213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74620" cy="92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9"/>
          <w:szCs w:val="9"/>
          <w:color w:val="005A64"/>
        </w:rPr>
        <w:t>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307975</wp:posOffset>
            </wp:positionV>
            <wp:extent cx="15862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20"/>
        <w:spacing w:after="0" w:line="282" w:lineRule="auto"/>
        <w:rPr>
          <w:sz w:val="20"/>
          <w:szCs w:val="20"/>
          <w:color w:val="auto"/>
        </w:rPr>
      </w:pPr>
      <w:r>
        <w:rPr>
          <w:rFonts w:ascii="Arial" w:cs="Arial" w:eastAsia="Arial" w:hAnsi="Arial"/>
          <w:sz w:val="9"/>
          <w:szCs w:val="9"/>
          <w:color w:val="005A64"/>
        </w:rPr>
        <w:t>Biotheus / Duality Biologics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391160</wp:posOffset>
            </wp:positionV>
            <wp:extent cx="5829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39370</wp:posOffset>
            </wp:positionV>
            <wp:extent cx="5829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9"/>
          <w:szCs w:val="9"/>
          <w:color w:val="005A64"/>
        </w:rPr>
        <w:t>Duality Biologics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5829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517" w:lineRule="exact"/>
        <w:rPr>
          <w:sz w:val="20"/>
          <w:szCs w:val="20"/>
          <w:color w:val="auto"/>
        </w:rPr>
      </w:pPr>
    </w:p>
    <w:p>
      <w:pPr>
        <w:sectPr>
          <w:pgSz w:w="11900" w:h="16838" w:orient="portrait"/>
          <w:cols w:equalWidth="0" w:num="5">
            <w:col w:w="2100" w:space="380"/>
            <w:col w:w="760" w:space="680"/>
            <w:col w:w="4700" w:space="720"/>
            <w:col w:w="540" w:space="440"/>
            <w:col w:w="920"/>
          </w:cols>
          <w:pgMar w:left="320" w:top="341" w:right="339" w:bottom="689" w:gutter="0" w:footer="0" w:header="0"/>
          <w:type w:val="continuous"/>
        </w:sect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8"/>
          <w:szCs w:val="8"/>
          <w:b w:val="1"/>
          <w:bCs w:val="1"/>
          <w:color w:val="005A64"/>
        </w:rPr>
        <w:t>SMI</w:t>
      </w:r>
      <w:r>
        <w:rPr>
          <w:rFonts w:ascii="Arial" w:cs="Arial" w:eastAsia="Arial" w:hAnsi="Arial"/>
          <w:sz w:val="10"/>
          <w:szCs w:val="10"/>
          <w:b w:val="1"/>
          <w:bCs w:val="1"/>
          <w:color w:val="005A64"/>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4883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883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4883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Toll-like receptor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8826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-102870</wp:posOffset>
            </wp:positionV>
            <wp:extent cx="8826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8"/>
          <w:szCs w:val="8"/>
          <w:color w:val="005A64"/>
        </w:rPr>
        <w:t>BNT326 / YL202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8058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9"/>
          <w:szCs w:val="9"/>
          <w:color w:val="005A64"/>
        </w:rPr>
        <w:t>BNT411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80581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
        </w:trPr>
        <w:tc>
          <w:tcPr>
            <w:tcW w:w="2040" w:type="dxa"/>
            <w:vAlign w:val="bottom"/>
            <w:gridSpan w:val="2"/>
            <w:vMerge w:val="restart"/>
          </w:tcPr>
          <w:p>
            <w:pPr>
              <w:ind w:left="20"/>
              <w:spacing w:after="0"/>
              <w:rPr>
                <w:sz w:val="20"/>
                <w:szCs w:val="20"/>
                <w:color w:val="auto"/>
              </w:rPr>
            </w:pPr>
            <w:r>
              <w:rPr>
                <w:rFonts w:ascii="Arial" w:cs="Arial" w:eastAsia="Arial" w:hAnsi="Arial"/>
                <w:sz w:val="9"/>
                <w:szCs w:val="9"/>
                <w:color w:val="005A64"/>
              </w:rPr>
              <w:t>Multiple solid tumors (HER3)</w:t>
            </w:r>
          </w:p>
        </w:tc>
        <w:tc>
          <w:tcPr>
            <w:tcW w:w="5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vMerge w:val="restart"/>
          </w:tcPr>
          <w:p>
            <w:pPr>
              <w:ind w:left="20"/>
              <w:spacing w:after="0"/>
              <w:rPr>
                <w:sz w:val="20"/>
                <w:szCs w:val="20"/>
                <w:color w:val="auto"/>
              </w:rPr>
            </w:pPr>
            <w:r>
              <w:rPr>
                <w:rFonts w:ascii="Arial" w:cs="Arial" w:eastAsia="Arial" w:hAnsi="Arial"/>
                <w:sz w:val="9"/>
                <w:szCs w:val="9"/>
                <w:color w:val="005A64"/>
              </w:rPr>
              <w:t>Collaboration</w:t>
            </w:r>
          </w:p>
        </w:tc>
        <w:tc>
          <w:tcPr>
            <w:tcW w:w="0" w:type="dxa"/>
            <w:vAlign w:val="bottom"/>
          </w:tcPr>
          <w:p>
            <w:pPr>
              <w:spacing w:after="0" w:line="20" w:lineRule="exact"/>
              <w:rPr>
                <w:sz w:val="1"/>
                <w:szCs w:val="1"/>
                <w:color w:val="auto"/>
              </w:rPr>
            </w:pPr>
          </w:p>
        </w:tc>
      </w:tr>
      <w:tr>
        <w:trPr>
          <w:trHeight w:val="81"/>
        </w:trPr>
        <w:tc>
          <w:tcPr>
            <w:tcW w:w="2040" w:type="dxa"/>
            <w:vAlign w:val="bottom"/>
            <w:gridSpan w:val="2"/>
            <w:vMerge w:val="continue"/>
          </w:tcPr>
          <w:p>
            <w:pPr>
              <w:spacing w:after="0"/>
              <w:rPr>
                <w:sz w:val="7"/>
                <w:szCs w:val="7"/>
                <w:color w:val="auto"/>
              </w:rPr>
            </w:pPr>
          </w:p>
        </w:tc>
        <w:tc>
          <w:tcPr>
            <w:tcW w:w="520" w:type="dxa"/>
            <w:vAlign w:val="bottom"/>
            <w:shd w:val="clear" w:color="auto" w:fill="3C9673"/>
          </w:tcPr>
          <w:p>
            <w:pPr>
              <w:spacing w:after="0"/>
              <w:rPr>
                <w:sz w:val="7"/>
                <w:szCs w:val="7"/>
                <w:color w:val="auto"/>
              </w:rPr>
            </w:pPr>
          </w:p>
        </w:tc>
        <w:tc>
          <w:tcPr>
            <w:tcW w:w="8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20" w:type="dxa"/>
            <w:vAlign w:val="bottom"/>
            <w:shd w:val="clear" w:color="auto" w:fill="005A64"/>
          </w:tcPr>
          <w:p>
            <w:pPr>
              <w:spacing w:after="0"/>
              <w:rPr>
                <w:sz w:val="7"/>
                <w:szCs w:val="7"/>
                <w:color w:val="auto"/>
              </w:rPr>
            </w:pPr>
          </w:p>
        </w:tc>
        <w:tc>
          <w:tcPr>
            <w:tcW w:w="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20" w:type="dxa"/>
            <w:vAlign w:val="bottom"/>
            <w:shd w:val="clear" w:color="auto" w:fill="005A64"/>
          </w:tcPr>
          <w:p>
            <w:pPr>
              <w:spacing w:after="0"/>
              <w:rPr>
                <w:sz w:val="7"/>
                <w:szCs w:val="7"/>
                <w:color w:val="auto"/>
              </w:rPr>
            </w:pPr>
          </w:p>
        </w:tc>
        <w:tc>
          <w:tcPr>
            <w:tcW w:w="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0" w:type="dxa"/>
            <w:vAlign w:val="bottom"/>
            <w:shd w:val="clear" w:color="auto" w:fill="005A64"/>
          </w:tcPr>
          <w:p>
            <w:pPr>
              <w:spacing w:after="0"/>
              <w:rPr>
                <w:sz w:val="7"/>
                <w:szCs w:val="7"/>
                <w:color w:val="auto"/>
              </w:rPr>
            </w:pPr>
          </w:p>
        </w:tc>
        <w:tc>
          <w:tcPr>
            <w:tcW w:w="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0" w:type="dxa"/>
            <w:vAlign w:val="bottom"/>
            <w:shd w:val="clear" w:color="auto" w:fill="005A64"/>
          </w:tcPr>
          <w:p>
            <w:pPr>
              <w:spacing w:after="0"/>
              <w:rPr>
                <w:sz w:val="7"/>
                <w:szCs w:val="7"/>
                <w:color w:val="auto"/>
              </w:rPr>
            </w:pPr>
          </w:p>
        </w:tc>
        <w:tc>
          <w:tcPr>
            <w:tcW w:w="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880" w:type="dxa"/>
            <w:vAlign w:val="bottom"/>
            <w:tcBorders>
              <w:bottom w:val="single" w:sz="8" w:color="005A64"/>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bottom w:val="single" w:sz="8" w:color="005A64"/>
            </w:tcBorders>
          </w:tcPr>
          <w:p>
            <w:pPr>
              <w:spacing w:after="0"/>
              <w:rPr>
                <w:sz w:val="10"/>
                <w:szCs w:val="10"/>
                <w:color w:val="auto"/>
              </w:rPr>
            </w:pPr>
          </w:p>
        </w:tc>
        <w:tc>
          <w:tcPr>
            <w:tcW w:w="80" w:type="dxa"/>
            <w:vAlign w:val="bottom"/>
            <w:tcBorders>
              <w:bottom w:val="single" w:sz="8" w:color="005A64"/>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bottom w:val="single" w:sz="8" w:color="005A64"/>
            </w:tcBorders>
          </w:tcPr>
          <w:p>
            <w:pPr>
              <w:spacing w:after="0"/>
              <w:rPr>
                <w:sz w:val="10"/>
                <w:szCs w:val="10"/>
                <w:color w:val="auto"/>
              </w:rPr>
            </w:pPr>
          </w:p>
        </w:tc>
        <w:tc>
          <w:tcPr>
            <w:tcW w:w="80" w:type="dxa"/>
            <w:vAlign w:val="bottom"/>
            <w:tcBorders>
              <w:bottom w:val="single" w:sz="8" w:color="005A64"/>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bottom w:val="single" w:sz="8" w:color="005A64"/>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005A64"/>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bottom w:val="single" w:sz="8" w:color="005A64"/>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40" w:type="dxa"/>
            <w:vAlign w:val="bottom"/>
            <w:gridSpan w:val="2"/>
          </w:tcPr>
          <w:p>
            <w:pPr>
              <w:ind w:left="20"/>
              <w:spacing w:after="0"/>
              <w:rPr>
                <w:sz w:val="20"/>
                <w:szCs w:val="20"/>
                <w:color w:val="auto"/>
              </w:rPr>
            </w:pPr>
            <w:r>
              <w:rPr>
                <w:rFonts w:ascii="Arial" w:cs="Arial" w:eastAsia="Arial" w:hAnsi="Arial"/>
                <w:sz w:val="9"/>
                <w:szCs w:val="9"/>
                <w:color w:val="005A64"/>
              </w:rPr>
              <w:t>Multiple solid tumors (TLR7)</w:t>
            </w:r>
          </w:p>
        </w:tc>
        <w:tc>
          <w:tcPr>
            <w:tcW w:w="52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140" w:type="dxa"/>
            <w:vAlign w:val="bottom"/>
            <w:tcBorders>
              <w:bottom w:val="single" w:sz="8" w:color="3C9673"/>
            </w:tcBorders>
          </w:tcPr>
          <w:p>
            <w:pPr>
              <w:spacing w:after="0"/>
              <w:rPr>
                <w:sz w:val="9"/>
                <w:szCs w:val="9"/>
                <w:color w:val="auto"/>
              </w:rPr>
            </w:pPr>
          </w:p>
        </w:tc>
        <w:tc>
          <w:tcPr>
            <w:tcW w:w="2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560" w:type="dxa"/>
            <w:vAlign w:val="bottom"/>
            <w:tcBorders>
              <w:bottom w:val="single" w:sz="8" w:color="3C9673"/>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ind w:left="20"/>
              <w:spacing w:after="0"/>
              <w:rPr>
                <w:sz w:val="20"/>
                <w:szCs w:val="20"/>
                <w:color w:val="auto"/>
              </w:rPr>
            </w:pPr>
            <w:r>
              <w:rPr>
                <w:rFonts w:ascii="Arial" w:cs="Arial" w:eastAsia="Arial" w:hAnsi="Arial"/>
                <w:sz w:val="9"/>
                <w:szCs w:val="9"/>
                <w:color w:val="005A64"/>
              </w:rPr>
              <w:t>Fully owned</w:t>
            </w:r>
          </w:p>
        </w:tc>
        <w:tc>
          <w:tcPr>
            <w:tcW w:w="0" w:type="dxa"/>
            <w:vAlign w:val="bottom"/>
          </w:tcPr>
          <w:p>
            <w:pPr>
              <w:spacing w:after="0"/>
              <w:rPr>
                <w:sz w:val="1"/>
                <w:szCs w:val="1"/>
                <w:color w:val="auto"/>
              </w:rPr>
            </w:pPr>
          </w:p>
        </w:tc>
      </w:tr>
      <w:tr>
        <w:trPr>
          <w:trHeight w:val="95"/>
        </w:trPr>
        <w:tc>
          <w:tcPr>
            <w:tcW w:w="1880" w:type="dxa"/>
            <w:vAlign w:val="bottom"/>
            <w:tcBorders>
              <w:bottom w:val="single" w:sz="8" w:color="005A64"/>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bottom w:val="single" w:sz="8" w:color="005A64"/>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005A64"/>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005A64"/>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1750695</wp:posOffset>
            </wp:positionH>
            <wp:positionV relativeFrom="paragraph">
              <wp:posOffset>-239395</wp:posOffset>
            </wp:positionV>
            <wp:extent cx="1654175" cy="2444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654175" cy="244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005A64"/>
        </w:rPr>
        <w:t>MediLink</w:t>
      </w:r>
    </w:p>
    <w:p>
      <w:pPr>
        <w:spacing w:after="0" w:line="13" w:lineRule="exact"/>
        <w:rPr>
          <w:sz w:val="20"/>
          <w:szCs w:val="20"/>
          <w:color w:val="auto"/>
        </w:rPr>
      </w:pPr>
    </w:p>
    <w:p>
      <w:pPr>
        <w:spacing w:after="0"/>
        <w:rPr>
          <w:sz w:val="20"/>
          <w:szCs w:val="20"/>
          <w:color w:val="auto"/>
        </w:rPr>
      </w:pPr>
      <w:r>
        <w:rPr>
          <w:rFonts w:ascii="Arial" w:cs="Arial" w:eastAsia="Arial" w:hAnsi="Arial"/>
          <w:sz w:val="8"/>
          <w:szCs w:val="8"/>
          <w:color w:val="005A64"/>
        </w:rPr>
        <w:t>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58293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44450</wp:posOffset>
            </wp:positionV>
            <wp:extent cx="58293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526" w:lineRule="exact"/>
        <w:rPr>
          <w:sz w:val="20"/>
          <w:szCs w:val="20"/>
          <w:color w:val="auto"/>
        </w:rPr>
      </w:pPr>
    </w:p>
    <w:p>
      <w:pPr>
        <w:sectPr>
          <w:pgSz w:w="11900" w:h="16838" w:orient="portrait"/>
          <w:cols w:equalWidth="0" w:num="5">
            <w:col w:w="260" w:space="680"/>
            <w:col w:w="1080" w:space="460"/>
            <w:col w:w="700" w:space="720"/>
            <w:col w:w="6240" w:space="180"/>
            <w:col w:w="920"/>
          </w:cols>
          <w:pgMar w:left="320" w:top="341" w:right="339" w:bottom="689" w:gutter="0" w:footer="0" w:header="0"/>
          <w:type w:val="continuous"/>
        </w:sectPr>
      </w:pPr>
    </w:p>
    <w:p>
      <w:pPr>
        <w:spacing w:after="0" w:line="14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5A64"/>
        </w:rPr>
        <w:t>Infectious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2343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40"/>
          </w:cols>
          <w:pgMar w:left="320" w:top="341" w:right="339" w:bottom="689" w:gutter="0" w:footer="0" w:header="0"/>
          <w:type w:val="continuous"/>
        </w:sect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60" w:type="dxa"/>
            <w:vAlign w:val="bottom"/>
            <w:tcBorders>
              <w:bottom w:val="single" w:sz="8" w:color="005A64"/>
            </w:tcBorders>
          </w:tcPr>
          <w:p>
            <w:pPr>
              <w:ind w:left="20"/>
              <w:spacing w:after="0"/>
              <w:rPr>
                <w:sz w:val="20"/>
                <w:szCs w:val="20"/>
                <w:color w:val="auto"/>
              </w:rPr>
            </w:pPr>
            <w:r>
              <w:rPr>
                <w:rFonts w:ascii="Arial" w:cs="Arial" w:eastAsia="Arial" w:hAnsi="Arial"/>
                <w:sz w:val="9"/>
                <w:szCs w:val="9"/>
                <w:b w:val="1"/>
                <w:bCs w:val="1"/>
                <w:color w:val="005A64"/>
              </w:rPr>
              <w:t>Drug class</w:t>
            </w:r>
          </w:p>
        </w:tc>
        <w:tc>
          <w:tcPr>
            <w:tcW w:w="140" w:type="dxa"/>
            <w:vAlign w:val="bottom"/>
          </w:tcPr>
          <w:p>
            <w:pPr>
              <w:spacing w:after="0"/>
              <w:rPr>
                <w:sz w:val="13"/>
                <w:szCs w:val="13"/>
                <w:color w:val="auto"/>
              </w:rPr>
            </w:pPr>
          </w:p>
        </w:tc>
        <w:tc>
          <w:tcPr>
            <w:tcW w:w="1380" w:type="dxa"/>
            <w:vAlign w:val="bottom"/>
            <w:tcBorders>
              <w:bottom w:val="single" w:sz="8" w:color="005A64"/>
            </w:tcBorders>
          </w:tcPr>
          <w:p>
            <w:pPr>
              <w:ind w:left="20"/>
              <w:spacing w:after="0"/>
              <w:rPr>
                <w:sz w:val="20"/>
                <w:szCs w:val="20"/>
                <w:color w:val="auto"/>
              </w:rPr>
            </w:pPr>
            <w:r>
              <w:rPr>
                <w:rFonts w:ascii="Arial" w:cs="Arial" w:eastAsia="Arial" w:hAnsi="Arial"/>
                <w:sz w:val="9"/>
                <w:szCs w:val="9"/>
                <w:b w:val="1"/>
                <w:bCs w:val="1"/>
                <w:color w:val="005A64"/>
              </w:rPr>
              <w:t>Product candidate</w:t>
            </w:r>
          </w:p>
        </w:tc>
        <w:tc>
          <w:tcPr>
            <w:tcW w:w="160" w:type="dxa"/>
            <w:vAlign w:val="bottom"/>
          </w:tcPr>
          <w:p>
            <w:pPr>
              <w:spacing w:after="0"/>
              <w:rPr>
                <w:sz w:val="13"/>
                <w:szCs w:val="13"/>
                <w:color w:val="auto"/>
              </w:rPr>
            </w:pPr>
          </w:p>
        </w:tc>
        <w:tc>
          <w:tcPr>
            <w:tcW w:w="1460" w:type="dxa"/>
            <w:vAlign w:val="bottom"/>
            <w:tcBorders>
              <w:bottom w:val="single" w:sz="8" w:color="005A64"/>
            </w:tcBorders>
          </w:tcPr>
          <w:p>
            <w:pPr>
              <w:ind w:left="20"/>
              <w:spacing w:after="0"/>
              <w:rPr>
                <w:sz w:val="20"/>
                <w:szCs w:val="20"/>
                <w:color w:val="auto"/>
              </w:rPr>
            </w:pPr>
            <w:r>
              <w:rPr>
                <w:rFonts w:ascii="Arial" w:cs="Arial" w:eastAsia="Arial" w:hAnsi="Arial"/>
                <w:sz w:val="9"/>
                <w:szCs w:val="9"/>
                <w:b w:val="1"/>
                <w:bCs w:val="1"/>
                <w:color w:val="005A64"/>
              </w:rPr>
              <w:t>Indication</w:t>
            </w:r>
          </w:p>
        </w:tc>
        <w:tc>
          <w:tcPr>
            <w:tcW w:w="160" w:type="dxa"/>
            <w:vAlign w:val="bottom"/>
          </w:tcPr>
          <w:p>
            <w:pPr>
              <w:spacing w:after="0"/>
              <w:rPr>
                <w:sz w:val="13"/>
                <w:szCs w:val="13"/>
                <w:color w:val="auto"/>
              </w:rPr>
            </w:pPr>
          </w:p>
        </w:tc>
        <w:tc>
          <w:tcPr>
            <w:tcW w:w="640" w:type="dxa"/>
            <w:vAlign w:val="bottom"/>
            <w:tcBorders>
              <w:bottom w:val="single" w:sz="8" w:color="005A64"/>
            </w:tcBorders>
          </w:tcPr>
          <w:p>
            <w:pPr>
              <w:ind w:left="180"/>
              <w:spacing w:after="0"/>
              <w:rPr>
                <w:sz w:val="20"/>
                <w:szCs w:val="20"/>
                <w:color w:val="auto"/>
              </w:rPr>
            </w:pPr>
            <w:r>
              <w:rPr>
                <w:rFonts w:ascii="Arial" w:cs="Arial" w:eastAsia="Arial" w:hAnsi="Arial"/>
                <w:sz w:val="9"/>
                <w:szCs w:val="9"/>
                <w:b w:val="1"/>
                <w:bCs w:val="1"/>
                <w:color w:val="005A64"/>
              </w:rPr>
              <w:t>Phase 1</w:t>
            </w:r>
          </w:p>
        </w:tc>
        <w:tc>
          <w:tcPr>
            <w:tcW w:w="80" w:type="dxa"/>
            <w:vAlign w:val="bottom"/>
            <w:tcBorders>
              <w:bottom w:val="single" w:sz="8" w:color="005A64"/>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005A64"/>
            </w:tcBorders>
          </w:tcPr>
          <w:p>
            <w:pPr>
              <w:ind w:left="160"/>
              <w:spacing w:after="0"/>
              <w:rPr>
                <w:sz w:val="20"/>
                <w:szCs w:val="20"/>
                <w:color w:val="auto"/>
              </w:rPr>
            </w:pPr>
            <w:r>
              <w:rPr>
                <w:rFonts w:ascii="Arial" w:cs="Arial" w:eastAsia="Arial" w:hAnsi="Arial"/>
                <w:sz w:val="9"/>
                <w:szCs w:val="9"/>
                <w:b w:val="1"/>
                <w:bCs w:val="1"/>
                <w:color w:val="005A64"/>
              </w:rPr>
              <w:t>Phase 1/2</w:t>
            </w:r>
          </w:p>
        </w:tc>
        <w:tc>
          <w:tcPr>
            <w:tcW w:w="80" w:type="dxa"/>
            <w:vAlign w:val="bottom"/>
            <w:tcBorders>
              <w:bottom w:val="single" w:sz="8" w:color="005A64"/>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005A64"/>
            </w:tcBorders>
          </w:tcPr>
          <w:p>
            <w:pPr>
              <w:ind w:left="200"/>
              <w:spacing w:after="0"/>
              <w:rPr>
                <w:sz w:val="20"/>
                <w:szCs w:val="20"/>
                <w:color w:val="auto"/>
              </w:rPr>
            </w:pPr>
            <w:r>
              <w:rPr>
                <w:rFonts w:ascii="Arial" w:cs="Arial" w:eastAsia="Arial" w:hAnsi="Arial"/>
                <w:sz w:val="9"/>
                <w:szCs w:val="9"/>
                <w:b w:val="1"/>
                <w:bCs w:val="1"/>
                <w:color w:val="005A64"/>
              </w:rPr>
              <w:t>Phase 2</w:t>
            </w:r>
          </w:p>
        </w:tc>
        <w:tc>
          <w:tcPr>
            <w:tcW w:w="100" w:type="dxa"/>
            <w:vAlign w:val="bottom"/>
            <w:tcBorders>
              <w:bottom w:val="single" w:sz="8" w:color="005A64"/>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005A64"/>
            </w:tcBorders>
          </w:tcPr>
          <w:p>
            <w:pPr>
              <w:ind w:left="200"/>
              <w:spacing w:after="0"/>
              <w:rPr>
                <w:sz w:val="20"/>
                <w:szCs w:val="20"/>
                <w:color w:val="auto"/>
              </w:rPr>
            </w:pPr>
            <w:r>
              <w:rPr>
                <w:rFonts w:ascii="Arial" w:cs="Arial" w:eastAsia="Arial" w:hAnsi="Arial"/>
                <w:sz w:val="9"/>
                <w:szCs w:val="9"/>
                <w:b w:val="1"/>
                <w:bCs w:val="1"/>
                <w:color w:val="005A64"/>
              </w:rPr>
              <w:t>Phase 3</w:t>
            </w:r>
          </w:p>
        </w:tc>
        <w:tc>
          <w:tcPr>
            <w:tcW w:w="80" w:type="dxa"/>
            <w:vAlign w:val="bottom"/>
            <w:tcBorders>
              <w:bottom w:val="single" w:sz="8" w:color="005A64"/>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005A64"/>
            </w:tcBorders>
          </w:tcPr>
          <w:p>
            <w:pPr>
              <w:ind w:left="140"/>
              <w:spacing w:after="0"/>
              <w:rPr>
                <w:sz w:val="20"/>
                <w:szCs w:val="20"/>
                <w:color w:val="auto"/>
              </w:rPr>
            </w:pPr>
            <w:r>
              <w:rPr>
                <w:rFonts w:ascii="Arial" w:cs="Arial" w:eastAsia="Arial" w:hAnsi="Arial"/>
                <w:sz w:val="9"/>
                <w:szCs w:val="9"/>
                <w:b w:val="1"/>
                <w:bCs w:val="1"/>
                <w:color w:val="005A64"/>
              </w:rPr>
              <w:t>Commercial</w:t>
            </w:r>
          </w:p>
        </w:tc>
        <w:tc>
          <w:tcPr>
            <w:tcW w:w="80" w:type="dxa"/>
            <w:vAlign w:val="bottom"/>
            <w:tcBorders>
              <w:bottom w:val="single" w:sz="8" w:color="005A64"/>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bottom w:val="single" w:sz="8" w:color="005A64"/>
            </w:tcBorders>
          </w:tcPr>
          <w:p>
            <w:pPr>
              <w:ind w:left="20"/>
              <w:spacing w:after="0"/>
              <w:rPr>
                <w:sz w:val="20"/>
                <w:szCs w:val="20"/>
                <w:color w:val="auto"/>
              </w:rPr>
            </w:pPr>
            <w:r>
              <w:rPr>
                <w:rFonts w:ascii="Arial" w:cs="Arial" w:eastAsia="Arial" w:hAnsi="Arial"/>
                <w:sz w:val="9"/>
                <w:szCs w:val="9"/>
                <w:b w:val="1"/>
                <w:bCs w:val="1"/>
                <w:color w:val="005A64"/>
              </w:rPr>
              <w:t>BioNTech rights</w:t>
            </w:r>
            <w:r>
              <w:rPr>
                <w:rFonts w:ascii="Arial" w:cs="Arial" w:eastAsia="Arial" w:hAnsi="Arial"/>
                <w:sz w:val="11"/>
                <w:szCs w:val="11"/>
                <w:b w:val="1"/>
                <w:bCs w:val="1"/>
                <w:color w:val="005A64"/>
                <w:vertAlign w:val="superscript"/>
              </w:rPr>
              <w:t>(1)</w:t>
            </w:r>
          </w:p>
        </w:tc>
        <w:tc>
          <w:tcPr>
            <w:tcW w:w="0" w:type="dxa"/>
            <w:vAlign w:val="bottom"/>
          </w:tcPr>
          <w:p>
            <w:pPr>
              <w:spacing w:after="0"/>
              <w:rPr>
                <w:sz w:val="1"/>
                <w:szCs w:val="1"/>
                <w:color w:val="auto"/>
              </w:rPr>
            </w:pPr>
          </w:p>
        </w:tc>
      </w:tr>
      <w:tr>
        <w:trPr>
          <w:trHeight w:val="109"/>
        </w:trPr>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gridSpan w:val="2"/>
          </w:tcPr>
          <w:p>
            <w:pPr>
              <w:ind w:left="20"/>
              <w:spacing w:after="0"/>
              <w:rPr>
                <w:sz w:val="20"/>
                <w:szCs w:val="20"/>
                <w:color w:val="auto"/>
              </w:rPr>
            </w:pPr>
            <w:r>
              <w:rPr>
                <w:rFonts w:ascii="Arial" w:cs="Arial" w:eastAsia="Arial" w:hAnsi="Arial"/>
                <w:sz w:val="9"/>
                <w:szCs w:val="9"/>
                <w:b w:val="1"/>
                <w:bCs w:val="1"/>
                <w:color w:val="005A64"/>
              </w:rPr>
              <w:t>BNT162b2</w:t>
            </w: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Borders>
              <w:bottom w:val="single" w:sz="8" w:color="005A64"/>
            </w:tcBorders>
          </w:tcPr>
          <w:p>
            <w:pPr>
              <w:spacing w:after="0"/>
              <w:rPr>
                <w:sz w:val="9"/>
                <w:szCs w:val="9"/>
                <w:color w:val="auto"/>
              </w:rPr>
            </w:pPr>
          </w:p>
        </w:tc>
        <w:tc>
          <w:tcPr>
            <w:tcW w:w="80" w:type="dxa"/>
            <w:vAlign w:val="bottom"/>
            <w:tcBorders>
              <w:bottom w:val="single" w:sz="8" w:color="005A64"/>
            </w:tcBorders>
          </w:tcPr>
          <w:p>
            <w:pPr>
              <w:spacing w:after="0"/>
              <w:rPr>
                <w:sz w:val="9"/>
                <w:szCs w:val="9"/>
                <w:color w:val="auto"/>
              </w:rPr>
            </w:pPr>
          </w:p>
        </w:tc>
        <w:tc>
          <w:tcPr>
            <w:tcW w:w="140" w:type="dxa"/>
            <w:vAlign w:val="bottom"/>
            <w:tcBorders>
              <w:bottom w:val="single" w:sz="8" w:color="005A64"/>
            </w:tcBorders>
          </w:tcPr>
          <w:p>
            <w:pPr>
              <w:spacing w:after="0"/>
              <w:rPr>
                <w:sz w:val="9"/>
                <w:szCs w:val="9"/>
                <w:color w:val="auto"/>
              </w:rPr>
            </w:pPr>
          </w:p>
        </w:tc>
        <w:tc>
          <w:tcPr>
            <w:tcW w:w="80" w:type="dxa"/>
            <w:vAlign w:val="bottom"/>
            <w:tcBorders>
              <w:bottom w:val="single" w:sz="8" w:color="005A64"/>
            </w:tcBorders>
          </w:tcPr>
          <w:p>
            <w:pPr>
              <w:spacing w:after="0"/>
              <w:rPr>
                <w:sz w:val="9"/>
                <w:szCs w:val="9"/>
                <w:color w:val="auto"/>
              </w:rPr>
            </w:pPr>
          </w:p>
        </w:tc>
        <w:tc>
          <w:tcPr>
            <w:tcW w:w="660" w:type="dxa"/>
            <w:vAlign w:val="bottom"/>
            <w:tcBorders>
              <w:bottom w:val="single" w:sz="8" w:color="005A64"/>
            </w:tcBorders>
          </w:tcPr>
          <w:p>
            <w:pPr>
              <w:spacing w:after="0"/>
              <w:rPr>
                <w:sz w:val="9"/>
                <w:szCs w:val="9"/>
                <w:color w:val="auto"/>
              </w:rPr>
            </w:pPr>
          </w:p>
        </w:tc>
        <w:tc>
          <w:tcPr>
            <w:tcW w:w="80" w:type="dxa"/>
            <w:vAlign w:val="bottom"/>
            <w:tcBorders>
              <w:bottom w:val="single" w:sz="8" w:color="005A64"/>
            </w:tcBorders>
          </w:tcPr>
          <w:p>
            <w:pPr>
              <w:spacing w:after="0"/>
              <w:rPr>
                <w:sz w:val="9"/>
                <w:szCs w:val="9"/>
                <w:color w:val="auto"/>
              </w:rPr>
            </w:pPr>
          </w:p>
        </w:tc>
        <w:tc>
          <w:tcPr>
            <w:tcW w:w="140" w:type="dxa"/>
            <w:vAlign w:val="bottom"/>
            <w:tcBorders>
              <w:bottom w:val="single" w:sz="8" w:color="005A64"/>
            </w:tcBorders>
          </w:tcPr>
          <w:p>
            <w:pPr>
              <w:spacing w:after="0"/>
              <w:rPr>
                <w:sz w:val="9"/>
                <w:szCs w:val="9"/>
                <w:color w:val="auto"/>
              </w:rPr>
            </w:pPr>
          </w:p>
        </w:tc>
        <w:tc>
          <w:tcPr>
            <w:tcW w:w="80" w:type="dxa"/>
            <w:vAlign w:val="bottom"/>
            <w:tcBorders>
              <w:bottom w:val="single" w:sz="8" w:color="005A64"/>
            </w:tcBorders>
          </w:tcPr>
          <w:p>
            <w:pPr>
              <w:spacing w:after="0"/>
              <w:rPr>
                <w:sz w:val="9"/>
                <w:szCs w:val="9"/>
                <w:color w:val="auto"/>
              </w:rPr>
            </w:pPr>
          </w:p>
        </w:tc>
        <w:tc>
          <w:tcPr>
            <w:tcW w:w="640" w:type="dxa"/>
            <w:vAlign w:val="bottom"/>
            <w:tcBorders>
              <w:bottom w:val="single" w:sz="8" w:color="005A64"/>
            </w:tcBorders>
          </w:tcPr>
          <w:p>
            <w:pPr>
              <w:spacing w:after="0"/>
              <w:rPr>
                <w:sz w:val="9"/>
                <w:szCs w:val="9"/>
                <w:color w:val="auto"/>
              </w:rPr>
            </w:pPr>
          </w:p>
        </w:tc>
        <w:tc>
          <w:tcPr>
            <w:tcW w:w="100" w:type="dxa"/>
            <w:vAlign w:val="bottom"/>
            <w:tcBorders>
              <w:bottom w:val="single" w:sz="8" w:color="005A64"/>
            </w:tcBorders>
          </w:tcPr>
          <w:p>
            <w:pPr>
              <w:spacing w:after="0"/>
              <w:rPr>
                <w:sz w:val="9"/>
                <w:szCs w:val="9"/>
                <w:color w:val="auto"/>
              </w:rPr>
            </w:pPr>
          </w:p>
        </w:tc>
        <w:tc>
          <w:tcPr>
            <w:tcW w:w="140" w:type="dxa"/>
            <w:vAlign w:val="bottom"/>
            <w:tcBorders>
              <w:bottom w:val="single" w:sz="8" w:color="005A64"/>
            </w:tcBorders>
          </w:tcPr>
          <w:p>
            <w:pPr>
              <w:spacing w:after="0"/>
              <w:rPr>
                <w:sz w:val="9"/>
                <w:szCs w:val="9"/>
                <w:color w:val="auto"/>
              </w:rPr>
            </w:pPr>
          </w:p>
        </w:tc>
        <w:tc>
          <w:tcPr>
            <w:tcW w:w="80" w:type="dxa"/>
            <w:vAlign w:val="bottom"/>
            <w:tcBorders>
              <w:bottom w:val="single" w:sz="8" w:color="005A64"/>
            </w:tcBorders>
          </w:tcPr>
          <w:p>
            <w:pPr>
              <w:spacing w:after="0"/>
              <w:rPr>
                <w:sz w:val="9"/>
                <w:szCs w:val="9"/>
                <w:color w:val="auto"/>
              </w:rPr>
            </w:pPr>
          </w:p>
        </w:tc>
        <w:tc>
          <w:tcPr>
            <w:tcW w:w="640" w:type="dxa"/>
            <w:vAlign w:val="bottom"/>
            <w:tcBorders>
              <w:bottom w:val="single" w:sz="8" w:color="005A64"/>
            </w:tcBorders>
          </w:tcPr>
          <w:p>
            <w:pPr>
              <w:spacing w:after="0"/>
              <w:rPr>
                <w:sz w:val="9"/>
                <w:szCs w:val="9"/>
                <w:color w:val="auto"/>
              </w:rPr>
            </w:pPr>
          </w:p>
        </w:tc>
        <w:tc>
          <w:tcPr>
            <w:tcW w:w="80" w:type="dxa"/>
            <w:vAlign w:val="bottom"/>
            <w:tcBorders>
              <w:bottom w:val="single" w:sz="8" w:color="005A64"/>
            </w:tcBorders>
          </w:tcPr>
          <w:p>
            <w:pPr>
              <w:spacing w:after="0"/>
              <w:rPr>
                <w:sz w:val="9"/>
                <w:szCs w:val="9"/>
                <w:color w:val="auto"/>
              </w:rPr>
            </w:pPr>
          </w:p>
        </w:tc>
        <w:tc>
          <w:tcPr>
            <w:tcW w:w="160" w:type="dxa"/>
            <w:vAlign w:val="bottom"/>
            <w:tcBorders>
              <w:bottom w:val="single" w:sz="8" w:color="005A64"/>
            </w:tcBorders>
          </w:tcPr>
          <w:p>
            <w:pPr>
              <w:spacing w:after="0"/>
              <w:rPr>
                <w:sz w:val="9"/>
                <w:szCs w:val="9"/>
                <w:color w:val="auto"/>
              </w:rPr>
            </w:pPr>
          </w:p>
        </w:tc>
        <w:tc>
          <w:tcPr>
            <w:tcW w:w="80" w:type="dxa"/>
            <w:vAlign w:val="bottom"/>
            <w:tcBorders>
              <w:bottom w:val="single" w:sz="8" w:color="005A64"/>
            </w:tcBorders>
          </w:tcPr>
          <w:p>
            <w:pPr>
              <w:spacing w:after="0"/>
              <w:rPr>
                <w:sz w:val="9"/>
                <w:szCs w:val="9"/>
                <w:color w:val="auto"/>
              </w:rPr>
            </w:pPr>
          </w:p>
        </w:tc>
        <w:tc>
          <w:tcPr>
            <w:tcW w:w="720" w:type="dxa"/>
            <w:vAlign w:val="bottom"/>
            <w:tcBorders>
              <w:bottom w:val="single" w:sz="8" w:color="005A64"/>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ind w:left="20"/>
              <w:spacing w:after="0"/>
              <w:rPr>
                <w:sz w:val="20"/>
                <w:szCs w:val="20"/>
                <w:color w:val="auto"/>
              </w:rPr>
            </w:pPr>
            <w:r>
              <w:rPr>
                <w:rFonts w:ascii="Arial" w:cs="Arial" w:eastAsia="Arial" w:hAnsi="Arial"/>
                <w:sz w:val="9"/>
                <w:szCs w:val="9"/>
                <w:b w:val="1"/>
                <w:bCs w:val="1"/>
                <w:color w:val="005A64"/>
              </w:rPr>
              <w:t>BNT162b2</w:t>
            </w:r>
            <w:r>
              <w:rPr>
                <w:rFonts w:ascii="Arial" w:cs="Arial" w:eastAsia="Arial" w:hAnsi="Arial"/>
                <w:sz w:val="9"/>
                <w:szCs w:val="9"/>
                <w:color w:val="005A64"/>
              </w:rPr>
              <w:t>+BNT162b4</w:t>
            </w:r>
          </w:p>
        </w:tc>
        <w:tc>
          <w:tcPr>
            <w:tcW w:w="1620" w:type="dxa"/>
            <w:vAlign w:val="bottom"/>
            <w:gridSpan w:val="2"/>
            <w:vMerge w:val="restart"/>
          </w:tcPr>
          <w:p>
            <w:pPr>
              <w:ind w:left="20"/>
              <w:spacing w:after="0"/>
              <w:rPr>
                <w:sz w:val="20"/>
                <w:szCs w:val="20"/>
                <w:color w:val="auto"/>
              </w:rPr>
            </w:pPr>
            <w:r>
              <w:rPr>
                <w:rFonts w:ascii="Arial" w:cs="Arial" w:eastAsia="Arial" w:hAnsi="Arial"/>
                <w:sz w:val="9"/>
                <w:szCs w:val="9"/>
                <w:color w:val="005A64"/>
              </w:rPr>
              <w:t>COVID-19</w:t>
            </w:r>
          </w:p>
        </w:tc>
        <w:tc>
          <w:tcPr>
            <w:tcW w:w="640" w:type="dxa"/>
            <w:vAlign w:val="bottom"/>
            <w:tcBorders>
              <w:bottom w:val="single" w:sz="8" w:color="3C9673"/>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005A64"/>
            </w:tcBorders>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restart"/>
          </w:tcPr>
          <w:p>
            <w:pPr>
              <w:ind w:left="20"/>
              <w:spacing w:after="0"/>
              <w:rPr>
                <w:sz w:val="20"/>
                <w:szCs w:val="20"/>
                <w:color w:val="auto"/>
              </w:rPr>
            </w:pPr>
            <w:r>
              <w:rPr>
                <w:rFonts w:ascii="Arial" w:cs="Arial" w:eastAsia="Arial" w:hAnsi="Arial"/>
                <w:sz w:val="9"/>
                <w:szCs w:val="9"/>
                <w:color w:val="005A64"/>
              </w:rPr>
              <w:t>Collaboration</w:t>
            </w:r>
          </w:p>
        </w:tc>
        <w:tc>
          <w:tcPr>
            <w:tcW w:w="0" w:type="dxa"/>
            <w:vAlign w:val="bottom"/>
          </w:tcPr>
          <w:p>
            <w:pPr>
              <w:spacing w:after="0"/>
              <w:rPr>
                <w:sz w:val="1"/>
                <w:szCs w:val="1"/>
                <w:color w:val="auto"/>
              </w:rPr>
            </w:pPr>
          </w:p>
        </w:tc>
      </w:tr>
      <w:tr>
        <w:trPr>
          <w:trHeight w:val="82"/>
        </w:trPr>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40" w:type="dxa"/>
            <w:vAlign w:val="bottom"/>
            <w:gridSpan w:val="2"/>
          </w:tcPr>
          <w:p>
            <w:pPr>
              <w:ind w:left="20"/>
              <w:spacing w:after="0" w:line="82" w:lineRule="exact"/>
              <w:rPr>
                <w:sz w:val="20"/>
                <w:szCs w:val="20"/>
                <w:color w:val="auto"/>
              </w:rPr>
            </w:pPr>
            <w:r>
              <w:rPr>
                <w:rFonts w:ascii="Arial" w:cs="Arial" w:eastAsia="Arial" w:hAnsi="Arial"/>
                <w:sz w:val="9"/>
                <w:szCs w:val="9"/>
                <w:color w:val="005A64"/>
              </w:rPr>
              <w:t>(T-cell enhancing)</w:t>
            </w:r>
          </w:p>
        </w:tc>
        <w:tc>
          <w:tcPr>
            <w:tcW w:w="16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ind w:left="20"/>
              <w:spacing w:after="0"/>
              <w:rPr>
                <w:sz w:val="20"/>
                <w:szCs w:val="20"/>
                <w:color w:val="auto"/>
              </w:rPr>
            </w:pPr>
            <w:r>
              <w:rPr>
                <w:rFonts w:ascii="Arial" w:cs="Arial" w:eastAsia="Arial" w:hAnsi="Arial"/>
                <w:sz w:val="9"/>
                <w:szCs w:val="9"/>
                <w:color w:val="005A64"/>
              </w:rPr>
              <w:t>BNT162b5/6/7</w:t>
            </w: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bottom w:val="single" w:sz="8" w:color="3C9673"/>
            </w:tcBorders>
          </w:tcPr>
          <w:p>
            <w:pPr>
              <w:spacing w:after="0"/>
              <w:rPr>
                <w:sz w:val="12"/>
                <w:szCs w:val="12"/>
                <w:color w:val="auto"/>
              </w:rPr>
            </w:pPr>
          </w:p>
        </w:tc>
        <w:tc>
          <w:tcPr>
            <w:tcW w:w="80" w:type="dxa"/>
            <w:vAlign w:val="bottom"/>
            <w:tcBorders>
              <w:bottom w:val="single" w:sz="8" w:color="3C9673"/>
            </w:tcBorders>
          </w:tcPr>
          <w:p>
            <w:pPr>
              <w:spacing w:after="0"/>
              <w:rPr>
                <w:sz w:val="12"/>
                <w:szCs w:val="12"/>
                <w:color w:val="auto"/>
              </w:rPr>
            </w:pPr>
          </w:p>
        </w:tc>
        <w:tc>
          <w:tcPr>
            <w:tcW w:w="140" w:type="dxa"/>
            <w:vAlign w:val="bottom"/>
            <w:tcBorders>
              <w:bottom w:val="single" w:sz="8" w:color="3C9673"/>
            </w:tcBorders>
          </w:tcPr>
          <w:p>
            <w:pPr>
              <w:spacing w:after="0"/>
              <w:rPr>
                <w:sz w:val="12"/>
                <w:szCs w:val="12"/>
                <w:color w:val="auto"/>
              </w:rPr>
            </w:pPr>
          </w:p>
        </w:tc>
        <w:tc>
          <w:tcPr>
            <w:tcW w:w="80" w:type="dxa"/>
            <w:vAlign w:val="bottom"/>
            <w:tcBorders>
              <w:bottom w:val="single" w:sz="8" w:color="3C9673"/>
            </w:tcBorders>
          </w:tcPr>
          <w:p>
            <w:pPr>
              <w:spacing w:after="0"/>
              <w:rPr>
                <w:sz w:val="12"/>
                <w:szCs w:val="12"/>
                <w:color w:val="auto"/>
              </w:rPr>
            </w:pPr>
          </w:p>
        </w:tc>
        <w:tc>
          <w:tcPr>
            <w:tcW w:w="660" w:type="dxa"/>
            <w:vAlign w:val="bottom"/>
            <w:tcBorders>
              <w:bottom w:val="single" w:sz="8" w:color="3C9673"/>
            </w:tcBorders>
          </w:tcPr>
          <w:p>
            <w:pPr>
              <w:spacing w:after="0"/>
              <w:rPr>
                <w:sz w:val="12"/>
                <w:szCs w:val="12"/>
                <w:color w:val="auto"/>
              </w:rPr>
            </w:pPr>
          </w:p>
        </w:tc>
        <w:tc>
          <w:tcPr>
            <w:tcW w:w="80" w:type="dxa"/>
            <w:vAlign w:val="bottom"/>
            <w:tcBorders>
              <w:bottom w:val="single" w:sz="8" w:color="3C9673"/>
            </w:tcBorders>
          </w:tcPr>
          <w:p>
            <w:pPr>
              <w:spacing w:after="0"/>
              <w:rPr>
                <w:sz w:val="12"/>
                <w:szCs w:val="12"/>
                <w:color w:val="auto"/>
              </w:rPr>
            </w:pPr>
          </w:p>
        </w:tc>
        <w:tc>
          <w:tcPr>
            <w:tcW w:w="140" w:type="dxa"/>
            <w:vAlign w:val="bottom"/>
            <w:tcBorders>
              <w:bottom w:val="single" w:sz="8" w:color="3C9673"/>
            </w:tcBorders>
          </w:tcPr>
          <w:p>
            <w:pPr>
              <w:spacing w:after="0"/>
              <w:rPr>
                <w:sz w:val="12"/>
                <w:szCs w:val="12"/>
                <w:color w:val="auto"/>
              </w:rPr>
            </w:pPr>
          </w:p>
        </w:tc>
        <w:tc>
          <w:tcPr>
            <w:tcW w:w="80" w:type="dxa"/>
            <w:vAlign w:val="bottom"/>
            <w:tcBorders>
              <w:bottom w:val="single" w:sz="8" w:color="3C9673"/>
            </w:tcBorders>
          </w:tcPr>
          <w:p>
            <w:pPr>
              <w:spacing w:after="0"/>
              <w:rPr>
                <w:sz w:val="12"/>
                <w:szCs w:val="12"/>
                <w:color w:val="auto"/>
              </w:rPr>
            </w:pPr>
          </w:p>
        </w:tc>
        <w:tc>
          <w:tcPr>
            <w:tcW w:w="640" w:type="dxa"/>
            <w:vAlign w:val="bottom"/>
            <w:tcBorders>
              <w:bottom w:val="single" w:sz="8" w:color="3C9673"/>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005A64"/>
            </w:tcBorders>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40" w:type="dxa"/>
            <w:vAlign w:val="bottom"/>
            <w:gridSpan w:val="2"/>
          </w:tcPr>
          <w:p>
            <w:pPr>
              <w:ind w:left="20"/>
              <w:spacing w:after="0" w:line="82" w:lineRule="exact"/>
              <w:rPr>
                <w:sz w:val="20"/>
                <w:szCs w:val="20"/>
                <w:color w:val="auto"/>
              </w:rPr>
            </w:pPr>
            <w:r>
              <w:rPr>
                <w:rFonts w:ascii="Arial" w:cs="Arial" w:eastAsia="Arial" w:hAnsi="Arial"/>
                <w:sz w:val="9"/>
                <w:szCs w:val="9"/>
                <w:color w:val="005A64"/>
              </w:rPr>
              <w:t>(Stabilized spike antigen)</w:t>
            </w:r>
          </w:p>
        </w:tc>
        <w:tc>
          <w:tcPr>
            <w:tcW w:w="1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Borders>
              <w:bottom w:val="single" w:sz="8" w:color="7FACB1"/>
            </w:tcBorders>
          </w:tcPr>
          <w:p>
            <w:pPr>
              <w:spacing w:after="0"/>
              <w:rPr>
                <w:sz w:val="3"/>
                <w:szCs w:val="3"/>
                <w:color w:val="auto"/>
              </w:rPr>
            </w:pPr>
          </w:p>
        </w:tc>
        <w:tc>
          <w:tcPr>
            <w:tcW w:w="80" w:type="dxa"/>
            <w:vAlign w:val="bottom"/>
            <w:tcBorders>
              <w:bottom w:val="single" w:sz="8" w:color="7FACB1"/>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7FACB1"/>
            </w:tcBorders>
          </w:tcPr>
          <w:p>
            <w:pPr>
              <w:spacing w:after="0"/>
              <w:rPr>
                <w:sz w:val="3"/>
                <w:szCs w:val="3"/>
                <w:color w:val="auto"/>
              </w:rPr>
            </w:pPr>
          </w:p>
        </w:tc>
        <w:tc>
          <w:tcPr>
            <w:tcW w:w="80" w:type="dxa"/>
            <w:vAlign w:val="bottom"/>
            <w:tcBorders>
              <w:bottom w:val="single" w:sz="8" w:color="7FACB1"/>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bottom w:val="single" w:sz="8" w:color="7FACB1"/>
            </w:tcBorders>
          </w:tcPr>
          <w:p>
            <w:pPr>
              <w:spacing w:after="0"/>
              <w:rPr>
                <w:sz w:val="3"/>
                <w:szCs w:val="3"/>
                <w:color w:val="auto"/>
              </w:rPr>
            </w:pPr>
          </w:p>
        </w:tc>
        <w:tc>
          <w:tcPr>
            <w:tcW w:w="100" w:type="dxa"/>
            <w:vAlign w:val="bottom"/>
            <w:tcBorders>
              <w:bottom w:val="single" w:sz="8" w:color="7FACB1"/>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bottom w:val="single" w:sz="8" w:color="7FACB1"/>
            </w:tcBorders>
          </w:tcPr>
          <w:p>
            <w:pPr>
              <w:spacing w:after="0"/>
              <w:rPr>
                <w:sz w:val="3"/>
                <w:szCs w:val="3"/>
                <w:color w:val="auto"/>
              </w:rPr>
            </w:pPr>
          </w:p>
        </w:tc>
        <w:tc>
          <w:tcPr>
            <w:tcW w:w="8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7FACB1"/>
            </w:tcBorders>
          </w:tcPr>
          <w:p>
            <w:pPr>
              <w:spacing w:after="0"/>
              <w:rPr>
                <w:sz w:val="3"/>
                <w:szCs w:val="3"/>
                <w:color w:val="auto"/>
              </w:rPr>
            </w:pPr>
          </w:p>
        </w:tc>
        <w:tc>
          <w:tcPr>
            <w:tcW w:w="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gridSpan w:val="2"/>
          </w:tcPr>
          <w:p>
            <w:pPr>
              <w:ind w:left="20"/>
              <w:spacing w:after="0" w:line="109" w:lineRule="exact"/>
              <w:rPr>
                <w:sz w:val="20"/>
                <w:szCs w:val="20"/>
                <w:color w:val="auto"/>
              </w:rPr>
            </w:pPr>
            <w:r>
              <w:rPr>
                <w:rFonts w:ascii="Arial" w:cs="Arial" w:eastAsia="Arial" w:hAnsi="Arial"/>
                <w:sz w:val="9"/>
                <w:szCs w:val="9"/>
                <w:color w:val="005A64"/>
              </w:rPr>
              <w:t>BNT162b2+BNT161</w:t>
            </w:r>
            <w:r>
              <w:rPr>
                <w:rFonts w:ascii="Arial" w:cs="Arial" w:eastAsia="Arial" w:hAnsi="Arial"/>
                <w:sz w:val="11"/>
                <w:szCs w:val="11"/>
                <w:color w:val="005A64"/>
                <w:vertAlign w:val="superscript"/>
              </w:rPr>
              <w:t>(6)</w:t>
            </w:r>
          </w:p>
        </w:tc>
        <w:tc>
          <w:tcPr>
            <w:tcW w:w="1620" w:type="dxa"/>
            <w:vAlign w:val="bottom"/>
            <w:gridSpan w:val="2"/>
          </w:tcPr>
          <w:p>
            <w:pPr>
              <w:ind w:left="20"/>
              <w:spacing w:after="0"/>
              <w:rPr>
                <w:sz w:val="20"/>
                <w:szCs w:val="20"/>
                <w:color w:val="auto"/>
              </w:rPr>
            </w:pPr>
            <w:r>
              <w:rPr>
                <w:rFonts w:ascii="Arial" w:cs="Arial" w:eastAsia="Arial" w:hAnsi="Arial"/>
                <w:sz w:val="9"/>
                <w:szCs w:val="9"/>
                <w:color w:val="005A64"/>
              </w:rPr>
              <w:t>COVID-19 – Influenza combination</w:t>
            </w:r>
          </w:p>
        </w:tc>
        <w:tc>
          <w:tcPr>
            <w:tcW w:w="64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14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66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14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640" w:type="dxa"/>
            <w:vAlign w:val="bottom"/>
            <w:tcBorders>
              <w:bottom w:val="single" w:sz="8" w:color="3C9673"/>
            </w:tcBorders>
          </w:tcPr>
          <w:p>
            <w:pPr>
              <w:spacing w:after="0"/>
              <w:rPr>
                <w:sz w:val="9"/>
                <w:szCs w:val="9"/>
                <w:color w:val="auto"/>
              </w:rPr>
            </w:pPr>
          </w:p>
        </w:tc>
        <w:tc>
          <w:tcPr>
            <w:tcW w:w="100" w:type="dxa"/>
            <w:vAlign w:val="bottom"/>
            <w:tcBorders>
              <w:bottom w:val="single" w:sz="8" w:color="3C9673"/>
            </w:tcBorders>
          </w:tcPr>
          <w:p>
            <w:pPr>
              <w:spacing w:after="0"/>
              <w:rPr>
                <w:sz w:val="9"/>
                <w:szCs w:val="9"/>
                <w:color w:val="auto"/>
              </w:rPr>
            </w:pPr>
          </w:p>
        </w:tc>
        <w:tc>
          <w:tcPr>
            <w:tcW w:w="14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640" w:type="dxa"/>
            <w:vAlign w:val="bottom"/>
            <w:tcBorders>
              <w:bottom w:val="single" w:sz="8" w:color="3C9673"/>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ind w:left="20"/>
              <w:spacing w:after="0"/>
              <w:rPr>
                <w:sz w:val="20"/>
                <w:szCs w:val="20"/>
                <w:color w:val="auto"/>
              </w:rPr>
            </w:pPr>
            <w:r>
              <w:rPr>
                <w:rFonts w:ascii="Arial" w:cs="Arial" w:eastAsia="Arial" w:hAnsi="Arial"/>
                <w:sz w:val="9"/>
                <w:szCs w:val="9"/>
                <w:color w:val="005A64"/>
              </w:rPr>
              <w:t>Collaboration</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7FACB1"/>
            </w:tcBorders>
          </w:tcPr>
          <w:p>
            <w:pPr>
              <w:spacing w:after="0"/>
              <w:rPr>
                <w:sz w:val="8"/>
                <w:szCs w:val="8"/>
                <w:color w:val="auto"/>
              </w:rPr>
            </w:pPr>
          </w:p>
        </w:tc>
        <w:tc>
          <w:tcPr>
            <w:tcW w:w="10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Borders>
              <w:bottom w:val="single" w:sz="8" w:color="7FACB1"/>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90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005A64"/>
              </w:rPr>
              <w:t>mRNA</w:t>
            </w:r>
          </w:p>
        </w:tc>
        <w:tc>
          <w:tcPr>
            <w:tcW w:w="1540" w:type="dxa"/>
            <w:vAlign w:val="bottom"/>
            <w:gridSpan w:val="2"/>
            <w:vMerge w:val="restart"/>
          </w:tcPr>
          <w:p>
            <w:pPr>
              <w:ind w:left="20"/>
              <w:spacing w:after="0"/>
              <w:rPr>
                <w:sz w:val="20"/>
                <w:szCs w:val="20"/>
                <w:color w:val="auto"/>
              </w:rPr>
            </w:pPr>
            <w:r>
              <w:rPr>
                <w:rFonts w:ascii="Arial" w:cs="Arial" w:eastAsia="Arial" w:hAnsi="Arial"/>
                <w:sz w:val="9"/>
                <w:szCs w:val="9"/>
                <w:color w:val="005A64"/>
              </w:rPr>
              <w:t>BNT161</w:t>
            </w:r>
          </w:p>
        </w:tc>
        <w:tc>
          <w:tcPr>
            <w:tcW w:w="1620" w:type="dxa"/>
            <w:vAlign w:val="bottom"/>
            <w:gridSpan w:val="2"/>
            <w:vMerge w:val="restart"/>
          </w:tcPr>
          <w:p>
            <w:pPr>
              <w:ind w:left="20"/>
              <w:spacing w:after="0"/>
              <w:rPr>
                <w:sz w:val="20"/>
                <w:szCs w:val="20"/>
                <w:color w:val="auto"/>
              </w:rPr>
            </w:pPr>
            <w:r>
              <w:rPr>
                <w:rFonts w:ascii="Arial" w:cs="Arial" w:eastAsia="Arial" w:hAnsi="Arial"/>
                <w:sz w:val="9"/>
                <w:szCs w:val="9"/>
                <w:color w:val="005A64"/>
              </w:rPr>
              <w:t>Influenza</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080" w:type="dxa"/>
            <w:vAlign w:val="bottom"/>
            <w:vMerge w:val="restart"/>
          </w:tcPr>
          <w:p>
            <w:pPr>
              <w:ind w:left="20"/>
              <w:spacing w:after="0"/>
              <w:rPr>
                <w:sz w:val="20"/>
                <w:szCs w:val="20"/>
                <w:color w:val="auto"/>
              </w:rPr>
            </w:pPr>
            <w:r>
              <w:rPr>
                <w:rFonts w:ascii="Arial" w:cs="Arial" w:eastAsia="Arial" w:hAnsi="Arial"/>
                <w:sz w:val="9"/>
                <w:szCs w:val="9"/>
                <w:color w:val="005A64"/>
              </w:rPr>
              <w:t>Collaboration</w:t>
            </w:r>
            <w:r>
              <w:rPr>
                <w:rFonts w:ascii="Arial" w:cs="Arial" w:eastAsia="Arial" w:hAnsi="Arial"/>
                <w:sz w:val="11"/>
                <w:szCs w:val="11"/>
                <w:color w:val="005A64"/>
                <w:vertAlign w:val="superscript"/>
              </w:rPr>
              <w:t>(7)</w:t>
            </w:r>
          </w:p>
        </w:tc>
        <w:tc>
          <w:tcPr>
            <w:tcW w:w="0" w:type="dxa"/>
            <w:vAlign w:val="bottom"/>
          </w:tcPr>
          <w:p>
            <w:pPr>
              <w:spacing w:after="0"/>
              <w:rPr>
                <w:sz w:val="1"/>
                <w:szCs w:val="1"/>
                <w:color w:val="auto"/>
              </w:rPr>
            </w:pPr>
          </w:p>
        </w:tc>
      </w:tr>
      <w:tr>
        <w:trPr>
          <w:trHeight w:val="81"/>
        </w:trPr>
        <w:tc>
          <w:tcPr>
            <w:tcW w:w="900" w:type="dxa"/>
            <w:vAlign w:val="bottom"/>
            <w:gridSpan w:val="2"/>
            <w:vMerge w:val="continue"/>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640" w:type="dxa"/>
            <w:vAlign w:val="bottom"/>
            <w:shd w:val="clear" w:color="auto" w:fill="3C9673"/>
          </w:tcPr>
          <w:p>
            <w:pPr>
              <w:spacing w:after="0"/>
              <w:rPr>
                <w:sz w:val="7"/>
                <w:szCs w:val="7"/>
                <w:color w:val="auto"/>
              </w:rPr>
            </w:pPr>
          </w:p>
        </w:tc>
        <w:tc>
          <w:tcPr>
            <w:tcW w:w="80" w:type="dxa"/>
            <w:vAlign w:val="bottom"/>
            <w:shd w:val="clear" w:color="auto" w:fill="3C9673"/>
          </w:tcPr>
          <w:p>
            <w:pPr>
              <w:spacing w:after="0"/>
              <w:rPr>
                <w:sz w:val="7"/>
                <w:szCs w:val="7"/>
                <w:color w:val="auto"/>
              </w:rPr>
            </w:pPr>
          </w:p>
        </w:tc>
        <w:tc>
          <w:tcPr>
            <w:tcW w:w="140" w:type="dxa"/>
            <w:vAlign w:val="bottom"/>
            <w:tcBorders>
              <w:right w:val="single" w:sz="8" w:color="005A64"/>
            </w:tcBorders>
            <w:shd w:val="clear" w:color="auto" w:fill="3C9673"/>
          </w:tcPr>
          <w:p>
            <w:pPr>
              <w:spacing w:after="0"/>
              <w:rPr>
                <w:sz w:val="7"/>
                <w:szCs w:val="7"/>
                <w:color w:val="auto"/>
              </w:rPr>
            </w:pPr>
          </w:p>
        </w:tc>
        <w:tc>
          <w:tcPr>
            <w:tcW w:w="80" w:type="dxa"/>
            <w:vAlign w:val="bottom"/>
            <w:shd w:val="clear" w:color="auto" w:fill="3C9673"/>
          </w:tcPr>
          <w:p>
            <w:pPr>
              <w:spacing w:after="0"/>
              <w:rPr>
                <w:sz w:val="7"/>
                <w:szCs w:val="7"/>
                <w:color w:val="auto"/>
              </w:rPr>
            </w:pPr>
          </w:p>
        </w:tc>
        <w:tc>
          <w:tcPr>
            <w:tcW w:w="660" w:type="dxa"/>
            <w:vAlign w:val="bottom"/>
            <w:shd w:val="clear" w:color="auto" w:fill="3C9673"/>
          </w:tcPr>
          <w:p>
            <w:pPr>
              <w:spacing w:after="0"/>
              <w:rPr>
                <w:sz w:val="7"/>
                <w:szCs w:val="7"/>
                <w:color w:val="auto"/>
              </w:rPr>
            </w:pPr>
          </w:p>
        </w:tc>
        <w:tc>
          <w:tcPr>
            <w:tcW w:w="80" w:type="dxa"/>
            <w:vAlign w:val="bottom"/>
            <w:shd w:val="clear" w:color="auto" w:fill="3C9673"/>
          </w:tcPr>
          <w:p>
            <w:pPr>
              <w:spacing w:after="0"/>
              <w:rPr>
                <w:sz w:val="7"/>
                <w:szCs w:val="7"/>
                <w:color w:val="auto"/>
              </w:rPr>
            </w:pPr>
          </w:p>
        </w:tc>
        <w:tc>
          <w:tcPr>
            <w:tcW w:w="140" w:type="dxa"/>
            <w:vAlign w:val="bottom"/>
            <w:tcBorders>
              <w:right w:val="single" w:sz="8" w:color="005A64"/>
            </w:tcBorders>
            <w:shd w:val="clear" w:color="auto" w:fill="3C9673"/>
          </w:tcPr>
          <w:p>
            <w:pPr>
              <w:spacing w:after="0"/>
              <w:rPr>
                <w:sz w:val="7"/>
                <w:szCs w:val="7"/>
                <w:color w:val="auto"/>
              </w:rPr>
            </w:pPr>
          </w:p>
        </w:tc>
        <w:tc>
          <w:tcPr>
            <w:tcW w:w="80" w:type="dxa"/>
            <w:vAlign w:val="bottom"/>
            <w:shd w:val="clear" w:color="auto" w:fill="3C9673"/>
          </w:tcPr>
          <w:p>
            <w:pPr>
              <w:spacing w:after="0"/>
              <w:rPr>
                <w:sz w:val="7"/>
                <w:szCs w:val="7"/>
                <w:color w:val="auto"/>
              </w:rPr>
            </w:pPr>
          </w:p>
        </w:tc>
        <w:tc>
          <w:tcPr>
            <w:tcW w:w="640" w:type="dxa"/>
            <w:vAlign w:val="bottom"/>
            <w:shd w:val="clear" w:color="auto" w:fill="3C9673"/>
          </w:tcPr>
          <w:p>
            <w:pPr>
              <w:spacing w:after="0"/>
              <w:rPr>
                <w:sz w:val="7"/>
                <w:szCs w:val="7"/>
                <w:color w:val="auto"/>
              </w:rPr>
            </w:pPr>
          </w:p>
        </w:tc>
        <w:tc>
          <w:tcPr>
            <w:tcW w:w="100" w:type="dxa"/>
            <w:vAlign w:val="bottom"/>
            <w:shd w:val="clear" w:color="auto" w:fill="3C9673"/>
          </w:tcPr>
          <w:p>
            <w:pPr>
              <w:spacing w:after="0"/>
              <w:rPr>
                <w:sz w:val="7"/>
                <w:szCs w:val="7"/>
                <w:color w:val="auto"/>
              </w:rPr>
            </w:pPr>
          </w:p>
        </w:tc>
        <w:tc>
          <w:tcPr>
            <w:tcW w:w="140" w:type="dxa"/>
            <w:vAlign w:val="bottom"/>
            <w:tcBorders>
              <w:right w:val="single" w:sz="8" w:color="005A64"/>
            </w:tcBorders>
            <w:shd w:val="clear" w:color="auto" w:fill="3C9673"/>
          </w:tcPr>
          <w:p>
            <w:pPr>
              <w:spacing w:after="0"/>
              <w:rPr>
                <w:sz w:val="7"/>
                <w:szCs w:val="7"/>
                <w:color w:val="auto"/>
              </w:rPr>
            </w:pPr>
          </w:p>
        </w:tc>
        <w:tc>
          <w:tcPr>
            <w:tcW w:w="80" w:type="dxa"/>
            <w:vAlign w:val="bottom"/>
            <w:shd w:val="clear" w:color="auto" w:fill="3C9673"/>
          </w:tcPr>
          <w:p>
            <w:pPr>
              <w:spacing w:after="0"/>
              <w:rPr>
                <w:sz w:val="7"/>
                <w:szCs w:val="7"/>
                <w:color w:val="auto"/>
              </w:rPr>
            </w:pPr>
          </w:p>
        </w:tc>
        <w:tc>
          <w:tcPr>
            <w:tcW w:w="640" w:type="dxa"/>
            <w:vAlign w:val="bottom"/>
            <w:shd w:val="clear" w:color="auto" w:fill="3C9673"/>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005A64"/>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0" w:type="dxa"/>
            <w:vAlign w:val="bottom"/>
            <w:shd w:val="clear" w:color="auto" w:fill="005A64"/>
          </w:tcPr>
          <w:p>
            <w:pPr>
              <w:spacing w:after="0"/>
              <w:rPr>
                <w:sz w:val="7"/>
                <w:szCs w:val="7"/>
                <w:color w:val="auto"/>
              </w:rPr>
            </w:pPr>
          </w:p>
        </w:tc>
        <w:tc>
          <w:tcPr>
            <w:tcW w:w="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00" w:type="dxa"/>
            <w:vAlign w:val="bottom"/>
            <w:gridSpan w:val="2"/>
            <w:vMerge w:val="continue"/>
          </w:tcPr>
          <w:p>
            <w:pPr>
              <w:spacing w:after="0"/>
              <w:rPr>
                <w:sz w:val="11"/>
                <w:szCs w:val="11"/>
                <w:color w:val="auto"/>
              </w:rPr>
            </w:pPr>
          </w:p>
        </w:tc>
        <w:tc>
          <w:tcPr>
            <w:tcW w:w="1380" w:type="dxa"/>
            <w:vAlign w:val="bottom"/>
            <w:tcBorders>
              <w:bottom w:val="single" w:sz="8" w:color="7FACB1"/>
            </w:tcBorders>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Borders>
              <w:bottom w:val="single" w:sz="8" w:color="7FACB1"/>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bottom w:val="single" w:sz="8" w:color="7FACB1"/>
            </w:tcBorders>
          </w:tcPr>
          <w:p>
            <w:pPr>
              <w:spacing w:after="0"/>
              <w:rPr>
                <w:sz w:val="11"/>
                <w:szCs w:val="11"/>
                <w:color w:val="auto"/>
              </w:rPr>
            </w:pPr>
          </w:p>
        </w:tc>
        <w:tc>
          <w:tcPr>
            <w:tcW w:w="80" w:type="dxa"/>
            <w:vAlign w:val="bottom"/>
            <w:tcBorders>
              <w:bottom w:val="single" w:sz="8" w:color="7FACB1"/>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bottom w:val="single" w:sz="8" w:color="7FACB1"/>
            </w:tcBorders>
          </w:tcPr>
          <w:p>
            <w:pPr>
              <w:spacing w:after="0"/>
              <w:rPr>
                <w:sz w:val="11"/>
                <w:szCs w:val="11"/>
                <w:color w:val="auto"/>
              </w:rPr>
            </w:pPr>
          </w:p>
        </w:tc>
        <w:tc>
          <w:tcPr>
            <w:tcW w:w="80" w:type="dxa"/>
            <w:vAlign w:val="bottom"/>
            <w:tcBorders>
              <w:bottom w:val="single" w:sz="8" w:color="7FACB1"/>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7FACB1"/>
            </w:tcBorders>
          </w:tcPr>
          <w:p>
            <w:pPr>
              <w:spacing w:after="0"/>
              <w:rPr>
                <w:sz w:val="11"/>
                <w:szCs w:val="11"/>
                <w:color w:val="auto"/>
              </w:rPr>
            </w:pPr>
          </w:p>
        </w:tc>
        <w:tc>
          <w:tcPr>
            <w:tcW w:w="100" w:type="dxa"/>
            <w:vAlign w:val="bottom"/>
            <w:tcBorders>
              <w:bottom w:val="single" w:sz="8" w:color="7FACB1"/>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7FACB1"/>
            </w:tcBorders>
          </w:tcPr>
          <w:p>
            <w:pPr>
              <w:spacing w:after="0"/>
              <w:rPr>
                <w:sz w:val="11"/>
                <w:szCs w:val="11"/>
                <w:color w:val="auto"/>
              </w:rPr>
            </w:pPr>
          </w:p>
        </w:tc>
        <w:tc>
          <w:tcPr>
            <w:tcW w:w="80" w:type="dxa"/>
            <w:vAlign w:val="bottom"/>
            <w:tcBorders>
              <w:bottom w:val="single" w:sz="8" w:color="7FACB1"/>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7FACB1"/>
            </w:tcBorders>
          </w:tcPr>
          <w:p>
            <w:pPr>
              <w:spacing w:after="0"/>
              <w:rPr>
                <w:sz w:val="11"/>
                <w:szCs w:val="11"/>
                <w:color w:val="auto"/>
              </w:rPr>
            </w:pPr>
          </w:p>
        </w:tc>
        <w:tc>
          <w:tcPr>
            <w:tcW w:w="8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bottom w:val="single" w:sz="8" w:color="7FACB1"/>
            </w:tcBorders>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900" w:type="dxa"/>
            <w:vAlign w:val="bottom"/>
            <w:gridSpan w:val="2"/>
            <w:vMerge w:val="continue"/>
          </w:tcPr>
          <w:p>
            <w:pPr>
              <w:spacing w:after="0"/>
              <w:rPr>
                <w:sz w:val="3"/>
                <w:szCs w:val="3"/>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9"/>
                <w:szCs w:val="9"/>
                <w:color w:val="005A64"/>
              </w:rPr>
              <w:t>BNT163</w:t>
            </w:r>
          </w:p>
        </w:tc>
        <w:tc>
          <w:tcPr>
            <w:tcW w:w="1620" w:type="dxa"/>
            <w:vAlign w:val="bottom"/>
            <w:gridSpan w:val="2"/>
            <w:vMerge w:val="restart"/>
          </w:tcPr>
          <w:p>
            <w:pPr>
              <w:ind w:left="20"/>
              <w:spacing w:after="0"/>
              <w:rPr>
                <w:sz w:val="20"/>
                <w:szCs w:val="20"/>
                <w:color w:val="auto"/>
              </w:rPr>
            </w:pPr>
            <w:r>
              <w:rPr>
                <w:rFonts w:ascii="Arial" w:cs="Arial" w:eastAsia="Arial" w:hAnsi="Arial"/>
                <w:sz w:val="9"/>
                <w:szCs w:val="9"/>
                <w:color w:val="005A64"/>
              </w:rPr>
              <w:t>HSV</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vMerge w:val="restart"/>
          </w:tcPr>
          <w:p>
            <w:pPr>
              <w:ind w:left="20"/>
              <w:spacing w:after="0"/>
              <w:rPr>
                <w:sz w:val="20"/>
                <w:szCs w:val="20"/>
                <w:color w:val="auto"/>
              </w:rPr>
            </w:pPr>
            <w:r>
              <w:rPr>
                <w:rFonts w:ascii="Arial" w:cs="Arial" w:eastAsia="Arial" w:hAnsi="Arial"/>
                <w:sz w:val="9"/>
                <w:szCs w:val="9"/>
                <w:color w:val="005A64"/>
              </w:rPr>
              <w:t>Collaboration</w:t>
            </w:r>
          </w:p>
        </w:tc>
        <w:tc>
          <w:tcPr>
            <w:tcW w:w="0" w:type="dxa"/>
            <w:vAlign w:val="bottom"/>
          </w:tcPr>
          <w:p>
            <w:pPr>
              <w:spacing w:after="0" w:line="20" w:lineRule="exact"/>
              <w:rPr>
                <w:sz w:val="1"/>
                <w:szCs w:val="1"/>
                <w:color w:val="auto"/>
              </w:rPr>
            </w:pPr>
          </w:p>
        </w:tc>
      </w:tr>
      <w:tr>
        <w:trPr>
          <w:trHeight w:val="69"/>
        </w:trPr>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640" w:type="dxa"/>
            <w:vAlign w:val="bottom"/>
            <w:tcBorders>
              <w:bottom w:val="single" w:sz="8" w:color="3C9673"/>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7FACB1"/>
            </w:tcBorders>
          </w:tcPr>
          <w:p>
            <w:pPr>
              <w:spacing w:after="0"/>
              <w:rPr>
                <w:sz w:val="8"/>
                <w:szCs w:val="8"/>
                <w:color w:val="auto"/>
              </w:rPr>
            </w:pPr>
          </w:p>
        </w:tc>
        <w:tc>
          <w:tcPr>
            <w:tcW w:w="10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Borders>
              <w:bottom w:val="single" w:sz="8" w:color="7FACB1"/>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Arial" w:cs="Arial" w:eastAsia="Arial" w:hAnsi="Arial"/>
                <w:sz w:val="9"/>
                <w:szCs w:val="9"/>
                <w:color w:val="005A64"/>
              </w:rPr>
              <w:t>BNT164</w:t>
            </w:r>
          </w:p>
        </w:tc>
        <w:tc>
          <w:tcPr>
            <w:tcW w:w="1620" w:type="dxa"/>
            <w:vAlign w:val="bottom"/>
            <w:gridSpan w:val="2"/>
          </w:tcPr>
          <w:p>
            <w:pPr>
              <w:ind w:left="20"/>
              <w:spacing w:after="0"/>
              <w:rPr>
                <w:sz w:val="20"/>
                <w:szCs w:val="20"/>
                <w:color w:val="auto"/>
              </w:rPr>
            </w:pPr>
            <w:r>
              <w:rPr>
                <w:rFonts w:ascii="Arial" w:cs="Arial" w:eastAsia="Arial" w:hAnsi="Arial"/>
                <w:sz w:val="9"/>
                <w:szCs w:val="9"/>
                <w:color w:val="005A64"/>
              </w:rPr>
              <w:t>Tuberculosis</w:t>
            </w:r>
            <w:r>
              <w:rPr>
                <w:rFonts w:ascii="Arial" w:cs="Arial" w:eastAsia="Arial" w:hAnsi="Arial"/>
                <w:sz w:val="11"/>
                <w:szCs w:val="11"/>
                <w:color w:val="005A64"/>
                <w:vertAlign w:val="superscript"/>
              </w:rPr>
              <w:t>(8)</w:t>
            </w:r>
          </w:p>
        </w:tc>
        <w:tc>
          <w:tcPr>
            <w:tcW w:w="640" w:type="dxa"/>
            <w:vAlign w:val="bottom"/>
            <w:tcBorders>
              <w:bottom w:val="single" w:sz="8" w:color="3C9673"/>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ind w:left="20"/>
              <w:spacing w:after="0"/>
              <w:rPr>
                <w:sz w:val="20"/>
                <w:szCs w:val="20"/>
                <w:color w:val="auto"/>
              </w:rPr>
            </w:pPr>
            <w:r>
              <w:rPr>
                <w:rFonts w:ascii="Arial" w:cs="Arial" w:eastAsia="Arial" w:hAnsi="Arial"/>
                <w:sz w:val="9"/>
                <w:szCs w:val="9"/>
                <w:color w:val="005A64"/>
              </w:rPr>
              <w:t>Fully owned</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Borders>
              <w:bottom w:val="single" w:sz="8" w:color="7FACB1"/>
            </w:tcBorders>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Borders>
              <w:bottom w:val="single" w:sz="8" w:color="7FACB1"/>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7FACB1"/>
            </w:tcBorders>
          </w:tcPr>
          <w:p>
            <w:pPr>
              <w:spacing w:after="0"/>
              <w:rPr>
                <w:sz w:val="14"/>
                <w:szCs w:val="14"/>
                <w:color w:val="auto"/>
              </w:rPr>
            </w:pPr>
          </w:p>
        </w:tc>
        <w:tc>
          <w:tcPr>
            <w:tcW w:w="80" w:type="dxa"/>
            <w:vAlign w:val="bottom"/>
            <w:tcBorders>
              <w:bottom w:val="single" w:sz="8" w:color="7FACB1"/>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7FACB1"/>
            </w:tcBorders>
          </w:tcPr>
          <w:p>
            <w:pPr>
              <w:spacing w:after="0"/>
              <w:rPr>
                <w:sz w:val="14"/>
                <w:szCs w:val="14"/>
                <w:color w:val="auto"/>
              </w:rPr>
            </w:pPr>
          </w:p>
        </w:tc>
        <w:tc>
          <w:tcPr>
            <w:tcW w:w="80" w:type="dxa"/>
            <w:vAlign w:val="bottom"/>
            <w:tcBorders>
              <w:bottom w:val="single" w:sz="8" w:color="7FACB1"/>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7FACB1"/>
            </w:tcBorders>
          </w:tcPr>
          <w:p>
            <w:pPr>
              <w:spacing w:after="0"/>
              <w:rPr>
                <w:sz w:val="14"/>
                <w:szCs w:val="14"/>
                <w:color w:val="auto"/>
              </w:rPr>
            </w:pPr>
          </w:p>
        </w:tc>
        <w:tc>
          <w:tcPr>
            <w:tcW w:w="100" w:type="dxa"/>
            <w:vAlign w:val="bottom"/>
            <w:tcBorders>
              <w:bottom w:val="single" w:sz="8" w:color="7FACB1"/>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7FACB1"/>
            </w:tcBorders>
          </w:tcPr>
          <w:p>
            <w:pPr>
              <w:spacing w:after="0"/>
              <w:rPr>
                <w:sz w:val="14"/>
                <w:szCs w:val="14"/>
                <w:color w:val="auto"/>
              </w:rPr>
            </w:pPr>
          </w:p>
        </w:tc>
        <w:tc>
          <w:tcPr>
            <w:tcW w:w="80" w:type="dxa"/>
            <w:vAlign w:val="bottom"/>
            <w:tcBorders>
              <w:bottom w:val="single" w:sz="8" w:color="7FACB1"/>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7FACB1"/>
            </w:tcBorders>
          </w:tcPr>
          <w:p>
            <w:pPr>
              <w:spacing w:after="0"/>
              <w:rPr>
                <w:sz w:val="14"/>
                <w:szCs w:val="14"/>
                <w:color w:val="auto"/>
              </w:rPr>
            </w:pPr>
          </w:p>
        </w:tc>
        <w:tc>
          <w:tcPr>
            <w:tcW w:w="80" w:type="dxa"/>
            <w:vAlign w:val="bottom"/>
            <w:tcBorders>
              <w:bottom w:val="single" w:sz="8" w:color="7FACB1"/>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7FACB1"/>
            </w:tcBorders>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9"/>
                <w:szCs w:val="9"/>
                <w:color w:val="005A64"/>
              </w:rPr>
              <w:t>BNT165</w:t>
            </w:r>
          </w:p>
        </w:tc>
        <w:tc>
          <w:tcPr>
            <w:tcW w:w="1620" w:type="dxa"/>
            <w:vAlign w:val="bottom"/>
            <w:gridSpan w:val="2"/>
            <w:vMerge w:val="restart"/>
          </w:tcPr>
          <w:p>
            <w:pPr>
              <w:ind w:left="20"/>
              <w:spacing w:after="0"/>
              <w:rPr>
                <w:sz w:val="20"/>
                <w:szCs w:val="20"/>
                <w:color w:val="auto"/>
              </w:rPr>
            </w:pPr>
            <w:r>
              <w:rPr>
                <w:rFonts w:ascii="Arial" w:cs="Arial" w:eastAsia="Arial" w:hAnsi="Arial"/>
                <w:sz w:val="9"/>
                <w:szCs w:val="9"/>
                <w:color w:val="005A64"/>
              </w:rPr>
              <w:t>Malaria</w:t>
            </w:r>
            <w:r>
              <w:rPr>
                <w:rFonts w:ascii="Arial" w:cs="Arial" w:eastAsia="Arial" w:hAnsi="Arial"/>
                <w:sz w:val="11"/>
                <w:szCs w:val="11"/>
                <w:color w:val="005A64"/>
                <w:vertAlign w:val="superscript"/>
              </w:rPr>
              <w:t>(9)</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080" w:type="dxa"/>
            <w:vAlign w:val="bottom"/>
            <w:vMerge w:val="restart"/>
          </w:tcPr>
          <w:p>
            <w:pPr>
              <w:ind w:left="20"/>
              <w:spacing w:after="0"/>
              <w:rPr>
                <w:sz w:val="20"/>
                <w:szCs w:val="20"/>
                <w:color w:val="auto"/>
              </w:rPr>
            </w:pPr>
            <w:r>
              <w:rPr>
                <w:rFonts w:ascii="Arial" w:cs="Arial" w:eastAsia="Arial" w:hAnsi="Arial"/>
                <w:sz w:val="9"/>
                <w:szCs w:val="9"/>
                <w:color w:val="005A64"/>
              </w:rPr>
              <w:t>Fully owned</w:t>
            </w: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640" w:type="dxa"/>
            <w:vAlign w:val="bottom"/>
            <w:shd w:val="clear" w:color="auto" w:fill="3C9673"/>
          </w:tcPr>
          <w:p>
            <w:pPr>
              <w:spacing w:after="0"/>
              <w:rPr>
                <w:sz w:val="7"/>
                <w:szCs w:val="7"/>
                <w:color w:val="auto"/>
              </w:rPr>
            </w:pPr>
          </w:p>
        </w:tc>
        <w:tc>
          <w:tcPr>
            <w:tcW w:w="80" w:type="dxa"/>
            <w:vAlign w:val="bottom"/>
            <w:shd w:val="clear" w:color="auto" w:fill="3C9673"/>
          </w:tcPr>
          <w:p>
            <w:pPr>
              <w:spacing w:after="0"/>
              <w:rPr>
                <w:sz w:val="7"/>
                <w:szCs w:val="7"/>
                <w:color w:val="auto"/>
              </w:rPr>
            </w:pPr>
          </w:p>
        </w:tc>
        <w:tc>
          <w:tcPr>
            <w:tcW w:w="140" w:type="dxa"/>
            <w:vAlign w:val="bottom"/>
            <w:tcBorders>
              <w:right w:val="single" w:sz="8" w:color="005A64"/>
            </w:tcBorders>
            <w:shd w:val="clear" w:color="auto" w:fill="3C9673"/>
          </w:tcPr>
          <w:p>
            <w:pPr>
              <w:spacing w:after="0"/>
              <w:rPr>
                <w:sz w:val="7"/>
                <w:szCs w:val="7"/>
                <w:color w:val="auto"/>
              </w:rPr>
            </w:pPr>
          </w:p>
        </w:tc>
        <w:tc>
          <w:tcPr>
            <w:tcW w:w="80" w:type="dxa"/>
            <w:vAlign w:val="bottom"/>
            <w:shd w:val="clear" w:color="auto" w:fill="3C9673"/>
          </w:tcPr>
          <w:p>
            <w:pPr>
              <w:spacing w:after="0"/>
              <w:rPr>
                <w:sz w:val="7"/>
                <w:szCs w:val="7"/>
                <w:color w:val="auto"/>
              </w:rPr>
            </w:pPr>
          </w:p>
        </w:tc>
        <w:tc>
          <w:tcPr>
            <w:tcW w:w="660" w:type="dxa"/>
            <w:vAlign w:val="bottom"/>
            <w:shd w:val="clear" w:color="auto" w:fill="3C9673"/>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right w:val="single" w:sz="8" w:color="005A64"/>
            </w:tcBorders>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right w:val="single" w:sz="8" w:color="005A64"/>
            </w:tcBorders>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005A64"/>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0" w:type="dxa"/>
            <w:vAlign w:val="bottom"/>
            <w:shd w:val="clear" w:color="auto" w:fill="005A64"/>
          </w:tcPr>
          <w:p>
            <w:pPr>
              <w:spacing w:after="0"/>
              <w:rPr>
                <w:sz w:val="7"/>
                <w:szCs w:val="7"/>
                <w:color w:val="auto"/>
              </w:rPr>
            </w:pPr>
          </w:p>
        </w:tc>
        <w:tc>
          <w:tcPr>
            <w:tcW w:w="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Borders>
              <w:bottom w:val="single" w:sz="8" w:color="7FACB1"/>
            </w:tcBorders>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Borders>
              <w:bottom w:val="single" w:sz="8" w:color="7FACB1"/>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bottom w:val="single" w:sz="8" w:color="7FACB1"/>
            </w:tcBorders>
          </w:tcPr>
          <w:p>
            <w:pPr>
              <w:spacing w:after="0"/>
              <w:rPr>
                <w:sz w:val="11"/>
                <w:szCs w:val="11"/>
                <w:color w:val="auto"/>
              </w:rPr>
            </w:pPr>
          </w:p>
        </w:tc>
        <w:tc>
          <w:tcPr>
            <w:tcW w:w="80" w:type="dxa"/>
            <w:vAlign w:val="bottom"/>
            <w:tcBorders>
              <w:bottom w:val="single" w:sz="8" w:color="7FACB1"/>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bottom w:val="single" w:sz="8" w:color="7FACB1"/>
            </w:tcBorders>
          </w:tcPr>
          <w:p>
            <w:pPr>
              <w:spacing w:after="0"/>
              <w:rPr>
                <w:sz w:val="11"/>
                <w:szCs w:val="11"/>
                <w:color w:val="auto"/>
              </w:rPr>
            </w:pPr>
          </w:p>
        </w:tc>
        <w:tc>
          <w:tcPr>
            <w:tcW w:w="80" w:type="dxa"/>
            <w:vAlign w:val="bottom"/>
            <w:tcBorders>
              <w:bottom w:val="single" w:sz="8" w:color="7FACB1"/>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7FACB1"/>
            </w:tcBorders>
          </w:tcPr>
          <w:p>
            <w:pPr>
              <w:spacing w:after="0"/>
              <w:rPr>
                <w:sz w:val="11"/>
                <w:szCs w:val="11"/>
                <w:color w:val="auto"/>
              </w:rPr>
            </w:pPr>
          </w:p>
        </w:tc>
        <w:tc>
          <w:tcPr>
            <w:tcW w:w="100" w:type="dxa"/>
            <w:vAlign w:val="bottom"/>
            <w:tcBorders>
              <w:bottom w:val="single" w:sz="8" w:color="7FACB1"/>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7FACB1"/>
            </w:tcBorders>
          </w:tcPr>
          <w:p>
            <w:pPr>
              <w:spacing w:after="0"/>
              <w:rPr>
                <w:sz w:val="11"/>
                <w:szCs w:val="11"/>
                <w:color w:val="auto"/>
              </w:rPr>
            </w:pPr>
          </w:p>
        </w:tc>
        <w:tc>
          <w:tcPr>
            <w:tcW w:w="80" w:type="dxa"/>
            <w:vAlign w:val="bottom"/>
            <w:tcBorders>
              <w:bottom w:val="single" w:sz="8" w:color="7FACB1"/>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7FACB1"/>
            </w:tcBorders>
          </w:tcPr>
          <w:p>
            <w:pPr>
              <w:spacing w:after="0"/>
              <w:rPr>
                <w:sz w:val="11"/>
                <w:szCs w:val="11"/>
                <w:color w:val="auto"/>
              </w:rPr>
            </w:pPr>
          </w:p>
        </w:tc>
        <w:tc>
          <w:tcPr>
            <w:tcW w:w="8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bottom w:val="single" w:sz="8" w:color="7FACB1"/>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gridSpan w:val="2"/>
          </w:tcPr>
          <w:p>
            <w:pPr>
              <w:ind w:left="20"/>
              <w:spacing w:after="0"/>
              <w:rPr>
                <w:sz w:val="20"/>
                <w:szCs w:val="20"/>
                <w:color w:val="auto"/>
              </w:rPr>
            </w:pPr>
            <w:r>
              <w:rPr>
                <w:rFonts w:ascii="Arial" w:cs="Arial" w:eastAsia="Arial" w:hAnsi="Arial"/>
                <w:sz w:val="9"/>
                <w:szCs w:val="9"/>
                <w:color w:val="005A64"/>
              </w:rPr>
              <w:t>BNT166</w:t>
            </w:r>
          </w:p>
        </w:tc>
        <w:tc>
          <w:tcPr>
            <w:tcW w:w="1620" w:type="dxa"/>
            <w:vAlign w:val="bottom"/>
            <w:gridSpan w:val="2"/>
          </w:tcPr>
          <w:p>
            <w:pPr>
              <w:ind w:left="20"/>
              <w:spacing w:after="0"/>
              <w:rPr>
                <w:sz w:val="20"/>
                <w:szCs w:val="20"/>
                <w:color w:val="auto"/>
              </w:rPr>
            </w:pPr>
            <w:r>
              <w:rPr>
                <w:rFonts w:ascii="Arial" w:cs="Arial" w:eastAsia="Arial" w:hAnsi="Arial"/>
                <w:sz w:val="9"/>
                <w:szCs w:val="9"/>
                <w:color w:val="005A64"/>
              </w:rPr>
              <w:t>Mpox</w:t>
            </w:r>
          </w:p>
        </w:tc>
        <w:tc>
          <w:tcPr>
            <w:tcW w:w="64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14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660" w:type="dxa"/>
            <w:vAlign w:val="bottom"/>
            <w:tcBorders>
              <w:bottom w:val="single" w:sz="8" w:color="3C9673"/>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ind w:left="20"/>
              <w:spacing w:after="0"/>
              <w:rPr>
                <w:sz w:val="20"/>
                <w:szCs w:val="20"/>
                <w:color w:val="auto"/>
              </w:rPr>
            </w:pPr>
            <w:r>
              <w:rPr>
                <w:rFonts w:ascii="Arial" w:cs="Arial" w:eastAsia="Arial" w:hAnsi="Arial"/>
                <w:sz w:val="9"/>
                <w:szCs w:val="9"/>
                <w:color w:val="005A64"/>
              </w:rPr>
              <w:t>Fully owned</w:t>
            </w:r>
          </w:p>
        </w:tc>
        <w:tc>
          <w:tcPr>
            <w:tcW w:w="0" w:type="dxa"/>
            <w:vAlign w:val="bottom"/>
          </w:tcPr>
          <w:p>
            <w:pPr>
              <w:spacing w:after="0"/>
              <w:rPr>
                <w:sz w:val="1"/>
                <w:szCs w:val="1"/>
                <w:color w:val="auto"/>
              </w:rPr>
            </w:pPr>
          </w:p>
        </w:tc>
      </w:tr>
      <w:tr>
        <w:trPr>
          <w:trHeight w:val="94"/>
        </w:trPr>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7FACB1"/>
            </w:tcBorders>
          </w:tcPr>
          <w:p>
            <w:pPr>
              <w:spacing w:after="0"/>
              <w:rPr>
                <w:sz w:val="8"/>
                <w:szCs w:val="8"/>
                <w:color w:val="auto"/>
              </w:rPr>
            </w:pPr>
          </w:p>
        </w:tc>
        <w:tc>
          <w:tcPr>
            <w:tcW w:w="10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Borders>
              <w:bottom w:val="single" w:sz="8" w:color="7FACB1"/>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gridSpan w:val="2"/>
          </w:tcPr>
          <w:p>
            <w:pPr>
              <w:ind w:left="20"/>
              <w:spacing w:after="0"/>
              <w:rPr>
                <w:sz w:val="20"/>
                <w:szCs w:val="20"/>
                <w:color w:val="auto"/>
              </w:rPr>
            </w:pPr>
            <w:r>
              <w:rPr>
                <w:rFonts w:ascii="Arial" w:cs="Arial" w:eastAsia="Arial" w:hAnsi="Arial"/>
                <w:sz w:val="9"/>
                <w:szCs w:val="9"/>
                <w:color w:val="005A64"/>
              </w:rPr>
              <w:t>BNT167</w:t>
            </w:r>
          </w:p>
        </w:tc>
        <w:tc>
          <w:tcPr>
            <w:tcW w:w="1620" w:type="dxa"/>
            <w:vAlign w:val="bottom"/>
            <w:gridSpan w:val="2"/>
          </w:tcPr>
          <w:p>
            <w:pPr>
              <w:ind w:left="20"/>
              <w:spacing w:after="0"/>
              <w:rPr>
                <w:sz w:val="20"/>
                <w:szCs w:val="20"/>
                <w:color w:val="auto"/>
              </w:rPr>
            </w:pPr>
            <w:r>
              <w:rPr>
                <w:rFonts w:ascii="Arial" w:cs="Arial" w:eastAsia="Arial" w:hAnsi="Arial"/>
                <w:sz w:val="9"/>
                <w:szCs w:val="9"/>
                <w:color w:val="005A64"/>
              </w:rPr>
              <w:t>Shingles</w:t>
            </w:r>
          </w:p>
        </w:tc>
        <w:tc>
          <w:tcPr>
            <w:tcW w:w="64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14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660" w:type="dxa"/>
            <w:vAlign w:val="bottom"/>
            <w:tcBorders>
              <w:bottom w:val="single" w:sz="8" w:color="3C9673"/>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ind w:left="20"/>
              <w:spacing w:after="0"/>
              <w:rPr>
                <w:sz w:val="20"/>
                <w:szCs w:val="20"/>
                <w:color w:val="auto"/>
              </w:rPr>
            </w:pPr>
            <w:r>
              <w:rPr>
                <w:rFonts w:ascii="Arial" w:cs="Arial" w:eastAsia="Arial" w:hAnsi="Arial"/>
                <w:sz w:val="9"/>
                <w:szCs w:val="9"/>
                <w:color w:val="005A64"/>
              </w:rPr>
              <w:t>Collaboration</w:t>
            </w:r>
          </w:p>
        </w:tc>
        <w:tc>
          <w:tcPr>
            <w:tcW w:w="0" w:type="dxa"/>
            <w:vAlign w:val="bottom"/>
          </w:tcPr>
          <w:p>
            <w:pPr>
              <w:spacing w:after="0"/>
              <w:rPr>
                <w:sz w:val="1"/>
                <w:szCs w:val="1"/>
                <w:color w:val="auto"/>
              </w:rPr>
            </w:pPr>
          </w:p>
        </w:tc>
      </w:tr>
      <w:tr>
        <w:trPr>
          <w:trHeight w:val="94"/>
        </w:trPr>
        <w:tc>
          <w:tcPr>
            <w:tcW w:w="760" w:type="dxa"/>
            <w:vAlign w:val="bottom"/>
            <w:tcBorders>
              <w:bottom w:val="single" w:sz="8" w:color="005A64"/>
            </w:tcBorders>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Borders>
              <w:bottom w:val="single" w:sz="8" w:color="005A64"/>
            </w:tcBorders>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Borders>
              <w:bottom w:val="single" w:sz="8" w:color="005A64"/>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005A64"/>
            </w:tcBorders>
          </w:tcPr>
          <w:p>
            <w:pPr>
              <w:spacing w:after="0"/>
              <w:rPr>
                <w:sz w:val="8"/>
                <w:szCs w:val="8"/>
                <w:color w:val="auto"/>
              </w:rPr>
            </w:pPr>
          </w:p>
        </w:tc>
        <w:tc>
          <w:tcPr>
            <w:tcW w:w="100" w:type="dxa"/>
            <w:vAlign w:val="bottom"/>
            <w:tcBorders>
              <w:bottom w:val="single" w:sz="8" w:color="005A64"/>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Borders>
              <w:bottom w:val="single" w:sz="8" w:color="005A64"/>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900" w:type="dxa"/>
            <w:vAlign w:val="bottom"/>
            <w:gridSpan w:val="2"/>
          </w:tcPr>
          <w:p>
            <w:pPr>
              <w:ind w:left="20"/>
              <w:spacing w:after="0"/>
              <w:rPr>
                <w:sz w:val="20"/>
                <w:szCs w:val="20"/>
                <w:color w:val="auto"/>
              </w:rPr>
            </w:pPr>
            <w:r>
              <w:rPr>
                <w:rFonts w:ascii="Arial" w:cs="Arial" w:eastAsia="Arial" w:hAnsi="Arial"/>
                <w:sz w:val="7"/>
                <w:szCs w:val="7"/>
                <w:b w:val="1"/>
                <w:bCs w:val="1"/>
                <w:color w:val="005A64"/>
              </w:rPr>
              <w:t>Protein-based</w:t>
            </w:r>
          </w:p>
        </w:tc>
        <w:tc>
          <w:tcPr>
            <w:tcW w:w="1540" w:type="dxa"/>
            <w:vAlign w:val="bottom"/>
            <w:gridSpan w:val="2"/>
          </w:tcPr>
          <w:p>
            <w:pPr>
              <w:ind w:left="20"/>
              <w:spacing w:after="0"/>
              <w:rPr>
                <w:sz w:val="20"/>
                <w:szCs w:val="20"/>
                <w:color w:val="auto"/>
              </w:rPr>
            </w:pPr>
            <w:r>
              <w:rPr>
                <w:rFonts w:ascii="Arial" w:cs="Arial" w:eastAsia="Arial" w:hAnsi="Arial"/>
                <w:sz w:val="9"/>
                <w:szCs w:val="9"/>
                <w:color w:val="005A64"/>
              </w:rPr>
              <w:t>BNT331</w:t>
            </w:r>
          </w:p>
        </w:tc>
        <w:tc>
          <w:tcPr>
            <w:tcW w:w="1620" w:type="dxa"/>
            <w:vAlign w:val="bottom"/>
            <w:gridSpan w:val="2"/>
          </w:tcPr>
          <w:p>
            <w:pPr>
              <w:ind w:left="20"/>
              <w:spacing w:after="0"/>
              <w:rPr>
                <w:sz w:val="20"/>
                <w:szCs w:val="20"/>
                <w:color w:val="auto"/>
              </w:rPr>
            </w:pPr>
            <w:r>
              <w:rPr>
                <w:rFonts w:ascii="Arial" w:cs="Arial" w:eastAsia="Arial" w:hAnsi="Arial"/>
                <w:sz w:val="9"/>
                <w:szCs w:val="9"/>
                <w:color w:val="005A64"/>
              </w:rPr>
              <w:t>Bacterial vaginosis</w:t>
            </w:r>
          </w:p>
        </w:tc>
        <w:tc>
          <w:tcPr>
            <w:tcW w:w="640" w:type="dxa"/>
            <w:vAlign w:val="bottom"/>
            <w:tcBorders>
              <w:bottom w:val="single" w:sz="8" w:color="3C9673"/>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ind w:left="20"/>
              <w:spacing w:after="0"/>
              <w:rPr>
                <w:sz w:val="20"/>
                <w:szCs w:val="20"/>
                <w:color w:val="auto"/>
              </w:rPr>
            </w:pPr>
            <w:r>
              <w:rPr>
                <w:rFonts w:ascii="Arial" w:cs="Arial" w:eastAsia="Arial" w:hAnsi="Arial"/>
                <w:sz w:val="9"/>
                <w:szCs w:val="9"/>
                <w:color w:val="005A64"/>
              </w:rPr>
              <w:t>Fully owned</w:t>
            </w:r>
          </w:p>
        </w:tc>
        <w:tc>
          <w:tcPr>
            <w:tcW w:w="0" w:type="dxa"/>
            <w:vAlign w:val="bottom"/>
          </w:tcPr>
          <w:p>
            <w:pPr>
              <w:spacing w:after="0"/>
              <w:rPr>
                <w:sz w:val="1"/>
                <w:szCs w:val="1"/>
                <w:color w:val="auto"/>
              </w:rPr>
            </w:pPr>
          </w:p>
        </w:tc>
      </w:tr>
      <w:tr>
        <w:trPr>
          <w:trHeight w:val="103"/>
        </w:trPr>
        <w:tc>
          <w:tcPr>
            <w:tcW w:w="760" w:type="dxa"/>
            <w:vAlign w:val="bottom"/>
            <w:tcBorders>
              <w:bottom w:val="single" w:sz="8" w:color="005A64"/>
            </w:tcBorders>
          </w:tcPr>
          <w:p>
            <w:pPr>
              <w:ind w:left="20"/>
              <w:spacing w:after="0"/>
              <w:rPr>
                <w:sz w:val="20"/>
                <w:szCs w:val="20"/>
                <w:color w:val="auto"/>
              </w:rPr>
            </w:pPr>
            <w:r>
              <w:rPr>
                <w:rFonts w:ascii="Arial" w:cs="Arial" w:eastAsia="Arial" w:hAnsi="Arial"/>
                <w:sz w:val="7"/>
                <w:szCs w:val="7"/>
                <w:b w:val="1"/>
                <w:bCs w:val="1"/>
                <w:color w:val="005A64"/>
              </w:rPr>
              <w:t>therapeutics</w:t>
            </w:r>
          </w:p>
        </w:tc>
        <w:tc>
          <w:tcPr>
            <w:tcW w:w="140" w:type="dxa"/>
            <w:vAlign w:val="bottom"/>
          </w:tcPr>
          <w:p>
            <w:pPr>
              <w:spacing w:after="0"/>
              <w:rPr>
                <w:sz w:val="8"/>
                <w:szCs w:val="8"/>
                <w:color w:val="auto"/>
              </w:rPr>
            </w:pPr>
          </w:p>
        </w:tc>
        <w:tc>
          <w:tcPr>
            <w:tcW w:w="1380" w:type="dxa"/>
            <w:vAlign w:val="bottom"/>
            <w:tcBorders>
              <w:bottom w:val="single" w:sz="8" w:color="005A64"/>
            </w:tcBorders>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Borders>
              <w:bottom w:val="single" w:sz="8" w:color="005A64"/>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005A64"/>
            </w:tcBorders>
          </w:tcPr>
          <w:p>
            <w:pPr>
              <w:spacing w:after="0"/>
              <w:rPr>
                <w:sz w:val="8"/>
                <w:szCs w:val="8"/>
                <w:color w:val="auto"/>
              </w:rPr>
            </w:pPr>
          </w:p>
        </w:tc>
        <w:tc>
          <w:tcPr>
            <w:tcW w:w="100" w:type="dxa"/>
            <w:vAlign w:val="bottom"/>
            <w:tcBorders>
              <w:bottom w:val="single" w:sz="8" w:color="005A64"/>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Borders>
              <w:bottom w:val="single" w:sz="8" w:color="005A64"/>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-2018030</wp:posOffset>
            </wp:positionV>
            <wp:extent cx="2635885" cy="20224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35885" cy="2022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Collaborator/Partner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33655</wp:posOffset>
            </wp:positionV>
            <wp:extent cx="6940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9"/>
          <w:szCs w:val="9"/>
          <w:color w:val="005A64"/>
        </w:rPr>
        <w:t>Pfizer</w:t>
      </w:r>
    </w:p>
    <w:p>
      <w:pPr>
        <w:spacing w:after="0" w:line="18" w:lineRule="exact"/>
        <w:rPr>
          <w:sz w:val="20"/>
          <w:szCs w:val="20"/>
          <w:color w:val="auto"/>
        </w:rPr>
      </w:pPr>
    </w:p>
    <w:p>
      <w:pPr>
        <w:spacing w:after="0"/>
        <w:rPr>
          <w:sz w:val="20"/>
          <w:szCs w:val="20"/>
          <w:color w:val="auto"/>
        </w:rPr>
      </w:pPr>
      <w:r>
        <w:rPr>
          <w:rFonts w:ascii="Arial" w:cs="Arial" w:eastAsia="Arial" w:hAnsi="Arial"/>
          <w:sz w:val="9"/>
          <w:szCs w:val="9"/>
          <w:color w:val="005A64"/>
        </w:rPr>
        <w:t>Fosun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213995</wp:posOffset>
            </wp:positionV>
            <wp:extent cx="6940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9"/>
          <w:szCs w:val="9"/>
          <w:color w:val="005A64"/>
        </w:rPr>
        <w:t>Pfizer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50800</wp:posOffset>
            </wp:positionV>
            <wp:extent cx="6940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9"/>
          <w:szCs w:val="9"/>
          <w:color w:val="005A64"/>
        </w:rPr>
        <w:t>Pfizer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85090</wp:posOffset>
            </wp:positionV>
            <wp:extent cx="6940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8"/>
          <w:szCs w:val="8"/>
          <w:color w:val="005A64"/>
        </w:rPr>
        <w:t>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58420</wp:posOffset>
            </wp:positionV>
            <wp:extent cx="6940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131" w:lineRule="exact"/>
        <w:rPr>
          <w:sz w:val="20"/>
          <w:szCs w:val="20"/>
          <w:color w:val="auto"/>
        </w:rPr>
      </w:pPr>
    </w:p>
    <w:p>
      <w:pPr>
        <w:ind w:right="100"/>
        <w:spacing w:after="0" w:line="383" w:lineRule="auto"/>
        <w:rPr>
          <w:sz w:val="20"/>
          <w:szCs w:val="20"/>
          <w:color w:val="auto"/>
        </w:rPr>
      </w:pPr>
      <w:r>
        <w:rPr>
          <w:rFonts w:ascii="Arial" w:cs="Arial" w:eastAsia="Arial" w:hAnsi="Arial"/>
          <w:sz w:val="8"/>
          <w:szCs w:val="8"/>
          <w:color w:val="005A64"/>
        </w:rPr>
        <w:t>Funded by Bill &amp; Melinda Gates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230505</wp:posOffset>
            </wp:positionV>
            <wp:extent cx="6940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405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15875</wp:posOffset>
            </wp:positionV>
            <wp:extent cx="6940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9"/>
          <w:szCs w:val="9"/>
          <w:color w:val="005A64"/>
        </w:rPr>
        <w:t>Funded by CEPI</w:t>
      </w:r>
      <w:r>
        <w:rPr>
          <w:rFonts w:ascii="Arial" w:cs="Arial" w:eastAsia="Arial" w:hAnsi="Arial"/>
          <w:sz w:val="11"/>
          <w:szCs w:val="11"/>
          <w:color w:val="005A64"/>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36195</wp:posOffset>
            </wp:positionV>
            <wp:extent cx="6940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9"/>
          <w:szCs w:val="9"/>
          <w:color w:val="005A64"/>
        </w:rPr>
        <w:t>Pfizer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213995</wp:posOffset>
            </wp:positionV>
            <wp:extent cx="69405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405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50800</wp:posOffset>
            </wp:positionV>
            <wp:extent cx="69405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512" w:lineRule="exact"/>
        <w:rPr>
          <w:sz w:val="20"/>
          <w:szCs w:val="20"/>
          <w:color w:val="auto"/>
        </w:rPr>
      </w:pPr>
    </w:p>
    <w:p>
      <w:pPr>
        <w:sectPr>
          <w:pgSz w:w="11900" w:h="16838" w:orient="portrait"/>
          <w:cols w:equalWidth="0" w:num="2">
            <w:col w:w="9980" w:space="180"/>
            <w:col w:w="1080"/>
          </w:cols>
          <w:pgMar w:left="320" w:top="341" w:right="339" w:bottom="689" w:gutter="0" w:footer="0" w:header="0"/>
          <w:type w:val="continuous"/>
        </w:sectPr>
      </w:pPr>
    </w:p>
    <w:p>
      <w:pPr>
        <w:ind w:left="260" w:hanging="252"/>
        <w:spacing w:after="0"/>
        <w:tabs>
          <w:tab w:leader="none" w:pos="260" w:val="left"/>
        </w:tabs>
        <w:numPr>
          <w:ilvl w:val="0"/>
          <w:numId w:val="10"/>
        </w:numPr>
        <w:rPr>
          <w:rFonts w:ascii="Arial" w:cs="Arial" w:eastAsia="Arial" w:hAnsi="Arial"/>
          <w:sz w:val="21"/>
          <w:szCs w:val="21"/>
          <w:color w:val="005A64"/>
          <w:vertAlign w:val="superscript"/>
        </w:rPr>
      </w:pPr>
      <w:r>
        <w:rPr>
          <w:rFonts w:ascii="Arial" w:cs="Arial" w:eastAsia="Arial" w:hAnsi="Arial"/>
          <w:sz w:val="16"/>
          <w:szCs w:val="16"/>
          <w:color w:val="005A64"/>
        </w:rPr>
        <w:t>For further details about BioNTech’s rights, see quarterly reports under https://investors.biontech.de/financials-filings/quarterly-reports.</w:t>
      </w:r>
    </w:p>
    <w:p>
      <w:pPr>
        <w:sectPr>
          <w:pgSz w:w="11900" w:h="16838" w:orient="portrait"/>
          <w:cols w:equalWidth="0" w:num="1">
            <w:col w:w="11240"/>
          </w:cols>
          <w:pgMar w:left="320" w:top="341" w:right="339" w:bottom="68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40"/>
          </w:cols>
          <w:pgMar w:left="320" w:top="341" w:right="339" w:bottom="689"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80" w:hanging="272"/>
        <w:spacing w:after="0" w:line="227" w:lineRule="auto"/>
        <w:tabs>
          <w:tab w:leader="none" w:pos="372" w:val="left"/>
        </w:tabs>
        <w:numPr>
          <w:ilvl w:val="0"/>
          <w:numId w:val="11"/>
        </w:numPr>
        <w:rPr>
          <w:rFonts w:ascii="Arial" w:cs="Arial" w:eastAsia="Arial" w:hAnsi="Arial"/>
          <w:sz w:val="21"/>
          <w:szCs w:val="21"/>
          <w:color w:val="005A64"/>
          <w:vertAlign w:val="superscript"/>
        </w:rPr>
      </w:pPr>
      <w:r>
        <w:rPr>
          <w:rFonts w:ascii="Arial" w:cs="Arial" w:eastAsia="Arial" w:hAnsi="Arial"/>
          <w:sz w:val="16"/>
          <w:szCs w:val="16"/>
          <w:i w:val="1"/>
          <w:iCs w:val="1"/>
          <w:color w:val="005A64"/>
        </w:rPr>
        <w:t xml:space="preserve">FixVac </w:t>
      </w:r>
      <w:r>
        <w:rPr>
          <w:rFonts w:ascii="Arial" w:cs="Arial" w:eastAsia="Arial" w:hAnsi="Arial"/>
          <w:sz w:val="16"/>
          <w:szCs w:val="16"/>
          <w:color w:val="005A64"/>
        </w:rPr>
        <w:t>platform is fully owned by BioNTech. The BNT111 and BNT116 Phase 2 trials are jointly conducted with Regeneron as part of a cost-sharing</w:t>
      </w:r>
      <w:r>
        <w:rPr>
          <w:rFonts w:ascii="Arial" w:cs="Arial" w:eastAsia="Arial" w:hAnsi="Arial"/>
          <w:sz w:val="16"/>
          <w:szCs w:val="16"/>
          <w:i w:val="1"/>
          <w:iCs w:val="1"/>
          <w:color w:val="005A64"/>
        </w:rPr>
        <w:t xml:space="preserve"> </w:t>
      </w:r>
      <w:r>
        <w:rPr>
          <w:rFonts w:ascii="Arial" w:cs="Arial" w:eastAsia="Arial" w:hAnsi="Arial"/>
          <w:sz w:val="16"/>
          <w:szCs w:val="16"/>
          <w:color w:val="005A64"/>
        </w:rPr>
        <w:t>strategic collaboration.</w:t>
      </w:r>
    </w:p>
    <w:p>
      <w:pPr>
        <w:spacing w:after="0" w:line="2" w:lineRule="exact"/>
        <w:rPr>
          <w:rFonts w:ascii="Arial" w:cs="Arial" w:eastAsia="Arial" w:hAnsi="Arial"/>
          <w:sz w:val="21"/>
          <w:szCs w:val="21"/>
          <w:color w:val="005A64"/>
          <w:vertAlign w:val="superscript"/>
        </w:rPr>
      </w:pPr>
    </w:p>
    <w:p>
      <w:pPr>
        <w:ind w:left="300" w:hanging="292"/>
        <w:spacing w:after="0"/>
        <w:tabs>
          <w:tab w:leader="none" w:pos="300" w:val="left"/>
        </w:tabs>
        <w:numPr>
          <w:ilvl w:val="0"/>
          <w:numId w:val="11"/>
        </w:numPr>
        <w:rPr>
          <w:rFonts w:ascii="Arial" w:cs="Arial" w:eastAsia="Arial" w:hAnsi="Arial"/>
          <w:sz w:val="21"/>
          <w:szCs w:val="21"/>
          <w:color w:val="005A64"/>
          <w:vertAlign w:val="superscript"/>
        </w:rPr>
      </w:pPr>
      <w:r>
        <w:rPr>
          <w:rFonts w:ascii="Arial" w:cs="Arial" w:eastAsia="Arial" w:hAnsi="Arial"/>
          <w:sz w:val="16"/>
          <w:szCs w:val="16"/>
          <w:color w:val="005A64"/>
        </w:rPr>
        <w:t>A member of the Roche group.</w:t>
      </w:r>
    </w:p>
    <w:p>
      <w:pPr>
        <w:spacing w:after="0" w:line="57" w:lineRule="exact"/>
        <w:rPr>
          <w:rFonts w:ascii="Arial" w:cs="Arial" w:eastAsia="Arial" w:hAnsi="Arial"/>
          <w:sz w:val="21"/>
          <w:szCs w:val="21"/>
          <w:color w:val="005A64"/>
          <w:vertAlign w:val="superscript"/>
        </w:rPr>
      </w:pPr>
    </w:p>
    <w:p>
      <w:pPr>
        <w:ind w:left="320" w:hanging="312"/>
        <w:spacing w:after="0" w:line="197" w:lineRule="auto"/>
        <w:tabs>
          <w:tab w:leader="none" w:pos="320" w:val="left"/>
        </w:tabs>
        <w:numPr>
          <w:ilvl w:val="0"/>
          <w:numId w:val="11"/>
        </w:numPr>
        <w:rPr>
          <w:rFonts w:ascii="Arial" w:cs="Arial" w:eastAsia="Arial" w:hAnsi="Arial"/>
          <w:sz w:val="21"/>
          <w:szCs w:val="21"/>
          <w:color w:val="005A64"/>
          <w:vertAlign w:val="superscript"/>
        </w:rPr>
      </w:pPr>
      <w:r>
        <w:rPr>
          <w:rFonts w:ascii="Arial" w:cs="Arial" w:eastAsia="Arial" w:hAnsi="Arial"/>
          <w:sz w:val="16"/>
          <w:szCs w:val="16"/>
          <w:color w:val="005A64"/>
        </w:rPr>
        <w:t>Two Phase 1/2 clinical trials in patients with solid tumors are ongoing in combination with ICI+/- chemotherapy.</w:t>
      </w:r>
    </w:p>
    <w:p>
      <w:pPr>
        <w:spacing w:after="0" w:line="44" w:lineRule="exact"/>
        <w:rPr>
          <w:rFonts w:ascii="Arial" w:cs="Arial" w:eastAsia="Arial" w:hAnsi="Arial"/>
          <w:sz w:val="21"/>
          <w:szCs w:val="21"/>
          <w:color w:val="005A64"/>
          <w:vertAlign w:val="superscript"/>
        </w:rPr>
      </w:pPr>
    </w:p>
    <w:p>
      <w:pPr>
        <w:ind w:left="320" w:hanging="312"/>
        <w:spacing w:after="0" w:line="197" w:lineRule="auto"/>
        <w:tabs>
          <w:tab w:leader="none" w:pos="320" w:val="left"/>
        </w:tabs>
        <w:numPr>
          <w:ilvl w:val="0"/>
          <w:numId w:val="11"/>
        </w:numPr>
        <w:rPr>
          <w:rFonts w:ascii="Arial" w:cs="Arial" w:eastAsia="Arial" w:hAnsi="Arial"/>
          <w:sz w:val="21"/>
          <w:szCs w:val="21"/>
          <w:color w:val="005A64"/>
          <w:vertAlign w:val="superscript"/>
        </w:rPr>
      </w:pPr>
      <w:r>
        <w:rPr>
          <w:rFonts w:ascii="Arial" w:cs="Arial" w:eastAsia="Arial" w:hAnsi="Arial"/>
          <w:sz w:val="16"/>
          <w:szCs w:val="16"/>
          <w:color w:val="005A64"/>
        </w:rPr>
        <w:t>Small Molecule Immunomodulators.</w:t>
      </w:r>
    </w:p>
    <w:p>
      <w:pPr>
        <w:spacing w:after="0" w:line="44" w:lineRule="exact"/>
        <w:rPr>
          <w:rFonts w:ascii="Arial" w:cs="Arial" w:eastAsia="Arial" w:hAnsi="Arial"/>
          <w:sz w:val="21"/>
          <w:szCs w:val="21"/>
          <w:color w:val="005A64"/>
          <w:vertAlign w:val="superscript"/>
        </w:rPr>
      </w:pPr>
    </w:p>
    <w:p>
      <w:pPr>
        <w:ind w:left="320" w:hanging="312"/>
        <w:spacing w:after="0" w:line="197" w:lineRule="auto"/>
        <w:tabs>
          <w:tab w:leader="none" w:pos="320" w:val="left"/>
        </w:tabs>
        <w:numPr>
          <w:ilvl w:val="0"/>
          <w:numId w:val="11"/>
        </w:numPr>
        <w:rPr>
          <w:rFonts w:ascii="Arial" w:cs="Arial" w:eastAsia="Arial" w:hAnsi="Arial"/>
          <w:sz w:val="21"/>
          <w:szCs w:val="21"/>
          <w:color w:val="005A64"/>
          <w:vertAlign w:val="superscript"/>
        </w:rPr>
      </w:pPr>
      <w:r>
        <w:rPr>
          <w:rFonts w:ascii="Arial" w:cs="Arial" w:eastAsia="Arial" w:hAnsi="Arial"/>
          <w:sz w:val="16"/>
          <w:szCs w:val="16"/>
          <w:color w:val="005A64"/>
        </w:rPr>
        <w:t>The COVID-19-Influenza combination is a Phase 3 trial in partnership with Pfizer. Further development is subject to entering into a definitive agreement.</w:t>
      </w:r>
    </w:p>
    <w:p>
      <w:pPr>
        <w:spacing w:after="0" w:line="55" w:lineRule="exact"/>
        <w:rPr>
          <w:rFonts w:ascii="Arial" w:cs="Arial" w:eastAsia="Arial" w:hAnsi="Arial"/>
          <w:sz w:val="21"/>
          <w:szCs w:val="21"/>
          <w:color w:val="005A64"/>
          <w:vertAlign w:val="superscript"/>
        </w:rPr>
      </w:pPr>
    </w:p>
    <w:p>
      <w:pPr>
        <w:ind w:left="260" w:hanging="252"/>
        <w:spacing w:after="0" w:line="200" w:lineRule="auto"/>
        <w:tabs>
          <w:tab w:leader="none" w:pos="260" w:val="left"/>
        </w:tabs>
        <w:numPr>
          <w:ilvl w:val="0"/>
          <w:numId w:val="11"/>
        </w:numPr>
        <w:rPr>
          <w:rFonts w:ascii="Arial" w:cs="Arial" w:eastAsia="Arial" w:hAnsi="Arial"/>
          <w:sz w:val="21"/>
          <w:szCs w:val="21"/>
          <w:color w:val="005A64"/>
          <w:vertAlign w:val="superscript"/>
        </w:rPr>
      </w:pPr>
      <w:r>
        <w:rPr>
          <w:rFonts w:ascii="Arial" w:cs="Arial" w:eastAsia="Arial" w:hAnsi="Arial"/>
          <w:sz w:val="16"/>
          <w:szCs w:val="16"/>
          <w:color w:val="005A64"/>
        </w:rPr>
        <w:t>Out-licensed to Pfizer.</w:t>
      </w:r>
    </w:p>
    <w:p>
      <w:pPr>
        <w:spacing w:after="0" w:line="44" w:lineRule="exact"/>
        <w:rPr>
          <w:rFonts w:ascii="Arial" w:cs="Arial" w:eastAsia="Arial" w:hAnsi="Arial"/>
          <w:sz w:val="21"/>
          <w:szCs w:val="21"/>
          <w:color w:val="005A64"/>
          <w:vertAlign w:val="superscript"/>
        </w:rPr>
      </w:pPr>
    </w:p>
    <w:p>
      <w:pPr>
        <w:ind w:left="260" w:hanging="252"/>
        <w:spacing w:after="0" w:line="197" w:lineRule="auto"/>
        <w:tabs>
          <w:tab w:leader="none" w:pos="260" w:val="left"/>
        </w:tabs>
        <w:numPr>
          <w:ilvl w:val="0"/>
          <w:numId w:val="11"/>
        </w:numPr>
        <w:rPr>
          <w:rFonts w:ascii="Arial" w:cs="Arial" w:eastAsia="Arial" w:hAnsi="Arial"/>
          <w:sz w:val="21"/>
          <w:szCs w:val="21"/>
          <w:color w:val="005A64"/>
          <w:vertAlign w:val="superscript"/>
        </w:rPr>
      </w:pPr>
      <w:r>
        <w:rPr>
          <w:rFonts w:ascii="Arial" w:cs="Arial" w:eastAsia="Arial" w:hAnsi="Arial"/>
          <w:sz w:val="16"/>
          <w:szCs w:val="16"/>
          <w:color w:val="005A64"/>
        </w:rPr>
        <w:t>Two Phase 1 clinical trials are ongoing (NCT05537038, Germany and NCT05547464, Republic of South Africa).</w:t>
      </w:r>
    </w:p>
    <w:p>
      <w:pPr>
        <w:spacing w:after="0" w:line="58" w:lineRule="exact"/>
        <w:rPr>
          <w:rFonts w:ascii="Arial" w:cs="Arial" w:eastAsia="Arial" w:hAnsi="Arial"/>
          <w:sz w:val="21"/>
          <w:szCs w:val="21"/>
          <w:color w:val="005A64"/>
          <w:vertAlign w:val="superscript"/>
        </w:rPr>
      </w:pPr>
    </w:p>
    <w:p>
      <w:pPr>
        <w:ind w:left="260" w:hanging="252"/>
        <w:spacing w:after="0" w:line="197" w:lineRule="auto"/>
        <w:tabs>
          <w:tab w:leader="none" w:pos="260" w:val="left"/>
        </w:tabs>
        <w:numPr>
          <w:ilvl w:val="0"/>
          <w:numId w:val="11"/>
        </w:numPr>
        <w:rPr>
          <w:rFonts w:ascii="Arial" w:cs="Arial" w:eastAsia="Arial" w:hAnsi="Arial"/>
          <w:sz w:val="21"/>
          <w:szCs w:val="21"/>
          <w:color w:val="005A64"/>
          <w:vertAlign w:val="superscript"/>
        </w:rPr>
      </w:pPr>
      <w:r>
        <w:rPr>
          <w:rFonts w:ascii="Arial" w:cs="Arial" w:eastAsia="Arial" w:hAnsi="Arial"/>
          <w:sz w:val="16"/>
          <w:szCs w:val="16"/>
          <w:color w:val="005A64"/>
        </w:rPr>
        <w:t>A Phase 1 clinical trial (NCT05581641) and a Phase 1/2 clinical trial (NCT06069544) are ongoing.</w:t>
      </w:r>
    </w:p>
    <w:p>
      <w:pPr>
        <w:spacing w:after="0" w:line="44" w:lineRule="exact"/>
        <w:rPr>
          <w:rFonts w:ascii="Arial" w:cs="Arial" w:eastAsia="Arial" w:hAnsi="Arial"/>
          <w:sz w:val="21"/>
          <w:szCs w:val="21"/>
          <w:color w:val="005A64"/>
          <w:vertAlign w:val="superscript"/>
        </w:rPr>
      </w:pPr>
    </w:p>
    <w:p>
      <w:pPr>
        <w:ind w:left="320" w:hanging="312"/>
        <w:spacing w:after="0" w:line="197" w:lineRule="auto"/>
        <w:tabs>
          <w:tab w:leader="none" w:pos="320" w:val="left"/>
        </w:tabs>
        <w:numPr>
          <w:ilvl w:val="0"/>
          <w:numId w:val="11"/>
        </w:numPr>
        <w:rPr>
          <w:rFonts w:ascii="Arial" w:cs="Arial" w:eastAsia="Arial" w:hAnsi="Arial"/>
          <w:sz w:val="21"/>
          <w:szCs w:val="21"/>
          <w:color w:val="005A64"/>
          <w:vertAlign w:val="superscript"/>
        </w:rPr>
      </w:pPr>
      <w:r>
        <w:rPr>
          <w:rFonts w:ascii="Arial" w:cs="Arial" w:eastAsia="Arial" w:hAnsi="Arial"/>
          <w:sz w:val="16"/>
          <w:szCs w:val="16"/>
          <w:color w:val="005A64"/>
        </w:rPr>
        <w:t>Coalition for Epidemic Preparedness Innovations (“CEPI”).</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005A64"/>
        </w:rPr>
        <w:t>A. Oncology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mRNA Product Candidates in Oncology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FixVac</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FixVac </w:t>
      </w:r>
      <w:r>
        <w:rPr>
          <w:rFonts w:ascii="Arial" w:cs="Arial" w:eastAsia="Arial" w:hAnsi="Arial"/>
          <w:sz w:val="18"/>
          <w:szCs w:val="18"/>
          <w:color w:val="auto"/>
        </w:rPr>
        <w:t>is our wholly owned, systemic, off-the-shelf mRNA-based cancer immunotherapy approach, from which we are developing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first-in-human and potential first-in-class product candidates. </w:t>
      </w:r>
      <w:r>
        <w:rPr>
          <w:rFonts w:ascii="Arial" w:cs="Arial" w:eastAsia="Arial" w:hAnsi="Arial"/>
          <w:sz w:val="18"/>
          <w:szCs w:val="18"/>
          <w:i w:val="1"/>
          <w:iCs w:val="1"/>
          <w:color w:val="auto"/>
        </w:rPr>
        <w:t>FixVac</w:t>
      </w:r>
      <w:r>
        <w:rPr>
          <w:rFonts w:ascii="Arial" w:cs="Arial" w:eastAsia="Arial" w:hAnsi="Arial"/>
          <w:sz w:val="18"/>
          <w:szCs w:val="18"/>
          <w:color w:val="auto"/>
        </w:rPr>
        <w:t xml:space="preserve"> product candidates contain our non-nucleoside optimized uridine-RNA delivered in our proprietary RNA-LPX formulation for intravenous administration. Proprietary RNA-LPX is designed to deliver RNA to dendritic cells, or DCs, and protects RNA from degradation by RNAse and is designed for RNA delivery into antigen-presenting cells in lymphoid organs. </w:t>
      </w:r>
      <w:r>
        <w:rPr>
          <w:rFonts w:ascii="Arial" w:cs="Arial" w:eastAsia="Arial" w:hAnsi="Arial"/>
          <w:sz w:val="18"/>
          <w:szCs w:val="18"/>
          <w:i w:val="1"/>
          <w:iCs w:val="1"/>
          <w:color w:val="auto"/>
        </w:rPr>
        <w:t>FixVac</w:t>
      </w:r>
      <w:r>
        <w:rPr>
          <w:rFonts w:ascii="Arial" w:cs="Arial" w:eastAsia="Arial" w:hAnsi="Arial"/>
          <w:sz w:val="18"/>
          <w:szCs w:val="18"/>
          <w:color w:val="auto"/>
        </w:rPr>
        <w:t xml:space="preserve"> candidates are designed to target shared antigens that have been identified to be frequently expressed across patients with a specific cancer type. These product candidates are designed to trigger both innate and adaptive immune responses.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3C9673"/>
        </w:rPr>
        <w:t>BNT111 in advanced melanoma.</w:t>
      </w:r>
    </w:p>
    <w:p>
      <w:pPr>
        <w:spacing w:after="0" w:line="225" w:lineRule="exact"/>
        <w:rPr>
          <w:sz w:val="20"/>
          <w:szCs w:val="20"/>
          <w:color w:val="auto"/>
        </w:rPr>
      </w:pPr>
    </w:p>
    <w:p>
      <w:pPr>
        <w:jc w:val="both"/>
        <w:ind w:left="66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randomized Phase 2 clinical trial (NCT04526899) is being conducted in collaboration with Regeneron Pharmaceuticals Inc., or Regeneron, and is evaluating BNT111 in combination with cemiplimab (Regeneron’s Libtayo), BNT111 alone, or cemiplimab alone in 184 enrolled patients with anti-PD-1-/anti-PD-L1 refractory/relapsed, unresectable Stage III or IV melanoma. The primary endpoint is objective response rate, or ORR. Secondary endpoints include duration of response, or DOR, disease control rate, or DCR, time to response, or TTR, progression-free survival, or PFS, overall survival, or OS, and safety.</w:t>
      </w:r>
    </w:p>
    <w:p>
      <w:pPr>
        <w:spacing w:after="0" w:line="179"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July, we announced that the study met its primary efficacy outcome measure, demonstrating a statistically significant improvement in ORR in patients treated with BNT111 in combination with the anti-PD-1 checkpoint inhibitor, cemiplimab, as compared to a historical control in this indication and setting. The ORR in the cemiplimab monotherapy arm was in line with the historical control of anti-PD-(L)1 or anti-CTLA-4 treatments in this patient group.The treatment was well tolerated and the safety profile of BNT111 in combination with cemiplimab in this trial was consistent with previous clinical trials assessing BNT111 in combination with anti-PD-(L)1-containing treatments. The Phase 2 trial will continue as planned to further assess the secondary endpoints which were not mature at the time of the primary analysis. We plan to present these data as well as data for selected secondary endpoints at an upcoming medical conference.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3C9673"/>
        </w:rPr>
        <w:t>BNT112 in prostate cancer.</w:t>
      </w:r>
    </w:p>
    <w:p>
      <w:pPr>
        <w:spacing w:after="0" w:line="225" w:lineRule="exact"/>
        <w:rPr>
          <w:sz w:val="20"/>
          <w:szCs w:val="20"/>
          <w:color w:val="auto"/>
        </w:rPr>
      </w:pPr>
    </w:p>
    <w:p>
      <w:pPr>
        <w:jc w:val="both"/>
        <w:ind w:left="660" w:hanging="328"/>
        <w:spacing w:after="0" w:line="25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first-in-human Phase 1/2a, open-label dose titration and expansion clinical trial (NCT04382898) to evaluate the safety, immunogenicity and preliminary efficacy of BNT112 monotherapy and in combination with cemiplimab in patients with metastatic castration resistant prostate cancer and high-risk localized prostate cancer, or LPC, who are eligible for treatment with androgen deprivation therapy, or ADT, followed by radical prostatectomy has been discontinued and the follow-up period ended in January 2024. Final data of the trial have been gathered and are currently being evaluated and compiled into a clinical study report and are expected to be presented at a future scientific conference as well as in a publication.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34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3C9673"/>
        </w:rPr>
        <w:t>BNT113 in Human Papilloma Virus, or HPV16+ head and neck cancer.</w:t>
      </w:r>
    </w:p>
    <w:p>
      <w:pPr>
        <w:spacing w:after="0" w:line="225" w:lineRule="exact"/>
        <w:rPr>
          <w:sz w:val="20"/>
          <w:szCs w:val="20"/>
          <w:color w:val="auto"/>
        </w:rPr>
      </w:pPr>
    </w:p>
    <w:p>
      <w:pPr>
        <w:jc w:val="both"/>
        <w:ind w:left="660" w:hanging="328"/>
        <w:spacing w:after="0" w:line="257" w:lineRule="auto"/>
        <w:tabs>
          <w:tab w:leader="none" w:pos="655"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global, randomized Phase 2 clinical trial (NCT04534205) evaluating BNT113 in combination with pembrolizumab (Merck &amp; Co., Inc.’s Keytruda) versus pembrolizumab monotherapy as a first-line treatment in patients with unresectable recurrent or metastatic HPV16+ head and neck squamous cell carcinoma expressing PD-L1 is ongoing. Part A comprises the completed non-randomized run-in portion designed to demonstrate the safety of the combination of BNT113 and pembrolizumab. Part B is the randomized portion of the trial designed to generate efficacy and safety data and which is recruiting patients. The trial plans to enroll a total of 285 participants.</w:t>
      </w:r>
    </w:p>
    <w:p>
      <w:pPr>
        <w:spacing w:after="0" w:line="182" w:lineRule="exact"/>
        <w:rPr>
          <w:rFonts w:ascii="Arial" w:cs="Arial" w:eastAsia="Arial" w:hAnsi="Arial"/>
          <w:sz w:val="18"/>
          <w:szCs w:val="18"/>
          <w:b w:val="1"/>
          <w:bCs w:val="1"/>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data update is expected to be presented at the 2024 Congress of the European Society of Medical Oncology, or ESMO, taking place from September 13, 2024, to September 17, 2024, in Barcelona, Spain.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3C9673"/>
        </w:rPr>
        <w:t>BNT116 in advanced non-small-cell lung cancer, or NSCLC.</w:t>
      </w:r>
    </w:p>
    <w:p>
      <w:pPr>
        <w:spacing w:after="0" w:line="225" w:lineRule="exact"/>
        <w:rPr>
          <w:sz w:val="20"/>
          <w:szCs w:val="20"/>
          <w:color w:val="auto"/>
        </w:rPr>
      </w:pPr>
    </w:p>
    <w:p>
      <w:pPr>
        <w:jc w:val="both"/>
        <w:ind w:left="660" w:hanging="328"/>
        <w:spacing w:after="0" w:line="262" w:lineRule="auto"/>
        <w:tabs>
          <w:tab w:leader="none" w:pos="6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randomized, controlled Phase 2 clinical trial (NCT05557591) is ongoing to evaluate BNT116 in combination with cemiplimab (Regeneron’s Libtayo) versus cemiplimab alone as first-line treatment of patients with advanced NSCLC whose tumors express PD-L1 in ≥ 50% of their tumor cells. The primary objective of the Phase 2 trial is to assess the ORR per blinded-independent review committee. Secondary endpoints include other measures of clinical activity per investigator assessment, OS, and safety.</w:t>
      </w:r>
    </w:p>
    <w:p>
      <w:pPr>
        <w:spacing w:after="0" w:line="17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Phase 1 clinical trial (NCT05142189) is ongoing to evaluate the safety, tolerability and preliminary efficacy of BNT116 alone and in combination with cemiplimab (Regeneron’s Libtayo) in patients who have progressed on prior PD-1 inhibitor treatment or are not eligible for chemotherapy, in patients with unresectable Stage III NSCLC who have undergone chemoradiotherapy and also in the neoadjuvant and adjuvant settings in patients with resectable Stage II and III NSCLC, or in combination with docetaxel in patients who have received prior PD-1 inhibitor therapy and platinum-based chemotherapy.</w:t>
      </w:r>
    </w:p>
    <w:p>
      <w:pPr>
        <w:spacing w:after="0" w:line="17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April 2024, data from cohort 3 of the Phase 1 trial described above were presented at the Annual Meeting of the American Association for Cancer Research, or AACR. Patients were treated with BNT116 in combination with docetaxel after progression on a PD-1/PD-L1 inhibitor and a platinum-based chemotherapy. Preliminary data of BNT116 in combination with docetaxel show encouraging antitumor activity, consistent induction of immune responses, a manageable safety profile, and no signs of additive toxicity. Combination therapy with BNT116 and docetaxel was observed to have an ORR of 30% and a DCR of 85%.</w:t>
      </w:r>
    </w:p>
    <w:p>
      <w:pPr>
        <w:spacing w:after="0" w:line="181"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Autogene Cevumeran (BNT122), an Individualized Neoantigen Specific Immunotherapy, or iNeST</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Autogene cevumeran (BNT122) is an individualized cancer immunotherapy product candidate based on specific neoantigens that are present on a patient’s tumor. Similar to our </w:t>
      </w:r>
      <w:r>
        <w:rPr>
          <w:rFonts w:ascii="Arial" w:cs="Arial" w:eastAsia="Arial" w:hAnsi="Arial"/>
          <w:sz w:val="18"/>
          <w:szCs w:val="18"/>
          <w:i w:val="1"/>
          <w:iCs w:val="1"/>
          <w:color w:val="auto"/>
        </w:rPr>
        <w:t>FixVac</w:t>
      </w:r>
      <w:r>
        <w:rPr>
          <w:rFonts w:ascii="Arial" w:cs="Arial" w:eastAsia="Arial" w:hAnsi="Arial"/>
          <w:sz w:val="18"/>
          <w:szCs w:val="18"/>
          <w:color w:val="auto"/>
        </w:rPr>
        <w:t xml:space="preserve"> programs, our iNeST approach is also based on a pharmacologically optimized-backbone equipped uridine mRNA, or uRNA, delivered in our proprietary RNA-LPX formulation. Proprietary RNA-LPX is designed to deliver RNA to DCs and protects RNA from degradation by RNAse and is designed for RNA delivery into antigen-presenting cells in lymphoid organs. Each patient is treated with a vaccine informed by the mutation profile of their unique cancer and manufactured on-demand. The RNA encodes a unique composition of the patient’s own tumor mutations and results in generation of neoantigen specific CD4+ and CD8+ T-cell responses. Each autogene cevumeran dose includes up to 20 different neoantigens selected on a patient-by-patient basis. iNeST is partnered with Genentech as part of a 50:50 collaboration in which development costs and future profits are shared. Three Phase 2 clinical trials are ongoing, and a fourth such trial is in planning.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3C9673"/>
        </w:rPr>
        <w:t>Autogene Cevumeran (BNT122) in adjuvant colorectal cancer.</w:t>
      </w:r>
    </w:p>
    <w:p>
      <w:pPr>
        <w:spacing w:after="0" w:line="225" w:lineRule="exact"/>
        <w:rPr>
          <w:sz w:val="20"/>
          <w:szCs w:val="20"/>
          <w:color w:val="auto"/>
        </w:rPr>
      </w:pPr>
    </w:p>
    <w:p>
      <w:pPr>
        <w:jc w:val="both"/>
        <w:ind w:left="6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randomized, multi-site, open-label Phase 2 clinical trial (NCT04486378) evaluating autogene cevumeran as an adjuvant treatment of circulating tumor DNA, or ctDNA, positive, surgically resected Stage II (high risk)/Stage III colorectal cancer, or CRC, is ongoing. The trial is expected to enroll about 200 patients to evaluate the efficacy of autogene cevumeran compared to watchful waiting after surgery and chemotherapy, the current standard of care for these high-risk patients. The primary endpoint for the study is disease-free survival, or DFS. Secondary objectives include OS and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4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safety. The trial is currently enrolling in the United States, Germany, Spain, Belgium, Sweden and the UK. Preliminary data from the ongoing Phase 2 clinical trial in Stage II (high risk)/ Stage III ctDNA+ adjuvant CRC is expected in late 2025 or 2026.</w:t>
      </w:r>
    </w:p>
    <w:p>
      <w:pPr>
        <w:spacing w:after="0" w:line="153" w:lineRule="exact"/>
        <w:rPr>
          <w:sz w:val="20"/>
          <w:szCs w:val="20"/>
          <w:color w:val="auto"/>
        </w:rPr>
      </w:pPr>
    </w:p>
    <w:p>
      <w:pPr>
        <w:jc w:val="both"/>
        <w:ind w:left="660" w:hanging="328"/>
        <w:spacing w:after="0" w:line="26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June 2024, at the 2024 Annual Meeting of the American Society of Clinical Oncology, or ASCO, preliminary epidemiologic data were presented, including post-operative ctDNA prevalence and prognostic value in disease-free survival, from an observational study (NCT04813627) in patients with resected high-risk stage II/III CRC. This observational study provides supportive epidemiological and prognostic data for the ongoing interventional Phase 2 clinical trial (NCT04486378).</w:t>
      </w:r>
    </w:p>
    <w:p>
      <w:pPr>
        <w:spacing w:after="0" w:line="17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Also in June 2024, at the 2024 European Society for Medical Oncology Gastrointestinal Cancers Congress, immunogenicity data of the biomarker cohort of the ongoing Phase 2 (NCT04486378) that enrolled patients irrespective of post-surgical ctDNA status were presented. The data suggest that autogene cevumeran is highly immunogenic and induces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polyepitopic,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detectable T-cell responses in all evaluable patients with resected Stage II/III CRC after completion of adjuvant chemotherapy. Among patients included in the immunogenicity analysis, 100% (12/12) were disease-free at data cut off.</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3C9673"/>
        </w:rPr>
        <w:t>Autogene Cevumeran (BNT122) in pancreatic ductal adenocarcinoma, or PDAC.</w:t>
      </w:r>
    </w:p>
    <w:p>
      <w:pPr>
        <w:spacing w:after="0" w:line="225" w:lineRule="exact"/>
        <w:rPr>
          <w:sz w:val="20"/>
          <w:szCs w:val="20"/>
          <w:color w:val="auto"/>
        </w:rPr>
      </w:pPr>
    </w:p>
    <w:p>
      <w:pPr>
        <w:jc w:val="both"/>
        <w:ind w:left="660" w:hanging="328"/>
        <w:spacing w:after="0" w:line="25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randomized Phase 2 clinical trial (NCT05968326) evaluating the safety and efficacy of autogene cevumeran in combination with atezolizumab (Genentech’s Tecentriq) followed by standard-of-care chemotherapy (mFOLFIRINOX) in patients with resected PDAC compared to chemotherapy alone is recruiting. The Phase 2 study is expected to enroll 260 patients with resected PDAC who have not received prior systemic anti-cancer treatment and showed no evidence of disease after surgery. The primary endpoint is DFS. Secondary endpoints include OS and safety. The trial has been initiated in the North America, Europe and UK , and enrollment is planned in approximately 10 countries in total.</w:t>
      </w:r>
    </w:p>
    <w:p>
      <w:pPr>
        <w:spacing w:after="0" w:line="182"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In April 2024, at the AACR Annual Meeting, long-term follow-up data were presented from an investigator-initiated Phase 1 trial (NCT04161755) in patients with resected PDAC indicating that the individualized mRNA cancer vaccine candidate autogene cevumeran continues to show polyspecific T cell responses up to three years after vaccination and that vaccine response correlates with delayed tumor recurrence. At three years, autogene cevumeran was observed to induce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neoantigen-specific, functional and durable CD8 T cells at substantial magnitudes for multiple neoantigens. After a median follow-up of three years, eight patients with vaccine-induced T-cell responses continued to have longer median recurrence-free survival (not reached) compared with those who did not experience an immune response (13.4 months). The investigator-initiated, single center Phase 1 trial evaluated the safety of autogene cevumeran in sequential combination with the anti-PD-L1 immune checkpoint inhibitor atezolizumab and standard-of-care chemotherapy in 16 patients with resected PDAC. Data from the 1.5-year median follow-up had been previously published in Nature (Rojas, L.A et al.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3C9673"/>
        </w:rPr>
        <w:t>Autogene Cevumeran (BNT122) in first-line melanoma.</w:t>
      </w:r>
    </w:p>
    <w:p>
      <w:pPr>
        <w:spacing w:after="0" w:line="225" w:lineRule="exact"/>
        <w:rPr>
          <w:sz w:val="20"/>
          <w:szCs w:val="20"/>
          <w:color w:val="auto"/>
        </w:rPr>
      </w:pPr>
    </w:p>
    <w:p>
      <w:pPr>
        <w:jc w:val="both"/>
        <w:ind w:left="660" w:hanging="328"/>
        <w:spacing w:after="0" w:line="262"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randomized Phase 2 clinical trial (NCT03815058) evaluating the efficacy and safety of autogene cevumeran in combination with pembrolizumab versus pembrolizumab alone as first-line in patients with previously untreated advanced melanoma is fully enrolled and follow-up is ongoing. The primary endpoint is PFS and the readout will be event-driven. Secondary endpoints include ORR, OS, DOR and safety.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3C9673"/>
        </w:rPr>
        <w:t>Autogene Cevumeran (BNT122) in multiple solid tumors.</w:t>
      </w:r>
    </w:p>
    <w:p>
      <w:pPr>
        <w:spacing w:after="0" w:line="225" w:lineRule="exact"/>
        <w:rPr>
          <w:sz w:val="20"/>
          <w:szCs w:val="20"/>
          <w:color w:val="auto"/>
        </w:rPr>
      </w:pPr>
    </w:p>
    <w:p>
      <w:pPr>
        <w:jc w:val="both"/>
        <w:ind w:left="660" w:hanging="328"/>
        <w:spacing w:after="0" w:line="262"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open-label Phase 1a monotherapy/1b in combination with atezolizumab clinical trial (NCT03289962) of autogene cevumeran in patients with locally advanced or metastatic solid tumors, including patients with melanoma, NSCLC, bladder cancer, colorectal cancer, triple negative breast cancer, or TNBC, renal cancer, head and neck cancer and sarcomas as well as other solid tumors is fully enrolled and follow-up is ongoing.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4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RiboMab</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RiboMab</w:t>
      </w:r>
      <w:r>
        <w:rPr>
          <w:rFonts w:ascii="Arial" w:cs="Arial" w:eastAsia="Arial" w:hAnsi="Arial"/>
          <w:sz w:val="18"/>
          <w:szCs w:val="18"/>
          <w:color w:val="auto"/>
        </w:rPr>
        <w:t xml:space="preserve"> product candidate is an mRNA that encodes cancer cell targeting antibodies. This fully-owned product candidate leverages our proprietary optimized mRNA technology combining nucleoside modifications to minimize immunogenicity with our improved mRNA backbone designs with the aim of maximizing protein expression. Our </w:t>
      </w:r>
      <w:r>
        <w:rPr>
          <w:rFonts w:ascii="Arial" w:cs="Arial" w:eastAsia="Arial" w:hAnsi="Arial"/>
          <w:sz w:val="18"/>
          <w:szCs w:val="18"/>
          <w:i w:val="1"/>
          <w:iCs w:val="1"/>
          <w:color w:val="auto"/>
        </w:rPr>
        <w:t>RiboMab</w:t>
      </w:r>
      <w:r>
        <w:rPr>
          <w:rFonts w:ascii="Arial" w:cs="Arial" w:eastAsia="Arial" w:hAnsi="Arial"/>
          <w:sz w:val="18"/>
          <w:szCs w:val="18"/>
          <w:color w:val="auto"/>
        </w:rPr>
        <w:t xml:space="preserve"> product candidate is formulated using liver-targeting lipid nanoparticles, or LNPs, for intravenous delivery.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BNT142 encodes a T-cell engaging bispecific antibody targeting Claudin 6, or CLDN6.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C9673"/>
        </w:rPr>
        <w:t>BNT142 in multiple solid tumors.</w:t>
      </w:r>
    </w:p>
    <w:p>
      <w:pPr>
        <w:spacing w:after="0" w:line="225" w:lineRule="exact"/>
        <w:rPr>
          <w:sz w:val="20"/>
          <w:szCs w:val="20"/>
          <w:color w:val="auto"/>
        </w:rPr>
      </w:pPr>
    </w:p>
    <w:p>
      <w:pPr>
        <w:jc w:val="both"/>
        <w:ind w:left="660" w:hanging="328"/>
        <w:spacing w:after="0" w:line="268" w:lineRule="auto"/>
        <w:tabs>
          <w:tab w:leader="none" w:pos="6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 open-label, multi-center Phase 1/2 clinical trial (NCT05262530) in patients with CLDN6-positive advanced solid tumors that have exhausted available standard therapy or are not eligible for such available therapy is ongoing. The study is recruiting patients in the EU, the UK, the United States and Singapore.</w:t>
      </w:r>
    </w:p>
    <w:p>
      <w:pPr>
        <w:spacing w:after="0" w:line="172"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RiboCytokines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RiboCytokine</w:t>
      </w:r>
      <w:r>
        <w:rPr>
          <w:rFonts w:ascii="Arial" w:cs="Arial" w:eastAsia="Arial" w:hAnsi="Arial"/>
          <w:sz w:val="18"/>
          <w:szCs w:val="18"/>
          <w:color w:val="auto"/>
        </w:rPr>
        <w:t xml:space="preserve"> product candidates are designed to address the limitations of recombinantly expressed cytokines, including limited serum half-life and production processes. BNT151 and BNT152+153 are nucleoside-modified mRNAs encoding human cytokines fused to human serum albumin. The modified mRNA is formulated with liver-targeting LNPs for intravenous delivery. BNT151 encodes an IL-2 variant, BNT152 encodes IL-7, and BNT153 encodes IL-2.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3C9673"/>
        </w:rPr>
        <w:t>BNT151 in multiple solid tumors.</w:t>
      </w:r>
    </w:p>
    <w:p>
      <w:pPr>
        <w:spacing w:after="0" w:line="225" w:lineRule="exact"/>
        <w:rPr>
          <w:sz w:val="20"/>
          <w:szCs w:val="20"/>
          <w:color w:val="auto"/>
        </w:rPr>
      </w:pPr>
    </w:p>
    <w:p>
      <w:pPr>
        <w:jc w:val="both"/>
        <w:ind w:left="660" w:right="20" w:hanging="328"/>
        <w:spacing w:after="0" w:line="262"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first-in-human, open-label, multi-center Phase 1/2 clinical trial (NCT04455620) in multiple solid tumor indications has been discontinued after the completion of enrollment for the Part 1 monotherapy dose escalation, as previously communicated. The safety follow-up phase for enrolled patients has been completed, and the clinical data of the trial are expected to be evaluated and reported accordingly.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3C9673"/>
        </w:rPr>
        <w:t>BNT152+BNT153 in multiple solid tumors.</w:t>
      </w:r>
    </w:p>
    <w:p>
      <w:pPr>
        <w:spacing w:after="0" w:line="225" w:lineRule="exact"/>
        <w:rPr>
          <w:sz w:val="20"/>
          <w:szCs w:val="20"/>
          <w:color w:val="auto"/>
        </w:rPr>
      </w:pPr>
    </w:p>
    <w:p>
      <w:pPr>
        <w:jc w:val="both"/>
        <w:ind w:left="660" w:hanging="328"/>
        <w:spacing w:after="0" w:line="259" w:lineRule="auto"/>
        <w:tabs>
          <w:tab w:leader="none" w:pos="6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 open-label, multi-site, first-in-human Phase 1 clinical trial (NCT04710043) in multiple solid tumor indications is ongoing to evaluate the safety, pharmacokinetics, pharmacodynamics, and preliminary anti-tumor activity of a combination of BNT152 and BNT153. The clinical trial consists of two parts: Part 1, the separate mono dose escalation of BNT152 and BNT153, was completed in May 2023, in which a maximum tolerated dose was defined for each product. Part 2 is currently investigating the combination treatment of BNT152 and BNT153.</w:t>
      </w:r>
    </w:p>
    <w:p>
      <w:pPr>
        <w:spacing w:after="0" w:line="179" w:lineRule="exact"/>
        <w:rPr>
          <w:rFonts w:ascii="Arial" w:cs="Arial" w:eastAsia="Arial" w:hAnsi="Arial"/>
          <w:sz w:val="18"/>
          <w:szCs w:val="18"/>
          <w:color w:val="auto"/>
        </w:rPr>
      </w:pPr>
    </w:p>
    <w:p>
      <w:pPr>
        <w:ind w:left="200" w:hanging="192"/>
        <w:spacing w:after="0"/>
        <w:tabs>
          <w:tab w:leader="none" w:pos="2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Oncology Cell Therapy Product Candidates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 Chimeric antigen receptor, or CAR, T-cell therapy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CAR-T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BNT211 consists of two investigational medicinal products: our first CAR-T-cell product candidate, which targets CLDN6-positive solid tumors, in combination with an mRNA named CARVac encoding CLDN6. The CAR-T cells are equipped with a second-generation CAR of high sensitivity and specificity for the tumor-specific carcino-embryonic antigen CLDN6. CARVac is intended to support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expansion of transferred CAR-T cells to increase their persistence and efficacy. As with </w:t>
      </w:r>
      <w:r>
        <w:rPr>
          <w:rFonts w:ascii="Arial" w:cs="Arial" w:eastAsia="Arial" w:hAnsi="Arial"/>
          <w:sz w:val="18"/>
          <w:szCs w:val="18"/>
          <w:i w:val="1"/>
          <w:iCs w:val="1"/>
          <w:color w:val="auto"/>
        </w:rPr>
        <w:t>FixVac</w:t>
      </w:r>
      <w:r>
        <w:rPr>
          <w:rFonts w:ascii="Arial" w:cs="Arial" w:eastAsia="Arial" w:hAnsi="Arial"/>
          <w:sz w:val="18"/>
          <w:szCs w:val="18"/>
          <w:color w:val="auto"/>
        </w:rPr>
        <w:t xml:space="preserve"> and iNeST, CARVac is also based on a pharmacologically optimized-backbone equipped uRNA delivered in our proprietary RNA-LPX formulation. BNT211 has been granted Priority Medicines Designation by the EMA for the third- or later-line treatment of testicular germ cell tumors.</w:t>
      </w:r>
    </w:p>
    <w:p>
      <w:pPr>
        <w:spacing w:after="0" w:line="185" w:lineRule="exact"/>
        <w:rPr>
          <w:sz w:val="20"/>
          <w:szCs w:val="20"/>
          <w:color w:val="auto"/>
        </w:rPr>
      </w:pPr>
    </w:p>
    <w:p>
      <w:pPr>
        <w:jc w:val="both"/>
        <w:ind w:left="660" w:hanging="328"/>
        <w:spacing w:after="0" w:line="262"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first-in-human, open-label, multi-center Phase 1 dose escalation and dose expansion basket trial (NCT04503278) evaluating CLDN6 CAR-T cells as monotherapy or in combination with CLDN6 CARVac in patients with CLDN6-positive relapsed or refractory solid tumors, including ovarian cancers and testicular germ cell tumors, is ongoing. The primary outcome measure of the trial is safety, with secondary efficacy outcome measures to include ORR, DCR and DOR.</w:t>
      </w:r>
    </w:p>
    <w:p>
      <w:pPr>
        <w:spacing w:after="0" w:line="17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June, we presented an analysis of real-world data that investigated the OS, treatment patterns and prognostic variables of patients with testicular germ cell tumors receiving palliative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40"/>
          </w:cols>
          <w:pgMar w:left="320" w:top="341"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color w:val="auto"/>
        </w:rPr>
        <w:t>chemotherapy at the 2024 ASCO Annual Meeting. This analysis will inform the design of our planned pivotal clinical trial to evaluate BNT211 in patients with germ cell tumors.</w:t>
      </w:r>
    </w:p>
    <w:p>
      <w:pPr>
        <w:spacing w:after="0" w:line="15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 data update is expected to be presented at the 2024 ESMO Congress.</w:t>
      </w:r>
    </w:p>
    <w:p>
      <w:pPr>
        <w:spacing w:after="0" w:line="265" w:lineRule="exact"/>
        <w:rPr>
          <w:rFonts w:ascii="Arial" w:cs="Arial" w:eastAsia="Arial" w:hAnsi="Arial"/>
          <w:sz w:val="18"/>
          <w:szCs w:val="18"/>
          <w:b w:val="1"/>
          <w:bCs w:val="1"/>
          <w:color w:val="auto"/>
        </w:rPr>
      </w:pPr>
    </w:p>
    <w:p>
      <w:pPr>
        <w:ind w:left="660" w:hanging="328"/>
        <w:spacing w:after="0" w:line="237"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A pivotal Phase 2 in patients with testicular germ cell tumors is expected to start in 2025 based on encouraging data in this patient group observed in the Phase 1 trial.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Neoantigen-Targeting T-Cell therapy</w:t>
      </w:r>
    </w:p>
    <w:p>
      <w:pPr>
        <w:spacing w:after="0" w:line="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BNT221 is our autologous, fully individualized, polyspecific T-cell therapy directed against selected sets of individual neoantigens. BNT221 is based on expanded neoantigen-specific memory T-cells and induced naive T cells.</w:t>
      </w:r>
    </w:p>
    <w:p>
      <w:pPr>
        <w:spacing w:after="0" w:line="171" w:lineRule="exact"/>
        <w:rPr>
          <w:sz w:val="20"/>
          <w:szCs w:val="20"/>
          <w:color w:val="auto"/>
        </w:rPr>
      </w:pPr>
    </w:p>
    <w:p>
      <w:pPr>
        <w:jc w:val="both"/>
        <w:ind w:left="660" w:hanging="328"/>
        <w:spacing w:after="0" w:line="257" w:lineRule="auto"/>
        <w:tabs>
          <w:tab w:leader="none" w:pos="65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first-in-human Phase 1 dose escalation clinical trial (NCT04625205) in patients with checkpoint inhibitor unresponsive or refractory metastatic melanoma is ongoing. The first portion of the trial consists of a monotherapy dose escalation of BNT221, for which recruitment and treatment of patients is complete. In June 2024, the first patient was dosed with BNT221 in combination with anti-PD-1 therapy as advanced line treatment. Major objectives of this study include evaluation of the safety and feasibility of administering BNT221 alone and in combination with a PD-1 directed therapy, as well as evaluations of immunogenicity and preliminary efficacy.</w:t>
      </w:r>
    </w:p>
    <w:p>
      <w:pPr>
        <w:spacing w:after="0" w:line="182" w:lineRule="exact"/>
        <w:rPr>
          <w:rFonts w:ascii="Arial" w:cs="Arial" w:eastAsia="Arial" w:hAnsi="Arial"/>
          <w:sz w:val="18"/>
          <w:szCs w:val="18"/>
          <w:color w:val="auto"/>
        </w:rPr>
      </w:pPr>
    </w:p>
    <w:p>
      <w:pPr>
        <w:ind w:left="200" w:hanging="192"/>
        <w:spacing w:after="0"/>
        <w:tabs>
          <w:tab w:leader="none" w:pos="2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Antibody Product Candidates in Oncology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Next-Generation Immuno-Modulators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We are developing in collaboration with our partners antibodies that are designed to function as mono- or bispecific immunomodulators.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Together with Genmab A/S, or Genmab, we are applying Genmab’s proprietary technologies in combination with our joint target identification and product concept expertise. These programs are the following:, BNT312/GEN1042, BNT313/GEN1053, BNT314/GEN1059, BNT315/GEN1055 and BNT322/GEN1056.</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BNT311/GEN1046 (acasunlimab) is a potential first-in-class bispecific antibody combining PD-L1 checkpoint inhibition with 4-1BB stimulation. BNT311/GEN1046 (acasunlimab) is being developed for the treatment of solid tumors using Genmab’s proprietary DuoBody technology platform and is currently being evaluated in multiple clinical trials.</w:t>
      </w:r>
    </w:p>
    <w:p>
      <w:pPr>
        <w:spacing w:after="0" w:line="171" w:lineRule="exact"/>
        <w:rPr>
          <w:sz w:val="20"/>
          <w:szCs w:val="20"/>
          <w:color w:val="auto"/>
        </w:rPr>
      </w:pPr>
    </w:p>
    <w:p>
      <w:pPr>
        <w:jc w:val="both"/>
        <w:ind w:left="660" w:hanging="328"/>
        <w:spacing w:after="0" w:line="25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Phase 2, multi-center, randomized, open-label clinical trial (NCT05117242) of BNT311/GEN1046 (acasunlimab) as monotherapy and in combination with pembrolizumab in patients with relapsed/refractory metastatic NSCLC and a tumor PD-L1 expression of tumor proportion score, or TPS, of ≥1% after treatment with standard of care therapy with an immune checkpoint inhibitor is ongoing. The primary endpoint is ORR according to Response Evaluation Criteria in Solid Tumors, or RECIST v1.1. Secondary endpoints include DOR, TTR, PFS, OS and safety. Data from this trial were presented at the 2024 ASCO Annual Meeting. The results showed a 12-month OS rate of 69%, a median OS of 17.5 months, and a 30% overall response rate, or ORR (confirmed ORR 17%), at time of data cut-off in patients treated with the combination of acasunlimab and pembrolizumab every six weeks. Anti-tumor activity was observed in patients with TPS of 1–49% and ≥50%, in patients with &lt;6 months and ≥6 months of previous immune checkpoint inhibitor treatment, and in patients with squamous and non-squamous histology. Adverse events were consistent with the safety profiles of the individual drugs and treatment related adverse events, or TRAEs, were primarily Grade 1 and 2. Updated data from this ongoing trial is expected to be presented at the 2024 World Conference on Lung Cancer taking place from September 7 to 10 in San Diego, California.</w:t>
      </w:r>
    </w:p>
    <w:p>
      <w:pPr>
        <w:spacing w:after="0" w:line="18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Phase 1/2 open-label, single-arm clinical trial (NCT03917381) with multiple expansion cohorts evaluating BNT311/GEN1046 (acasunlimab) as monotherapy and in combination therapies in patients with solid tumors is ongoing.</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Phase 1 open-label, dose escalation clinical trial (NCT04937153) in Japan evaluating the safety and pharmacokinetics of BNT311/GEN1046 (acasunlimab) as monotherapy and in combination with pembrolizumab in patients with multiple solid tumors is ongoing.</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20" w:top="341" w:right="3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hanging="328"/>
        <w:spacing w:after="0" w:line="26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While the emerging clinical profile of BNT311/GEN1046 (acasunlimab) is encouraging, for reasons relating to portfolio strategy, BioNTech opted not to participate in the further development of the program, including a planned Phase 3 trial. In the event that the program is commercialized, BioNTech will retain a tiered single-digit royalty on any potential sales. BioNTech and Genmab will continue their collaboration under the existing agreements which was expanded in 2022.</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BNT312/GEN1042 is a jointly owned, novel, agonistic, bispecific antibody that combines targeting and conditional activation of the costimulatory molecules CD40 and 4-1BB on immune cells. BNT312/GEN1042 is being developed for the treatment of solid cancers using Genmab’s proprietary DuoBody technology platform. We and Genmab are currently evaluating BNT312/GEN1042 in multiple clinical trials.</w:t>
      </w:r>
    </w:p>
    <w:p>
      <w:pPr>
        <w:spacing w:after="0" w:line="171" w:lineRule="exact"/>
        <w:rPr>
          <w:sz w:val="20"/>
          <w:szCs w:val="20"/>
          <w:color w:val="auto"/>
        </w:rPr>
      </w:pPr>
    </w:p>
    <w:p>
      <w:pPr>
        <w:ind w:left="6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One Phase 1/2 clinical trial (NCT04083599) in patients with solid tumors is ongoing to evaluate BNT312/GEN1042 in combination with pembrolizumab with or without chemotherapy is currently enrolling.</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Phase 1 clinical trial (NCT06057038) is recruiting in Japan to evaluate the safety, tolerability, pharmacokinetics, pharmacodynamics and antitumor activity of BNT312/GEN1042 monotherapy and in combination with pembrolizumab with or without chemotherapy in patients with multiple solid tumors.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BNT313/GEN1053 is a novel CD27 antibody with an IgG Fc domain engineered to induce clustering of CD27 on the plasma membrane of T cells with the aim of enhancing T-cell activation, proliferation and differentiation without depleting T cells. In preclinical studies, BNT313/GEN1053 was observed to increase T-cell activation, proliferation, cytokine secretion and cytotoxic activity.</w:t>
      </w:r>
    </w:p>
    <w:p>
      <w:pPr>
        <w:spacing w:after="0" w:line="171" w:lineRule="exact"/>
        <w:rPr>
          <w:sz w:val="20"/>
          <w:szCs w:val="20"/>
          <w:color w:val="auto"/>
        </w:rPr>
      </w:pPr>
    </w:p>
    <w:p>
      <w:pPr>
        <w:jc w:val="both"/>
        <w:ind w:left="660" w:hanging="328"/>
        <w:spacing w:after="0" w:line="26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Phase 1/2 clinical trial (NCT05435339) evaluating the safety, tolerability, and preliminary efficacy of CD27-targeting antibody BNT313/GEN1053 on solid tumors as monotherapy has been discontinued due to strategic evaluation of BNT313/GEN1053 within the context of BioNTech’s and Genmab's portfolios.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BNT314/GEN1059 is a potential first-in-class bispecific antibody product candidate designed to boost antitumor immune responses through EpCAM-dependent 4-1BB agonistic activity.</w:t>
      </w:r>
    </w:p>
    <w:p>
      <w:pPr>
        <w:spacing w:after="0" w:line="153" w:lineRule="exact"/>
        <w:rPr>
          <w:sz w:val="20"/>
          <w:szCs w:val="20"/>
          <w:color w:val="auto"/>
        </w:rPr>
      </w:pPr>
    </w:p>
    <w:p>
      <w:pPr>
        <w:jc w:val="both"/>
        <w:ind w:left="660" w:hanging="328"/>
        <w:spacing w:after="0" w:line="268"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first-in-human Phase 1/2 clinical trial (NCT06150183), the first program in the collaboration in which we are the sponsor, to investigate the safety and preliminary antitumor activity of BNT314/GEN1059 alone and in combination with an immune checkpoint inhibitor in patients with advanced or metastatic solid tumors is ongoing.</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BNT315/GEN1055 is a novel OX40 agonist antibody designed to induce OX40 clustering independently of FcγR-mediated crosslinking to enhance antitumor T-cell responses.</w:t>
      </w:r>
    </w:p>
    <w:p>
      <w:pPr>
        <w:spacing w:after="0" w:line="153" w:lineRule="exact"/>
        <w:rPr>
          <w:sz w:val="20"/>
          <w:szCs w:val="20"/>
          <w:color w:val="auto"/>
        </w:rPr>
      </w:pPr>
    </w:p>
    <w:p>
      <w:pPr>
        <w:ind w:left="660" w:right="44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June 2024, the first patient was dosed in a first-in-human Phase 1/2 clinical trial (NCT06391775) to investigate the safety and preliminary antitumor activity of BNT315/GEN1055 in patients with advanced or metastatic solid tumors.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BNT322/GEN1056 is an antibody product candidate being co-developed with Genmab for the treatment of solid tumors and for use in combination with other products.</w:t>
      </w:r>
    </w:p>
    <w:p>
      <w:pPr>
        <w:spacing w:after="0" w:line="15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first-in-human Phase 1 clinical trial (NCT05586321) in patients with advanced solid tumors is ongoing.</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BNT327/PM8002 is a bispecific antibody candidate combining PD-L1 checkpoint inhibition with VEGF-A neutralization and being developed in collaboration with Biotheus Inc., or Biotheus.</w:t>
      </w:r>
    </w:p>
    <w:p>
      <w:pPr>
        <w:spacing w:after="0" w:line="153" w:lineRule="exact"/>
        <w:rPr>
          <w:sz w:val="20"/>
          <w:szCs w:val="20"/>
          <w:color w:val="auto"/>
        </w:rPr>
      </w:pPr>
    </w:p>
    <w:p>
      <w:pPr>
        <w:ind w:left="66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BNT327/PM8002 is currently being evaluated in multiple Phase 2 and Phase 3 clinical trials in China to assess the efficacy and safety of the candidate as monotherapy or in combination with chemotherapy in various indications.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34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hanging="328"/>
        <w:spacing w:after="0" w:line="26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June 2024, at the 2024 ASCO Annual Meeting, monotherapy data were presented from an ongoing Phase 1b/2a trial (NCT05918445) for cohorts of patients with advanced cervical cancer, or CC, platinum-resistant recurrent ovarian cancer, or PROC, and advanced NSCLC.</w:t>
      </w:r>
    </w:p>
    <w:p>
      <w:pPr>
        <w:spacing w:after="0" w:line="170" w:lineRule="exact"/>
        <w:rPr>
          <w:rFonts w:ascii="Arial" w:cs="Arial" w:eastAsia="Arial" w:hAnsi="Arial"/>
          <w:sz w:val="18"/>
          <w:szCs w:val="18"/>
          <w:color w:val="auto"/>
        </w:rPr>
      </w:pPr>
    </w:p>
    <w:p>
      <w:pPr>
        <w:jc w:val="both"/>
        <w:ind w:left="1300" w:hanging="320"/>
        <w:spacing w:after="0" w:line="259" w:lineRule="auto"/>
        <w:tabs>
          <w:tab w:leader="none" w:pos="1296" w:val="left"/>
        </w:tabs>
        <w:numPr>
          <w:ilvl w:val="1"/>
          <w:numId w:val="35"/>
        </w:numPr>
        <w:rPr>
          <w:rFonts w:ascii="Arial" w:cs="Arial" w:eastAsia="Arial" w:hAnsi="Arial"/>
          <w:sz w:val="18"/>
          <w:szCs w:val="18"/>
          <w:color w:val="auto"/>
        </w:rPr>
      </w:pPr>
      <w:r>
        <w:rPr>
          <w:rFonts w:ascii="Arial" w:cs="Arial" w:eastAsia="Arial" w:hAnsi="Arial"/>
          <w:sz w:val="18"/>
          <w:szCs w:val="18"/>
          <w:color w:val="auto"/>
        </w:rPr>
        <w:t>Data on 48 patients with advanced CC showed an ORR of 42.2% (52.4% in patients with PD-L1-positive tumors), a disease control rate, or DCR, of 93.3%, and a median progression-free survival, or mPFS, of 8.3 months. Data on 39 patients with PROC showed an ORR of 20.6%, a DCR of 67.7%, and an mPFS of 5.5 months. TRAEs occurred in 95.4% of patients (83/87), with ≥Grade 3 TRAEs in 36.8% (32/87). 14.9% (13/87) of patients discontinued BNT327/PM8002 treatment due to TRAEs. Median follow-up time in patients with CC and PROC was 13.8 months and 14.8 months, respectively.</w:t>
      </w:r>
    </w:p>
    <w:p>
      <w:pPr>
        <w:spacing w:after="0" w:line="179" w:lineRule="exact"/>
        <w:rPr>
          <w:rFonts w:ascii="Arial" w:cs="Arial" w:eastAsia="Arial" w:hAnsi="Arial"/>
          <w:sz w:val="18"/>
          <w:szCs w:val="18"/>
          <w:color w:val="auto"/>
        </w:rPr>
      </w:pPr>
    </w:p>
    <w:p>
      <w:pPr>
        <w:jc w:val="both"/>
        <w:ind w:left="1300" w:hanging="320"/>
        <w:spacing w:after="0" w:line="255" w:lineRule="auto"/>
        <w:tabs>
          <w:tab w:leader="none" w:pos="1296" w:val="left"/>
        </w:tabs>
        <w:numPr>
          <w:ilvl w:val="1"/>
          <w:numId w:val="35"/>
        </w:numPr>
        <w:rPr>
          <w:rFonts w:ascii="Arial" w:cs="Arial" w:eastAsia="Arial" w:hAnsi="Arial"/>
          <w:sz w:val="18"/>
          <w:szCs w:val="18"/>
          <w:color w:val="auto"/>
        </w:rPr>
      </w:pPr>
      <w:r>
        <w:rPr>
          <w:rFonts w:ascii="Arial" w:cs="Arial" w:eastAsia="Arial" w:hAnsi="Arial"/>
          <w:sz w:val="18"/>
          <w:szCs w:val="18"/>
          <w:color w:val="auto"/>
        </w:rPr>
        <w:t>Data on 61 patients with non-squamous NSCLC were also presented. Data on 17 evaluable patients with untreated NSCLC wild-type and PDL1-positive showed an ORR of 47.1%, a DCR of 100% and an mPFS of 13.6 months at a median follow-up of 11.3 months. Data on 36 evaluable patients with epidermal growth factor receptor, or EGFR, -mutant NSCLC after progression on prior EGFR-TKI treatment showed an ORR of 19.4%, a DCR of 69.4% and an mPFS of 5.5 months at a median follow-up of 12.6 months. Data from 8 evaluable patients with EGFR/ALK wild-type NSCLC that progressed after anti-PD-1/L1 therapy and platinum-based chemotherapy showed an ORR of 12.5%, a DCR of 62.5%, and an mPFS of 5.8 months at a median follow-up of 5.8 months. TRAEs occurred in 85.2% of patients (52/61), with ≥Grade 3 TRAEs in 19.7% (12/61). Serious adverse events were observed in 24.6% (15/61) of patients, and 8.2% (5/61) of patients discontinued BNT327/PM8002 treatment due to TRAEs.</w:t>
      </w:r>
    </w:p>
    <w:p>
      <w:pPr>
        <w:spacing w:after="0" w:line="20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More data readouts, both in monotherapy and in combination with chemotherapy, are expected across a range of solid tumors in 2024, including at the 2024 ESMO Congress.</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June 2024, the first patient was dosed in the Phase 1/2 clinical trial (NCT05438329) cohort evaluating BNT327/PM8002 and BNT325/DB-1305 combination treatment. Additional trials with novel BNT327 and other ADC combinations are planned to begin this year.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Two Phase 2 dose optimization studies are expected to start soon</w:t>
      </w:r>
    </w:p>
    <w:p>
      <w:pPr>
        <w:spacing w:after="0" w:line="225" w:lineRule="exact"/>
        <w:rPr>
          <w:rFonts w:ascii="Arial" w:cs="Arial" w:eastAsia="Arial" w:hAnsi="Arial"/>
          <w:sz w:val="18"/>
          <w:szCs w:val="18"/>
          <w:color w:val="auto"/>
        </w:rPr>
      </w:pPr>
    </w:p>
    <w:p>
      <w:pPr>
        <w:jc w:val="both"/>
        <w:ind w:left="1300" w:hanging="320"/>
        <w:spacing w:after="0" w:line="268" w:lineRule="auto"/>
        <w:tabs>
          <w:tab w:leader="none" w:pos="131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Phase 2 clinical trial (NCT06449222) to evaluate the safety, efficacy, and pharmacokinetics of BNT327/PM8002 at two dose levels in combination with chemotherapy in the first- and second-line treatment of patients with locally advanced/metastatic triple negative breast cancer (“TNBC”).</w:t>
      </w:r>
    </w:p>
    <w:p>
      <w:pPr>
        <w:spacing w:after="0" w:line="170" w:lineRule="exact"/>
        <w:rPr>
          <w:rFonts w:ascii="Arial" w:cs="Arial" w:eastAsia="Arial" w:hAnsi="Arial"/>
          <w:sz w:val="18"/>
          <w:szCs w:val="18"/>
          <w:color w:val="auto"/>
        </w:rPr>
      </w:pPr>
    </w:p>
    <w:p>
      <w:pPr>
        <w:jc w:val="both"/>
        <w:ind w:left="1300" w:hanging="320"/>
        <w:spacing w:after="0" w:line="268" w:lineRule="auto"/>
        <w:tabs>
          <w:tab w:leader="none" w:pos="132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Phase 2 clinical trial (NCT06449209) to evaluate BNT327/PM8002 in combination with chemotherapy in patients with untreated extended-stage small-cell lung cancer (“ES-SCLC”) or small-cell lung cancer (“SCLC”) progressed on first- or second-line treatment.</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Data from these studies are expected as early as 2025.</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BNT316/ONC-392 (gotistobart) is an anti-cytotoxic T-lymphocyte associated protein 4, or CTLA-4, monoclonal antibody candidate being developed in collaboration with OncoC4, Inc., or OncoC4. BNT316/ONC-392 (gotistobart) is designed to offer a differentiated safety profile that may allow for higher dosing and longer duration of treatment both as monotherapy and in combination with other therapies. The program received Fast Track designation from the FDA in 2022.</w:t>
      </w:r>
    </w:p>
    <w:p>
      <w:pPr>
        <w:spacing w:after="0" w:line="176" w:lineRule="exact"/>
        <w:rPr>
          <w:sz w:val="20"/>
          <w:szCs w:val="20"/>
          <w:color w:val="auto"/>
        </w:rPr>
      </w:pPr>
    </w:p>
    <w:p>
      <w:pPr>
        <w:jc w:val="both"/>
        <w:ind w:left="660" w:hanging="328"/>
        <w:spacing w:after="0" w:line="25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two-stage, open-label, randomized Phase 3 clinical trial, PRESERVE-003 (NCT05671510), to evaluate the efficacy and safety of BNT316/ONC-392 (gotistobart) as monotherapy in metastatic NSCLC patients who have progressed on anti-PD-1/PD-L1 antibody-based therapy compared to standard-of-care chemotherapy (docetaxel) is ongoing. The trial initiation followed the FDA Fast Track designation granted in 2022 and is based on Phase 1/2 safety and efficacy data for the monotherapy in metastatic, immunotherapy-resistant NSCLC in patients that progressed under previous PD-(L)1-inhibitor treatment. The primary endpoint is OS. Secondary endpoints include ORR, PFS and safety. Approximately 600 patients are planned to be enrolled at clinical sites in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34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United States, China, Australia, South Korea, Türkiye, Canada, the UK, and the EU countries Germany, Spain, Italy, Belgium and the Netherlands.</w:t>
      </w:r>
    </w:p>
    <w:p>
      <w:pPr>
        <w:spacing w:after="0" w:line="153" w:lineRule="exact"/>
        <w:rPr>
          <w:sz w:val="20"/>
          <w:szCs w:val="20"/>
          <w:color w:val="auto"/>
        </w:rPr>
      </w:pPr>
    </w:p>
    <w:p>
      <w:pPr>
        <w:jc w:val="both"/>
        <w:ind w:left="660" w:hanging="328"/>
        <w:spacing w:after="0" w:line="262" w:lineRule="auto"/>
        <w:tabs>
          <w:tab w:leader="none" w:pos="65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Phase 2 clinical trial (NCT05446298) evaluating BNT316/ONC-392 (gotistobart) therapy in combination with pembrolizumab in platinum-resistant ovarian cancer is ongoing. The clinical trial is evaluating two doses of BNT316/ONC-392 (gotistobart) in combination with a fixed dose of pembrolizumab in participants with ovarian cancer who are resistant to platinum-based chemotherapy. The primary endpoints are ORR and safety. Secondary endpoints include DOR, DCR, PFS and OS.</w:t>
      </w:r>
    </w:p>
    <w:p>
      <w:pPr>
        <w:spacing w:after="0" w:line="176"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Phase 2 clinical trial (NCT05682443) evaluating the safety and efficacy of BNT316/ONC-392 (gotistobart) in combination with lutetium Lu-177 vipivotide tetraxetan (Novartis’s Pluvicto) in metastatic castration resistant prostate cancer patients who have disease progressed on androgen receptor pathway inhibition is recruiting. The trial is expected to enroll approximately 144 patients at clinical trial sites in the United States. The primary endpoint is PFS.</w:t>
      </w:r>
    </w:p>
    <w:p>
      <w:pPr>
        <w:spacing w:after="0" w:line="176" w:lineRule="exact"/>
        <w:rPr>
          <w:rFonts w:ascii="Arial" w:cs="Arial" w:eastAsia="Arial" w:hAnsi="Arial"/>
          <w:sz w:val="18"/>
          <w:szCs w:val="18"/>
          <w:color w:val="auto"/>
        </w:rPr>
      </w:pPr>
    </w:p>
    <w:p>
      <w:pPr>
        <w:ind w:left="660" w:hanging="328"/>
        <w:spacing w:after="0" w:line="287" w:lineRule="auto"/>
        <w:tabs>
          <w:tab w:leader="none" w:pos="65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first-in-human Phase 1/2 open-label dose escalation clinical trial (NCT04140526) evaluating BNT316/ONC-392 (gotistobart) as a single agent and in combination with pembrolizumab in patients with advanced or metastatic solid tumors is ongoing.</w:t>
      </w:r>
    </w:p>
    <w:p>
      <w:pPr>
        <w:spacing w:after="0" w:line="154" w:lineRule="exact"/>
        <w:rPr>
          <w:rFonts w:ascii="Arial" w:cs="Arial" w:eastAsia="Arial" w:hAnsi="Arial"/>
          <w:sz w:val="18"/>
          <w:szCs w:val="18"/>
          <w:color w:val="auto"/>
        </w:rPr>
      </w:pPr>
    </w:p>
    <w:p>
      <w:pPr>
        <w:ind w:left="220" w:hanging="212"/>
        <w:spacing w:after="0"/>
        <w:tabs>
          <w:tab w:leader="none" w:pos="22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Targeted Cancer Antibodies &amp; Antibody-Drug Conjugates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BNT321 is a fully human immunoglobulin G1, monoclonal antibody product candidate targeting sialyl Lewis A, or sLea, an epitope on CA19-9 that is expressed in pancreatic and other solid tumors that plays a role in tumor adhesion and metastasis formation, and is a marker of an aggressive cancer phenotype.</w:t>
      </w:r>
    </w:p>
    <w:p>
      <w:pPr>
        <w:spacing w:after="0" w:line="178" w:lineRule="exact"/>
        <w:rPr>
          <w:sz w:val="20"/>
          <w:szCs w:val="20"/>
          <w:color w:val="auto"/>
        </w:rPr>
      </w:pPr>
    </w:p>
    <w:p>
      <w:pPr>
        <w:jc w:val="both"/>
        <w:ind w:left="660" w:hanging="328"/>
        <w:spacing w:after="0" w:line="255"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open-label, multi-center, non-randomized dose escalation and expansion Phase 1 clinical trial (NCT02672917) of BNT321 monotherapy and in combination with modified FOLFIRINOX in pancreatic cancer and other CA19-9 expressing solid tumors is ongoing. In January 2024, data from the trial were presented at the ASCO Gastrointestinal Cancer Symposium. Preclinically, BNT321 binding was observed to be highly specific and restricted to cancer tissues with sLea expression. The most frequent dose-limiting toxicities, or DLTs, for both monotherapy and for mFOLFIRINOX combination therapy were hepatic transaminase elevations. DLTs generally occurred in cycle 1 and did not preclude subsequent BNT321 administration at reduced doses. BNT321 in combination with mFOLFIRINOX was tolerable for multiple cycles. Clinical activity (27% PR, RECIST) was observed in patients receiving the combination as first or subsequent line therapy for advanced disease.</w:t>
      </w:r>
    </w:p>
    <w:p>
      <w:pPr>
        <w:spacing w:after="0" w:line="18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April 2024, the first patient was dosed in a Phase 1/2 trial (NCT06069778) evaluating the safety, tolerability, and efficacy of BNT321 in combination with mFOLFIRINOX as an adjuvant therapy following curative resection in patients with PDAC.</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BNT323/DB-1303 is a topoisomerase-1 inhibitor-based HER2-targeted ADC candidate being developed in collaboration with Duality Biologics (Suzhou) Co. Ltd., or DualityBio. The program has been granted Fast Track designation and Breakthrough Therapy Designation by the FDA for the treatment of advanced endometrial cancer in patients who progressed on or after treatment with immune checkpoint inhibitors.</w:t>
      </w:r>
    </w:p>
    <w:p>
      <w:pPr>
        <w:spacing w:after="0" w:line="176" w:lineRule="exact"/>
        <w:rPr>
          <w:sz w:val="20"/>
          <w:szCs w:val="20"/>
          <w:color w:val="auto"/>
        </w:rPr>
      </w:pPr>
    </w:p>
    <w:p>
      <w:pPr>
        <w:jc w:val="both"/>
        <w:ind w:left="660" w:hanging="328"/>
        <w:spacing w:after="0" w:line="25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ongoing randomized, multi-center, open-label, pivotal Phase 3 clinical trial (NCT06018337) is recruiting to evaluate BNT323/DB1303 versus the investigator’s choice of chemotherapy in advanced or metastatic HR+, HER2-low breast cancer subjects whose disease has progressed on at least two lines of prior endocrine therapy or within six months of first-line endocrine therapy and cyclin-dependent 4/6 (CDK4/6) inhibitor and no prior chemotherapy. The first patient was dosed in January 2024. The trial aims to enroll approximately 532 patients. The primary endpoint is PFS. Secondary endpoints include OS, ORR, DCR, DOR and safety, as well as patient-reported outcomes.</w:t>
      </w:r>
    </w:p>
    <w:p>
      <w:pPr>
        <w:spacing w:after="0" w:line="18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Topline data from the ongoing Phase 3 in HR+ and HER2-low metastatic breast cancer that have progressed on hormone therapy and/or CDK4/6 inhibition is expected in 2025.</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BNT323/DB-1303 is being evaluated in an ongoing multicenter, non-randomized, open-label, multiple dose, first-in-human Phase 1/2 clinical trial (NCT05150691) in patients with advanced/unresectable, recurrent, or metastatic HER2-expressing solid tumors. A potential registrational cohort</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40"/>
          </w:cols>
          <w:pgMar w:left="320" w:top="341" w:right="33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color w:val="auto"/>
        </w:rPr>
        <w:t>with HER2-expressing (IHC3+, 2+, 1+ or ISH-positive) patients with advanced/recurrent endometrial carcinoma has completed enrollment. Data from this cohort are expected in 2025.</w:t>
      </w:r>
    </w:p>
    <w:p>
      <w:pPr>
        <w:spacing w:after="0" w:line="153" w:lineRule="exact"/>
        <w:rPr>
          <w:sz w:val="20"/>
          <w:szCs w:val="20"/>
          <w:color w:val="auto"/>
        </w:rPr>
      </w:pPr>
    </w:p>
    <w:p>
      <w:pPr>
        <w:ind w:right="480" w:firstLine="332"/>
        <w:spacing w:after="0" w:line="530" w:lineRule="auto"/>
        <w:tabs>
          <w:tab w:leader="none" w:pos="643"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confirmatory Phase 3 trial (NCT06340568) in patients with advanced endometrial cancer is planned to start in 2024. BNT324/DB-1311 is a topoisomerase-1 inhibitor-based B7H3-targeted ADC candidate being developed in collaboration with DualityBio.</w:t>
      </w:r>
    </w:p>
    <w:p>
      <w:pPr>
        <w:ind w:left="660" w:hanging="328"/>
        <w:spacing w:after="0" w:line="28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first-in-human, open-label Phase 1/2a clinical trial (NCT05914116) evaluating BNT324/DB-1311 in patients with advanced solid tumors is ongoing.</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June 2024, we and DualityBio received Fast Track designation for BNT324/DB-1311 from the FDA for the treatment of patients with advanced/unresectable, or metastatic castration-resistant prostate cancer, who have progressed on or after standard systemic regimens.</w:t>
      </w:r>
    </w:p>
    <w:p>
      <w:pPr>
        <w:spacing w:after="0" w:line="17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July 2024, we and DualityBio received Orphan Drug Designation for BNT324/DB-1311 from the FDA for the treatment of patients with advanced or metastatic esophageal squamous cell carcinoma.</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BNT325/DB-1305 is a topoisomerase-1 inhibitor-based TROP2-targeted ADC candidate being developed in collaboration with DualityBio. The program received Fast Track designation from the FDA for the treatment of patients with platinum-resistant epithelial ovarian, fallopian tube, or primary peritoneal cancer who have received one to three prior systemic treatment regimens.</w:t>
      </w:r>
    </w:p>
    <w:p>
      <w:pPr>
        <w:spacing w:after="0" w:line="171" w:lineRule="exact"/>
        <w:rPr>
          <w:sz w:val="20"/>
          <w:szCs w:val="20"/>
          <w:color w:val="auto"/>
        </w:rPr>
      </w:pPr>
    </w:p>
    <w:p>
      <w:pPr>
        <w:ind w:left="660" w:hanging="328"/>
        <w:spacing w:after="0" w:line="28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Phase 1/2a clinical trial (NCT05438329) evaluating BNT325/DB-1305 in patients with advanced solid tumors is ongoing. In June 2024, the first patient was dosed with BNT325/DB-1305 and BNT327/PM8002 combination treatment.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BNT326/YL202 is a topoisomerase-1 inhibitor-based HER3-targeted ADC candidate being developed in collaboration with MediLink Therapeutics (Suzhou) Co., Ltd, or MediLink. HER3 is a target that is overexpressed in various cancer types, such as NSCLC and breast cancer and is closely associated with tumor metastasis and disease progression. Furthermore, HER3 expression is upregulated after frontline drug therapy, making it an adequate target for cancer treatment resistance.</w:t>
      </w:r>
    </w:p>
    <w:p>
      <w:pPr>
        <w:spacing w:after="0" w:line="176" w:lineRule="exact"/>
        <w:rPr>
          <w:sz w:val="20"/>
          <w:szCs w:val="20"/>
          <w:color w:val="auto"/>
        </w:rPr>
      </w:pPr>
    </w:p>
    <w:p>
      <w:pPr>
        <w:jc w:val="both"/>
        <w:ind w:left="660" w:hanging="328"/>
        <w:spacing w:after="0" w:line="262" w:lineRule="auto"/>
        <w:tabs>
          <w:tab w:leader="none" w:pos="655"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multicenter, international, open-label, first-in-human Phase 1 clinical trial (NCT05653752), sponsored by MediLink, evaluating BNT326/YL202 as a later-line treatment in patients with locally advanced or metastatic EGFR-mutated NSCLC or hormone receptor, or HR, -positive and HER2-negative breast cancer is on partial clinical hold by the FDA, as announced on June 17, 2024. We and MediLink are working to address the FDA’s requirements and resolve the partial clinical hold.</w:t>
      </w:r>
    </w:p>
    <w:p>
      <w:pPr>
        <w:spacing w:after="0" w:line="176"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1"/>
          <w:numId w:val="42"/>
        </w:numPr>
        <w:rPr>
          <w:rFonts w:ascii="Arial" w:cs="Arial" w:eastAsia="Arial" w:hAnsi="Arial"/>
          <w:sz w:val="18"/>
          <w:szCs w:val="18"/>
          <w:color w:val="auto"/>
        </w:rPr>
      </w:pPr>
      <w:r>
        <w:rPr>
          <w:rFonts w:ascii="Arial" w:cs="Arial" w:eastAsia="Arial" w:hAnsi="Arial"/>
          <w:sz w:val="18"/>
          <w:szCs w:val="18"/>
          <w:color w:val="auto"/>
        </w:rPr>
        <w:t>Preliminary data on 55 patients from this study were presented at the 2024 ASCO Annual Meeting. BNT326/YL202 demonstrated encouraging activity in heavily pretreated locally advanced/metastatic NSCLC and BC with an ORR of 42.3% (22 out of 52 evaluable patients) and a DCR of 94.2% (49/52), with responses seen from the first dose level at 0.5 mg/kg. The safety profile of BNT326/YL202 was consistent with its mechanism of action and dose-dependent. The most common TRAEs were due to hematologic toxicity and gastrointestinal and nutritional disorders. 7.3% (4/55) of patients discontinued treatment due to TRAEs, and there were 3 treatment-related Grade 5 events (deaths) at higher doses. Further clinical development will focus on dose levels below 4.0 mg/kg, where the safety profile was manageable and encouraging clinical activity was observed.</w:t>
      </w:r>
    </w:p>
    <w:p>
      <w:pPr>
        <w:spacing w:after="0" w:line="182" w:lineRule="exact"/>
        <w:rPr>
          <w:rFonts w:ascii="Arial" w:cs="Arial" w:eastAsia="Arial" w:hAnsi="Arial"/>
          <w:sz w:val="18"/>
          <w:szCs w:val="18"/>
          <w:color w:val="auto"/>
        </w:rPr>
      </w:pPr>
    </w:p>
    <w:p>
      <w:pPr>
        <w:ind w:left="200" w:hanging="192"/>
        <w:spacing w:after="0"/>
        <w:tabs>
          <w:tab w:leader="none" w:pos="2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Small Molecule Immunomodulator Candidates in Oncology</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BNT411 is a small molecule TLR7 agonist product candidate. BNT411 is designed to activate both the adaptive and innate immune system through the TLR7 pathway.</w:t>
      </w:r>
    </w:p>
    <w:p>
      <w:pPr>
        <w:spacing w:after="0" w:line="153" w:lineRule="exact"/>
        <w:rPr>
          <w:sz w:val="20"/>
          <w:szCs w:val="20"/>
          <w:color w:val="auto"/>
        </w:rPr>
      </w:pPr>
    </w:p>
    <w:p>
      <w:pPr>
        <w:jc w:val="both"/>
        <w:ind w:left="660" w:hanging="328"/>
        <w:spacing w:after="0" w:line="259"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Phase 1/2, first-in-human, open-label, dose escalation trial (NCT04101357) with expansion cohorts evaluating safety, pharmacokinetics, progression of disease and preliminary efficacy of BNT411 as monotherapy in patients with solid tumors and in combination with atezolizumab, carboplatin and etoposide in patients with chemotherapy-naïve ES-SCLC has been discontinued. Final data of the trial have been gathered and evaluated to be compiled into a clinical study report and are expected to be presented at a future scientific conference and published in a scientific journal.</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40"/>
          </w:cols>
          <w:pgMar w:left="320" w:top="341" w:right="3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005A64"/>
        </w:rPr>
        <w:t>B. Infectious Disease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Next-generation COVID-19 Vaccine</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BNT162b5/6/7 – This is one of multiple vaccine candidates with an engineered design aimed to increase the magnitude and breadth of antibody neutralization response to better protect against COVID-19.</w:t>
      </w:r>
    </w:p>
    <w:p>
      <w:pPr>
        <w:spacing w:after="0" w:line="153" w:lineRule="exact"/>
        <w:rPr>
          <w:sz w:val="20"/>
          <w:szCs w:val="20"/>
          <w:color w:val="auto"/>
        </w:rPr>
      </w:pPr>
    </w:p>
    <w:p>
      <w:pPr>
        <w:ind w:left="660" w:hanging="328"/>
        <w:spacing w:after="0" w:line="28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randomized, active controlled, observer-blind Phase 2 clinical trial (NCT04368728) to evaluate the safety, tolerability and immunogenicity of a stabilized spike antigen vaccine candidate has been completed and data are being gathered.</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BNT162b2 + BNT162b4 – The aim of this program is to develop a vaccine candidate that enhances and broadens SARS-CoV-2 T-cell responses. BNT162b4 is a next-generation COVID-19 vaccine candidate component designed to elicit T-cell immunity across epitopes. BNT162b4 encodes variant-conserved, immunogenic segments of the SARS-CoV-2 nucleocapsid, membrane, and ORF1ab proteins, targeting diverse human leukocyte antigen alleles.</w:t>
      </w:r>
    </w:p>
    <w:p>
      <w:pPr>
        <w:spacing w:after="0" w:line="176" w:lineRule="exact"/>
        <w:rPr>
          <w:sz w:val="20"/>
          <w:szCs w:val="20"/>
          <w:color w:val="auto"/>
        </w:rPr>
      </w:pPr>
    </w:p>
    <w:p>
      <w:pPr>
        <w:ind w:left="660" w:hanging="328"/>
        <w:spacing w:after="0" w:line="28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Phase 1 clinical trial (NCT05541861) to evaluate the safety, tolerability and immunogenicity of BNT162b4 in combination with BNT162b2 is ongoing.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Both programs are being developed in collaboration with Pfizer.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Combination Vaccine Programs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and Pfizer are investigating respiratory combination vaccine approaches that aim to simplify immunization practices for health care providers and recipients, helping to reduce the burden of these diseases. Combination vaccines have been an effective approach in overcoming barriers to vaccination by allowing for simple scheduling and fewer injections compared to vaccinations administered separately and/or at different visits to healthcare providers.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 Influenza Combination mRNA Vaccine Program – BNT162b2 + BNT161</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October 2022, we and Pfizer initiated a Phase 1/2 open-label, dose-finding trial (NCT05596734) to evaluate the safety, tolerability and immunogenicity of a combination of the COVID-19 and influenza mRNA vaccines in 180 healthy adults 18 to 64 years of age.</w:t>
      </w:r>
    </w:p>
    <w:p>
      <w:pPr>
        <w:spacing w:after="0" w:line="171"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In December 2022, we and Pfizer announced that the companies received Fast Track designation from the FDA for the mRNA-based combination vaccine candidate for influenza and COVID-19.</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October 2023, we and Pfizer announced top-line results from a Phase 1/2 clinical trial (NCT05596734) evaluating the safety, tolerability and immunogenicity of mRNA-based combination vaccine candidates for influenza and COVID-19 among healthy adults 18 to 64 years of age. In the clinical trial, the vaccine candidates were compared to licensed influenza vaccines and the Pfizer-BioNTech COVID-19 Omicron BA.4-5 adapted bivalent vaccine given separately at the same visit. The data from the trial demonstrated robust immune responses to influenza A, influenza B and SARS-CoV-2 strains, as well as a safety profile consistent with the safety profile of the companies’ COVID-19 vaccine.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pivotal Phase 3 clinical trial (NCT06178991) is ongoing in healthy subjects 18 to 64 years old of age. The study is fully enrolled and data are expected later this year. Further development of this product candidate is subject to our entering into a definitive agreement with Pfizer.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Influenza Vaccine Program – BNT161</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2018, we and Pfizer entered into an agreement to collaborate on an mRNA program in influenza for an initial period of three years, which ended in 2021. Pfizer has since had the sole responsibility, authority and control of the development, manufacturing and commercialization of all candidates and products related to the program. Upon potential approval and commercialization, BioNTech is eligible to receive a royalty on Pfizer’s sales.</w:t>
      </w:r>
    </w:p>
    <w:p>
      <w:pPr>
        <w:spacing w:after="0" w:line="176" w:lineRule="exact"/>
        <w:rPr>
          <w:sz w:val="20"/>
          <w:szCs w:val="20"/>
          <w:color w:val="auto"/>
        </w:rPr>
      </w:pPr>
    </w:p>
    <w:p>
      <w:pPr>
        <w:ind w:left="660" w:right="20" w:hanging="328"/>
        <w:spacing w:after="0" w:line="28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Pfizer-initiated randomized Phase 3 clinical trial (NCT05540522) to evaluate the efficacy, safety, tolerability and immunogenicity of a modRNA influenza vaccine candidate has been completed.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4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Herpes Simplex Virus, or HSV, Vaccine Program – BNT163</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a research collaboration with the University of Pennsylvania under which we have the exclusive option to develop and commercialize mRNA vaccine candidates against up to 10 infectious disease indications. As part of this collaboration, we are developing an HSV vaccine candidate.</w:t>
      </w:r>
    </w:p>
    <w:p>
      <w:pPr>
        <w:spacing w:after="0" w:line="171" w:lineRule="exact"/>
        <w:rPr>
          <w:sz w:val="20"/>
          <w:szCs w:val="20"/>
          <w:color w:val="auto"/>
        </w:rPr>
      </w:pPr>
    </w:p>
    <w:p>
      <w:pPr>
        <w:jc w:val="both"/>
        <w:ind w:left="660" w:hanging="328"/>
        <w:spacing w:after="0" w:line="262" w:lineRule="auto"/>
        <w:tabs>
          <w:tab w:leader="none" w:pos="655"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first-in-human, controlled, dose-escalation Phase 1 clinical trial (NCT05432583) evaluating the safety, tolerability and immunogenicity of BNT163, an HSV vaccine candidate for the prevention of genital lesions caused by HSV-2 and potentially HSV-1, is ongoing. Dose escalation Part A has been completed. Part B (safety and dose evaluation) has completed enrollment across sites in the United States.</w:t>
      </w:r>
    </w:p>
    <w:p>
      <w:pPr>
        <w:spacing w:after="0" w:line="176" w:lineRule="exact"/>
        <w:rPr>
          <w:rFonts w:ascii="Arial" w:cs="Arial" w:eastAsia="Arial" w:hAnsi="Arial"/>
          <w:sz w:val="18"/>
          <w:szCs w:val="18"/>
          <w:color w:val="auto"/>
        </w:rPr>
      </w:pPr>
    </w:p>
    <w:p>
      <w:pPr>
        <w:ind w:left="200" w:hanging="192"/>
        <w:spacing w:after="0"/>
        <w:tabs>
          <w:tab w:leader="none" w:pos="2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Tuberculosis Vaccine Program – BNT164</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have collaborated with the Bill and Melinda Gates Foundation since 2019 to develop vaccine candidates aimed at preventing tuberculosis infection and disease.</w:t>
      </w:r>
    </w:p>
    <w:p>
      <w:pPr>
        <w:spacing w:after="0" w:line="153" w:lineRule="exact"/>
        <w:rPr>
          <w:sz w:val="20"/>
          <w:szCs w:val="20"/>
          <w:color w:val="auto"/>
        </w:rPr>
      </w:pPr>
    </w:p>
    <w:p>
      <w:pPr>
        <w:jc w:val="both"/>
        <w:ind w:left="660" w:hanging="328"/>
        <w:spacing w:after="0" w:line="268" w:lineRule="auto"/>
        <w:tabs>
          <w:tab w:leader="none" w:pos="655" w:val="left"/>
        </w:tabs>
        <w:numPr>
          <w:ilvl w:val="1"/>
          <w:numId w:val="48"/>
        </w:numPr>
        <w:rPr>
          <w:rFonts w:ascii="Arial" w:cs="Arial" w:eastAsia="Arial" w:hAnsi="Arial"/>
          <w:sz w:val="18"/>
          <w:szCs w:val="18"/>
          <w:color w:val="auto"/>
        </w:rPr>
      </w:pPr>
      <w:r>
        <w:rPr>
          <w:rFonts w:ascii="Arial" w:cs="Arial" w:eastAsia="Arial" w:hAnsi="Arial"/>
          <w:sz w:val="18"/>
          <w:szCs w:val="18"/>
          <w:color w:val="auto"/>
        </w:rPr>
        <w:t>Two randomized, controlled, dose-finding Phase 1 clinical trials (NCT05537038, Germany and NCT05547464, Republic of South Africa) evaluating BNT164 are ongoing. Both clinical trials are designed to assess the safety, reactogenicity, and immunogenicity of mRNA vaccine candidates against tuberculosis. This program is run in partnership with the Bill &amp; Melinda Gates Foundation.</w:t>
      </w:r>
    </w:p>
    <w:p>
      <w:pPr>
        <w:spacing w:after="0" w:line="170" w:lineRule="exact"/>
        <w:rPr>
          <w:rFonts w:ascii="Arial" w:cs="Arial" w:eastAsia="Arial" w:hAnsi="Arial"/>
          <w:sz w:val="18"/>
          <w:szCs w:val="18"/>
          <w:color w:val="auto"/>
        </w:rPr>
      </w:pPr>
    </w:p>
    <w:p>
      <w:pPr>
        <w:ind w:left="200" w:hanging="192"/>
        <w:spacing w:after="0"/>
        <w:tabs>
          <w:tab w:leader="none" w:pos="2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Malaria Vaccine Program – BNT165</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Malaria program aims to develop a well-tolerated and highly effective mRNA vaccine with durable immunity to prevent blood-stage malaria infection, thereby reducing morbidity and mortality as well as onward transmission. We plan to assess several vaccine candidates, featuring known targets such as circumsporozoite protein, conserved, immunogenic segments of liver stage-expressed proteins as well as other antigens.</w:t>
      </w:r>
    </w:p>
    <w:p>
      <w:pPr>
        <w:spacing w:after="0" w:line="176" w:lineRule="exact"/>
        <w:rPr>
          <w:sz w:val="20"/>
          <w:szCs w:val="20"/>
          <w:color w:val="auto"/>
        </w:rPr>
      </w:pPr>
    </w:p>
    <w:p>
      <w:pPr>
        <w:ind w:left="660" w:right="20" w:hanging="328"/>
        <w:spacing w:after="0" w:line="287" w:lineRule="auto"/>
        <w:tabs>
          <w:tab w:leader="none" w:pos="655"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first-in-human Phase 1 clinical trial (NCT05581641) to evaluate the safety, tolerability and exploratory immunogenicity of the vaccine candidate BNT165b1, the first candidate from our BNT165 program, is fully enrolled and follow-up is ongoing.</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randomized, dose escalation Phase 1/2 trial (NCT06069544) to evaluate the safety, tolerability, immunogenicity and efficacy of a second investigational RNA-based vaccine candidate in a controlled human malaria infection model is recruiting.</w:t>
      </w:r>
    </w:p>
    <w:p>
      <w:pPr>
        <w:spacing w:after="0" w:line="152" w:lineRule="exact"/>
        <w:rPr>
          <w:rFonts w:ascii="Arial" w:cs="Arial" w:eastAsia="Arial" w:hAnsi="Arial"/>
          <w:sz w:val="18"/>
          <w:szCs w:val="18"/>
          <w:color w:val="auto"/>
        </w:rPr>
      </w:pPr>
    </w:p>
    <w:p>
      <w:pPr>
        <w:ind w:left="200" w:hanging="192"/>
        <w:spacing w:after="0"/>
        <w:tabs>
          <w:tab w:leader="none" w:pos="2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Mpox Vaccine Program – BNT166</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fully-owned BNT166 program aims to deliver an effective, well-tolerated and accessible vaccine for the prevention of mpox. The multivalent BNT166 mRNA vaccine candidates encode surface antigens that are expressed in the two infectious forms of the monkeypox virus to efficiently fight virus replication and infectivity. The program is supported through a partnership with the CEPI to provide equitable access to the vaccine, if successfully developed and approved, in low- and middle-income countries.</w:t>
      </w:r>
    </w:p>
    <w:p>
      <w:pPr>
        <w:spacing w:after="0" w:line="176" w:lineRule="exact"/>
        <w:rPr>
          <w:sz w:val="20"/>
          <w:szCs w:val="20"/>
          <w:color w:val="auto"/>
        </w:rPr>
      </w:pPr>
    </w:p>
    <w:p>
      <w:pPr>
        <w:jc w:val="both"/>
        <w:ind w:left="660" w:hanging="328"/>
        <w:spacing w:after="0" w:line="268" w:lineRule="auto"/>
        <w:tabs>
          <w:tab w:leader="none" w:pos="655"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Phase 1/2 trial clinical trial (NCT05988203) evaluating the safety, tolerability, reactogenicity and immunogenicity of two mRNA-based multivalent vaccine candidates is ongoing. The trial aims to enroll 64 healthy participants with and without prior history of known or suspected smallpox vaccination.</w:t>
      </w:r>
    </w:p>
    <w:p>
      <w:pPr>
        <w:spacing w:after="0" w:line="170" w:lineRule="exact"/>
        <w:rPr>
          <w:rFonts w:ascii="Arial" w:cs="Arial" w:eastAsia="Arial" w:hAnsi="Arial"/>
          <w:sz w:val="18"/>
          <w:szCs w:val="18"/>
          <w:color w:val="auto"/>
        </w:rPr>
      </w:pPr>
    </w:p>
    <w:p>
      <w:pPr>
        <w:ind w:left="200" w:hanging="192"/>
        <w:spacing w:after="0"/>
        <w:tabs>
          <w:tab w:leader="none" w:pos="2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Shingles Vaccine Program – BNT167</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collaborating with Pfizer to develop the first mRNA-based vaccine candidate against shingles (also known as herpes zoster). While there are currently approved vaccines for shingles, the goal is to develop an mRNA vaccine candidate that potentially shows high efficacy and better tolerability and is more efficient to produce globally.</w:t>
      </w:r>
    </w:p>
    <w:p>
      <w:pPr>
        <w:spacing w:after="0" w:line="171" w:lineRule="exact"/>
        <w:rPr>
          <w:sz w:val="20"/>
          <w:szCs w:val="20"/>
          <w:color w:val="auto"/>
        </w:rPr>
      </w:pPr>
    </w:p>
    <w:p>
      <w:pPr>
        <w:ind w:left="660" w:hanging="328"/>
        <w:spacing w:after="0" w:line="28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randomized, controlled, dose-selection Phase 1/2 clinical trial (NCT05703607) to evaluate the safety, tolerability, and immunogenicity of BNT167 in up to 900 healthy volunteers 50 through 69 years of age is ongoing.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34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Bacterial Vaginosis – BNT331</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BioNTech R&amp;D (Austria) GmbH, a wholly owned subsidiary of BioNTech SE, is focused on developing novel anti-bacterial drugs to treat persistent bacterial infections. Its development programs are based on our proprietary LysinBuilder platform, which allows for the targeted development of precision anti-bacterials. Our development pipeline focuses on chronic bacterial infections where antibiotics fail to cure or destroy the natural microbiomes.</w:t>
      </w:r>
    </w:p>
    <w:p>
      <w:pPr>
        <w:spacing w:after="0" w:line="176" w:lineRule="exact"/>
        <w:rPr>
          <w:sz w:val="20"/>
          <w:szCs w:val="20"/>
          <w:color w:val="auto"/>
        </w:rPr>
      </w:pPr>
    </w:p>
    <w:p>
      <w:pPr>
        <w:jc w:val="both"/>
        <w:ind w:left="660" w:right="20" w:hanging="328"/>
        <w:spacing w:after="0" w:line="268"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two-part, randomized, double-blind Phase 1 clinical trial (NCT06469164) has been initiated. The trial aims to assess the safety, tolerability, pharmacokinetics, and pharmacodynamics of BNT331 in healthy women and women diagnosed with bacterial vaginosis. It also aims to explore the efficacy of BNT331 in women diagnosed with bacterial vaginosis.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Financial Operations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unaudited interim condensed consolidated statements of profit or loss for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2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005A64"/>
              </w:rPr>
              <w:t>Three months ended</w:t>
            </w:r>
          </w:p>
        </w:tc>
        <w:tc>
          <w:tcPr>
            <w:tcW w:w="60" w:type="dxa"/>
            <w:vAlign w:val="bottom"/>
          </w:tcPr>
          <w:p>
            <w:pPr>
              <w:spacing w:after="0"/>
              <w:rPr>
                <w:sz w:val="17"/>
                <w:szCs w:val="17"/>
                <w:color w:val="auto"/>
              </w:rPr>
            </w:pPr>
          </w:p>
        </w:tc>
        <w:tc>
          <w:tcPr>
            <w:tcW w:w="2700" w:type="dxa"/>
            <w:vAlign w:val="bottom"/>
            <w:gridSpan w:val="5"/>
          </w:tcPr>
          <w:p>
            <w:pPr>
              <w:jc w:val="center"/>
              <w:spacing w:after="0"/>
              <w:rPr>
                <w:sz w:val="20"/>
                <w:szCs w:val="20"/>
                <w:color w:val="auto"/>
              </w:rPr>
            </w:pPr>
            <w:r>
              <w:rPr>
                <w:rFonts w:ascii="Arial" w:cs="Arial" w:eastAsia="Arial" w:hAnsi="Arial"/>
                <w:sz w:val="16"/>
                <w:szCs w:val="16"/>
                <w:b w:val="1"/>
                <w:bCs w:val="1"/>
                <w:color w:val="005A64"/>
              </w:rPr>
              <w:t>Six months ended</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gridSpan w:val="4"/>
          </w:tcPr>
          <w:p>
            <w:pPr>
              <w:jc w:val="center"/>
              <w:ind w:left="859"/>
              <w:spacing w:after="0"/>
              <w:rPr>
                <w:sz w:val="20"/>
                <w:szCs w:val="20"/>
                <w:color w:val="auto"/>
              </w:rPr>
            </w:pPr>
            <w:r>
              <w:rPr>
                <w:rFonts w:ascii="Arial" w:cs="Arial" w:eastAsia="Arial" w:hAnsi="Arial"/>
                <w:sz w:val="16"/>
                <w:szCs w:val="16"/>
                <w:b w:val="1"/>
                <w:bCs w:val="1"/>
                <w:color w:val="005A64"/>
              </w:rPr>
              <w:t>June 30,</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gridSpan w:val="4"/>
          </w:tcPr>
          <w:p>
            <w:pPr>
              <w:jc w:val="center"/>
              <w:ind w:left="859"/>
              <w:spacing w:after="0"/>
              <w:rPr>
                <w:sz w:val="20"/>
                <w:szCs w:val="20"/>
                <w:color w:val="auto"/>
              </w:rPr>
            </w:pPr>
            <w:r>
              <w:rPr>
                <w:rFonts w:ascii="Arial" w:cs="Arial" w:eastAsia="Arial" w:hAnsi="Arial"/>
                <w:sz w:val="16"/>
                <w:szCs w:val="16"/>
                <w:b w:val="1"/>
                <w:bCs w:val="1"/>
                <w:color w:val="005A64"/>
                <w:w w:val="99"/>
              </w:rPr>
              <w:t>June 30,</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5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Borders>
              <w:bottom w:val="single" w:sz="8" w:color="BECD32"/>
            </w:tcBorders>
            <w:gridSpan w:val="2"/>
          </w:tcPr>
          <w:p>
            <w:pPr>
              <w:spacing w:after="0"/>
              <w:rPr>
                <w:sz w:val="10"/>
                <w:szCs w:val="10"/>
                <w:color w:val="auto"/>
              </w:rPr>
            </w:pPr>
          </w:p>
        </w:tc>
        <w:tc>
          <w:tcPr>
            <w:tcW w:w="10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20" w:type="dxa"/>
            <w:vAlign w:val="bottom"/>
          </w:tcPr>
          <w:p>
            <w:pPr>
              <w:spacing w:after="0"/>
              <w:rPr>
                <w:sz w:val="10"/>
                <w:szCs w:val="10"/>
                <w:color w:val="auto"/>
              </w:rPr>
            </w:pPr>
          </w:p>
        </w:tc>
        <w:tc>
          <w:tcPr>
            <w:tcW w:w="1320" w:type="dxa"/>
            <w:vAlign w:val="bottom"/>
            <w:tcBorders>
              <w:bottom w:val="single" w:sz="8" w:color="BECD32"/>
            </w:tcBorders>
            <w:gridSpan w:val="2"/>
          </w:tcPr>
          <w:p>
            <w:pPr>
              <w:spacing w:after="0"/>
              <w:rPr>
                <w:sz w:val="10"/>
                <w:szCs w:val="10"/>
                <w:color w:val="auto"/>
              </w:rPr>
            </w:pPr>
          </w:p>
        </w:tc>
        <w:tc>
          <w:tcPr>
            <w:tcW w:w="12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29"/>
        </w:trPr>
        <w:tc>
          <w:tcPr>
            <w:tcW w:w="5440" w:type="dxa"/>
            <w:vAlign w:val="bottom"/>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i w:val="1"/>
                <w:iCs w:val="1"/>
                <w:color w:val="005A64"/>
              </w:rPr>
              <w:t>(in millions €, except per share data)</w:t>
            </w:r>
          </w:p>
        </w:tc>
        <w:tc>
          <w:tcPr>
            <w:tcW w:w="12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005A64"/>
            </w:tcBorders>
          </w:tcPr>
          <w:p>
            <w:pPr>
              <w:spacing w:after="0"/>
              <w:rPr>
                <w:sz w:val="21"/>
                <w:szCs w:val="21"/>
                <w:color w:val="auto"/>
              </w:rPr>
            </w:pPr>
          </w:p>
        </w:tc>
        <w:tc>
          <w:tcPr>
            <w:tcW w:w="94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120" w:type="dxa"/>
            <w:vAlign w:val="bottom"/>
            <w:tcBorders>
              <w:right w:val="single" w:sz="8" w:color="BECD32"/>
            </w:tcBorders>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12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005A64"/>
            </w:tcBorders>
          </w:tcPr>
          <w:p>
            <w:pPr>
              <w:spacing w:after="0"/>
              <w:rPr>
                <w:sz w:val="21"/>
                <w:szCs w:val="21"/>
                <w:color w:val="auto"/>
              </w:rPr>
            </w:pPr>
          </w:p>
        </w:tc>
        <w:tc>
          <w:tcPr>
            <w:tcW w:w="92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Revenues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128.7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167.7</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316.3</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1,444.7</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Cost of sales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(59.8)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(162.9)</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(118.9)</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(258.9)</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Research and development expenses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(584.6)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(373.4)</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(1,092.1)</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(707.4)</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Sales and marketing expenses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(18.1)</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(28.5)</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(30.3)</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 xml:space="preserve">General and administrative expenses </w:t>
            </w:r>
            <w:r>
              <w:rPr>
                <w:rFonts w:ascii="Arial" w:cs="Arial" w:eastAsia="Arial" w:hAnsi="Arial"/>
                <w:sz w:val="21"/>
                <w:szCs w:val="21"/>
                <w:color w:val="005A64"/>
                <w:vertAlign w:val="superscript"/>
              </w:rPr>
              <w:t>(1)</w:t>
            </w:r>
          </w:p>
        </w:tc>
        <w:tc>
          <w:tcPr>
            <w:tcW w:w="12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(170.9)</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7FACB1"/>
            </w:tcBorders>
          </w:tcPr>
          <w:p>
            <w:pPr>
              <w:spacing w:after="0"/>
              <w:rPr>
                <w:sz w:val="21"/>
                <w:szCs w:val="21"/>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(119.8)</w:t>
            </w:r>
          </w:p>
        </w:tc>
        <w:tc>
          <w:tcPr>
            <w:tcW w:w="120" w:type="dxa"/>
            <w:vAlign w:val="bottom"/>
            <w:tcBorders>
              <w:right w:val="single" w:sz="8" w:color="BECD32"/>
            </w:tcBorders>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(287.9)</w:t>
            </w:r>
          </w:p>
        </w:tc>
        <w:tc>
          <w:tcPr>
            <w:tcW w:w="12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7FACB1"/>
            </w:tcBorders>
          </w:tcPr>
          <w:p>
            <w:pPr>
              <w:spacing w:after="0"/>
              <w:rPr>
                <w:sz w:val="21"/>
                <w:szCs w:val="21"/>
                <w:color w:val="auto"/>
              </w:rPr>
            </w:pPr>
          </w:p>
        </w:tc>
        <w:tc>
          <w:tcPr>
            <w:tcW w:w="9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(231.6)</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7FACB1"/>
            </w:tcBorders>
          </w:tcPr>
          <w:p>
            <w:pPr>
              <w:ind w:left="20"/>
              <w:spacing w:after="0" w:line="237" w:lineRule="exact"/>
              <w:rPr>
                <w:sz w:val="20"/>
                <w:szCs w:val="20"/>
                <w:color w:val="auto"/>
              </w:rPr>
            </w:pPr>
            <w:r>
              <w:rPr>
                <w:rFonts w:ascii="Arial" w:cs="Arial" w:eastAsia="Arial" w:hAnsi="Arial"/>
                <w:sz w:val="16"/>
                <w:szCs w:val="16"/>
                <w:color w:val="005A64"/>
              </w:rPr>
              <w:t xml:space="preserve">Other operating expenses </w:t>
            </w:r>
            <w:r>
              <w:rPr>
                <w:rFonts w:ascii="Arial" w:cs="Arial" w:eastAsia="Arial" w:hAnsi="Arial"/>
                <w:sz w:val="21"/>
                <w:szCs w:val="21"/>
                <w:color w:val="005A64"/>
                <w:vertAlign w:val="superscript"/>
              </w:rPr>
              <w:t>(1)</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(290.8)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(77.1)</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(314.7)</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(202.8)</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operating income</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24.1</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20.3</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77.4</w:t>
            </w:r>
          </w:p>
        </w:tc>
        <w:tc>
          <w:tcPr>
            <w:tcW w:w="0" w:type="dxa"/>
            <w:vAlign w:val="bottom"/>
          </w:tcPr>
          <w:p>
            <w:pPr>
              <w:spacing w:after="0"/>
              <w:rPr>
                <w:sz w:val="1"/>
                <w:szCs w:val="1"/>
                <w:color w:val="auto"/>
              </w:rPr>
            </w:pPr>
          </w:p>
        </w:tc>
      </w:tr>
      <w:tr>
        <w:trPr>
          <w:trHeight w:val="239"/>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Operating income / (loss)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(966.2)</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005A64"/>
            </w:tcBorders>
          </w:tcPr>
          <w:p>
            <w:pPr>
              <w:spacing w:after="0"/>
              <w:rPr>
                <w:sz w:val="20"/>
                <w:szCs w:val="20"/>
                <w:color w:val="auto"/>
              </w:rPr>
            </w:pPr>
          </w:p>
        </w:tc>
        <w:tc>
          <w:tcPr>
            <w:tcW w:w="9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(563.3)</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(1,473.4)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005A64"/>
            </w:tcBorders>
          </w:tcPr>
          <w:p>
            <w:pPr>
              <w:spacing w:after="0"/>
              <w:rPr>
                <w:sz w:val="20"/>
                <w:szCs w:val="20"/>
                <w:color w:val="auto"/>
              </w:rPr>
            </w:pPr>
          </w:p>
        </w:tc>
        <w:tc>
          <w:tcPr>
            <w:tcW w:w="9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91.1</w:t>
            </w:r>
          </w:p>
        </w:tc>
        <w:tc>
          <w:tcPr>
            <w:tcW w:w="0" w:type="dxa"/>
            <w:vAlign w:val="bottom"/>
          </w:tcPr>
          <w:p>
            <w:pPr>
              <w:spacing w:after="0"/>
              <w:rPr>
                <w:sz w:val="1"/>
                <w:szCs w:val="1"/>
                <w:color w:val="auto"/>
              </w:rPr>
            </w:pPr>
          </w:p>
        </w:tc>
      </w:tr>
      <w:tr>
        <w:trPr>
          <w:trHeight w:val="234"/>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Finance income</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167.7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152.4</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345.3</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208.9</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Finance expenses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(1.3)</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(9.5)</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(4.5)</w:t>
            </w:r>
          </w:p>
        </w:tc>
        <w:tc>
          <w:tcPr>
            <w:tcW w:w="0" w:type="dxa"/>
            <w:vAlign w:val="bottom"/>
          </w:tcPr>
          <w:p>
            <w:pPr>
              <w:spacing w:after="0"/>
              <w:rPr>
                <w:sz w:val="1"/>
                <w:szCs w:val="1"/>
                <w:color w:val="auto"/>
              </w:rPr>
            </w:pPr>
          </w:p>
        </w:tc>
      </w:tr>
      <w:tr>
        <w:trPr>
          <w:trHeight w:val="239"/>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Profit / (Loss) before tax</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(805.8)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005A64"/>
            </w:tcBorders>
          </w:tcPr>
          <w:p>
            <w:pPr>
              <w:spacing w:after="0"/>
              <w:rPr>
                <w:sz w:val="20"/>
                <w:szCs w:val="20"/>
                <w:color w:val="auto"/>
              </w:rPr>
            </w:pPr>
          </w:p>
        </w:tc>
        <w:tc>
          <w:tcPr>
            <w:tcW w:w="9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(412.2)</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(1,137.6)</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005A64"/>
            </w:tcBorders>
          </w:tcPr>
          <w:p>
            <w:pPr>
              <w:spacing w:after="0"/>
              <w:rPr>
                <w:sz w:val="20"/>
                <w:szCs w:val="20"/>
                <w:color w:val="auto"/>
              </w:rPr>
            </w:pPr>
          </w:p>
        </w:tc>
        <w:tc>
          <w:tcPr>
            <w:tcW w:w="9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295.5</w:t>
            </w:r>
          </w:p>
        </w:tc>
        <w:tc>
          <w:tcPr>
            <w:tcW w:w="0" w:type="dxa"/>
            <w:vAlign w:val="bottom"/>
          </w:tcPr>
          <w:p>
            <w:pPr>
              <w:spacing w:after="0"/>
              <w:rPr>
                <w:sz w:val="1"/>
                <w:szCs w:val="1"/>
                <w:color w:val="auto"/>
              </w:rPr>
            </w:pPr>
          </w:p>
        </w:tc>
      </w:tr>
      <w:tr>
        <w:trPr>
          <w:trHeight w:val="234"/>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Income taxes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(2.0)</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221.8</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14.7</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16.3</w:t>
            </w:r>
          </w:p>
        </w:tc>
        <w:tc>
          <w:tcPr>
            <w:tcW w:w="0" w:type="dxa"/>
            <w:vAlign w:val="bottom"/>
          </w:tcPr>
          <w:p>
            <w:pPr>
              <w:spacing w:after="0"/>
              <w:rPr>
                <w:sz w:val="1"/>
                <w:szCs w:val="1"/>
                <w:color w:val="auto"/>
              </w:rPr>
            </w:pPr>
          </w:p>
        </w:tc>
      </w:tr>
      <w:tr>
        <w:trPr>
          <w:trHeight w:val="239"/>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Profit / (Loss) for the period</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(807.8)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005A64"/>
            </w:tcBorders>
          </w:tcPr>
          <w:p>
            <w:pPr>
              <w:spacing w:after="0"/>
              <w:rPr>
                <w:sz w:val="20"/>
                <w:szCs w:val="20"/>
                <w:color w:val="auto"/>
              </w:rPr>
            </w:pPr>
          </w:p>
        </w:tc>
        <w:tc>
          <w:tcPr>
            <w:tcW w:w="9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(190.4)</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(1,122.9)</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005A64"/>
            </w:tcBorders>
          </w:tcPr>
          <w:p>
            <w:pPr>
              <w:spacing w:after="0"/>
              <w:rPr>
                <w:sz w:val="20"/>
                <w:szCs w:val="20"/>
                <w:color w:val="auto"/>
              </w:rPr>
            </w:pPr>
          </w:p>
        </w:tc>
        <w:tc>
          <w:tcPr>
            <w:tcW w:w="9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311.8</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b w:val="1"/>
                <w:bCs w:val="1"/>
                <w:color w:val="3C9673"/>
              </w:rPr>
              <w:t>Earnings / (Loss) per share</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20" w:type="dxa"/>
            <w:vAlign w:val="bottom"/>
            <w:tcBorders>
              <w:bottom w:val="single" w:sz="8" w:color="7FACB1"/>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Basic earnings / (loss) for the period per share</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(3.36)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(0.79)</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(4.67)</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7FACB1"/>
            </w:tcBorders>
          </w:tcPr>
          <w:p>
            <w:pPr>
              <w:spacing w:after="0"/>
              <w:rPr>
                <w:sz w:val="20"/>
                <w:szCs w:val="20"/>
                <w:color w:val="auto"/>
              </w:rPr>
            </w:pPr>
          </w:p>
        </w:tc>
        <w:tc>
          <w:tcPr>
            <w:tcW w:w="9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1.29</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color w:val="005A64"/>
              </w:rPr>
              <w:t>Diluted earnings / (loss) for the period per share</w:t>
            </w:r>
          </w:p>
        </w:tc>
        <w:tc>
          <w:tcPr>
            <w:tcW w:w="120" w:type="dxa"/>
            <w:vAlign w:val="bottom"/>
            <w:tcBorders>
              <w:right w:val="single" w:sz="8" w:color="BECD32"/>
            </w:tcBorders>
          </w:tcPr>
          <w:p>
            <w:pPr>
              <w:spacing w:after="0"/>
              <w:rPr>
                <w:sz w:val="20"/>
                <w:szCs w:val="20"/>
                <w:color w:val="auto"/>
              </w:rPr>
            </w:pPr>
          </w:p>
        </w:tc>
        <w:tc>
          <w:tcPr>
            <w:tcW w:w="134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color w:val="005A64"/>
              </w:rPr>
              <w:t>(3.36)</w:t>
            </w:r>
          </w:p>
        </w:tc>
        <w:tc>
          <w:tcPr>
            <w:tcW w:w="10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005A64"/>
            </w:tcBorders>
          </w:tcPr>
          <w:p>
            <w:pPr>
              <w:spacing w:after="0"/>
              <w:rPr>
                <w:sz w:val="20"/>
                <w:szCs w:val="20"/>
                <w:color w:val="auto"/>
              </w:rPr>
            </w:pPr>
          </w:p>
        </w:tc>
        <w:tc>
          <w:tcPr>
            <w:tcW w:w="940" w:type="dxa"/>
            <w:vAlign w:val="bottom"/>
            <w:tcBorders>
              <w:bottom w:val="single" w:sz="8" w:color="005A64"/>
            </w:tcBorders>
          </w:tcPr>
          <w:p>
            <w:pPr>
              <w:jc w:val="right"/>
              <w:spacing w:after="0"/>
              <w:rPr>
                <w:sz w:val="20"/>
                <w:szCs w:val="20"/>
                <w:color w:val="auto"/>
              </w:rPr>
            </w:pPr>
            <w:r>
              <w:rPr>
                <w:rFonts w:ascii="Arial" w:cs="Arial" w:eastAsia="Arial" w:hAnsi="Arial"/>
                <w:sz w:val="16"/>
                <w:szCs w:val="16"/>
                <w:color w:val="005A64"/>
              </w:rPr>
              <w:t>(0.79)</w:t>
            </w:r>
          </w:p>
        </w:tc>
        <w:tc>
          <w:tcPr>
            <w:tcW w:w="120" w:type="dxa"/>
            <w:vAlign w:val="bottom"/>
            <w:tcBorders>
              <w:right w:val="single" w:sz="8" w:color="BECD32"/>
            </w:tcBorders>
          </w:tcPr>
          <w:p>
            <w:pPr>
              <w:spacing w:after="0"/>
              <w:rPr>
                <w:sz w:val="20"/>
                <w:szCs w:val="20"/>
                <w:color w:val="auto"/>
              </w:rPr>
            </w:pPr>
          </w:p>
        </w:tc>
        <w:tc>
          <w:tcPr>
            <w:tcW w:w="132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color w:val="005A64"/>
              </w:rPr>
              <w:t>(4.67)</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005A64"/>
            </w:tcBorders>
          </w:tcPr>
          <w:p>
            <w:pPr>
              <w:spacing w:after="0"/>
              <w:rPr>
                <w:sz w:val="20"/>
                <w:szCs w:val="20"/>
                <w:color w:val="auto"/>
              </w:rPr>
            </w:pPr>
          </w:p>
        </w:tc>
        <w:tc>
          <w:tcPr>
            <w:tcW w:w="920" w:type="dxa"/>
            <w:vAlign w:val="bottom"/>
            <w:tcBorders>
              <w:bottom w:val="single" w:sz="8" w:color="005A64"/>
            </w:tcBorders>
          </w:tcPr>
          <w:p>
            <w:pPr>
              <w:jc w:val="right"/>
              <w:spacing w:after="0"/>
              <w:rPr>
                <w:sz w:val="20"/>
                <w:szCs w:val="20"/>
                <w:color w:val="auto"/>
              </w:rPr>
            </w:pPr>
            <w:r>
              <w:rPr>
                <w:rFonts w:ascii="Arial" w:cs="Arial" w:eastAsia="Arial" w:hAnsi="Arial"/>
                <w:sz w:val="16"/>
                <w:szCs w:val="16"/>
                <w:color w:val="005A64"/>
              </w:rPr>
              <w:t>1.28</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80" w:hanging="272"/>
        <w:spacing w:after="0" w:line="227" w:lineRule="auto"/>
        <w:tabs>
          <w:tab w:leader="none" w:pos="352" w:val="left"/>
        </w:tabs>
        <w:numPr>
          <w:ilvl w:val="0"/>
          <w:numId w:val="53"/>
        </w:numPr>
        <w:rPr>
          <w:rFonts w:ascii="Arial" w:cs="Arial" w:eastAsia="Arial" w:hAnsi="Arial"/>
          <w:sz w:val="21"/>
          <w:szCs w:val="21"/>
          <w:color w:val="005A64"/>
          <w:vertAlign w:val="superscript"/>
        </w:rPr>
      </w:pPr>
      <w:r>
        <w:rPr>
          <w:rFonts w:ascii="Arial" w:cs="Arial" w:eastAsia="Arial" w:hAnsi="Arial"/>
          <w:sz w:val="16"/>
          <w:szCs w:val="16"/>
          <w:color w:val="005A64"/>
        </w:rPr>
        <w:t>Adjustments to prior-year figures due to change in functional allocation of general and administrative expenses and other operating expenses (please see Note 4.2 to the unaudited interim condensed consolidated financial statements included elsewhere in this Quarterly Report).</w:t>
      </w:r>
    </w:p>
    <w:p>
      <w:pPr>
        <w:spacing w:after="0" w:line="20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Important financial and operating terms and concepts are described in Item 5 of our Annual Report on Form 20-F as of and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341"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5160"/>
        <w:spacing w:after="0" w:line="412" w:lineRule="auto"/>
        <w:rPr>
          <w:sz w:val="20"/>
          <w:szCs w:val="20"/>
          <w:color w:val="auto"/>
        </w:rPr>
      </w:pPr>
      <w:r>
        <w:rPr>
          <w:rFonts w:ascii="Arial" w:cs="Arial" w:eastAsia="Arial" w:hAnsi="Arial"/>
          <w:sz w:val="18"/>
          <w:szCs w:val="18"/>
          <w:b w:val="1"/>
          <w:bCs w:val="1"/>
          <w:color w:val="005A64"/>
        </w:rPr>
        <w:t xml:space="preserve">Comparison of the three and six months ended June 30, 2024 and 2023 </w:t>
      </w:r>
      <w:r>
        <w:rPr>
          <w:rFonts w:ascii="Arial" w:cs="Arial" w:eastAsia="Arial" w:hAnsi="Arial"/>
          <w:sz w:val="18"/>
          <w:szCs w:val="18"/>
          <w:color w:val="005A64"/>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2343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005A64"/>
              </w:rPr>
              <w:t>Three months ended</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4"/>
          </w:tcPr>
          <w:p>
            <w:pPr>
              <w:jc w:val="center"/>
              <w:ind w:left="479"/>
              <w:spacing w:after="0"/>
              <w:rPr>
                <w:sz w:val="20"/>
                <w:szCs w:val="20"/>
                <w:color w:val="auto"/>
              </w:rPr>
            </w:pPr>
            <w:r>
              <w:rPr>
                <w:rFonts w:ascii="Arial" w:cs="Arial" w:eastAsia="Arial" w:hAnsi="Arial"/>
                <w:sz w:val="16"/>
                <w:szCs w:val="16"/>
                <w:b w:val="1"/>
                <w:bCs w:val="1"/>
                <w:color w:val="005A64"/>
              </w:rPr>
              <w:t>June 30,</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3"/>
          </w:tcPr>
          <w:p>
            <w:pPr>
              <w:ind w:left="1060"/>
              <w:spacing w:after="0"/>
              <w:rPr>
                <w:sz w:val="20"/>
                <w:szCs w:val="20"/>
                <w:color w:val="auto"/>
              </w:rPr>
            </w:pPr>
            <w:r>
              <w:rPr>
                <w:rFonts w:ascii="Arial" w:cs="Arial" w:eastAsia="Arial" w:hAnsi="Arial"/>
                <w:sz w:val="16"/>
                <w:szCs w:val="16"/>
                <w:b w:val="1"/>
                <w:bCs w:val="1"/>
                <w:color w:val="005A64"/>
              </w:rPr>
              <w:t>Change</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5440" w:type="dxa"/>
            <w:vAlign w:val="bottom"/>
            <w:vMerge w:val="restart"/>
          </w:tcPr>
          <w:p>
            <w:pPr>
              <w:ind w:left="20"/>
              <w:spacing w:after="0"/>
              <w:rPr>
                <w:sz w:val="20"/>
                <w:szCs w:val="20"/>
                <w:color w:val="auto"/>
              </w:rPr>
            </w:pPr>
            <w:r>
              <w:rPr>
                <w:rFonts w:ascii="Arial" w:cs="Arial" w:eastAsia="Arial" w:hAnsi="Arial"/>
                <w:sz w:val="16"/>
                <w:szCs w:val="16"/>
                <w:i w:val="1"/>
                <w:iCs w:val="1"/>
                <w:color w:val="005A64"/>
              </w:rPr>
              <w:t>(in millions €)</w:t>
            </w:r>
          </w:p>
        </w:tc>
        <w:tc>
          <w:tcPr>
            <w:tcW w:w="100" w:type="dxa"/>
            <w:vAlign w:val="bottom"/>
            <w:vMerge w:val="restart"/>
          </w:tcPr>
          <w:p>
            <w:pPr>
              <w:spacing w:after="0"/>
              <w:rPr>
                <w:sz w:val="10"/>
                <w:szCs w:val="10"/>
                <w:color w:val="auto"/>
              </w:rPr>
            </w:pPr>
          </w:p>
        </w:tc>
        <w:tc>
          <w:tcPr>
            <w:tcW w:w="1360" w:type="dxa"/>
            <w:vAlign w:val="bottom"/>
            <w:tcBorders>
              <w:bottom w:val="single" w:sz="8" w:color="BECD32"/>
            </w:tcBorders>
            <w:gridSpan w:val="2"/>
          </w:tcPr>
          <w:p>
            <w:pPr>
              <w:spacing w:after="0"/>
              <w:rPr>
                <w:sz w:val="10"/>
                <w:szCs w:val="10"/>
                <w:color w:val="auto"/>
              </w:rPr>
            </w:pPr>
          </w:p>
        </w:tc>
        <w:tc>
          <w:tcPr>
            <w:tcW w:w="10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w:t>
            </w:r>
          </w:p>
        </w:tc>
        <w:tc>
          <w:tcPr>
            <w:tcW w:w="200" w:type="dxa"/>
            <w:vAlign w:val="bottom"/>
            <w:vMerge w:val="restart"/>
          </w:tcPr>
          <w:p>
            <w:pPr>
              <w:spacing w:after="0"/>
              <w:rPr>
                <w:sz w:val="10"/>
                <w:szCs w:val="10"/>
                <w:color w:val="auto"/>
              </w:rPr>
            </w:pPr>
          </w:p>
        </w:tc>
        <w:tc>
          <w:tcPr>
            <w:tcW w:w="560" w:type="dxa"/>
            <w:vAlign w:val="bottom"/>
            <w:vMerge w:val="restart"/>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w:t>
            </w:r>
          </w:p>
        </w:tc>
        <w:tc>
          <w:tcPr>
            <w:tcW w:w="0" w:type="dxa"/>
            <w:vAlign w:val="bottom"/>
          </w:tcPr>
          <w:p>
            <w:pPr>
              <w:spacing w:after="0"/>
              <w:rPr>
                <w:sz w:val="1"/>
                <w:szCs w:val="1"/>
                <w:color w:val="auto"/>
              </w:rPr>
            </w:pPr>
          </w:p>
        </w:tc>
      </w:tr>
      <w:tr>
        <w:trPr>
          <w:trHeight w:val="233"/>
        </w:trPr>
        <w:tc>
          <w:tcPr>
            <w:tcW w:w="5440" w:type="dxa"/>
            <w:vAlign w:val="bottom"/>
            <w:tcBorders>
              <w:bottom w:val="single" w:sz="8" w:color="005A64"/>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005A64"/>
            </w:tcBorders>
          </w:tcPr>
          <w:p>
            <w:pPr>
              <w:spacing w:after="0"/>
              <w:rPr>
                <w:sz w:val="20"/>
                <w:szCs w:val="20"/>
                <w:color w:val="auto"/>
              </w:rPr>
            </w:pPr>
          </w:p>
        </w:tc>
        <w:tc>
          <w:tcPr>
            <w:tcW w:w="560" w:type="dxa"/>
            <w:vAlign w:val="bottom"/>
            <w:tcBorders>
              <w:bottom w:val="single" w:sz="8" w:color="005A64"/>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Borders>
              <w:bottom w:val="single" w:sz="8" w:color="005A64"/>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560" w:type="dxa"/>
            <w:vAlign w:val="bottom"/>
            <w:tcBorders>
              <w:bottom w:val="single" w:sz="8" w:color="005A64"/>
            </w:tcBorders>
            <w:vMerge w:val="continue"/>
          </w:tcPr>
          <w:p>
            <w:pPr>
              <w:spacing w:after="0"/>
              <w:rPr>
                <w:sz w:val="20"/>
                <w:szCs w:val="20"/>
                <w:color w:val="auto"/>
              </w:rPr>
            </w:pPr>
          </w:p>
        </w:tc>
        <w:tc>
          <w:tcPr>
            <w:tcW w:w="680" w:type="dxa"/>
            <w:vAlign w:val="bottom"/>
            <w:tcBorders>
              <w:bottom w:val="single" w:sz="8" w:color="005A64"/>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COVID-19 vaccine revenues</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71.9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158.2</w:t>
            </w:r>
          </w:p>
        </w:tc>
        <w:tc>
          <w:tcPr>
            <w:tcW w:w="1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(86.3)</w:t>
            </w:r>
          </w:p>
        </w:tc>
        <w:tc>
          <w:tcPr>
            <w:tcW w:w="200" w:type="dxa"/>
            <w:vAlign w:val="bottom"/>
          </w:tcPr>
          <w:p>
            <w:pPr>
              <w:spacing w:after="0"/>
              <w:rPr>
                <w:sz w:val="20"/>
                <w:szCs w:val="20"/>
                <w:color w:val="auto"/>
              </w:rPr>
            </w:pPr>
          </w:p>
        </w:tc>
        <w:tc>
          <w:tcPr>
            <w:tcW w:w="560" w:type="dxa"/>
            <w:vAlign w:val="bottom"/>
            <w:tcBorders>
              <w:bottom w:val="single" w:sz="8" w:color="7FACB1"/>
            </w:tcBorders>
          </w:tcPr>
          <w:p>
            <w:pPr>
              <w:spacing w:after="0"/>
              <w:rPr>
                <w:sz w:val="20"/>
                <w:szCs w:val="2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(55)</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revenues</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56.8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9.5</w:t>
            </w:r>
          </w:p>
        </w:tc>
        <w:tc>
          <w:tcPr>
            <w:tcW w:w="1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47.3</w:t>
            </w:r>
          </w:p>
        </w:tc>
        <w:tc>
          <w:tcPr>
            <w:tcW w:w="200" w:type="dxa"/>
            <w:vAlign w:val="bottom"/>
          </w:tcPr>
          <w:p>
            <w:pPr>
              <w:spacing w:after="0"/>
              <w:rPr>
                <w:sz w:val="20"/>
                <w:szCs w:val="20"/>
                <w:color w:val="auto"/>
              </w:rPr>
            </w:pPr>
          </w:p>
        </w:tc>
        <w:tc>
          <w:tcPr>
            <w:tcW w:w="560" w:type="dxa"/>
            <w:vAlign w:val="bottom"/>
            <w:tcBorders>
              <w:bottom w:val="single" w:sz="8" w:color="7FACB1"/>
            </w:tcBorders>
          </w:tcPr>
          <w:p>
            <w:pPr>
              <w:spacing w:after="0"/>
              <w:rPr>
                <w:sz w:val="20"/>
                <w:szCs w:val="2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498</w:t>
            </w:r>
          </w:p>
        </w:tc>
        <w:tc>
          <w:tcPr>
            <w:tcW w:w="0" w:type="dxa"/>
            <w:vAlign w:val="bottom"/>
          </w:tcPr>
          <w:p>
            <w:pPr>
              <w:spacing w:after="0"/>
              <w:rPr>
                <w:sz w:val="1"/>
                <w:szCs w:val="1"/>
                <w:color w:val="auto"/>
              </w:rPr>
            </w:pPr>
          </w:p>
        </w:tc>
      </w:tr>
      <w:tr>
        <w:trPr>
          <w:trHeight w:val="239"/>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revenues</w:t>
            </w:r>
          </w:p>
        </w:tc>
        <w:tc>
          <w:tcPr>
            <w:tcW w:w="100" w:type="dxa"/>
            <w:vAlign w:val="bottom"/>
          </w:tcPr>
          <w:p>
            <w:pPr>
              <w:spacing w:after="0"/>
              <w:rPr>
                <w:sz w:val="20"/>
                <w:szCs w:val="20"/>
                <w:color w:val="auto"/>
              </w:rPr>
            </w:pPr>
          </w:p>
        </w:tc>
        <w:tc>
          <w:tcPr>
            <w:tcW w:w="1360" w:type="dxa"/>
            <w:vAlign w:val="bottom"/>
            <w:tcBorders>
              <w:left w:val="single" w:sz="8" w:color="BECD32"/>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128.7</w:t>
            </w:r>
          </w:p>
        </w:tc>
        <w:tc>
          <w:tcPr>
            <w:tcW w:w="10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005A64"/>
            </w:tcBorders>
          </w:tcPr>
          <w:p>
            <w:pPr>
              <w:spacing w:after="0"/>
              <w:rPr>
                <w:sz w:val="20"/>
                <w:szCs w:val="20"/>
                <w:color w:val="auto"/>
              </w:rPr>
            </w:pPr>
          </w:p>
        </w:tc>
        <w:tc>
          <w:tcPr>
            <w:tcW w:w="5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167.7</w:t>
            </w:r>
          </w:p>
        </w:tc>
        <w:tc>
          <w:tcPr>
            <w:tcW w:w="1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(39.0)</w:t>
            </w:r>
          </w:p>
        </w:tc>
        <w:tc>
          <w:tcPr>
            <w:tcW w:w="200" w:type="dxa"/>
            <w:vAlign w:val="bottom"/>
          </w:tcPr>
          <w:p>
            <w:pPr>
              <w:spacing w:after="0"/>
              <w:rPr>
                <w:sz w:val="20"/>
                <w:szCs w:val="20"/>
                <w:color w:val="auto"/>
              </w:rPr>
            </w:pPr>
          </w:p>
        </w:tc>
        <w:tc>
          <w:tcPr>
            <w:tcW w:w="560" w:type="dxa"/>
            <w:vAlign w:val="bottom"/>
            <w:tcBorders>
              <w:bottom w:val="single" w:sz="8" w:color="005A64"/>
            </w:tcBorders>
          </w:tcPr>
          <w:p>
            <w:pPr>
              <w:spacing w:after="0"/>
              <w:rPr>
                <w:sz w:val="20"/>
                <w:szCs w:val="20"/>
                <w:color w:val="auto"/>
              </w:rPr>
            </w:pPr>
          </w:p>
        </w:tc>
        <w:tc>
          <w:tcPr>
            <w:tcW w:w="6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(23)</w:t>
            </w:r>
          </w:p>
        </w:tc>
        <w:tc>
          <w:tcPr>
            <w:tcW w:w="0" w:type="dxa"/>
            <w:vAlign w:val="bottom"/>
          </w:tcPr>
          <w:p>
            <w:pPr>
              <w:spacing w:after="0"/>
              <w:rPr>
                <w:sz w:val="1"/>
                <w:szCs w:val="1"/>
                <w:color w:val="auto"/>
              </w:rPr>
            </w:pPr>
          </w:p>
        </w:tc>
      </w:tr>
      <w:tr>
        <w:trPr>
          <w:trHeight w:val="342"/>
        </w:trPr>
        <w:tc>
          <w:tcPr>
            <w:tcW w:w="5440" w:type="dxa"/>
            <w:vAlign w:val="bottom"/>
            <w:tcBorders>
              <w:bottom w:val="single" w:sz="8" w:color="BECD32"/>
            </w:tcBorders>
          </w:tcPr>
          <w:p>
            <w:pPr>
              <w:spacing w:after="0"/>
              <w:rPr>
                <w:sz w:val="24"/>
                <w:szCs w:val="24"/>
                <w:color w:val="auto"/>
              </w:rPr>
            </w:pPr>
          </w:p>
        </w:tc>
        <w:tc>
          <w:tcPr>
            <w:tcW w:w="100" w:type="dxa"/>
            <w:vAlign w:val="bottom"/>
            <w:tcBorders>
              <w:bottom w:val="single" w:sz="8" w:color="BECD32"/>
            </w:tcBorders>
          </w:tcPr>
          <w:p>
            <w:pPr>
              <w:spacing w:after="0"/>
              <w:rPr>
                <w:sz w:val="24"/>
                <w:szCs w:val="24"/>
                <w:color w:val="auto"/>
              </w:rPr>
            </w:pPr>
          </w:p>
        </w:tc>
        <w:tc>
          <w:tcPr>
            <w:tcW w:w="100" w:type="dxa"/>
            <w:vAlign w:val="bottom"/>
            <w:tcBorders>
              <w:bottom w:val="single" w:sz="8" w:color="BECD32"/>
            </w:tcBorders>
          </w:tcPr>
          <w:p>
            <w:pPr>
              <w:spacing w:after="0"/>
              <w:rPr>
                <w:sz w:val="24"/>
                <w:szCs w:val="24"/>
                <w:color w:val="auto"/>
              </w:rPr>
            </w:pPr>
          </w:p>
        </w:tc>
        <w:tc>
          <w:tcPr>
            <w:tcW w:w="2140" w:type="dxa"/>
            <w:vAlign w:val="bottom"/>
            <w:tcBorders>
              <w:bottom w:val="single" w:sz="8" w:color="BECD32"/>
            </w:tcBorders>
            <w:gridSpan w:val="4"/>
          </w:tcPr>
          <w:p>
            <w:pPr>
              <w:spacing w:after="0"/>
              <w:rPr>
                <w:sz w:val="24"/>
                <w:szCs w:val="24"/>
                <w:color w:val="auto"/>
              </w:rPr>
            </w:pPr>
          </w:p>
        </w:tc>
        <w:tc>
          <w:tcPr>
            <w:tcW w:w="560" w:type="dxa"/>
            <w:vAlign w:val="bottom"/>
            <w:tcBorders>
              <w:bottom w:val="single" w:sz="8" w:color="BECD32"/>
            </w:tcBorders>
          </w:tcPr>
          <w:p>
            <w:pPr>
              <w:spacing w:after="0"/>
              <w:rPr>
                <w:sz w:val="24"/>
                <w:szCs w:val="24"/>
                <w:color w:val="auto"/>
              </w:rPr>
            </w:pPr>
          </w:p>
        </w:tc>
        <w:tc>
          <w:tcPr>
            <w:tcW w:w="180" w:type="dxa"/>
            <w:vAlign w:val="bottom"/>
            <w:tcBorders>
              <w:bottom w:val="single" w:sz="8" w:color="BECD32"/>
            </w:tcBorders>
          </w:tcPr>
          <w:p>
            <w:pPr>
              <w:spacing w:after="0"/>
              <w:rPr>
                <w:sz w:val="24"/>
                <w:szCs w:val="24"/>
                <w:color w:val="auto"/>
              </w:rPr>
            </w:pPr>
          </w:p>
        </w:tc>
        <w:tc>
          <w:tcPr>
            <w:tcW w:w="1260" w:type="dxa"/>
            <w:vAlign w:val="bottom"/>
            <w:tcBorders>
              <w:bottom w:val="single" w:sz="8" w:color="BECD32"/>
            </w:tcBorders>
          </w:tcPr>
          <w:p>
            <w:pPr>
              <w:spacing w:after="0"/>
              <w:rPr>
                <w:sz w:val="24"/>
                <w:szCs w:val="24"/>
                <w:color w:val="auto"/>
              </w:rPr>
            </w:pPr>
          </w:p>
        </w:tc>
        <w:tc>
          <w:tcPr>
            <w:tcW w:w="200" w:type="dxa"/>
            <w:vAlign w:val="bottom"/>
            <w:tcBorders>
              <w:bottom w:val="single" w:sz="8" w:color="BECD32"/>
            </w:tcBorders>
          </w:tcPr>
          <w:p>
            <w:pPr>
              <w:spacing w:after="0"/>
              <w:rPr>
                <w:sz w:val="24"/>
                <w:szCs w:val="24"/>
                <w:color w:val="auto"/>
              </w:rPr>
            </w:pPr>
          </w:p>
        </w:tc>
        <w:tc>
          <w:tcPr>
            <w:tcW w:w="560" w:type="dxa"/>
            <w:vAlign w:val="bottom"/>
            <w:tcBorders>
              <w:bottom w:val="single" w:sz="8" w:color="BECD32"/>
            </w:tcBorders>
          </w:tcPr>
          <w:p>
            <w:pPr>
              <w:spacing w:after="0"/>
              <w:rPr>
                <w:sz w:val="24"/>
                <w:szCs w:val="24"/>
                <w:color w:val="auto"/>
              </w:rPr>
            </w:pPr>
          </w:p>
        </w:tc>
        <w:tc>
          <w:tcPr>
            <w:tcW w:w="680" w:type="dxa"/>
            <w:vAlign w:val="bottom"/>
            <w:tcBorders>
              <w:bottom w:val="single" w:sz="8" w:color="BECD32"/>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005A64"/>
              </w:rPr>
              <w:t>Six months ended</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4"/>
          </w:tcPr>
          <w:p>
            <w:pPr>
              <w:jc w:val="center"/>
              <w:ind w:left="479"/>
              <w:spacing w:after="0"/>
              <w:rPr>
                <w:sz w:val="20"/>
                <w:szCs w:val="20"/>
                <w:color w:val="auto"/>
              </w:rPr>
            </w:pPr>
            <w:r>
              <w:rPr>
                <w:rFonts w:ascii="Arial" w:cs="Arial" w:eastAsia="Arial" w:hAnsi="Arial"/>
                <w:sz w:val="16"/>
                <w:szCs w:val="16"/>
                <w:b w:val="1"/>
                <w:bCs w:val="1"/>
                <w:color w:val="005A64"/>
              </w:rPr>
              <w:t>June 30,</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3"/>
          </w:tcPr>
          <w:p>
            <w:pPr>
              <w:ind w:left="1060"/>
              <w:spacing w:after="0"/>
              <w:rPr>
                <w:sz w:val="20"/>
                <w:szCs w:val="20"/>
                <w:color w:val="auto"/>
              </w:rPr>
            </w:pPr>
            <w:r>
              <w:rPr>
                <w:rFonts w:ascii="Arial" w:cs="Arial" w:eastAsia="Arial" w:hAnsi="Arial"/>
                <w:sz w:val="16"/>
                <w:szCs w:val="16"/>
                <w:b w:val="1"/>
                <w:bCs w:val="1"/>
                <w:color w:val="005A64"/>
              </w:rPr>
              <w:t>Change</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5440" w:type="dxa"/>
            <w:vAlign w:val="bottom"/>
            <w:vMerge w:val="restart"/>
          </w:tcPr>
          <w:p>
            <w:pPr>
              <w:ind w:left="20"/>
              <w:spacing w:after="0"/>
              <w:rPr>
                <w:sz w:val="20"/>
                <w:szCs w:val="20"/>
                <w:color w:val="auto"/>
              </w:rPr>
            </w:pPr>
            <w:r>
              <w:rPr>
                <w:rFonts w:ascii="Arial" w:cs="Arial" w:eastAsia="Arial" w:hAnsi="Arial"/>
                <w:sz w:val="16"/>
                <w:szCs w:val="16"/>
                <w:i w:val="1"/>
                <w:iCs w:val="1"/>
                <w:color w:val="005A64"/>
              </w:rPr>
              <w:t>(in millions €)</w:t>
            </w:r>
          </w:p>
        </w:tc>
        <w:tc>
          <w:tcPr>
            <w:tcW w:w="100" w:type="dxa"/>
            <w:vAlign w:val="bottom"/>
            <w:vMerge w:val="restart"/>
          </w:tcPr>
          <w:p>
            <w:pPr>
              <w:spacing w:after="0"/>
              <w:rPr>
                <w:sz w:val="10"/>
                <w:szCs w:val="10"/>
                <w:color w:val="auto"/>
              </w:rPr>
            </w:pPr>
          </w:p>
        </w:tc>
        <w:tc>
          <w:tcPr>
            <w:tcW w:w="1360" w:type="dxa"/>
            <w:vAlign w:val="bottom"/>
            <w:tcBorders>
              <w:bottom w:val="single" w:sz="8" w:color="BECD32"/>
            </w:tcBorders>
            <w:gridSpan w:val="2"/>
          </w:tcPr>
          <w:p>
            <w:pPr>
              <w:spacing w:after="0"/>
              <w:rPr>
                <w:sz w:val="10"/>
                <w:szCs w:val="10"/>
                <w:color w:val="auto"/>
              </w:rPr>
            </w:pPr>
          </w:p>
        </w:tc>
        <w:tc>
          <w:tcPr>
            <w:tcW w:w="10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w:t>
            </w:r>
          </w:p>
        </w:tc>
        <w:tc>
          <w:tcPr>
            <w:tcW w:w="200" w:type="dxa"/>
            <w:vAlign w:val="bottom"/>
            <w:vMerge w:val="restart"/>
          </w:tcPr>
          <w:p>
            <w:pPr>
              <w:spacing w:after="0"/>
              <w:rPr>
                <w:sz w:val="10"/>
                <w:szCs w:val="10"/>
                <w:color w:val="auto"/>
              </w:rPr>
            </w:pPr>
          </w:p>
        </w:tc>
        <w:tc>
          <w:tcPr>
            <w:tcW w:w="560" w:type="dxa"/>
            <w:vAlign w:val="bottom"/>
            <w:vMerge w:val="restart"/>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w:t>
            </w:r>
          </w:p>
        </w:tc>
        <w:tc>
          <w:tcPr>
            <w:tcW w:w="0" w:type="dxa"/>
            <w:vAlign w:val="bottom"/>
          </w:tcPr>
          <w:p>
            <w:pPr>
              <w:spacing w:after="0"/>
              <w:rPr>
                <w:sz w:val="1"/>
                <w:szCs w:val="1"/>
                <w:color w:val="auto"/>
              </w:rPr>
            </w:pPr>
          </w:p>
        </w:tc>
      </w:tr>
      <w:tr>
        <w:trPr>
          <w:trHeight w:val="233"/>
        </w:trPr>
        <w:tc>
          <w:tcPr>
            <w:tcW w:w="5440" w:type="dxa"/>
            <w:vAlign w:val="bottom"/>
            <w:tcBorders>
              <w:bottom w:val="single" w:sz="8" w:color="005A64"/>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005A64"/>
            </w:tcBorders>
          </w:tcPr>
          <w:p>
            <w:pPr>
              <w:spacing w:after="0"/>
              <w:rPr>
                <w:sz w:val="20"/>
                <w:szCs w:val="20"/>
                <w:color w:val="auto"/>
              </w:rPr>
            </w:pPr>
          </w:p>
        </w:tc>
        <w:tc>
          <w:tcPr>
            <w:tcW w:w="560" w:type="dxa"/>
            <w:vAlign w:val="bottom"/>
            <w:tcBorders>
              <w:bottom w:val="single" w:sz="8" w:color="005A64"/>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Borders>
              <w:bottom w:val="single" w:sz="8" w:color="005A64"/>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560" w:type="dxa"/>
            <w:vAlign w:val="bottom"/>
            <w:tcBorders>
              <w:bottom w:val="single" w:sz="8" w:color="005A64"/>
            </w:tcBorders>
            <w:vMerge w:val="continue"/>
          </w:tcPr>
          <w:p>
            <w:pPr>
              <w:spacing w:after="0"/>
              <w:rPr>
                <w:sz w:val="20"/>
                <w:szCs w:val="20"/>
                <w:color w:val="auto"/>
              </w:rPr>
            </w:pPr>
          </w:p>
        </w:tc>
        <w:tc>
          <w:tcPr>
            <w:tcW w:w="680" w:type="dxa"/>
            <w:vAlign w:val="bottom"/>
            <w:tcBorders>
              <w:bottom w:val="single" w:sz="8" w:color="005A64"/>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COVID-19 vaccine revenues</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196.1</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w w:val="97"/>
              </w:rPr>
              <w:t>1,421.7</w:t>
            </w:r>
          </w:p>
        </w:tc>
        <w:tc>
          <w:tcPr>
            <w:tcW w:w="1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(1,225.6)</w:t>
            </w:r>
          </w:p>
        </w:tc>
        <w:tc>
          <w:tcPr>
            <w:tcW w:w="200" w:type="dxa"/>
            <w:vAlign w:val="bottom"/>
          </w:tcPr>
          <w:p>
            <w:pPr>
              <w:spacing w:after="0"/>
              <w:rPr>
                <w:sz w:val="20"/>
                <w:szCs w:val="20"/>
                <w:color w:val="auto"/>
              </w:rPr>
            </w:pPr>
          </w:p>
        </w:tc>
        <w:tc>
          <w:tcPr>
            <w:tcW w:w="560" w:type="dxa"/>
            <w:vAlign w:val="bottom"/>
            <w:tcBorders>
              <w:bottom w:val="single" w:sz="8" w:color="7FACB1"/>
            </w:tcBorders>
          </w:tcPr>
          <w:p>
            <w:pPr>
              <w:spacing w:after="0"/>
              <w:rPr>
                <w:sz w:val="20"/>
                <w:szCs w:val="2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(86)</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revenues</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120.2</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23.0</w:t>
            </w:r>
          </w:p>
        </w:tc>
        <w:tc>
          <w:tcPr>
            <w:tcW w:w="1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97.2</w:t>
            </w:r>
          </w:p>
        </w:tc>
        <w:tc>
          <w:tcPr>
            <w:tcW w:w="200" w:type="dxa"/>
            <w:vAlign w:val="bottom"/>
          </w:tcPr>
          <w:p>
            <w:pPr>
              <w:spacing w:after="0"/>
              <w:rPr>
                <w:sz w:val="20"/>
                <w:szCs w:val="20"/>
                <w:color w:val="auto"/>
              </w:rPr>
            </w:pPr>
          </w:p>
        </w:tc>
        <w:tc>
          <w:tcPr>
            <w:tcW w:w="560" w:type="dxa"/>
            <w:vAlign w:val="bottom"/>
            <w:tcBorders>
              <w:bottom w:val="single" w:sz="8" w:color="7FACB1"/>
            </w:tcBorders>
          </w:tcPr>
          <w:p>
            <w:pPr>
              <w:spacing w:after="0"/>
              <w:rPr>
                <w:sz w:val="20"/>
                <w:szCs w:val="2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423</w:t>
            </w:r>
          </w:p>
        </w:tc>
        <w:tc>
          <w:tcPr>
            <w:tcW w:w="0" w:type="dxa"/>
            <w:vAlign w:val="bottom"/>
          </w:tcPr>
          <w:p>
            <w:pPr>
              <w:spacing w:after="0"/>
              <w:rPr>
                <w:sz w:val="1"/>
                <w:szCs w:val="1"/>
                <w:color w:val="auto"/>
              </w:rPr>
            </w:pPr>
          </w:p>
        </w:tc>
      </w:tr>
      <w:tr>
        <w:trPr>
          <w:trHeight w:val="239"/>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revenues</w:t>
            </w:r>
          </w:p>
        </w:tc>
        <w:tc>
          <w:tcPr>
            <w:tcW w:w="100" w:type="dxa"/>
            <w:vAlign w:val="bottom"/>
          </w:tcPr>
          <w:p>
            <w:pPr>
              <w:spacing w:after="0"/>
              <w:rPr>
                <w:sz w:val="20"/>
                <w:szCs w:val="20"/>
                <w:color w:val="auto"/>
              </w:rPr>
            </w:pPr>
          </w:p>
        </w:tc>
        <w:tc>
          <w:tcPr>
            <w:tcW w:w="1360" w:type="dxa"/>
            <w:vAlign w:val="bottom"/>
            <w:tcBorders>
              <w:left w:val="single" w:sz="8" w:color="BECD32"/>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316.3</w:t>
            </w:r>
          </w:p>
        </w:tc>
        <w:tc>
          <w:tcPr>
            <w:tcW w:w="10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005A64"/>
            </w:tcBorders>
          </w:tcPr>
          <w:p>
            <w:pPr>
              <w:spacing w:after="0"/>
              <w:rPr>
                <w:sz w:val="20"/>
                <w:szCs w:val="20"/>
                <w:color w:val="auto"/>
              </w:rPr>
            </w:pPr>
          </w:p>
        </w:tc>
        <w:tc>
          <w:tcPr>
            <w:tcW w:w="5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w w:val="97"/>
              </w:rPr>
              <w:t>1,444.7</w:t>
            </w:r>
          </w:p>
        </w:tc>
        <w:tc>
          <w:tcPr>
            <w:tcW w:w="1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(1,128.4)</w:t>
            </w:r>
          </w:p>
        </w:tc>
        <w:tc>
          <w:tcPr>
            <w:tcW w:w="200" w:type="dxa"/>
            <w:vAlign w:val="bottom"/>
          </w:tcPr>
          <w:p>
            <w:pPr>
              <w:spacing w:after="0"/>
              <w:rPr>
                <w:sz w:val="20"/>
                <w:szCs w:val="20"/>
                <w:color w:val="auto"/>
              </w:rPr>
            </w:pPr>
          </w:p>
        </w:tc>
        <w:tc>
          <w:tcPr>
            <w:tcW w:w="560" w:type="dxa"/>
            <w:vAlign w:val="bottom"/>
            <w:tcBorders>
              <w:bottom w:val="single" w:sz="8" w:color="005A64"/>
            </w:tcBorders>
          </w:tcPr>
          <w:p>
            <w:pPr>
              <w:spacing w:after="0"/>
              <w:rPr>
                <w:sz w:val="20"/>
                <w:szCs w:val="20"/>
                <w:color w:val="auto"/>
              </w:rPr>
            </w:pPr>
          </w:p>
        </w:tc>
        <w:tc>
          <w:tcPr>
            <w:tcW w:w="6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(78)</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Vaccine Revenues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COVID-19 vaccine revenues decreased by €86.3 million, or 55%, from €158.2 million during the three months ended June 30, 2023, to €71.9 million during the three months ended June 30, 2024, and decreased by €1,225.6 million, or 86%, from €1,421.7 million during the six months ended June 30, 2023, to €196.1 million during the six months ended June 30, 2024, in line with a lower COVID-19 vaccine market demand. Our COVID-19 vaccine revenues are subject to seasonal effects in fall / winter of the northern hemisphere.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three and six months ended June 30, 2024, our other revenues were mainly derived from a pandemic preparedness contract with the German government effectively supplemented in the first quarter of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05A64"/>
        </w:rPr>
        <w:t>Cost of Sales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cost of sales decreased by €103.1 million, or 63%, from € 162.9 million during the three months ended June 30, 2023, to €59.8 million during the three months ended June 30, 2024, and decreased by €140.0 million, or 54%, from €258.9 million during the six months ended June 30, 2023 to €118.9 million during the six months ended June 30, 2024. The change was mainly due to recognizing lower cost of sales from our decreased COVID-19 vaccine sales. In addition, cost of sales was impacted by expenses arising from inventory write-downs to net realizable value amounting to €27.6 million and € 63.6 million during the three and six months ended June 30, 2024, respectively, compared to €39.6 million and €49.9 million during the three and six months ended June 30, 2023, respectively (adjustments to prior-year figures relate to reclassifications).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005A64"/>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2343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4"/>
          </w:tcPr>
          <w:p>
            <w:pPr>
              <w:jc w:val="center"/>
              <w:ind w:left="359"/>
              <w:spacing w:after="0"/>
              <w:rPr>
                <w:sz w:val="20"/>
                <w:szCs w:val="20"/>
                <w:color w:val="auto"/>
              </w:rPr>
            </w:pPr>
            <w:r>
              <w:rPr>
                <w:rFonts w:ascii="Arial" w:cs="Arial" w:eastAsia="Arial" w:hAnsi="Arial"/>
                <w:sz w:val="16"/>
                <w:szCs w:val="16"/>
                <w:b w:val="1"/>
                <w:bCs w:val="1"/>
                <w:color w:val="005A64"/>
              </w:rPr>
              <w:t>Three months ended</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005A64"/>
                <w:w w:val="99"/>
              </w:rPr>
              <w:t>June 30,</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3"/>
          </w:tcPr>
          <w:p>
            <w:pPr>
              <w:ind w:left="1060"/>
              <w:spacing w:after="0"/>
              <w:rPr>
                <w:sz w:val="20"/>
                <w:szCs w:val="20"/>
                <w:color w:val="auto"/>
              </w:rPr>
            </w:pPr>
            <w:r>
              <w:rPr>
                <w:rFonts w:ascii="Arial" w:cs="Arial" w:eastAsia="Arial" w:hAnsi="Arial"/>
                <w:sz w:val="16"/>
                <w:szCs w:val="16"/>
                <w:b w:val="1"/>
                <w:bCs w:val="1"/>
                <w:color w:val="005A64"/>
              </w:rPr>
              <w:t>Change</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5460" w:type="dxa"/>
            <w:vAlign w:val="bottom"/>
            <w:vMerge w:val="restart"/>
          </w:tcPr>
          <w:p>
            <w:pPr>
              <w:ind w:left="20"/>
              <w:spacing w:after="0"/>
              <w:rPr>
                <w:sz w:val="20"/>
                <w:szCs w:val="20"/>
                <w:color w:val="auto"/>
              </w:rPr>
            </w:pPr>
            <w:r>
              <w:rPr>
                <w:rFonts w:ascii="Arial" w:cs="Arial" w:eastAsia="Arial" w:hAnsi="Arial"/>
                <w:sz w:val="16"/>
                <w:szCs w:val="16"/>
                <w:i w:val="1"/>
                <w:iCs w:val="1"/>
                <w:color w:val="005A64"/>
              </w:rPr>
              <w:t>(in millions €)</w:t>
            </w:r>
          </w:p>
        </w:tc>
        <w:tc>
          <w:tcPr>
            <w:tcW w:w="100" w:type="dxa"/>
            <w:vAlign w:val="bottom"/>
            <w:vMerge w:val="restart"/>
          </w:tcPr>
          <w:p>
            <w:pPr>
              <w:spacing w:after="0"/>
              <w:rPr>
                <w:sz w:val="10"/>
                <w:szCs w:val="10"/>
                <w:color w:val="auto"/>
              </w:rPr>
            </w:pPr>
          </w:p>
        </w:tc>
        <w:tc>
          <w:tcPr>
            <w:tcW w:w="1340" w:type="dxa"/>
            <w:vAlign w:val="bottom"/>
            <w:tcBorders>
              <w:bottom w:val="single" w:sz="8" w:color="BECD32"/>
            </w:tcBorders>
            <w:gridSpan w:val="2"/>
          </w:tcPr>
          <w:p>
            <w:pPr>
              <w:spacing w:after="0"/>
              <w:rPr>
                <w:sz w:val="10"/>
                <w:szCs w:val="10"/>
                <w:color w:val="auto"/>
              </w:rPr>
            </w:pPr>
          </w:p>
        </w:tc>
        <w:tc>
          <w:tcPr>
            <w:tcW w:w="10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w:t>
            </w:r>
          </w:p>
        </w:tc>
        <w:tc>
          <w:tcPr>
            <w:tcW w:w="200" w:type="dxa"/>
            <w:vAlign w:val="bottom"/>
            <w:vMerge w:val="restart"/>
          </w:tcPr>
          <w:p>
            <w:pPr>
              <w:spacing w:after="0"/>
              <w:rPr>
                <w:sz w:val="10"/>
                <w:szCs w:val="10"/>
                <w:color w:val="auto"/>
              </w:rPr>
            </w:pPr>
          </w:p>
        </w:tc>
        <w:tc>
          <w:tcPr>
            <w:tcW w:w="58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w:t>
            </w:r>
          </w:p>
        </w:tc>
        <w:tc>
          <w:tcPr>
            <w:tcW w:w="0" w:type="dxa"/>
            <w:vAlign w:val="bottom"/>
          </w:tcPr>
          <w:p>
            <w:pPr>
              <w:spacing w:after="0"/>
              <w:rPr>
                <w:sz w:val="1"/>
                <w:szCs w:val="1"/>
                <w:color w:val="auto"/>
              </w:rPr>
            </w:pPr>
          </w:p>
        </w:tc>
      </w:tr>
      <w:tr>
        <w:trPr>
          <w:trHeight w:val="233"/>
        </w:trPr>
        <w:tc>
          <w:tcPr>
            <w:tcW w:w="5460" w:type="dxa"/>
            <w:vAlign w:val="bottom"/>
            <w:tcBorders>
              <w:bottom w:val="single" w:sz="8" w:color="005A64"/>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005A64"/>
            </w:tcBorders>
          </w:tcPr>
          <w:p>
            <w:pPr>
              <w:spacing w:after="0"/>
              <w:rPr>
                <w:sz w:val="20"/>
                <w:szCs w:val="20"/>
                <w:color w:val="auto"/>
              </w:rPr>
            </w:pPr>
          </w:p>
        </w:tc>
        <w:tc>
          <w:tcPr>
            <w:tcW w:w="500" w:type="dxa"/>
            <w:vAlign w:val="bottom"/>
            <w:tcBorders>
              <w:bottom w:val="single" w:sz="8" w:color="005A64"/>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Borders>
              <w:bottom w:val="single" w:sz="8" w:color="005A64"/>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580" w:type="dxa"/>
            <w:vAlign w:val="bottom"/>
            <w:tcBorders>
              <w:bottom w:val="single" w:sz="8" w:color="005A64"/>
            </w:tcBorders>
            <w:vMerge w:val="continue"/>
          </w:tcPr>
          <w:p>
            <w:pPr>
              <w:spacing w:after="0"/>
              <w:rPr>
                <w:sz w:val="20"/>
                <w:szCs w:val="20"/>
                <w:color w:val="auto"/>
              </w:rPr>
            </w:pPr>
          </w:p>
        </w:tc>
        <w:tc>
          <w:tcPr>
            <w:tcW w:w="660" w:type="dxa"/>
            <w:vAlign w:val="bottom"/>
            <w:tcBorders>
              <w:bottom w:val="single" w:sz="8" w:color="005A64"/>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Non-COVID-19 vaccine</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525.6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307.2</w:t>
            </w:r>
          </w:p>
        </w:tc>
        <w:tc>
          <w:tcPr>
            <w:tcW w:w="1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218.4</w:t>
            </w:r>
          </w:p>
        </w:tc>
        <w:tc>
          <w:tcPr>
            <w:tcW w:w="200" w:type="dxa"/>
            <w:vAlign w:val="bottom"/>
          </w:tcPr>
          <w:p>
            <w:pPr>
              <w:spacing w:after="0"/>
              <w:rPr>
                <w:sz w:val="20"/>
                <w:szCs w:val="20"/>
                <w:color w:val="auto"/>
              </w:rPr>
            </w:pPr>
          </w:p>
        </w:tc>
        <w:tc>
          <w:tcPr>
            <w:tcW w:w="580" w:type="dxa"/>
            <w:vAlign w:val="bottom"/>
            <w:tcBorders>
              <w:bottom w:val="single" w:sz="8" w:color="7FACB1"/>
            </w:tcBorders>
          </w:tcPr>
          <w:p>
            <w:pPr>
              <w:spacing w:after="0"/>
              <w:rPr>
                <w:sz w:val="20"/>
                <w:szCs w:val="2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71</w:t>
            </w:r>
          </w:p>
        </w:tc>
        <w:tc>
          <w:tcPr>
            <w:tcW w:w="0" w:type="dxa"/>
            <w:vAlign w:val="bottom"/>
          </w:tcPr>
          <w:p>
            <w:pPr>
              <w:spacing w:after="0"/>
              <w:rPr>
                <w:sz w:val="1"/>
                <w:szCs w:val="1"/>
                <w:color w:val="auto"/>
              </w:rPr>
            </w:pPr>
          </w:p>
        </w:tc>
      </w:tr>
      <w:tr>
        <w:trPr>
          <w:trHeight w:val="237"/>
        </w:trPr>
        <w:tc>
          <w:tcPr>
            <w:tcW w:w="54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COVID-19 vaccine</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59.0</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66.2</w:t>
            </w:r>
          </w:p>
        </w:tc>
        <w:tc>
          <w:tcPr>
            <w:tcW w:w="1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(7.2)</w:t>
            </w:r>
          </w:p>
        </w:tc>
        <w:tc>
          <w:tcPr>
            <w:tcW w:w="200" w:type="dxa"/>
            <w:vAlign w:val="bottom"/>
          </w:tcPr>
          <w:p>
            <w:pPr>
              <w:spacing w:after="0"/>
              <w:rPr>
                <w:sz w:val="20"/>
                <w:szCs w:val="20"/>
                <w:color w:val="auto"/>
              </w:rPr>
            </w:pPr>
          </w:p>
        </w:tc>
        <w:tc>
          <w:tcPr>
            <w:tcW w:w="580" w:type="dxa"/>
            <w:vAlign w:val="bottom"/>
            <w:tcBorders>
              <w:bottom w:val="single" w:sz="8" w:color="7FACB1"/>
            </w:tcBorders>
          </w:tcPr>
          <w:p>
            <w:pPr>
              <w:spacing w:after="0"/>
              <w:rPr>
                <w:sz w:val="20"/>
                <w:szCs w:val="2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(11)</w:t>
            </w:r>
          </w:p>
        </w:tc>
        <w:tc>
          <w:tcPr>
            <w:tcW w:w="0" w:type="dxa"/>
            <w:vAlign w:val="bottom"/>
          </w:tcPr>
          <w:p>
            <w:pPr>
              <w:spacing w:after="0"/>
              <w:rPr>
                <w:sz w:val="1"/>
                <w:szCs w:val="1"/>
                <w:color w:val="auto"/>
              </w:rPr>
            </w:pPr>
          </w:p>
        </w:tc>
      </w:tr>
      <w:tr>
        <w:trPr>
          <w:trHeight w:val="239"/>
        </w:trPr>
        <w:tc>
          <w:tcPr>
            <w:tcW w:w="546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research and development expenses</w:t>
            </w:r>
          </w:p>
        </w:tc>
        <w:tc>
          <w:tcPr>
            <w:tcW w:w="100" w:type="dxa"/>
            <w:vAlign w:val="bottom"/>
          </w:tcPr>
          <w:p>
            <w:pPr>
              <w:spacing w:after="0"/>
              <w:rPr>
                <w:sz w:val="20"/>
                <w:szCs w:val="20"/>
                <w:color w:val="auto"/>
              </w:rPr>
            </w:pPr>
          </w:p>
        </w:tc>
        <w:tc>
          <w:tcPr>
            <w:tcW w:w="1340" w:type="dxa"/>
            <w:vAlign w:val="bottom"/>
            <w:tcBorders>
              <w:left w:val="single" w:sz="8" w:color="BECD32"/>
              <w:bottom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584.6</w:t>
            </w:r>
          </w:p>
        </w:tc>
        <w:tc>
          <w:tcPr>
            <w:tcW w:w="100" w:type="dxa"/>
            <w:vAlign w:val="bottom"/>
            <w:tcBorders>
              <w:bottom w:val="single" w:sz="8" w:color="BECE33"/>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005A64"/>
            </w:tcBorders>
          </w:tcPr>
          <w:p>
            <w:pPr>
              <w:spacing w:after="0"/>
              <w:rPr>
                <w:sz w:val="20"/>
                <w:szCs w:val="20"/>
                <w:color w:val="auto"/>
              </w:rPr>
            </w:pPr>
          </w:p>
        </w:tc>
        <w:tc>
          <w:tcPr>
            <w:tcW w:w="50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373.4</w:t>
            </w:r>
          </w:p>
        </w:tc>
        <w:tc>
          <w:tcPr>
            <w:tcW w:w="1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211.2</w:t>
            </w:r>
          </w:p>
        </w:tc>
        <w:tc>
          <w:tcPr>
            <w:tcW w:w="200" w:type="dxa"/>
            <w:vAlign w:val="bottom"/>
          </w:tcPr>
          <w:p>
            <w:pPr>
              <w:spacing w:after="0"/>
              <w:rPr>
                <w:sz w:val="20"/>
                <w:szCs w:val="20"/>
                <w:color w:val="auto"/>
              </w:rPr>
            </w:pPr>
          </w:p>
        </w:tc>
        <w:tc>
          <w:tcPr>
            <w:tcW w:w="580" w:type="dxa"/>
            <w:vAlign w:val="bottom"/>
            <w:tcBorders>
              <w:bottom w:val="single" w:sz="8" w:color="005A64"/>
            </w:tcBorders>
          </w:tcPr>
          <w:p>
            <w:pPr>
              <w:spacing w:after="0"/>
              <w:rPr>
                <w:sz w:val="20"/>
                <w:szCs w:val="20"/>
                <w:color w:val="auto"/>
              </w:rPr>
            </w:pPr>
          </w:p>
        </w:tc>
        <w:tc>
          <w:tcPr>
            <w:tcW w:w="6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57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40"/>
          </w:cols>
          <w:pgMar w:left="320" w:top="341" w:right="3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533400</wp:posOffset>
            </wp:positionV>
            <wp:extent cx="712343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005A64"/>
              </w:rPr>
              <w:t>Six months ended</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4"/>
          </w:tcPr>
          <w:p>
            <w:pPr>
              <w:jc w:val="center"/>
              <w:ind w:left="479"/>
              <w:spacing w:after="0"/>
              <w:rPr>
                <w:sz w:val="20"/>
                <w:szCs w:val="20"/>
                <w:color w:val="auto"/>
              </w:rPr>
            </w:pPr>
            <w:r>
              <w:rPr>
                <w:rFonts w:ascii="Arial" w:cs="Arial" w:eastAsia="Arial" w:hAnsi="Arial"/>
                <w:sz w:val="16"/>
                <w:szCs w:val="16"/>
                <w:b w:val="1"/>
                <w:bCs w:val="1"/>
                <w:color w:val="005A64"/>
              </w:rPr>
              <w:t>June 30,</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3"/>
          </w:tcPr>
          <w:p>
            <w:pPr>
              <w:ind w:left="1060"/>
              <w:spacing w:after="0"/>
              <w:rPr>
                <w:sz w:val="20"/>
                <w:szCs w:val="20"/>
                <w:color w:val="auto"/>
              </w:rPr>
            </w:pPr>
            <w:r>
              <w:rPr>
                <w:rFonts w:ascii="Arial" w:cs="Arial" w:eastAsia="Arial" w:hAnsi="Arial"/>
                <w:sz w:val="16"/>
                <w:szCs w:val="16"/>
                <w:b w:val="1"/>
                <w:bCs w:val="1"/>
                <w:color w:val="005A64"/>
              </w:rPr>
              <w:t>Change</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5440" w:type="dxa"/>
            <w:vAlign w:val="bottom"/>
            <w:vMerge w:val="restart"/>
          </w:tcPr>
          <w:p>
            <w:pPr>
              <w:ind w:left="20"/>
              <w:spacing w:after="0"/>
              <w:rPr>
                <w:sz w:val="20"/>
                <w:szCs w:val="20"/>
                <w:color w:val="auto"/>
              </w:rPr>
            </w:pPr>
            <w:r>
              <w:rPr>
                <w:rFonts w:ascii="Arial" w:cs="Arial" w:eastAsia="Arial" w:hAnsi="Arial"/>
                <w:sz w:val="16"/>
                <w:szCs w:val="16"/>
                <w:i w:val="1"/>
                <w:iCs w:val="1"/>
                <w:color w:val="005A64"/>
              </w:rPr>
              <w:t>(in millions €)</w:t>
            </w:r>
          </w:p>
        </w:tc>
        <w:tc>
          <w:tcPr>
            <w:tcW w:w="100" w:type="dxa"/>
            <w:vAlign w:val="bottom"/>
            <w:vMerge w:val="restart"/>
          </w:tcPr>
          <w:p>
            <w:pPr>
              <w:spacing w:after="0"/>
              <w:rPr>
                <w:sz w:val="10"/>
                <w:szCs w:val="10"/>
                <w:color w:val="auto"/>
              </w:rPr>
            </w:pPr>
          </w:p>
        </w:tc>
        <w:tc>
          <w:tcPr>
            <w:tcW w:w="1360" w:type="dxa"/>
            <w:vAlign w:val="bottom"/>
            <w:tcBorders>
              <w:bottom w:val="single" w:sz="8" w:color="BECD32"/>
            </w:tcBorders>
            <w:gridSpan w:val="2"/>
          </w:tcPr>
          <w:p>
            <w:pPr>
              <w:spacing w:after="0"/>
              <w:rPr>
                <w:sz w:val="10"/>
                <w:szCs w:val="10"/>
                <w:color w:val="auto"/>
              </w:rPr>
            </w:pPr>
          </w:p>
        </w:tc>
        <w:tc>
          <w:tcPr>
            <w:tcW w:w="10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w:t>
            </w:r>
          </w:p>
        </w:tc>
        <w:tc>
          <w:tcPr>
            <w:tcW w:w="200" w:type="dxa"/>
            <w:vAlign w:val="bottom"/>
            <w:vMerge w:val="restart"/>
          </w:tcPr>
          <w:p>
            <w:pPr>
              <w:spacing w:after="0"/>
              <w:rPr>
                <w:sz w:val="10"/>
                <w:szCs w:val="10"/>
                <w:color w:val="auto"/>
              </w:rPr>
            </w:pPr>
          </w:p>
        </w:tc>
        <w:tc>
          <w:tcPr>
            <w:tcW w:w="560" w:type="dxa"/>
            <w:vAlign w:val="bottom"/>
            <w:vMerge w:val="restart"/>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w:t>
            </w:r>
          </w:p>
        </w:tc>
        <w:tc>
          <w:tcPr>
            <w:tcW w:w="0" w:type="dxa"/>
            <w:vAlign w:val="bottom"/>
          </w:tcPr>
          <w:p>
            <w:pPr>
              <w:spacing w:after="0"/>
              <w:rPr>
                <w:sz w:val="1"/>
                <w:szCs w:val="1"/>
                <w:color w:val="auto"/>
              </w:rPr>
            </w:pPr>
          </w:p>
        </w:tc>
      </w:tr>
      <w:tr>
        <w:trPr>
          <w:trHeight w:val="233"/>
        </w:trPr>
        <w:tc>
          <w:tcPr>
            <w:tcW w:w="5440" w:type="dxa"/>
            <w:vAlign w:val="bottom"/>
            <w:tcBorders>
              <w:bottom w:val="single" w:sz="8" w:color="005A64"/>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005A64"/>
            </w:tcBorders>
          </w:tcPr>
          <w:p>
            <w:pPr>
              <w:spacing w:after="0"/>
              <w:rPr>
                <w:sz w:val="20"/>
                <w:szCs w:val="20"/>
                <w:color w:val="auto"/>
              </w:rPr>
            </w:pPr>
          </w:p>
        </w:tc>
        <w:tc>
          <w:tcPr>
            <w:tcW w:w="560" w:type="dxa"/>
            <w:vAlign w:val="bottom"/>
            <w:tcBorders>
              <w:bottom w:val="single" w:sz="8" w:color="005A64"/>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Borders>
              <w:bottom w:val="single" w:sz="8" w:color="005A64"/>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560" w:type="dxa"/>
            <w:vAlign w:val="bottom"/>
            <w:tcBorders>
              <w:bottom w:val="single" w:sz="8" w:color="005A64"/>
            </w:tcBorders>
            <w:vMerge w:val="continue"/>
          </w:tcPr>
          <w:p>
            <w:pPr>
              <w:spacing w:after="0"/>
              <w:rPr>
                <w:sz w:val="20"/>
                <w:szCs w:val="20"/>
                <w:color w:val="auto"/>
              </w:rPr>
            </w:pPr>
          </w:p>
        </w:tc>
        <w:tc>
          <w:tcPr>
            <w:tcW w:w="680" w:type="dxa"/>
            <w:vAlign w:val="bottom"/>
            <w:tcBorders>
              <w:bottom w:val="single" w:sz="8" w:color="005A64"/>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Non-COVID-19 vaccine</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976.5</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553.6</w:t>
            </w:r>
          </w:p>
        </w:tc>
        <w:tc>
          <w:tcPr>
            <w:tcW w:w="1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422.9</w:t>
            </w:r>
          </w:p>
        </w:tc>
        <w:tc>
          <w:tcPr>
            <w:tcW w:w="200" w:type="dxa"/>
            <w:vAlign w:val="bottom"/>
          </w:tcPr>
          <w:p>
            <w:pPr>
              <w:spacing w:after="0"/>
              <w:rPr>
                <w:sz w:val="20"/>
                <w:szCs w:val="20"/>
                <w:color w:val="auto"/>
              </w:rPr>
            </w:pPr>
          </w:p>
        </w:tc>
        <w:tc>
          <w:tcPr>
            <w:tcW w:w="560" w:type="dxa"/>
            <w:vAlign w:val="bottom"/>
            <w:tcBorders>
              <w:bottom w:val="single" w:sz="8" w:color="7FACB1"/>
            </w:tcBorders>
          </w:tcPr>
          <w:p>
            <w:pPr>
              <w:spacing w:after="0"/>
              <w:rPr>
                <w:sz w:val="20"/>
                <w:szCs w:val="2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76</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COVID-19 vaccine</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115.6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153.8</w:t>
            </w:r>
          </w:p>
        </w:tc>
        <w:tc>
          <w:tcPr>
            <w:tcW w:w="1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(38.2)</w:t>
            </w:r>
          </w:p>
        </w:tc>
        <w:tc>
          <w:tcPr>
            <w:tcW w:w="200" w:type="dxa"/>
            <w:vAlign w:val="bottom"/>
          </w:tcPr>
          <w:p>
            <w:pPr>
              <w:spacing w:after="0"/>
              <w:rPr>
                <w:sz w:val="20"/>
                <w:szCs w:val="20"/>
                <w:color w:val="auto"/>
              </w:rPr>
            </w:pPr>
          </w:p>
        </w:tc>
        <w:tc>
          <w:tcPr>
            <w:tcW w:w="560" w:type="dxa"/>
            <w:vAlign w:val="bottom"/>
            <w:tcBorders>
              <w:bottom w:val="single" w:sz="8" w:color="7FACB1"/>
            </w:tcBorders>
          </w:tcPr>
          <w:p>
            <w:pPr>
              <w:spacing w:after="0"/>
              <w:rPr>
                <w:sz w:val="20"/>
                <w:szCs w:val="2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(25)</w:t>
            </w:r>
          </w:p>
        </w:tc>
        <w:tc>
          <w:tcPr>
            <w:tcW w:w="0" w:type="dxa"/>
            <w:vAlign w:val="bottom"/>
          </w:tcPr>
          <w:p>
            <w:pPr>
              <w:spacing w:after="0"/>
              <w:rPr>
                <w:sz w:val="1"/>
                <w:szCs w:val="1"/>
                <w:color w:val="auto"/>
              </w:rPr>
            </w:pPr>
          </w:p>
        </w:tc>
      </w:tr>
      <w:tr>
        <w:trPr>
          <w:trHeight w:val="239"/>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research and development expenses</w:t>
            </w:r>
          </w:p>
        </w:tc>
        <w:tc>
          <w:tcPr>
            <w:tcW w:w="100" w:type="dxa"/>
            <w:vAlign w:val="bottom"/>
          </w:tcPr>
          <w:p>
            <w:pPr>
              <w:spacing w:after="0"/>
              <w:rPr>
                <w:sz w:val="20"/>
                <w:szCs w:val="20"/>
                <w:color w:val="auto"/>
              </w:rPr>
            </w:pPr>
          </w:p>
        </w:tc>
        <w:tc>
          <w:tcPr>
            <w:tcW w:w="1360" w:type="dxa"/>
            <w:vAlign w:val="bottom"/>
            <w:tcBorders>
              <w:left w:val="single" w:sz="8" w:color="BECD32"/>
              <w:bottom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1,092.1</w:t>
            </w:r>
          </w:p>
        </w:tc>
        <w:tc>
          <w:tcPr>
            <w:tcW w:w="100" w:type="dxa"/>
            <w:vAlign w:val="bottom"/>
            <w:tcBorders>
              <w:bottom w:val="single" w:sz="8" w:color="BECE33"/>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005A64"/>
            </w:tcBorders>
          </w:tcPr>
          <w:p>
            <w:pPr>
              <w:spacing w:after="0"/>
              <w:rPr>
                <w:sz w:val="20"/>
                <w:szCs w:val="20"/>
                <w:color w:val="auto"/>
              </w:rPr>
            </w:pPr>
          </w:p>
        </w:tc>
        <w:tc>
          <w:tcPr>
            <w:tcW w:w="5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707.4</w:t>
            </w:r>
          </w:p>
        </w:tc>
        <w:tc>
          <w:tcPr>
            <w:tcW w:w="1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384.7</w:t>
            </w:r>
          </w:p>
        </w:tc>
        <w:tc>
          <w:tcPr>
            <w:tcW w:w="200" w:type="dxa"/>
            <w:vAlign w:val="bottom"/>
          </w:tcPr>
          <w:p>
            <w:pPr>
              <w:spacing w:after="0"/>
              <w:rPr>
                <w:sz w:val="20"/>
                <w:szCs w:val="20"/>
                <w:color w:val="auto"/>
              </w:rPr>
            </w:pPr>
          </w:p>
        </w:tc>
        <w:tc>
          <w:tcPr>
            <w:tcW w:w="560" w:type="dxa"/>
            <w:vAlign w:val="bottom"/>
            <w:tcBorders>
              <w:bottom w:val="single" w:sz="8" w:color="005A64"/>
            </w:tcBorders>
          </w:tcPr>
          <w:p>
            <w:pPr>
              <w:spacing w:after="0"/>
              <w:rPr>
                <w:sz w:val="20"/>
                <w:szCs w:val="20"/>
                <w:color w:val="auto"/>
              </w:rPr>
            </w:pPr>
          </w:p>
        </w:tc>
        <w:tc>
          <w:tcPr>
            <w:tcW w:w="6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54</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expenses increased by €211.2 million, or 57%, from € 373.4 million during the three months ended June 30, 2023, to €584.6 million during the three months ended June 30, 2024, and increased by €384.7 million, or 54%, from €707.4 million during the six months ended June 30, 2023, to €1,092.1 million during the six months ended June 30, 2024, mainly influenced by progressing clinical studies for pipeline candidates and our newly acquired clinical stage ADC and antibody product candidates which further expand our oncology pipeline. Further contributions to the increase are coming from wages, benefits and social security expenses resulting from a significant increase in headcount.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05A64"/>
        </w:rPr>
        <w:t>General and Administrative Expenses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general and administrative expenses increased by €51.1 million, or 43%, from €119.8 million during the three months ended June 30, 2023, to €170.9 million during the three months ended June 30, 2024, and increased by €56.3 million, or 24%, from €231.6 million during the six months ended June 30, 2023, to €287.9 million during the six months ended June 30, 2024, primarily driven by increased expenses for IT environment and wages, benefits, and social security expenses resulting from a significant increase in headcount.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005A64"/>
        </w:rPr>
        <w:t>Other Operating Income / Expenses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total other operating result decreased by €209.9 million from a negative operating result of € 56.8 million during the three months ended June 30, 2023, to a negative operating result of €266.7 million during the three months ended June 30, 2024, and decreased by €136.9 million from a negative operating result of €125.4 million during the six months ended June 30, 2023, to a negative operating result of €262.3 million during the six months ended June 30, 2024. This is primarily because of the recording of a provision based on our non-binding proposal with the National Institutes of Health, or NIH, to amend and restate our agreement with NIH, including a possible financial resolution and facilitating continued collaboration (see Note 9 to the unaudited interim condensed consolidated financial statements included elsewhere in this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005A64"/>
        </w:rPr>
        <w:t>Finance Income / Expense</w:t>
      </w:r>
      <w:r>
        <w:rPr>
          <w:rFonts w:ascii="Arial" w:cs="Arial" w:eastAsia="Arial" w:hAnsi="Arial"/>
          <w:sz w:val="18"/>
          <w:szCs w:val="18"/>
          <w:color w:val="000000"/>
        </w:rPr>
        <w: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total finance result increased by €9.3 million from €151.1 million during the three months ended June 30, 2023, to €160.4 million during the three months ended June 30, 2024, and increased by €131.4 million from €204.4 million during the six months ended June 30, 2023, to €335.8 million during the six months ended June 30, 2024. During the three and six months ended June 30, 2024 and 2023, our finance result mainly derived from returns like interests and sales resulting from our financial investments as well as fair value adjustments of our money market funds.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005A64"/>
        </w:rPr>
        <w:t>Income Taxes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income taxes are explained in Note 5 to the unaudited interim condensed consolidated financial statements included elsewhere in this Quarterly Report and further discussed in Note 8 to our audited consolidated financial statements of our Annual Report on Form 20-F as of and for the year ended December 31, 2023.</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decreased by €223.8 million from €221.8 million of realized tax income during the three months ended June 30, 2023, to €2.0 million of accrued tax expenses during the three months ended June 30, 2024, and decreased by €1.6 million from €16.3 million of realized tax income during the six months ended June 30, 2023, to €14.7 million of realized tax income during the six months ended June 30, 2024. The effective income tax rate for the six months ended June 30, 2024, was approximately 1.3% and approximately (5.5)% for the six months ended June 30, 2023.</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40"/>
          </w:cols>
          <w:pgMar w:left="320" w:top="341" w:right="3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Related Party Transactions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Related party transactions that occurred during the three and six months ended June 30, 2024 and 2023, are explained in Note 11 to the unaudited interim condensed consolidated financial statements included elsewhere in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Critical Accounting Policies and Use of Estimates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unaudited interim condensed consolidated financial statements for the three and six months ended June 30, 2024, have been prepared in accordance with IAS 34 Interim Financial Reporting.</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critical accounting policies and the use of estimates are explained in Note 2 to the unaudited interim condensed consolidated financial statements included elsewhere in this Quarterly Report and further discussed in Note 3 to our audited consolidated financial statements of our Annual Report on Form 20-F as of and for the year ended December 31,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Legal Proceedings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contingencies include, but are not limited to, intellectual property disputes and product liability and other product-related litigation. From time to time, in the normal course and conduct of our business, we may be involved in discussions with third parties about considering, for example, the use and/or remuneration for use of such third party’s intellectual property. As of June 30, 2024, none of such intellectual property-related considerations that we have been notified of, and for which potential claims could be brought against us or our subsidiaries in the future, fulfill the criteria for recording a provision. We are subject to an increasing number of product liability claims. Such claims often involve highly complex issues related to medical causation, correctness and completeness of product information (Summary of Product Characteristics/package leaflet) as well as label warnings and reliance thereon, scientific evidence and findings, actual and provable injury, and other matters. These complexities vary from matter to matter. As of June 30, 2024, none of these claims fulfill the criteria for recording a provision. Substantially all of our contingencies are subject to significant uncertainties and, therefore, determining the likelihood of a loss and/or the measurement of any loss can be complex. Consequently, we are unable to estimate the range of reasonably possible loss.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 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We will continue to evaluate whether, if circumstances were to change in the future, the recording of a provision may be needed and whether potential indemnification entitlements exist against any such claim.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Certain pending matters to which we are a party are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Alnylam Proceedings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2022, Alnylam Pharmaceuticals, Inc., or Alnylam, filed a lawsuit against Pfizer and Pharmacia &amp; Upjohn Co. LLC in the U.S. District Court for the District of Delaware alleging that an existing patent owned by Alnylam, U.S. Patent No. 11,246,933, or the ‘933 Patent, is infringed by the cationic lipid used in Comirnaty, and seeking monetary relief, which is not specified in their filings. We filed a counterclaim to become party to the Alnylam proceeding, and in June 2022, Alnylam added to its claims allegations that we induced infringement of the ‘933 Patent. Additionally, in July 2022, Alnylam filed a lawsuit against us, our wholly owned subsidiary, BioNTech Manufacturing GmbH, Pfizer and Pharmacia &amp; Upjohn Co. LLC in the U.S. District Court for the District of Delaware alleging that we also induced infringement of a newly issued patent, U.S. Patent No. 11,382,979, or the ‘979 Patent, which is a continuation of the ‘933 Patent. The two lawsuits were consolidated on July 28, 2022. In May 2023, Alnylam filed a third lawsuit against Pfizer Inc. and Pharmacia &amp; Upjohn Co. LLC in the U.S. District Court for the District of Delaware alleging infringement of U.S. Patent Nos. 11,633,479; 11,633,480; 11,612,657; and 11,590,229, all of which are continuations of the ‘933 Patent. We filed a counterclaim to become party to the new proceeding, and in July 2023, Alnylam</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341"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added to its claims allegations that we induced infringement of the four new patents. All of the lawsuits have been consolidated into a single proceeding, which is currently expected to go to trial in July 2025.</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we have strong defenses against the allegations claimed relative to each of the patents and intend to vigorously defend ourselves in the proceedings mentioned above. However, our analysis of Alnylam’s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CureVac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05A64"/>
        </w:rPr>
        <w:t>Infringement Proceedings – EP’122, DE’961, DE‘974, DE’575, and EP’668</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July 2022, CureVac AG, or CureVac, filed a lawsuit against us and our wholly owned subsidiaries, BioNTech Manufacturing GmbH and BioNTech Manufacturing Marburg GmbH, in the Düsseldorf Regional Court,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one European patent, EP1857122B1, or the EP’122 Patent, and three Utility Models DE202015009961U1, DE202015009974U1, and DE202021003575U1. In August 2022, CureVac added European Patent EP3708668B1, or the EP’668 Patent, to its German lawsuit.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15, 2023, the Düsseldorf Regional Court held a hearing on infringement with respect to all five IP rights. At the hearing, the Court suspended its infringement ruling with respect to EP’122 until December 28, 2023. On September 28, 2023, the Court issued orders suspending its infringement rulings with respect to the remaining four IP rights (DE’961, DE’974, DE’575, and EP’668) pending validity decisions in the DE’961, DE’974, and DE’575 cancellation proceedings before the German Patent and Trademark Office and in the EP’668 opposition proceedings before the Opposition Division of the European Patent Office, or the EPO. In the September 28th orders, the Court explained that it was suspending its infringement rulings until validity decisions are reached, while contemporaneously noting concerns regarding the validity of DE’961, DE’974, DE’575, and EP’668. On December 28, 2023, the Düsseldorf Regional Court stayed the infringement proceedings as to EP’122 until a final appellate decision is rendered as to the validity of EP’122 by the Federal Court of Justice. On June 7, 2024, CureVac waived DE’575 and withdrew this utility model from the infringement proceedings. On July 2, 2024, the Opposition Division of the EPO issued a preliminary opinion noting that it believes that EP’668 is likely invalid.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5A64"/>
        </w:rPr>
        <w:t>Infringement Proceedings – EP’755, DE’123, and DE’130</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July 2023, CureVac SE filed a second lawsuit against us and our wholly owned subsidiaries, BioNTech Manufacturing GmbH and BioNTech Manufacturing Marburg GmbH, in the Düsseldorf Regional Court,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one European patent, EP4023755B1, or the EP’755 Patent, and two Utility Models DE202021004123U1, and DE202021004130U1. On June 7, 2024, CureVac waived DE’123 and withdrew this utility model from the infringement proceedings. A hearing on infringement with respect to EP’755 and DE’130 is scheduled to occur in the Düsseldorf Regional Court on September 10, 2024.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005A64"/>
        </w:rPr>
        <w:t>Nullity Proceedings – EP’122</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2022, we filed a nullity action in the Federal Patent Court of Germany seeking a declaration that the EP’122 Patent is invalid. In April 2023, the Federal Patent Court of Germany issued a preliminary opinion in the EP’122 nullity action in support of the validity of EP’122. The preliminary opinion did not address any infringement of the EP’122 Patent. The preliminary opinion is a preliminary assessment by the court of the merits of a claim, and is non-binding. On December 19, 2023, the Federal Patent Court held an oral hearing, after which it nullified EP’122. On April 30, 2024, the Federal Patent Court issued a judgment containing its written reasons for nullifying EP’122. On May 7, 2024, CureVac appealed the judgment, which is currently pending.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05A64"/>
        </w:rPr>
        <w:t>Cancellation Proceedings – DE’961, DE‘974, and DE’575</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November 2022, we filed cancellation actions seeking the cancellation of the three German Utility Models in the German Patent and Trademark Office. On December 27, 2023, the German Patent and Trademark Office issued a preliminary opinion that DE’974 is likely to be cancelled. On January 23, 2024, the German</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341" w:right="3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Patent and Trademark Office issued a preliminary opinion that DE’961 is likely to be cancelled. On March 7, 2024, the German Patent and Trademark Office issued a preliminary opinion that DE’575 is likely to be cancelled. On June 6, 2024, CureVac submitted a written statement to the German Patent and Trademark Office waiving DE’575. On June 12, 2024, we withdrew our request for cancellation of DE’575. On June 25 and 26, 2024, the German Patent and Trademark Office heard oral arguments regarding DE’961 and DE’974, and at the conclusion of the hearing on June 26, 2024, confirmed that both DE’961 and DE’974 were cancelled.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005A64"/>
        </w:rPr>
        <w:t>Cancellation Proceedings– DE’123 and DE’130</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November 2023, we filed cancellation actions seeking the cancellation of German Utility Models DE’123 and DE’130 in the German Patent and Trademark Office. On June 6, 2024, CureVac submitted a written statement to the German Patent and Trademark Office waiving DE’123. On June 12, 2024, we withdrew our request for cancellation of DE’123.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005A64"/>
        </w:rPr>
        <w:t>United States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July 2022, we and Pfizer filed a complaint for a declaratory judgment in the U.S. District Court for the District of Massachusetts, seeking a judgment of non-infringement by </w:t>
      </w:r>
      <w:r>
        <w:rPr>
          <w:rFonts w:ascii="Arial" w:cs="Arial" w:eastAsia="Arial" w:hAnsi="Arial"/>
          <w:sz w:val="18"/>
          <w:szCs w:val="18"/>
          <w:i w:val="1"/>
          <w:iCs w:val="1"/>
          <w:color w:val="auto"/>
        </w:rPr>
        <w:t>Comirnaty</w:t>
      </w:r>
      <w:r>
        <w:rPr>
          <w:rFonts w:ascii="Arial" w:cs="Arial" w:eastAsia="Arial" w:hAnsi="Arial"/>
          <w:sz w:val="18"/>
          <w:szCs w:val="18"/>
          <w:color w:val="auto"/>
        </w:rPr>
        <w:t xml:space="preserve"> of U.S. Patent Nos. 11,135,312; 11,149,278 and 11,241,493. In May 2023, the action in the U.S. District Court for the District of Massachusetts was transferred to the U.S. District Court for the Eastern District of Virginia, where CureVac filed counterclaims asserting infringement of six additional U.S. patents, U.S. Patent Nos. 10,760,070; 11,286,492; 11,345,920; 11,471,525; 11,576,966; and 11,596,686. In July 2023, CureVac filed amended counterclaims to assert an additional U.S. patent, U.S. Patent No. 11,667,910. In June 2024, CureVac voluntarily dismissed with prejudice its claims of infringement with respect to the ‘493, ‘525, and ‘966 patents. Currently, a three-week trial is scheduled to begin in early March 2025.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005A64"/>
        </w:rPr>
        <w:t>United Kingdom</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2022, we and Pfizer filed a declaration of non-infringement and revocation action against the EP’122 Patent and the EP’668 Patent in the Business and Property Courts of England and Wales. In October 2022, CureVac responded by filing a counterclaim alleging infringement of the EP’122 and EP’668 patents in the Business and Property Courts of England and Wales, in the UK High Court of Justice, or the UK High Court. On December 18, 2023, we and Pfizer amended our pleadings to add a claim for revocation and declarations of invalidity and non-infringement with respect to EP’755. The UK High Court held a trial on EP’668 and EP’755 between July 10, 2024, and July 24, 2024, and a judgment is expected later this year. A separate trial on EP’122 is yet to be scheduled by the UK High Court.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All of the above proceedings are currently pending.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we have strong defenses against the allegations claimed relative to each of the patents and utility models and intend to vigorously defend ourselves in the proceedings mentioned above. However, our analysis of CureVac’s claims is ongoing and complex, and we believe the ultimate outcomes remain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Moderna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5A64"/>
        </w:rPr>
        <w:t>Germany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Infringement Proceedings – EP’949 and EP’565</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August 2022, Moderna filed a lawsuit against us and Pfizer and our wholly owned subsidiaries, BioNTech Manufacturing GmbH, BioNTech Europe GmbH and BioNTech Manufacturing Marburg GmbH, Pfizer Manufacturing Belgium NV, Pfizer Ireland Pharmaceuticals and Pfizer Inc. in the Düsseldorf Regional Court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two European patents, 3590949B1, or the EP’949 Patent, and 3718565B1, or the EP’565 Patent. On November 7, 2023, the Opposition Division of the EPO revoked EP’565 after a one-day oral hearing, and on December 7, 2023, it issued its written decision revoking EP’565. On December 8, 2023, the Opposition Division issued a preliminary opinion noting that it believes EP’949 is likely invalid. As a result of those developments in the EPO proceedings, the Düsseldorf Regional Court postponed its hearing on infringement, originally scheduled for December 12, 2023, to January 21,</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341"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2025. On February 7, 2024, Moderna appealed the Opposition Division’s revocation decision on EP’565, and the appeal is currently pending. On May 16, 2024, the Opposition Division decided that the EP’949 Patent is valid, in amended form, and issued its written decision regarding the same on July 8, 2024. BioNTech is expected to appeal this decision.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005A64"/>
        </w:rPr>
        <w:t>United Kingdom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2022, Moderna filed a lawsuit asserting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the EP’949 Patent and EP’565 Patent against us and our wholly owned subsidiaries, BioNTech Manufacturing GmbH, BioNTech Europe GmbH and BioNTech Manufacturing Marburg GmbH, Pfizer Limited, Pfizer Manufacturing Belgium NV and Pfizer Inc. in the Business and Property Courts of England and Wales, in the UK High Court. In September 2022, we and Pfizer filed a revocation action in the Business and Property Courts of England and Wales requesting revocation of the EP’949 Patent and EP’565 Patent.</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UK High Court held a trial between April 22, 2024, and May 21, 2024. On July 2, 2024, the UK High Court released two judgments. The first judgment concerns the validity of the EP’949 Patent and the EP’565 Patent. In this first judgment, the UK High Court found that the EP’565 Patent is invalid and therefore not infringed, while the EP’949 Patent is valid and infringed. The second judgment concerns whether Moderna’s October 2020 commitment not to “enforce [its] COVID-19 related patents against those making vaccines intended to combat the pandemic,” or the Patent Pledge, amounted to a consent under UK law to carry out any acts that would otherwise amount to patent infringement. With respect to this judgment, the UK High Court found that Moderna’s Patent Pledge amounted to consent to carry out activities that might otherwise infringe its patents prior to March 2022, but not after March 2022. A hearing before the UK High Court is scheduled for September 25, 2024, where the parties are expected to apply for the right to appeal.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5A64"/>
        </w:rPr>
        <w:t>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District Court Litigation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August 2022, Moderna filed a lawsuit in the United States District Court for the District of Massachusetts against us and our wholly owned subsidiaries BioNTech Manufacturing GmbH and BioNTech US Inc. and Pfizer Inc. alleging </w:t>
      </w:r>
      <w:r>
        <w:rPr>
          <w:rFonts w:ascii="Arial" w:cs="Arial" w:eastAsia="Arial" w:hAnsi="Arial"/>
          <w:sz w:val="18"/>
          <w:szCs w:val="18"/>
          <w:i w:val="1"/>
          <w:iCs w:val="1"/>
          <w:color w:val="auto"/>
        </w:rPr>
        <w:t>Comirnaty</w:t>
      </w:r>
      <w:r>
        <w:rPr>
          <w:rFonts w:ascii="Arial" w:cs="Arial" w:eastAsia="Arial" w:hAnsi="Arial"/>
          <w:sz w:val="18"/>
          <w:szCs w:val="18"/>
          <w:color w:val="auto"/>
        </w:rPr>
        <w:t xml:space="preserve">’s infringement of U.S. Patent Nos. 10,898,574; 10,702,600 and 10,933,127 and seeking monetary relief. On April 12, 2024, the United States District Court for the District of Massachusetts stayed the litigation pending resolution of the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of U.S. Patent Nos. 10,702,600 and 10,933,127.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 Partes Review</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 xml:space="preserve">In August 2023, Pfizer and we filed petitions seeking inter partes review of U.S. Patent Nos. 10,702,600 and 10,933,127 before the United States Patent Trial and Appeal Board, or the PTAB. On March 6, 2024, the PTAB issued decisions instituting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proceedings on all challenged claims of U.S. Patent Nos. 10,702,600 and 10,933,127. An oral hearing on the merits is currently scheduled to occur in December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005A64"/>
        </w:rPr>
        <w:t>Netherlands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September 2022, Moderna filed a lawsuit against us and our wholly owned subsidiary BioNTech Manufacturing GmbH and Pfizer B.V., Pfizer Export B.V., C.P. Pharmaceuticals International C.V. and Pfizer Inc. in the District Court of The Hague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the EP‘949 Patent and the EP’565 Patent. The District Court of the Hague held a hearing on October 6, 2023, on infringement and validity with respect to the EP’949 Patent. On December 6, 2023, the Court found EP’949 to be invalid. On March 5, 2024, Moderna appealed this decision, and the appeal is pending. The EP’565 case has been stayed pending the outcome of Moderna’s appeal of the Opposition Division’s revocation of EP’565.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05A64"/>
        </w:rPr>
        <w:t>Ireland</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May 2023, Moderna filed a lawsuit against us and our wholly owned subsidiary BioNTech Manufacturing GmbH, Pfizer Inc., Pfizer Healthcare Ireland, Pfizer Ireland Pharmaceuticals, and C.P. Pharmaceuticals International C.V.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the EP’949 Patent and EP’565 Patent in the High Court of Ireland. On February 26, 2024, the High Court of Ireland stayed the lawsuit pending the final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34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determination of the EPO opposition proceedings for EP’949 and EP’565 (in each case including any appeals).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05A64"/>
        </w:rPr>
        <w:t>Belgium</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May 2023, Moderna filed a lawsuit against us, our wholly owned subsidiary BioNTech Manufacturing GmbH, Pfizer Inc. and Pfizer Manufacturing Belgium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the EP’949 Patent and the EP’565 Patent in the Brussels Dutch-speaking Enterprise Court. On May 29, 2024, the parties filed a joint request to stay the proceedings, which was entered by the Enterprise Court.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All of the above proceedings are currently pending.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we have strong defenses against the allegations claimed relative to each of the patents and intend to vigorously defend ourselves in the proceedings mentioned above. However, our analysis of Moderna’s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Arbutus and Genevant Proceedings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April 2023, Arbutus Biopharma Corp., or Arbutus, and Genevant Sciences GmbH, or Genevant, filed a lawsuit against Pfizer and us in the U.S. District Court for the District of New Jersey alleging that Pfizer and we have infringed the following patents owned by Arbutus: U.S. Patent Nos. 9,504,651; 8,492,359; 11,141,378; 11,298,320; and 11,318,098, through the use of Genevant’s lipid nanoparticle technology and methods for producing such lipids in </w:t>
      </w:r>
      <w:r>
        <w:rPr>
          <w:rFonts w:ascii="Arial" w:cs="Arial" w:eastAsia="Arial" w:hAnsi="Arial"/>
          <w:sz w:val="18"/>
          <w:szCs w:val="18"/>
          <w:i w:val="1"/>
          <w:iCs w:val="1"/>
          <w:color w:val="auto"/>
        </w:rPr>
        <w:t>Comirnaty</w:t>
      </w:r>
      <w:r>
        <w:rPr>
          <w:rFonts w:ascii="Arial" w:cs="Arial" w:eastAsia="Arial" w:hAnsi="Arial"/>
          <w:sz w:val="18"/>
          <w:szCs w:val="18"/>
          <w:color w:val="auto"/>
        </w:rPr>
        <w:t>, and seeking monetary relief. This proceeding is currently pending.</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we have strong defenses against the allegations claimed relative to each of the patents and intend to vigorously defend ourselves in the lawsuit mentioned above. However, our analysis of Arbutus and Genevant’s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GlaxoSmithKline Proceedings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April 2024, GlaxoSmithKline Biologicals SA and GlaxoSmithKline LLC filed a lawsuit against Pfizer and us and our wholly owned subsidiaries BioNTech Manufacturing GmbH and BioNTech US Inc. in the United States District Court for the District of Delaware alleging that the cationic lipid used in </w:t>
      </w:r>
      <w:r>
        <w:rPr>
          <w:rFonts w:ascii="Arial" w:cs="Arial" w:eastAsia="Arial" w:hAnsi="Arial"/>
          <w:sz w:val="18"/>
          <w:szCs w:val="18"/>
          <w:i w:val="1"/>
          <w:iCs w:val="1"/>
          <w:color w:val="auto"/>
        </w:rPr>
        <w:t>Comirnaty</w:t>
      </w:r>
      <w:r>
        <w:rPr>
          <w:rFonts w:ascii="Arial" w:cs="Arial" w:eastAsia="Arial" w:hAnsi="Arial"/>
          <w:sz w:val="18"/>
          <w:szCs w:val="18"/>
          <w:color w:val="auto"/>
        </w:rPr>
        <w:t xml:space="preserve"> infringes U.S. Patent Nos. 11,638,693; 11,638,694; 11,666,534; 11,766,401; and 11,786,467; and seeking monetary relief. This proceeding is currently pending.</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we have strong defenses against the allegations claimed relative to each of the patents and intend to vigorously defend ourselves in the lawsuit mentioned above. However, our analysis of GlaxoSmithKline’s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34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Overview</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Given our strong financial, scientific and operational accomplishments, we believe we have the resources to diligently allocate our current capital to drive a multi-platform strategy and deliver a fully integrated global biotechnology company. We focus our R&amp;D, on rapidly advancing our diversified clinical oncology pipeline with synergistic potential, developing next generation COVID-19 vaccines to maintain leadership and pandemic preparedness, as well as broadening the label of and access to the existing vaccine. We also plan to invest heavily to build out our global development organization, bringing in talent with clinical and regulatory expertise needed to accelerate our pipeline development. We are also diversifying our therapeutic area footprint, which will enable us to fully leverage the potential of all technology platforms across autoimmune diseases, inflammatory diseases, cardiovascular disease, neurodegenerative diseases, and regenerative medicines. In addition, we plan to enhance capabilities through complementary acquisitions, technologies, infrastructure and manufacturing. To support our future trajectory, growing the organization and expanding our team is of utmost importance. We are on the way to develop our global footprint in key regions including Europe, the United States, Asia and Africa. Additionally, investing in manufacturing capabilities for key technologies and deploying our pandemic response capabilities remain priorities for us. As a science and innovation driven company, we will continue to focus investments on R&amp;D and scaling the business for commercial readiness in oncology in multiple countries by the end of 2025.</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June 30, 2024, we had cash and cash equivalents of € 10,376.7 million, current security investments of €6,916.7 million and non-current security investments of €1,191.7 million, accumulating to €18,485.1 million in cash, cash equivalents and security investments.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and cash equivalents and financial securities are invested in accordance with our asset management and investment policy, primarily with a focus on liquidity and capital preservation, and consist primarily of cash in bank accounts and on hand as well as long- and short-term financial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Cash Flow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primary sources and uses of cash for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4290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C9673"/>
        </w:rPr>
        <w:t>Net cash flows from /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290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005A64"/>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290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005A64"/>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290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005A64"/>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290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53" w:lineRule="exact"/>
        <w:rPr>
          <w:sz w:val="20"/>
          <w:szCs w:val="20"/>
          <w:color w:val="auto"/>
        </w:rPr>
      </w:pPr>
    </w:p>
    <w:p>
      <w:pPr>
        <w:ind w:left="20"/>
        <w:spacing w:after="0" w:line="280" w:lineRule="auto"/>
        <w:rPr>
          <w:sz w:val="20"/>
          <w:szCs w:val="20"/>
          <w:color w:val="auto"/>
        </w:rPr>
      </w:pPr>
      <w:r>
        <w:rPr>
          <w:rFonts w:ascii="Arial" w:cs="Arial" w:eastAsia="Arial" w:hAnsi="Arial"/>
          <w:sz w:val="16"/>
          <w:szCs w:val="16"/>
          <w:b w:val="1"/>
          <w:bCs w:val="1"/>
          <w:color w:val="005A64"/>
        </w:rPr>
        <w:t>Total cash inflow / (outflow) before change in cash and cash equivalents resulting from exchange rate differences and other valuation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4290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284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005A64"/>
              </w:rPr>
              <w:t>Three months ended</w:t>
            </w:r>
          </w:p>
        </w:tc>
        <w:tc>
          <w:tcPr>
            <w:tcW w:w="80" w:type="dxa"/>
            <w:vAlign w:val="bottom"/>
          </w:tcPr>
          <w:p>
            <w:pPr>
              <w:spacing w:after="0"/>
              <w:rPr>
                <w:sz w:val="17"/>
                <w:szCs w:val="17"/>
                <w:color w:val="auto"/>
              </w:rPr>
            </w:pPr>
          </w:p>
        </w:tc>
        <w:tc>
          <w:tcPr>
            <w:tcW w:w="2040" w:type="dxa"/>
            <w:vAlign w:val="bottom"/>
            <w:gridSpan w:val="4"/>
          </w:tcPr>
          <w:p>
            <w:pPr>
              <w:jc w:val="center"/>
              <w:ind w:left="559"/>
              <w:spacing w:after="0"/>
              <w:rPr>
                <w:sz w:val="20"/>
                <w:szCs w:val="20"/>
                <w:color w:val="auto"/>
              </w:rPr>
            </w:pPr>
            <w:r>
              <w:rPr>
                <w:rFonts w:ascii="Arial" w:cs="Arial" w:eastAsia="Arial" w:hAnsi="Arial"/>
                <w:sz w:val="16"/>
                <w:szCs w:val="16"/>
                <w:b w:val="1"/>
                <w:bCs w:val="1"/>
                <w:color w:val="005A64"/>
              </w:rPr>
              <w:t>Six months ended</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880" w:type="dxa"/>
            <w:vAlign w:val="bottom"/>
            <w:gridSpan w:val="4"/>
          </w:tcPr>
          <w:p>
            <w:pPr>
              <w:jc w:val="center"/>
              <w:ind w:left="759"/>
              <w:spacing w:after="0"/>
              <w:rPr>
                <w:sz w:val="20"/>
                <w:szCs w:val="20"/>
                <w:color w:val="auto"/>
              </w:rPr>
            </w:pPr>
            <w:r>
              <w:rPr>
                <w:rFonts w:ascii="Arial" w:cs="Arial" w:eastAsia="Arial" w:hAnsi="Arial"/>
                <w:sz w:val="16"/>
                <w:szCs w:val="16"/>
                <w:b w:val="1"/>
                <w:bCs w:val="1"/>
                <w:color w:val="005A64"/>
                <w:w w:val="99"/>
              </w:rPr>
              <w:t>June 30,</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4"/>
          </w:tcPr>
          <w:p>
            <w:pPr>
              <w:jc w:val="center"/>
              <w:ind w:left="599"/>
              <w:spacing w:after="0"/>
              <w:rPr>
                <w:sz w:val="20"/>
                <w:szCs w:val="20"/>
                <w:color w:val="auto"/>
              </w:rPr>
            </w:pPr>
            <w:r>
              <w:rPr>
                <w:rFonts w:ascii="Arial" w:cs="Arial" w:eastAsia="Arial" w:hAnsi="Arial"/>
                <w:sz w:val="16"/>
                <w:szCs w:val="16"/>
                <w:b w:val="1"/>
                <w:bCs w:val="1"/>
                <w:color w:val="005A64"/>
                <w:w w:val="99"/>
              </w:rPr>
              <w:t>June 30,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1360" w:type="dxa"/>
            <w:vAlign w:val="bottom"/>
            <w:tcBorders>
              <w:bottom w:val="single" w:sz="8" w:color="BECD32"/>
            </w:tcBorders>
            <w:gridSpan w:val="2"/>
          </w:tcPr>
          <w:p>
            <w:pPr>
              <w:spacing w:after="0"/>
              <w:rPr>
                <w:sz w:val="10"/>
                <w:szCs w:val="10"/>
                <w:color w:val="auto"/>
              </w:rPr>
            </w:pPr>
          </w:p>
        </w:tc>
        <w:tc>
          <w:tcPr>
            <w:tcW w:w="12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20" w:type="dxa"/>
            <w:vAlign w:val="bottom"/>
          </w:tcPr>
          <w:p>
            <w:pPr>
              <w:spacing w:after="0"/>
              <w:rPr>
                <w:sz w:val="10"/>
                <w:szCs w:val="10"/>
                <w:color w:val="auto"/>
              </w:rPr>
            </w:pPr>
          </w:p>
        </w:tc>
        <w:tc>
          <w:tcPr>
            <w:tcW w:w="1340" w:type="dxa"/>
            <w:vAlign w:val="bottom"/>
            <w:tcBorders>
              <w:bottom w:val="single" w:sz="8" w:color="BECD32"/>
            </w:tcBorders>
            <w:gridSpan w:val="2"/>
          </w:tcPr>
          <w:p>
            <w:pPr>
              <w:spacing w:after="0"/>
              <w:rPr>
                <w:sz w:val="10"/>
                <w:szCs w:val="10"/>
                <w:color w:val="auto"/>
              </w:rPr>
            </w:pPr>
          </w:p>
        </w:tc>
        <w:tc>
          <w:tcPr>
            <w:tcW w:w="12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33"/>
        </w:trPr>
        <w:tc>
          <w:tcPr>
            <w:tcW w:w="1360" w:type="dxa"/>
            <w:vAlign w:val="bottom"/>
            <w:tcBorders>
              <w:left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00" w:type="dxa"/>
            <w:vAlign w:val="bottom"/>
            <w:tcBorders>
              <w:left w:val="single" w:sz="8" w:color="BECD32"/>
            </w:tcBorders>
          </w:tcPr>
          <w:p>
            <w:pPr>
              <w:spacing w:after="0"/>
              <w:rPr>
                <w:sz w:val="20"/>
                <w:szCs w:val="20"/>
                <w:color w:val="auto"/>
              </w:rPr>
            </w:pPr>
          </w:p>
        </w:tc>
        <w:tc>
          <w:tcPr>
            <w:tcW w:w="1260" w:type="dxa"/>
            <w:vAlign w:val="bottom"/>
            <w:tcBorders>
              <w:top w:val="single" w:sz="8" w:color="005A64"/>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005A64"/>
              <w:bottom w:val="single" w:sz="8" w:color="7FACB1"/>
            </w:tcBorders>
          </w:tcPr>
          <w:p>
            <w:pPr>
              <w:spacing w:after="0"/>
              <w:rPr>
                <w:sz w:val="20"/>
                <w:szCs w:val="20"/>
                <w:color w:val="auto"/>
              </w:rPr>
            </w:pPr>
          </w:p>
        </w:tc>
        <w:tc>
          <w:tcPr>
            <w:tcW w:w="840" w:type="dxa"/>
            <w:vAlign w:val="bottom"/>
            <w:tcBorders>
              <w:top w:val="single" w:sz="8" w:color="005A64"/>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top w:val="single" w:sz="8" w:color="005A64"/>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005A64"/>
              <w:bottom w:val="single" w:sz="8" w:color="7FACB1"/>
            </w:tcBorders>
          </w:tcPr>
          <w:p>
            <w:pPr>
              <w:spacing w:after="0"/>
              <w:rPr>
                <w:sz w:val="20"/>
                <w:szCs w:val="20"/>
                <w:color w:val="auto"/>
              </w:rPr>
            </w:pPr>
          </w:p>
        </w:tc>
        <w:tc>
          <w:tcPr>
            <w:tcW w:w="680" w:type="dxa"/>
            <w:vAlign w:val="bottom"/>
            <w:tcBorders>
              <w:top w:val="single" w:sz="8" w:color="005A64"/>
              <w:bottom w:val="single" w:sz="8" w:color="7FACB1"/>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1,627.2</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7FACB1"/>
            </w:tcBorders>
          </w:tcPr>
          <w:p>
            <w:pPr>
              <w:spacing w:after="0"/>
              <w:rPr>
                <w:sz w:val="20"/>
                <w:szCs w:val="20"/>
                <w:color w:val="auto"/>
              </w:rPr>
            </w:pPr>
          </w:p>
        </w:tc>
        <w:tc>
          <w:tcPr>
            <w:tcW w:w="8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4,386.7</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1,309.9</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bottom w:val="single" w:sz="8" w:color="7FACB1"/>
            </w:tcBorders>
          </w:tcPr>
          <w:p>
            <w:pPr>
              <w:spacing w:after="0"/>
              <w:rPr>
                <w:sz w:val="20"/>
                <w:szCs w:val="2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3,709.3</w:t>
            </w:r>
          </w:p>
        </w:tc>
        <w:tc>
          <w:tcPr>
            <w:tcW w:w="0" w:type="dxa"/>
            <w:vAlign w:val="bottom"/>
          </w:tcPr>
          <w:p>
            <w:pPr>
              <w:spacing w:after="0"/>
              <w:rPr>
                <w:sz w:val="1"/>
                <w:szCs w:val="1"/>
                <w:color w:val="auto"/>
              </w:rPr>
            </w:pPr>
          </w:p>
        </w:tc>
      </w:tr>
      <w:tr>
        <w:trPr>
          <w:trHeight w:val="236"/>
        </w:trPr>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(241.4)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7FACB1"/>
            </w:tcBorders>
          </w:tcPr>
          <w:p>
            <w:pPr>
              <w:spacing w:after="0"/>
              <w:rPr>
                <w:sz w:val="20"/>
                <w:szCs w:val="20"/>
                <w:color w:val="auto"/>
              </w:rPr>
            </w:pPr>
          </w:p>
        </w:tc>
        <w:tc>
          <w:tcPr>
            <w:tcW w:w="8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(2,291.8)</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(2,545.8)</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bottom w:val="single" w:sz="8" w:color="7FACB1"/>
            </w:tcBorders>
          </w:tcPr>
          <w:p>
            <w:pPr>
              <w:spacing w:after="0"/>
              <w:rPr>
                <w:sz w:val="20"/>
                <w:szCs w:val="2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w w:val="99"/>
              </w:rPr>
              <w:t>(3,027.2)</w:t>
            </w:r>
          </w:p>
        </w:tc>
        <w:tc>
          <w:tcPr>
            <w:tcW w:w="0" w:type="dxa"/>
            <w:vAlign w:val="bottom"/>
          </w:tcPr>
          <w:p>
            <w:pPr>
              <w:spacing w:after="0"/>
              <w:rPr>
                <w:sz w:val="1"/>
                <w:szCs w:val="1"/>
                <w:color w:val="auto"/>
              </w:rPr>
            </w:pPr>
          </w:p>
        </w:tc>
      </w:tr>
      <w:tr>
        <w:trPr>
          <w:trHeight w:val="237"/>
        </w:trPr>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(22.9)</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7FACB1"/>
            </w:tcBorders>
          </w:tcPr>
          <w:p>
            <w:pPr>
              <w:spacing w:after="0"/>
              <w:rPr>
                <w:sz w:val="20"/>
                <w:szCs w:val="20"/>
                <w:color w:val="auto"/>
              </w:rPr>
            </w:pPr>
          </w:p>
        </w:tc>
        <w:tc>
          <w:tcPr>
            <w:tcW w:w="8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(163.4)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(30.7)</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bottom w:val="single" w:sz="8" w:color="7FACB1"/>
            </w:tcBorders>
          </w:tcPr>
          <w:p>
            <w:pPr>
              <w:spacing w:after="0"/>
              <w:rPr>
                <w:sz w:val="20"/>
                <w:szCs w:val="2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(454.7)</w:t>
            </w:r>
          </w:p>
        </w:tc>
        <w:tc>
          <w:tcPr>
            <w:tcW w:w="0" w:type="dxa"/>
            <w:vAlign w:val="bottom"/>
          </w:tcPr>
          <w:p>
            <w:pPr>
              <w:spacing w:after="0"/>
              <w:rPr>
                <w:sz w:val="1"/>
                <w:szCs w:val="1"/>
                <w:color w:val="auto"/>
              </w:rPr>
            </w:pPr>
          </w:p>
        </w:tc>
      </w:tr>
      <w:tr>
        <w:trPr>
          <w:trHeight w:val="425"/>
        </w:trPr>
        <w:tc>
          <w:tcPr>
            <w:tcW w:w="1360" w:type="dxa"/>
            <w:vAlign w:val="bottom"/>
            <w:tcBorders>
              <w:left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1,362.9</w:t>
            </w:r>
          </w:p>
        </w:tc>
        <w:tc>
          <w:tcPr>
            <w:tcW w:w="12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005A64"/>
              </w:rPr>
              <w:t>1,931.5</w:t>
            </w:r>
          </w:p>
        </w:tc>
        <w:tc>
          <w:tcPr>
            <w:tcW w:w="120" w:type="dxa"/>
            <w:vAlign w:val="bottom"/>
            <w:tcBorders>
              <w:right w:val="single" w:sz="8" w:color="BECD32"/>
            </w:tcBorders>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(1,266.6)</w:t>
            </w:r>
          </w:p>
        </w:tc>
        <w:tc>
          <w:tcPr>
            <w:tcW w:w="12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005A64"/>
              </w:rPr>
              <w:t>227.4</w:t>
            </w:r>
          </w:p>
        </w:tc>
        <w:tc>
          <w:tcPr>
            <w:tcW w:w="0" w:type="dxa"/>
            <w:vAlign w:val="bottom"/>
          </w:tcPr>
          <w:p>
            <w:pPr>
              <w:spacing w:after="0"/>
              <w:rPr>
                <w:sz w:val="1"/>
                <w:szCs w:val="1"/>
                <w:color w:val="auto"/>
              </w:rPr>
            </w:pPr>
          </w:p>
        </w:tc>
      </w:tr>
      <w:tr>
        <w:trPr>
          <w:trHeight w:val="210"/>
        </w:trPr>
        <w:tc>
          <w:tcPr>
            <w:tcW w:w="100" w:type="dxa"/>
            <w:vAlign w:val="bottom"/>
            <w:tcBorders>
              <w:left w:val="single" w:sz="8" w:color="BECD32"/>
              <w:bottom w:val="single" w:sz="8" w:color="BECD32"/>
            </w:tcBorders>
          </w:tcPr>
          <w:p>
            <w:pPr>
              <w:spacing w:after="0"/>
              <w:rPr>
                <w:sz w:val="18"/>
                <w:szCs w:val="18"/>
                <w:color w:val="auto"/>
              </w:rPr>
            </w:pPr>
          </w:p>
        </w:tc>
        <w:tc>
          <w:tcPr>
            <w:tcW w:w="1260" w:type="dxa"/>
            <w:vAlign w:val="bottom"/>
            <w:tcBorders>
              <w:bottom w:val="single" w:sz="8" w:color="BECD32"/>
            </w:tcBorders>
          </w:tcPr>
          <w:p>
            <w:pPr>
              <w:spacing w:after="0"/>
              <w:rPr>
                <w:sz w:val="18"/>
                <w:szCs w:val="18"/>
                <w:color w:val="auto"/>
              </w:rPr>
            </w:pPr>
          </w:p>
        </w:tc>
        <w:tc>
          <w:tcPr>
            <w:tcW w:w="120" w:type="dxa"/>
            <w:vAlign w:val="bottom"/>
            <w:tcBorders>
              <w:bottom w:val="single" w:sz="8" w:color="BECD32"/>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005A64"/>
            </w:tcBorders>
          </w:tcPr>
          <w:p>
            <w:pPr>
              <w:spacing w:after="0"/>
              <w:rPr>
                <w:sz w:val="18"/>
                <w:szCs w:val="18"/>
                <w:color w:val="auto"/>
              </w:rPr>
            </w:pPr>
          </w:p>
        </w:tc>
        <w:tc>
          <w:tcPr>
            <w:tcW w:w="840" w:type="dxa"/>
            <w:vAlign w:val="bottom"/>
            <w:tcBorders>
              <w:bottom w:val="single" w:sz="8" w:color="005A64"/>
            </w:tcBorders>
          </w:tcPr>
          <w:p>
            <w:pPr>
              <w:spacing w:after="0"/>
              <w:rPr>
                <w:sz w:val="18"/>
                <w:szCs w:val="18"/>
                <w:color w:val="auto"/>
              </w:rPr>
            </w:pPr>
          </w:p>
        </w:tc>
        <w:tc>
          <w:tcPr>
            <w:tcW w:w="120" w:type="dxa"/>
            <w:vAlign w:val="bottom"/>
            <w:tcBorders>
              <w:right w:val="single" w:sz="8" w:color="BECD32"/>
            </w:tcBorders>
          </w:tcPr>
          <w:p>
            <w:pPr>
              <w:spacing w:after="0"/>
              <w:rPr>
                <w:sz w:val="18"/>
                <w:szCs w:val="18"/>
                <w:color w:val="auto"/>
              </w:rPr>
            </w:pPr>
          </w:p>
        </w:tc>
        <w:tc>
          <w:tcPr>
            <w:tcW w:w="80" w:type="dxa"/>
            <w:vAlign w:val="bottom"/>
            <w:tcBorders>
              <w:bottom w:val="single" w:sz="8" w:color="BECD32"/>
            </w:tcBorders>
          </w:tcPr>
          <w:p>
            <w:pPr>
              <w:spacing w:after="0"/>
              <w:rPr>
                <w:sz w:val="18"/>
                <w:szCs w:val="18"/>
                <w:color w:val="auto"/>
              </w:rPr>
            </w:pPr>
          </w:p>
        </w:tc>
        <w:tc>
          <w:tcPr>
            <w:tcW w:w="1260" w:type="dxa"/>
            <w:vAlign w:val="bottom"/>
            <w:tcBorders>
              <w:bottom w:val="single" w:sz="8" w:color="BECD32"/>
            </w:tcBorders>
          </w:tcPr>
          <w:p>
            <w:pPr>
              <w:spacing w:after="0"/>
              <w:rPr>
                <w:sz w:val="18"/>
                <w:szCs w:val="18"/>
                <w:color w:val="auto"/>
              </w:rPr>
            </w:pPr>
          </w:p>
        </w:tc>
        <w:tc>
          <w:tcPr>
            <w:tcW w:w="120" w:type="dxa"/>
            <w:vAlign w:val="bottom"/>
            <w:tcBorders>
              <w:bottom w:val="single" w:sz="8" w:color="BECD32"/>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005A64"/>
            </w:tcBorders>
          </w:tcPr>
          <w:p>
            <w:pPr>
              <w:spacing w:after="0"/>
              <w:rPr>
                <w:sz w:val="18"/>
                <w:szCs w:val="18"/>
                <w:color w:val="auto"/>
              </w:rPr>
            </w:pPr>
          </w:p>
        </w:tc>
        <w:tc>
          <w:tcPr>
            <w:tcW w:w="680" w:type="dxa"/>
            <w:vAlign w:val="bottom"/>
            <w:tcBorders>
              <w:bottom w:val="single" w:sz="8" w:color="005A64"/>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ectPr>
          <w:pgSz w:w="11900" w:h="16838" w:orient="portrait"/>
          <w:cols w:equalWidth="0" w:num="2">
            <w:col w:w="4880" w:space="620"/>
            <w:col w:w="5740"/>
          </w:cols>
          <w:pgMar w:left="320" w:top="341" w:right="33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005A64"/>
        </w:rPr>
        <w:t>Operating Activities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derive cash flows from operations primarily from the sale of products and services rendered. Our cash flows from operating activities are significantly influenced by cash we generated as settlement payments of our gross profit as well as our use of cash for operating expenses and working capital to support the business.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generated in operating activities for the three months ended June 30, 2024, was €1,627.2 million. Cash received from our revenue streams exceeded the cash payments for our operating business, resulting in an increase in cash of €1,455.6 million. Additionally, we received positive cash contributions from tax refunds for 2024 from overpayments of €66.4 million, from grants of €32.8 million and from returns like interests or sales resulting from our financial investments of €80.8 million.</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generated in operating activities for the three months ended June 30, 2023, was €4,386.7 million, comprising a loss before tax of €412.2 million, negative non-cash adjustments of €353.2 million, and a net</w:t>
      </w:r>
    </w:p>
    <w:p>
      <w:pPr>
        <w:sectPr>
          <w:pgSz w:w="11900" w:h="16838" w:orient="portrait"/>
          <w:cols w:equalWidth="0" w:num="1">
            <w:col w:w="11240"/>
          </w:cols>
          <w:pgMar w:left="320" w:top="3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40"/>
          </w:cols>
          <w:pgMar w:left="320" w:top="341" w:right="3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positive change in assets and liabilities of € 4,704.9 million and income taxes received of €437.3 million. Non-cash items primarily included net foreign exchange differences as well as fair value adjustments of derivatives without cash-effect. The net positive change in assets and liabilities was primarily due to a decrease in trade and other receivables mainly including the settlement payment of our gross profit for the fourth quarter of 2022.</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generated in operating activities for the six months ended June 30, 2024, was €1,309.9 million. Cash received from our revenue streams exceeded the cash payments for our operating business, resulting in an increase in cash of €1,194.6 million. Additionally, we received positive cash contribution from grants of €42.0 million and from returns like interests or sales resulting from our financial investments of €280.2 million. On the other hand, we paid income taxes of €192.4 million.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generated in operating activities for the six months ended June 30, 2023, was €3,709.3 million, comprising a profit before tax of €295.5 million, negative non-cash adjustments of €267.8 million, and a net positive change in assets and liabilities of €4,752.6 million and income taxes paid of €407.6 million. Non-cash items primarily included net foreign exchange differences as well as non-cash fair value adjustments of derivatives. The net positive change in assets and liabilities was primarily due to a decrease in trade and other receivables, other financial liabilities and other liabilities mainly including the settlement payment of our gross profit for the fourth quarter of 2022, wage tax and social security payments from our share-based payment settlement and royalty payments.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05A64"/>
        </w:rPr>
        <w:t>Investing Activities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investing activities for the three months ended June 30, 2024, was €241.4 million. The amount includes €100.3 million mainly spent on security investments. The capital expenditures supporting our operating activities amounted to €94.4 million, whereof the majority was related to investments in building our laboratory and office facilities in Mainz, Germany, and in our facility in Singapore.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investing activities for the three months ended June 30, 2023, was €2,291.8 million, mainly attributable to financial security investments in accordance with our asset management and investment policy. The amount caused by or driven from collaborations amounted to €237.8 million mainly related to licenses acquired in connection with license and collaboration agreements.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investing activities for the six months ended June 30, 2024, was €2,545.8 million. The amount includes €2,267.8 million mainly spent on security investments. The capital expenditures supporting our operating activities amounted to €156.9 million, whereof the majority was related to investments in building our laboratory and office facilities in Mainz, Germany.</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investing activities for the six months ended June 30, 2023, was €3,027.2 million, mainly attributable to financial security investments in accordance with our asset management and investment policy. The amount caused by or driven from collaborations amounted to €237.8 million mainly related to licenses acquired in connection with license and collaboration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005A64"/>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for the three months ended June 30, 2024, was €22.9 million, mainly related to our lease payments.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three months ended June 30, 2023, net cash used in financing activities was €163.4 million, primarily resulting from the share repurchase program.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for the six months ended June 30, 2024, was €30.7 million, mainly related to our lease payments.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six months ended June 30, 2023, net cash used in financing activities was €454.7 million, primarily resulting from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341" w:right="3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Operation and Funding Requirements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part of our capital allocation strategy, we expect to continue to incur significant and increasing operating expenses for the foreseeable future. We anticipate that our expenses will increase substantially if and as we and our collaborators:</w:t>
      </w:r>
    </w:p>
    <w:p>
      <w:pPr>
        <w:spacing w:after="0" w:line="153"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continue or expand our research or development of our programs in preclinical development;</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continue or expand the scope of our clinical trials for our product candidates;</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initiate additional preclinical, clinical, or other trials for our product candidates, including under our collaboration agreements;</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invest in our immunotherapy platforms to conduct research to identify novel technologies;</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change or increase our manufacturing capacity or capability;</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change or add additional suppliers;</w:t>
      </w:r>
    </w:p>
    <w:p>
      <w:pPr>
        <w:spacing w:after="0" w:line="224"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add additional infrastructure to our quality control, quality assurance, legal, compliance and other groups to support our operations as a public company and our product development and commercialization efforts, including new and expanded sites globally;</w:t>
      </w:r>
    </w:p>
    <w:p>
      <w:pPr>
        <w:spacing w:after="0" w:line="1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attract and retain skilled personnel;</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seek marketing approvals and reimbursement for our product candidates;</w:t>
      </w:r>
    </w:p>
    <w:p>
      <w:pPr>
        <w:spacing w:after="0" w:line="224"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develop our sales, marketing, and distribution infrastructure for our COVID-19 vaccine and any other products for which we may obtain marketing approval or emergency use authorization;</w:t>
      </w:r>
    </w:p>
    <w:p>
      <w:pPr>
        <w:spacing w:after="0" w:line="1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seek to identify and validate additional product candidates;</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acquire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milestone or other payments under any in-license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maintain, protect, defend, enforce and expand our intellectual property portfolio; and</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any delays or encounter issues with any of the above.</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party to license and research and development agreements with universities and other third parties, as well as patent assignment agreements, under which we have obtained rights to patents, patent applications and know-how. We enter into contracts in the normal course of business with contract research organizations, or CROs, for clinical trials and clinical and commercial supply manufacturing, and with vendors for preclinical research studies and for other services and products for operating purposes. We work together with contract manufacturing organizations, or CMOs, who manufacture our product candidates and products, and enter into lease agreements to lease laboratory, GMP manufacturing, storage and office spaces. Purchase obligations under our agreements, to the extent that they are quantifiable and not cancellable, have been considered when defining our guidance for future cash commitments. Most of the committed cash outflow within the remaining months in 2024 is related to lease payments amounting to €43.5 million and commitments under purchase agreements and contractual obligations amounting to €263.1 million. Further, we have lease payment obligation with an amount of €246.9 million and commitments under purchase agreements and contractual obligations of €1,326.1 million for the years 2025 and beyond.</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subject to all of the risks related to the development and commercialization of pharmaceutical products, and we may encounter unforeseen expenses, difficulties, complications, delays and other unknown factors that may adversely affect our business.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40"/>
          </w:cols>
          <w:pgMar w:left="320" w:top="341" w:right="3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both near and long term, will depend on many factors, including, but not limited to:</w:t>
      </w:r>
    </w:p>
    <w:p>
      <w:pPr>
        <w:spacing w:after="0" w:line="225"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or nonclinical studies and clinical trials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 and timing of revenues and associated costs from sales of our COVID-19 vaccine;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results of research and our other platform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clinical development plans we establish for our product candidates;</w:t>
      </w:r>
    </w:p>
    <w:p>
      <w:pPr>
        <w:spacing w:after="0" w:line="22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terms of any agreements with our current or future collaborators, and the achievement of any milestone payments under such agreements to be paid to us or our collaborators;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 or may in-license;</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the EMA and other comparable regulatory authorities;</w:t>
      </w:r>
    </w:p>
    <w:p>
      <w:pPr>
        <w:spacing w:after="0" w:line="15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of filing, prosecuting, obtaining, maintaining, protecting, defending and enforcing our patent claims and other intellectual property rights, including actions for patent and other intellectual property infringement, misappropriation and other violations brought by third parties against us regarding our product candidates or actions by us challenging the patent or intellectual property rights of others;</w:t>
      </w:r>
    </w:p>
    <w:p>
      <w:pPr>
        <w:spacing w:after="0" w:line="17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including other products that may compete with one or more of our product candidates;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and timing of completion and further expansion of clinical and commercial scale manufacturing activities sufficient to support all of our current and future programs;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marketing approval and reimbursement in regions where we choose to commercialize our products on our own; and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terms of any ADS repurchases we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34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Risk Factors</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 is subject to various risks, including those described below. You should consider carefully the risks and uncertainties described below and in our future filings. If any such risks are realized, our business, financial condition, results of operations and prospects could be materially and adversely affected. Additionally, risks and uncertainties not currently known to us or that we currently deem to be immaterial also may materially adversely affect our business, financial condition, results of operations and/or prospects.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Risk Factor Summary</w:t>
      </w:r>
    </w:p>
    <w:p>
      <w:pPr>
        <w:spacing w:after="0" w:line="117" w:lineRule="exact"/>
        <w:rPr>
          <w:sz w:val="20"/>
          <w:szCs w:val="20"/>
          <w:color w:val="auto"/>
        </w:rPr>
      </w:pPr>
    </w:p>
    <w:p>
      <w:pPr>
        <w:jc w:val="both"/>
        <w:ind w:left="660" w:hanging="328"/>
        <w:spacing w:after="0" w:line="268"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Demand for our COVID-19 vaccine, though difficult to predict, is expected to continue to decrease in the near future. Changing market dynamics will impact our revenue, which currently depends heavily on sales of our COVID-19 vaccine, and result in challenges relating to production of our COVID-19 vaccine.</w:t>
      </w:r>
    </w:p>
    <w:p>
      <w:pPr>
        <w:spacing w:after="0" w:line="17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reported commercial revenue is partially based on preliminary estimates of COVID-19 vaccine sales and costs from Pfizer that are likely to change in future periods, which may impact our reported financial results.</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may be unsuccessful in adapting our COVID-19 vaccine or developing future versions of our COVID-19 vaccine to protect against variants of the SARS-CoV-2 virus and, even if we are successful, a market for vaccines against these variants may not develop.</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Significant adverse events may occur during our clinical trials or even after receiving regulatory approval, which could delay or terminate clinical trials and delay or prevent regulatory approval or market acceptance of any of our product candidates. Since commercialization, we have received, and expect to continue to receive, product liability claims related to our COVID-19 vaccine.</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we are unable to continue to increase our marketing and sales capabilities on our own or through third parties, we may not be able to market and sell our product candidates effectively in the United States and other jurisdictions, if approved, or generate product sales revenue.</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companies or organizations may challenge our intellectual property rights or may assert intellectual property rights that prevent us from developing and commercializing our COVID-19 vaccine or our product candidates and other technologies, or that negatively affect our results of operations.</w:t>
      </w:r>
    </w:p>
    <w:p>
      <w:pPr>
        <w:spacing w:after="0" w:line="17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Even if we obtain regulatory approval for our product candidates, the products may not gain the market acceptance among physicians, patients, hospitals, treatment centers and others in the medical community necessary for commercial success.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which makes our future operating results difficult to predict. If our operating results fall below expectations, the price of the ADSs representing our shares could decline.</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we identify material weaknesses in our internal control over financial reporting and fail to remediate such material weaknesses, we may not be able to report our financial results accurately or to prevent fraud.</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a “foreign private issuer,” we are exempt from a number of rules under U.S. securities laws, as well as Nasdaq rules, and we are permitted to file less information with the SEC than U.S. companies. This may limit the information available to holders of the ADSs and may make our ordinary shares and the ADSs less attractive to investors.</w:t>
      </w:r>
    </w:p>
    <w:p>
      <w:pPr>
        <w:spacing w:after="0" w:line="170" w:lineRule="exact"/>
        <w:rPr>
          <w:rFonts w:ascii="Arial" w:cs="Arial" w:eastAsia="Arial" w:hAnsi="Arial"/>
          <w:sz w:val="18"/>
          <w:szCs w:val="18"/>
          <w:color w:val="auto"/>
        </w:rPr>
      </w:pPr>
    </w:p>
    <w:p>
      <w:pPr>
        <w:jc w:val="both"/>
        <w:ind w:left="660" w:right="20" w:hanging="328"/>
        <w:spacing w:after="0" w:line="262"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Clinical development involves a lengthy and expensive process with an uncertain outcome, and delays can occur for a variety of reasons outside of our control. Clinical trials of our product candidates may be delayed, and certain programs may never advance in the clinic or may be more costly to conduct than we anticipate, any of which can affect our ability to fund our company and would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34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328"/>
        <w:spacing w:after="0" w:line="28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mRNA drug development has substantial clinical development and regulatory risks due to limited regulatory experience with mRNA immunotherapies.</w:t>
      </w:r>
    </w:p>
    <w:p>
      <w:pPr>
        <w:spacing w:after="0" w:line="15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approved product and product candidates are based on novel technologies and they may be complex and difficult to manufacture. We 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17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our efforts to obtain, maintain, protect, defend and/or enforce the intellectual property related to our COVID-19 vaccine or our product candidates and technologies are not adequate, we may not be able to compete effectively in our market.</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have experienced and may continue to experience significant volatility in the market price of the ADSs representing our ordinary shares.</w:t>
      </w:r>
    </w:p>
    <w:p>
      <w:pPr>
        <w:spacing w:after="0" w:line="1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principal shareholders and management own a significant percentage of our ordinary shares and will be able to exert significant control over matters subject to shareholder approval.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Risks Related to our COVID-19 Vaccine and the Commercialization of our Pipeline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Demand for our COVID-19 vaccine, though difficult to predict, is expected to continue to decrease in the near future. Changing market dynamics will impact our revenue, which currently depends heavily on sales of our COVID-19 vaccine, and result in challenges relating to production of our COVID-19 vaccine.</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commercialization of our COVID-19 vaccine, we had not sold or marketed any products in our pipeline. As a result, a majority of our total revenues to date are attributable to sales of our COVID-19 vaccine. However, we have experienced and we expect to continue to experience increasing reductions in demand for COVID-19 vaccination generally, including for our vaccine, as the virus becomes endemic and as a growing proportion of the population becomes vaccinated. We expect that future revenues from sales of our COVID-19 vaccine will decrease as demand for vaccination wanes. Such revenues will depend on numerous factors, including:</w:t>
      </w:r>
    </w:p>
    <w:p>
      <w:pPr>
        <w:spacing w:after="0" w:line="71" w:lineRule="exact"/>
        <w:rPr>
          <w:sz w:val="20"/>
          <w:szCs w:val="20"/>
          <w:color w:val="auto"/>
        </w:rPr>
      </w:pPr>
    </w:p>
    <w:p>
      <w:pPr>
        <w:ind w:left="660" w:hanging="328"/>
        <w:spacing w:after="0" w:line="28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extent to which a COVID-19 vaccine, including any booster shot, continues to be necessary as COVID-19 becomes an endemic virus;</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competition from other COVID-19 vaccines, including those with different mechanisms of action and different manufacturing and distribution constraints, on the basis of, among other things, efficacy, cost, convenience of storage and distribution, breadth of approved use, side-effect profile and durability of immune response;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successfully and timely develop effective vaccines targeting new variants and mutations of COVID-19;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receive full regulatory approvals where we currently have emergency use authorizations or equivalents;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expand our geographic customer base;</w:t>
      </w:r>
    </w:p>
    <w:p>
      <w:pPr>
        <w:spacing w:after="0" w:line="22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pricing and reimbursement negotiations with governmental authorities, private health insurers and other third-party payors after our initial sales to national governments, including the transition towards ordinary-course insurance coverage in the public and private sectors;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ability of countries and jurisdictions to store and distribute doses of our COVID-19 vaccine to end users at cold temperatures;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safety profile of our COVID-19 vaccine, including if previously unknown undesirable effects or increased incidence or severity of known undesirable effects are identified with our COVID-19 vaccine;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34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intellectual property litigation involving our COVID-19 vaccine and COVID-19 vaccines in general;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manufacturing and distribution capabilities for our COVID-19 vaccine.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cannot accurately predict the revenues our COVID-19 vaccine will generate in future periods or for how long our COVID-19 vaccine will continue to generate material revenues, and we cannot ensure it will maintain its competitive position. Uncertainty in the demand for our COVID-19 vaccine and difficulties in targeting appropriate supply of our COVID-19 vaccines have in the past resulted, and may in the future result, in significant inventory write-downs and cancellations of contract manufacturing orders. Our business and financial condition could be materially affected by lowered COVID-19 vaccine revenues resulting from any of the above factors, or by production and supply chain difficulties. In addition, if our revenues or market share of, or other financial metrics relating to, our COVID-19 vaccine do not meet the expectations of investors or securities analysts, the market price of the ADSs representing our ordinary shares may decline.</w:t>
      </w:r>
    </w:p>
    <w:p>
      <w:pPr>
        <w:spacing w:after="0" w:line="183"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5A64"/>
        </w:rPr>
        <w:t>Our reported commercial revenue is based on preliminary estimates of COVID-19 vaccine sales and costs from Pfizer that are likely to change in future periods, which may impact our reported financial results.</w:t>
      </w:r>
    </w:p>
    <w:p>
      <w:pPr>
        <w:spacing w:after="0" w:line="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reported commercial revenue is based on preliminary estimates from Pfizer, and other assumptions and judgments that we have made, which may be subject to significant uncertainties. Our commercial revenue includes preliminary estimates in part due to a difference in Pfizer’s financial quarter for subsidiaries outside the United States, which consequently creates an additional time lag between the recognition of revenues and the receipt of payment. Although our revenue recognition policy is based on facts and circumstances known to us and various other assumptions that we believe to be reasonable under the circumstances, our actual results may deviate from such reported revenue.</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depend on Pfizer to determine and provide estimates of the costs and profits to be shared with us in the countries where it is commercializing our COVID-19 vaccine under our collaboration agreement with Pfizer for our COVID-19 vaccine, which we refer to as the Pfizer Agreement. Because the information supplied by Pfizer is preliminary and subject to change, the commercial revenue we report based on such information is also subject to finalization. This is particularly true for vaccine sales outside of the United States, where Pfizer has a different reporting cycle than ours. As a result, we may not have the complete sales and costs results outside of the United States for months not covered by the reporting period, but we are nonetheless required to report estimated figures.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Pfizer has historically provided us with profit figures for our COVID-19 vaccine sales in the United States using standard U.S. transfer prices and manufacturing and shipping cost variances (as far as those have been identified) that could be subject to adjustment (e.g., due to changes in manufacturing costs or the price of our COVID-19 vaccine). Pfizer has also provided estimated profits for COVID-19 vaccine sales outside of the United States that were preliminary in nature for the last month of a quarter, as Pfizer’s subsidiaries outside of the United States have a different reporting cycle than ours. These estimated figures have changed, and in the future such estimated figures are likely to change, as we receive final data from Pfizer for the applicable period in accordance with the reporting cycle of Pfizer’s ex-U.S. subsidiaries and as actual costs become known. Further, to the extent that Pfizer does not provide such preliminary information in the future, our provisional sales figures for territories outside of the United States will be subject to an even greater level of estimate and judgment. Any changes to the preliminary data we report herein may have an impact on our reported revenues and expenses, profitability or financial position.</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may be unsuccessful in adapting our COVID-19 vaccine or developing future versions of our COVID-19 vaccine to protect against variants of the SARS-CoV-2 virus, and even if we are successful, a market for vaccines against these variants may not develop and our ability to continue to generate income from sales of our COVID-19 vaccine is uncertain.</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COVID-19 disease itself is unpredictable and each variant comes with varying levels of transmissibility and severity. Consequently, the burden of the disease may wane or dissipate such that our and other COVID-19 vaccines may be less essential from individual and public health perspectives.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COVID-19 vaccine was initially developed based upon the genetic sequence of the original SARS-CoV-2 virus that was first detected. The SARS-CoV-2 virus continues to evolve, and new strains of the virus or those that are already in circulation may prove more transmissible or cause more severe forms of COVID-19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34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disease than the predominant strains observed to date. Our vaccine may not be as effective in protecting against existing and future variant strains of the SARS-CoV-2 virus as it is against the original virus or currently known strains of the SARS-CoV-2 virus. While we continue to monitor emerging SARS-CoV-2 strains, undertake investigations into the immunogenicity of our COVID-19 vaccine against new variants as they emerge and develop modified versions of our COVID-19 vaccine against new variants, these efforts may be unsuccessful, and failure to timely and successfully adapt our vaccine to variants of the SARS-CoV-2 virus could lead to significant reputational harm and adversely affect our financial results. It is also possible that we may expend significant resources adapting our COVID-19 vaccine to protect against certain variants of the SARS-CoV-2 virus, but that a market for adapted vaccines does not develop for one or more variants or that demand does not align with our projections or cost expenditures. Moreover, even if we are successful in developing an adapted vaccine and there is a market for the new vaccine, new variants continue to emerge and any adapted vaccine may not be as effective in protecting against such future variant strains.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If we discover safety issues with our products, including our COVID-19 vaccine, that were not known at the time of approval, commercialization efforts for our products could be negatively affected, approved products could lose their approval or sales could be suspended, we could be subject to product liability claims and our business and reputation could be materially harmed.</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COVID-19 vaccine and any other product candidates for which we receive approval or emergency use authorization are subject to continuing regulatory oversight, including the review of additional safety information. Billions of doses of our COVID-19 vaccine have been delivered worldwide, and our COVID-19 vaccine is being more widely used by patients as an authorized product than it was used in clinical trials. As a result, undesirable effects and other problems may be observed that were not seen or anticipated, or were not as prevalent or severe, during clinical trials. We cannot provide assurance that newly discovered or developed safety issues will not arise, and we have received, and expect to continue to receive, product liability claims relating to our COVID-19 vaccine. With the use of any vaccine by a wide patient population, serious adverse events may occur from time to time that did not arise in clinical trials or that initially appeared to be unrelated to the vaccine itself and only with the collection of subsequent information were found to be causally related to the product. Safety events that arise outside of a clinical trial setting are difficult to monitor, and given the widespread use of our COVID-19 vaccine, we have experienced difficulty tracking potential treatment-related adverse events on a global basis. Any safety issues could cause us to suspend or cease marketing of our approved products, possibly subject us to substantial liabilities, and adversely affect our ability to generate revenue and our financial condition. The subsequent discovery of previously unknown problems with a product could negatively affect commercial sales of the product, result in restrictions on the product or lead to the withdrawal of the product from the market. The reporting of adverse safety events involving our products or public speculation about such events could cause the price of the ADSs representing our ordinary shares to decline or experience periods of volatility.</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Unexpected safety issues, including any that we have not yet observed in our clinical trials for our COVID-19 vaccine or in real world data, could lead to significant reputational damage for us and our product development platforms going forward and other issues, including delays in our other programs, the need for re-design of our clinical trials and the need for significant additional financial resources.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Failure to comply with continuing regulatory requirements by us or our collaboration partners could adversely impact regulatory approvals for our products, result in product recalls or suspensions, subject us to fines and/or other types of liabilities.</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or our collaborators fail to comply with applicable continuing regulatory requirements, including good industry practices, such as good manufacturing practices, or GMP, we or our collaborators may be subject to fines, suspension or withdrawal of regulatory approvals for specific drugs, product recalls and seizures, operating restrictions and/or criminal prosecutions. We and the manufacturers we engage to make our products and the manufacturing facilities in which our products are made are subject to periodic review and inspection by the U.S. FDA and other regulatory authorities. If problems are identified during a review or inspection, we or our collaborators may be the subject of adverse regulatory action, including the issuance of untitled or warning letters, which could result in our inability to use the facility to make our product or a determination that inventories are not safe for commercial sale. Any of these factors could adversely affect our business prospects and our financial position could be materially harmed.</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The successful commercialization of our product candidates will depend in part on the extent to which governmental authorities, private health insurers and other third-party payors provide coverage and adequate reimbursement levels and implement pricing policies favorable to our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341"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product candidates. Failure to obtain or maintain coverage and adequate reimbursement for our product candidates, if approved, and/or delayed payments from government authorities could limit our ability to market those products and decrease our ability to generate revenue.</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availability and extent of reimbursement by governmental and private payors is essential for most patients to be able to afford certain treatments, including our COVID-19 vaccine and other product candidates we may develop and sell. In addition, because our mRNA product candidates represent an entirely new therapeutic modality, we cannot accurately estimate how future products we may develop and sell would be priced, whether reimbursement could be obtained, or any potential revenue.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in any of our products. Additionally, even if pricing terms with governmental authorities are agreed upon, there may be delayed or denied payments.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is significant uncertainty related to the insurance coverage and reimbursement for newly approved products in particular in the United States, including genetic medicines. In the United States, the principal decisions about reimbursement for new medicines are typically made by the Centers for Medicare &amp; Medicaid Services, or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novel products such as ours. Reimbursement agencies in Europe may be more conservative than CMS. For example, a number of cancer drugs have been approved for reimbursement in the United States but have not been approved for reimbursement in certain European countries.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Outside the United States, certain countries, including a number of member states of the European Union, set prices and reimbursement for pharmaceutical products, with limited participation from the marketing authorization holders.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marketed. In many countries,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The Inflation Reduction Act, or IRA, enacted in August 2022 allows HHS to negotiate the price of certain drugs and biologics that CMS reimburses under Medicare Part B and Part D. The IRA’s negotiation program will apply to high-expenditure single-source drugs that have been approved for at least 7 years (11 years for biologics), among other negotiation selection criteria. The negotiated prices, which will become effective in 2026 for the first round of selected drugs, will be capped at a statutorily-determined ceiling price.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once the out-of-pocket maximum has been reached. The IRA permits the Secretary of HHS to implement many of these provisions through guidance, as opposed to regulation, for the initial years. Manufacturers that fail to comply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341"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the IRA may be subject to various penalties, including civil monetary penalties. These IRA provisions have begun to take effect progressively starting in 2023, although the drug negotiation provisions of the IRA are currently the subject of legal challenges. The effects of the IRA on our business and the healthcare industry in general are not yet known. These laws and regulations may result in additional reductions in Medicare and other healthcare funding and otherwise affect the prices we may obtain for any of our products for which we may obtain regulatory approval or the frequency with which any such product is prescribed or used.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importing from other countries and bulk purchasing.</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surgical procedures and other treatments, has become very intense. As a result, increasingly high barriers are being erected to the entry of new products in the marketplace.</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Government policies, including relating to manufacturing or export controls, and negative public perception regarding vaccines and mRNA-based therapeutics could severely and adversely impact the manufacturing and sales of our COVID-19 vaccine and other product candidates we may develop, if approved.</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is a heightened risk that vaccines could be subject to export controls, adverse emergency actions or supply requirements by governmental and other authorities. In the past, the European Union and other regions have imposed, or threatened to impose, export controls that would limit or block the delivery of COVID-19 vaccines manufactured in or outside their territories in instances where manufacturers have been delayed or have not fully satisfied their delivery obligations to such governments, which could have prohibited us from delivering our COVID-19 vaccine to other jurisdictions. Vaccines are also at risk of being subject to adverse emergency actions taken by governmental entities in certain countries, including intellectual property expropriation, compulsory licenses, strict price controls or other actions, such as the requirement that specific quantities of vaccine doses be set aside for designated purposes or geographic areas.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Furthermore, public sentiment regarding commercialization of vaccines, the safety and efficacy of our COVID-19 vaccine, other COVID-19 vaccines and treatments, and other public perceptions and misinformation relating to COVID-19, mRNA technology, and our and other COVID-19 vaccines may limit our ability to generate income from sales of our COVID-19 vaccine and other product candidates we may develop and sell, and cause reputational damage.</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face significant competition with other makers of COVID-19 vaccines and may be unable to maintain a competitive market share for our COVID-19 vaccine.</w:t>
      </w: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number of vaccine manufacturers, academic institutions and other organizations currently have programs to develop COVID-19 vaccine candidates, including vaccines developed by Moderna, Inc. and Novavax, Inc. Our competitors pursuing vaccine candidates may have greater financial, product candidate development, manufacturing and marketing resources than we do. Larger pharmaceutical and biotechnology companies have extensive experience in clinical testing and obtaining regulatory approval for their products, and may have the resources to invest heavily to accelerate discovery and development of their vaccine candidates.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efforts to continue successful commercialization of our COVID-19 vaccine may fail if competitors develop and commercialize COVID-19 vaccines that are safer, more effective, produce longer immunity against COVID-19, require fewer administrations, have fewer or less severe undesirable effects, have broader market acceptance, are more convenient to administer or distribute or are less expensive than any vaccine candidate that we have developed or we may develop.</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34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may not be able to demonstrate sufficient efficacy or safety of our COVID-19 vaccine to obtain permanent regulatory approval in jurisdictions where it has been authorized for emergency use or granted conditional marketing approval.</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COVID-19 vaccine has been granted full U.S. FDA approval for individuals 12 years and older, emergency or limited use authorization in a number of countries and in the United States for individuals 6 months to 12 years of age and approval for use in certain other countries. Our COVID-19 vaccine has not yet received full approval by regulatory authorities in certain countries where it has been authorized for emergency or temporary use. We and Pfizer intend to continue to observe our COVID-19 vaccine, including vaccine candidates that we may develop for other variants of COVID-19, in global clinical trials. It is possible that subsequent data from these clinical trials may not be as favorable as data we submitted to regulatory authorities to support our applications for emergency use authorization or marketing or conditional marketing approval or that concerns about the safety of our COVID-19 vaccine will arise from the widespread use of our COVID-19 vaccine outside of clinical trials. Our COVID-19 vaccine may not receive approval outside of the emergency use setting in the countries where it is not currently approved, which could adversely affect our business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Our COVID-19 vaccine is sensitive to temperature, shipping and storage conditions and could be subject to risk of loss or damage.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COVID-19 vaccine is, and other product candidates we develop could be, sensitive to temperature, storage and handling conditions. In particular, while we have improved the required shipping and storage conditions of our COVID-19 vaccine, it must be shipped and stored at cold temperatures. Loss in supply of our COVID-19 vaccine and our product candidates could occur if the product or product intermediates are not stored or handled properly. Shelf life for our product candidates may vary by product, and it is possible that supply of our COVID-19 vaccine or our product candidates could be lost due to expiration prior to use. This has in the past led, and could in the future lead, to additional manufacturing costs and delays in our ability to supply required quantities for clinical trials or for commercial purposes. Such distribution challenges may make our COVID-19 vaccine a less attractive product than other COVID-19 vaccines that do not require as cold storage, and our COVID-19 vaccine may become increasingly less competitive as additional other vaccines become authorized for emergency use. If we, our partners and customers are unable to adequately manage these issues, we may be exposed to product liability claims and the market opportunity for our COVID-19 vaccine may be reduced, each of which could adversely affect our business prospects and materially harm our financial condition.</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are developing other product candidates and services in an environment of rapid technological and scientific change, and our failure to effectively compete would prevent us from achieving significant market penetration. Most of our competitors have significantly greater resources than we do and we may not be able to compete successfully.</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171" w:lineRule="exact"/>
        <w:rPr>
          <w:sz w:val="20"/>
          <w:szCs w:val="20"/>
          <w:color w:val="auto"/>
        </w:rPr>
      </w:pPr>
    </w:p>
    <w:p>
      <w:pPr>
        <w:ind w:left="660" w:hanging="328"/>
        <w:spacing w:after="0" w:line="28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greater financial, technical and human resources than we have at every stage of the discovery, development, manufacture and commercialization of products;</w:t>
      </w:r>
    </w:p>
    <w:p>
      <w:pPr>
        <w:spacing w:after="0" w:line="1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more extensive experience in preclinical testing, conducting clinical trials, obtaining regulatory approvals and manufacturing, marketing and selling drug products;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product candidates that are based on previously tested or accepted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collaborative arrangements in our target markets with leading companies and research institutions.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will continue to face intense competition from products that have already been approved and accepted by the medical community for the treatment of the conditions for which we may develop products in the future. We also expect to face competition from new products that enter the market. There are a number of products currently under development, which may become commercially available in the future, for the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34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treatment of conditions for which we are trying, or may in the future try, to develop drugs. These drugs may be more effective, safer, less expensive, or marketed and sold more effectively than any products we develop.</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anticipate competing with the largest pharmaceutical companies in the world, many of which are currently conducting research in the fields of infectious diseases, immuno-oncology, rare genetic diseases and cancer immunotherapies. Some of these companies have greater financial and human resources than we currently have. In addition to these large pharmaceutical companies, we may directly compete with fully-integrated biopharmaceutical companies and other immunotherapy-focused oncology companies, as well as a number of companies focused on immunotherapies or shared tumor antigen and neoantigen therapeutics, some of which have entered into collaboration and funding agreements with larger pharmaceutical or biotechnology companies.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we successfully develop other product candidates, and obtain approval for them, we will face competition based on many different factors, including:</w:t>
      </w:r>
    </w:p>
    <w:p>
      <w:pPr>
        <w:spacing w:after="0" w:line="153"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safety and effectiveness of our products relative to alternative therapies,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ease with which our products can be administered and the extent to which patients accept relatively new routes of administration;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and scope of regulatory approvals for these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availability and cost of manufacturing, marketing and sales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price of any approved immunotherapy;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reimbursement coverage;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intellectual property position.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our acquisition of InstaDeep Ltd., we also face competition in the rapidly growing and developing artificial intelligence industry. Our competitors may develop or commercialize products and services with significant advantages over any products we develop based on any of the factors listed above or on other factors. In addition, our competitors may develop collaborations with or receive funding from larger pharmaceutical, biotechnology or technology companies, providing them with an advantage over us. Our competitors therefore may be more successful in commercializing their products and services than we are, which could adversely affect our competitive position and business. Competitive products and services may make any products and services we develop obsolete or non-competitive before we can recover the expenses of developing and commercializing such products, if approved, and services.</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005A64"/>
        </w:rPr>
        <w:t>The market opportunities for some of our product candidates may be small due to the rarity of the disease, or limited to those patients who are ineligible for or have failed prior treatments. As the target patient populations for some of our programs are small, we may be unable to achieve or maintain profitability in future periods without obtaining regulatory approval for additional indications.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often approves new cancer therapies initially only for use by patients with relapsed or refractory advanced cancer. We expect to seek approval initially for some of our product candidates in this context. Subsequently, for those products that prove to be sufficiently beneficial, we would expect to seek approval in earlier lines of treatment and potentially as a first-line therapy but there is no guarantee that our product candidates, even if approved, would be approved for earlier lines of therapy, and, prior to any such approvals, we may have to conduct additional clinical trials. We are also developing product candidates for the treatment of rare diseases.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projections of the number of people who have or will have the diseases we may be targeting may prove to be incorrect. Further, new studies may change the estimated incidence or prevalence of these diseases. The number of trial participants may turn out to be lower than expected. Additionally, the potentially addressable patient population for our product candidates may be limited or may not be amenable to treatment with our product candidates. Even if we obtain significant market share for our products, if</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34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approved, because the potential target populations may be small, we may be unable to achieve or maintain profitability in future periods without obtaining regulatory approval for additional indications.</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If we are unable to continue to increase our marketing and sales capabilities on our own or through third parties, we may not be able to market and sell our product candidates effectively in the United States and other jurisdictions, if approved, or generate sufficient product sales revenue.</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only relatively recently developed our sales, distribution or marketing capabilities in Germany and Türkiye, and, other than for our COVID-19 vaccine, we have not historically designed our preclinical studies and clinical trials with specific commercialization or marketing considerations in mind. In addition, with respect to our COVID-19 vaccine, we rely heavily on the sales, distribution, and marketing capabilities of our partners, except in Germany and Türkiye. To successfully commercialize any other products that may result from our development programs, several of which are undergoing pivotal clinical trials, we will need to continue developing sales and marketing capabilities in the United States, Europe and other regions, either on our own or with others. We may enter into collaborations with other entities to utilize their mature marketing and distribution capabilities, but we may be unable to enter into marketing agreements on favorable terms, if at all. If our current and future collaborators do not commit sufficient resources to further commercialize our COVID-19 vaccine and our future products, if any, and we are unable to develop the necessary marketing capabilities on our own, we may be unable to generate sufficient product sales revenue to sustain our business. We compete with many companies that currently have extensive and well-funded marketing and sales operations. Without continuing to grow our internal team or obtaining the support of third parties to perform marketing and sales functions, we may be unable to compete successfully against these more established companies.</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Our ability to achieve or maintain profitability in future periods depends in part on our and our collaborators’ ability to penetrate global markets, where we would be subject to additional regulatory burdens and other risks and uncertainties associated with international operations that could materially adversely affect our business.</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ability to achieve or maintain profitability in future periods will depend in part on our ability and the ability of our collaborators to commercialize any products that we or our collaborators may develop in markets throughout the world. Commercialization of products in various markets could subject us to risks and uncertainties, including:</w:t>
      </w:r>
    </w:p>
    <w:p>
      <w:pPr>
        <w:spacing w:after="0" w:line="171"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obtaining, on a country-by-country basis, the applicable marketing authorization from the competent regulatory authority;</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regulatory, tax, accounting, labor and other legal requirements in each jurisdiction that we or our collaborators pursue;</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differing medical practices and customs affecting acceptance in the marketplace;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governmental controls, trade restrictions or changes in tariffs;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particularly in non-U.S. economies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language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40"/>
          </w:cols>
          <w:pgMar w:left="320" w:top="341" w:right="3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right="20" w:hanging="328"/>
        <w:spacing w:after="0" w:line="28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impact of epidemics, pandemics and other public health developments, such as COVID-19, on employees and the global economy;</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reimbursement, pricing and insurance regimes;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local laws in the event of a contract dispute.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do not have prior experience in all of these areas, and the experience we do have in some of these areas is limited. Our collaborators may have limited experience in these areas as well. Failure to successfully navigate these risks and uncertainties may limit or prevent market penetration for any products that we or our collaborators may develop, which would limit their commercial potential and our revenues.</w:t>
      </w:r>
    </w:p>
    <w:p>
      <w:pPr>
        <w:spacing w:after="0" w:line="171"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5A64"/>
        </w:rPr>
        <w:t>Even if we obtain regulatory approval for our product candidates, the products may not gain the market acceptance among physicians, patients, hospitals, treatment centers and others in the medical community necessary for commercial success.</w:t>
      </w:r>
    </w:p>
    <w:p>
      <w:pPr>
        <w:spacing w:after="0" w:line="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Even with the requisite approvals, the commercial success of our products will depend in part on the medical community, patients, and third-party or governmental payors accepting immunotherapies in general, and our products in particular, as medically useful, cost-effective and safe.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product that we bring to the market may not gain market acceptance by physicians, trial participants, third-party payors, and others in the medical community. Additionally, ethical, social and legal concerns about research involving mRNA could result in additional regulations restricting or prohibiting the products and processes we may use. If these products do not achieve an adequate level of acceptance, we may not generate significant product sales revenue and may not be able to achieve or maintain profitability in future periods. The degree of market acceptance of our product candidates, if approved for commercial sale, will depend on a number of factors, including:</w:t>
      </w:r>
    </w:p>
    <w:p>
      <w:pPr>
        <w:spacing w:after="0" w:line="179"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ability to offer our products, if approved, at competitive prices;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prevalence and severity of any undesirable effects, including any limitations or warnings contained in a product’s approved labeling;</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prevalence and severity of any undesirable effects resulting from checkpoint inhibitors or other drugs or therapies with which our products are administered;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relative convenience and ease of transportation, storage and administration;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such as mRNA vaccines and therapies, and of physicians to prescribe these therapies;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 and patients’ willingness to pay out-of-pocket in the absence of third-party coverage or adequate reimbursement.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products may require significant resources and may never be successful. Our efforts to educate the marketplace may require more resources than are required by the conventional technologies marketed by our competitors due to the complexity and uniqueness of our programs.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240"/>
          </w:cols>
          <w:pgMar w:left="320" w:top="341" w:right="3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for our products that are approved for marketing, we and/or our collaborator are subject to significant regulatory obligations regarding the submission of safety and other post-marketing information and reports for such product, and will need to continue to comply (or ensure that our third-party providers comply) with current GMP and current good clinical practices, or GCP, for any clinical trials that we or a collaborator conduct post-approval. In addition, there is always the risk that we or a collaborator or regulatory authority might identify previously unknown problems with a product post-approval, such as adverse events of unanticipated severity or frequency. Compliance with these requirements is costly, and any such failure to comply or other issues with our product candidates identified post-approval could have a material adverse impact on our business, financial condition and results of operations.</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Coverage and reimbursement may be limited or unavailable in certain market segments for our product candidates, which could make it difficult for us to sell our product candidates, if approved, profitably.</w:t>
      </w: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Successful sales of our product candidates, if approved, depend on the availability of coverage and adequate reimbursement from third-party payors including governmental healthcare programs, such as Medicare and Medicaid in the United States, managed care organizations and commercial payors, among others. Significant uncertainty exists as to the coverage and reimbursement status of any product candidates for which we obtain regulatory approval. In addition, because certain of our product candidates represent new approaches to the treatment of cancer, we cannot accurately estimate the potential revenue from our product candidates.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Third-party payors decide which drugs and treatments they will cover and the amount of reimbursement. Reimbursement by a third-party payor may depend upon a number of factors, including, but not limited to, the third-party payor’s determination that use of a product is:</w:t>
      </w:r>
    </w:p>
    <w:p>
      <w:pPr>
        <w:spacing w:after="0" w:line="153"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Obtaining coverage and reimbursement of a product from a government or other third-party payor is a time- consuming and costly process that could require us to provide to the payor supporting scientific, clinical and cost-effectiveness data for the use of our products. Third-party payors could require us to conduct additional studies, including post-marketing studies related to the cost effectiveness of a product, to qualify for reimbursement, which could be costly and divert our resources.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product candidates unless coverage is provided and reimbursement is adequate to cover a significant portion of the cost of our product candidates. Separate reimbursement for the product itself may or may not be available. Instead, the hospital or administering physician may be reimbursed only for providing the treatment or procedure in which our product is used. Further, from time to time, CMS revises the reimbursement systems used to reimburse healthcare providers, including the Medicare Physician Fee Schedule and Outpatient Prospective Payment System, which may result in reduced Medicare payments. In some cases, private third-party payors rely on all or portions of Medicare payment systems to determine payment rates. Changes to government healthcare programs that reduce payments under these programs may negatively impact payments from private third-party payors, and reduce the willingness of physicians to use our product candidates.</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the United States, no uniform policy of coverage and reimbursement for products exists among third-party payors. Therefore, coverage and reimbursement for products can differ significantly from payor to payor.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34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seek approval to market our product candidates in the United States, the European Union and other selected jurisdictions. If we obtain approval for our product candidates in any particular jurisdiction, we will be subject to rules and regulations in that jurisdiction. In some countries, particularly those in Europe, the pricing of biologics is subject to governmental control. In these countries, pricing negotiations with governmental authorities can take considerable time after obtaining marketing approval of a product candidate.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into the marketplace. In addition, in some countries, cross-border imports from low-priced markets exert a commercial pressure on pricing within a country.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The advancement of healthcare reform legislation may increase the difficulty and cost for us to obtain marketing approval of and commercialize any product candidates we or our collaborators develop and may adversely affect the prices for such product candidates.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the ACA, was passed, which substantially changed the way health 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promoted a new Medicare Part D coverage gap discount program. Considerable uncertainty remains regarding the implementation and impact of the ACA.</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2022, the IRA was enacted, which sets forth meaningful changes to drug product reimbursement by Medicare. The IRA is anticipated to have significant effects on the pharmaceutical industry and may reduce the prices we can charge and reimbursement we can receive for our products in the United States, among other effects. Any reduction in reimbursement from Medicare resulting from the IRA or other legislative or policy changes or from other government programs may result in a similar reduction in payments from private payers. We cannot be sure whether additional legislative changes will be enacted, or the effect of forthcoming guidance implementing the IRA, or what the impact of such changes on our products and product candidates may be.</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expect that additional healthcare reform measures or proposals will be adopted in the future, any of which could limit the amounts that governments will pay for healthcare products and services, which could result in reduced demand for our products and product candidates or additional pricing pressures. In the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34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event that the pricing structures for healthcare products, such as the product candidates we are developing, change materially and limit payments for such product candidates, our business will be adversely impacted as our products may no longer be commercially viable based on their expected net present value; we may have invested significant resources in product candidates that cannot be commercially developed; or we may determine that assets that have reached an early phase of development cannot or will not be taken into further development, notwithstanding their clinical viability. In addition, development assets or clinical programs that are part of our collaborations may no longer be deemed commercially viable to pursue based on our collaborators’ assessments of the impact of any proposed, announced, or legislated pricing reforms.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cannot predict what healthcare reform initiatives may be adopted in the future. Further legislative and regulatory developments are likely, and we expect ongoing initiatives to increase pressure on drug pricing. Such reforms could have an adverse effect on anticipated revenues from our approved products and from product candidates that we may successfully develop and for which we may obtain regulatory approval, and may affect our overall financial condition and ability to develop product candidates.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Drug marketing and reimbursement regulations in the European Union and elsewhere may materially affect our ability to market and receive coverage for our products in the member states of the European Union and elsewhere.</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COVID-19 vaccine is currently approved in the United States, the European Union, and other jurisdictions, and we intend to seek approval to market other product candidates in the United States, the European Union and other selected jurisdictions. If we obtain approval for our products or product candidates in a particular jurisdiction, we will be subject to rules and regulations in that jurisdiction. In some countries, particularly those in the European Union, the pricing of biologics is subject to governmental control and other market regulations that could put pressure on the pricing and usage of our products or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in most countries outside the United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 in the European Union.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by us or our collaborators and the potential profitability of any of our product candidates in those countries would be negatively affected.</w:t>
      </w:r>
    </w:p>
    <w:p>
      <w:pPr>
        <w:spacing w:after="0" w:line="183" w:lineRule="exact"/>
        <w:rPr>
          <w:sz w:val="20"/>
          <w:szCs w:val="20"/>
          <w:color w:val="auto"/>
        </w:rPr>
      </w:pPr>
    </w:p>
    <w:p>
      <w:pPr>
        <w:ind w:right="660"/>
        <w:spacing w:after="0" w:line="375" w:lineRule="auto"/>
        <w:rPr>
          <w:sz w:val="20"/>
          <w:szCs w:val="20"/>
          <w:color w:val="auto"/>
        </w:rPr>
      </w:pPr>
      <w:r>
        <w:rPr>
          <w:rFonts w:ascii="Arial" w:cs="Arial" w:eastAsia="Arial" w:hAnsi="Arial"/>
          <w:sz w:val="18"/>
          <w:szCs w:val="18"/>
          <w:b w:val="1"/>
          <w:bCs w:val="1"/>
          <w:color w:val="005A64"/>
        </w:rPr>
        <w:t>Risks Related to our Financial Condition and Capital Requirements Long-term sustainable profitability is difficult to achieve and maintain over time and is highly dependent on various factors.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ability to continue to generate revenue and achieve and maintain long-term sustainable profitability depends on our ability, alone or with collaborators, to successfully complete the development of, and obtain the regulatory approvals necessary to commercialize, our product candidates. Although we generate revenue from sales of our COVID-19 vaccine and additional limited revenue from other transactions, we expect that future revenues from sales of our COVID-19 vaccine will continue to decrease as demand for vaccination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34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wanes. The amount of long-term revenue from such sales, including the sales of our COVID-19 vaccine, is uncertain at this time. Our ability to generate future revenues from pharmaceutical product sales and sales of our other products and services depends heavily on our success in:</w:t>
      </w:r>
    </w:p>
    <w:p>
      <w:pPr>
        <w:spacing w:after="0" w:line="171"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seeking and obtaining U.S. and non-U.S. marketing approvals for product candidates for which we complete clinical trials;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seeking and obtaining market access and favorable pricing terms in the United States, the European Union, and other key geographies;</w:t>
      </w:r>
    </w:p>
    <w:p>
      <w:pPr>
        <w:spacing w:after="0" w:line="152"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furthering the development of our own manufacturing capabilities and manufacturing relationships with third parties in order to provide adequate (in amount and quality) products and services to support clinical development and the market demand for our approved products and product candidates, if approved;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obtaining market acceptance of our approved products and product candidates as a treatment option;</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launching and commercializing products for which we obtain marketing approval and reimbursement, either through collaborations or, if launched independently, by establishing a sales force, marketing and distribution infrastructure;</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 in particular, declining demand for any of our approved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managing our expenses;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maintaining, defending, protecting, enforcing and expanding our portfolio of intellectual property rights, including patents, trade secrets and know-how; and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we have incurred significant costs associated with the commercialization of our COVID-19 vaccine. Our expenses could increase beyond our expectations if we are required by the FDA, the EMA, or other regulatory agencies to perform clinical and other trials or make changes to our manufacturing or quality systems in addition to those that we currently anticipate. Accordingly, such costs could adversely affect our future ability to achieve and maintain profitability.</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Our operating results may fluctuate significantly, which makes our future operating results difficult to predict. If our operating results fall below expectations, the price of the ADSs representing our ordinary shares could decline.</w:t>
      </w:r>
    </w:p>
    <w:p>
      <w:pPr>
        <w:spacing w:after="0" w:line="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financial condition and operating results have varied in the past and will continue to fluctuate from one financial period to the next due to a variety of factors, many of which are beyond our control.</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Factors relating to our business that may contribute to these fluctuations include the following, as well as other factors described elsewhere in this report:</w:t>
      </w:r>
    </w:p>
    <w:p>
      <w:pPr>
        <w:spacing w:after="0" w:line="153"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size and timing of orders for our COVID-19 vaccine;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delays or failures in advancement of existing or future product candidates into the clinic or in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341" w:right="339" w:bottom="1440" w:gutter="0" w:footer="0" w:header="0"/>
        </w:sectPr>
      </w:pPr>
    </w:p>
    <w:bookmarkStart w:id="70" w:name="page71"/>
    <w:bookmarkEnd w:id="70"/>
    <w:p>
      <w:pPr>
        <w:jc w:val="center"/>
        <w:ind w:right="312"/>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708"/>
        <w:spacing w:after="0"/>
        <w:tabs>
          <w:tab w:leader="none" w:pos="6948"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36195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8" w:hanging="328"/>
        <w:spacing w:after="0"/>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occurrence of adverse events during our clinical trials or post marketing authorization;</w:t>
      </w:r>
    </w:p>
    <w:p>
      <w:pPr>
        <w:spacing w:after="0" w:line="225"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develop and manufacture our product candidates and commercialize and manufacture our COVID-19 vaccine at commercial scale;</w:t>
      </w:r>
    </w:p>
    <w:p>
      <w:pPr>
        <w:spacing w:after="0" w:line="152" w:lineRule="exact"/>
        <w:rPr>
          <w:rFonts w:ascii="Arial" w:cs="Arial" w:eastAsia="Arial" w:hAnsi="Arial"/>
          <w:sz w:val="18"/>
          <w:szCs w:val="18"/>
          <w:color w:val="auto"/>
        </w:rPr>
      </w:pPr>
    </w:p>
    <w:p>
      <w:pPr>
        <w:ind w:left="328" w:hanging="328"/>
        <w:spacing w:after="0"/>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manage our growth and spending;</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execute our corporate objectives;</w:t>
      </w:r>
    </w:p>
    <w:p>
      <w:pPr>
        <w:spacing w:after="0" w:line="225"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outcomes of research programs, clinical trials, or other product development or approval processes conducted by us and our collaborators;</w:t>
      </w:r>
    </w:p>
    <w:p>
      <w:pPr>
        <w:spacing w:after="0" w:line="152" w:lineRule="exact"/>
        <w:rPr>
          <w:rFonts w:ascii="Arial" w:cs="Arial" w:eastAsia="Arial" w:hAnsi="Arial"/>
          <w:sz w:val="18"/>
          <w:szCs w:val="18"/>
          <w:color w:val="auto"/>
        </w:rPr>
      </w:pPr>
    </w:p>
    <w:p>
      <w:pPr>
        <w:ind w:left="328" w:hanging="328"/>
        <w:spacing w:after="0"/>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ability of our collaborators to develop and successfully commercialize products developed from our suite of therapeutic classes;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relationships, and any associated exclusivity terms, with collaborators;</w:t>
      </w:r>
    </w:p>
    <w:p>
      <w:pPr>
        <w:spacing w:after="0" w:line="225"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contractual or other obligations to provide resources to fund our product candidates, and to provide resources to our collaborators or to the collaborations themselves, including take-or-pay or similar obligations;</w:t>
      </w:r>
    </w:p>
    <w:p>
      <w:pPr>
        <w:spacing w:after="0" w:line="152" w:lineRule="exact"/>
        <w:rPr>
          <w:rFonts w:ascii="Arial" w:cs="Arial" w:eastAsia="Arial" w:hAnsi="Arial"/>
          <w:sz w:val="18"/>
          <w:szCs w:val="18"/>
          <w:color w:val="auto"/>
        </w:rPr>
      </w:pPr>
    </w:p>
    <w:p>
      <w:pPr>
        <w:ind w:left="328" w:hanging="328"/>
        <w:spacing w:after="0"/>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extent to which we repurchase outstanding ADSs under any share repurchase plans we may enter into in the future;</w:t>
      </w:r>
    </w:p>
    <w:p>
      <w:pPr>
        <w:spacing w:after="0" w:line="225"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68"/>
        </w:numPr>
        <w:rPr>
          <w:rFonts w:ascii="Arial" w:cs="Arial" w:eastAsia="Arial" w:hAnsi="Arial"/>
          <w:sz w:val="18"/>
          <w:szCs w:val="18"/>
          <w:color w:val="auto"/>
        </w:rPr>
      </w:pPr>
      <w:r>
        <w:rPr>
          <w:rFonts w:ascii="Arial" w:cs="Arial" w:eastAsia="Arial" w:hAnsi="Arial"/>
          <w:sz w:val="18"/>
          <w:szCs w:val="18"/>
          <w:color w:val="auto"/>
        </w:rPr>
        <w:t>risks associated with the international aspects of our business outside Germany, including the conduct of clinical trials in multiple locations and potential commercialization in such locations;</w:t>
      </w:r>
    </w:p>
    <w:p>
      <w:pPr>
        <w:spacing w:after="0" w:line="152"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minimize and manage product recalls or inventory losses caused by unforeseen events, cold chain interruption, testing difficulties or decreased demand, and our ability to write down certain inventory;</w:t>
      </w:r>
    </w:p>
    <w:p>
      <w:pPr>
        <w:spacing w:after="0" w:line="152" w:lineRule="exact"/>
        <w:rPr>
          <w:rFonts w:ascii="Arial" w:cs="Arial" w:eastAsia="Arial" w:hAnsi="Arial"/>
          <w:sz w:val="18"/>
          <w:szCs w:val="18"/>
          <w:color w:val="auto"/>
        </w:rPr>
      </w:pPr>
    </w:p>
    <w:p>
      <w:pPr>
        <w:ind w:left="328" w:hanging="328"/>
        <w:spacing w:after="0"/>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report our financial results accurately and in a timely manner;</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obtain, protect, maintain, defend and enforce our intellectual property rights;</w:t>
      </w:r>
    </w:p>
    <w:p>
      <w:pPr>
        <w:spacing w:after="0" w:line="225"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prevent the theft or infringement, misappropriation or other violation of our intellectual property, trade secrets, know-how or technologies;</w:t>
      </w:r>
    </w:p>
    <w:p>
      <w:pPr>
        <w:spacing w:after="0" w:line="152" w:lineRule="exact"/>
        <w:rPr>
          <w:rFonts w:ascii="Arial" w:cs="Arial" w:eastAsia="Arial" w:hAnsi="Arial"/>
          <w:sz w:val="18"/>
          <w:szCs w:val="18"/>
          <w:color w:val="auto"/>
        </w:rPr>
      </w:pPr>
    </w:p>
    <w:p>
      <w:pPr>
        <w:ind w:left="328" w:hanging="328"/>
        <w:spacing w:after="0"/>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and our collaborators’ ability to defend against claims of infringement of the intellectual property rights of third parties;</w:t>
      </w:r>
    </w:p>
    <w:p>
      <w:pPr>
        <w:spacing w:after="0" w:line="225"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68"/>
        </w:numPr>
        <w:rPr>
          <w:rFonts w:ascii="Arial" w:cs="Arial" w:eastAsia="Arial" w:hAnsi="Arial"/>
          <w:sz w:val="18"/>
          <w:szCs w:val="18"/>
          <w:color w:val="auto"/>
        </w:rPr>
      </w:pPr>
      <w:r>
        <w:rPr>
          <w:rFonts w:ascii="Arial" w:cs="Arial" w:eastAsia="Arial" w:hAnsi="Arial"/>
          <w:sz w:val="18"/>
          <w:szCs w:val="18"/>
          <w:color w:val="auto"/>
        </w:rPr>
        <w:t>potential advantages that our competitors and potential competitors may have in securing funding, obtaining the rights to critical intellectual property or developing competing technologies or products;</w:t>
      </w:r>
    </w:p>
    <w:p>
      <w:pPr>
        <w:spacing w:after="0" w:line="152" w:lineRule="exact"/>
        <w:rPr>
          <w:rFonts w:ascii="Arial" w:cs="Arial" w:eastAsia="Arial" w:hAnsi="Arial"/>
          <w:sz w:val="18"/>
          <w:szCs w:val="18"/>
          <w:color w:val="auto"/>
        </w:rPr>
      </w:pPr>
    </w:p>
    <w:p>
      <w:pPr>
        <w:ind w:left="328" w:hanging="328"/>
        <w:spacing w:after="0"/>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obtain additional capital that may be necessary to expand our business;</w:t>
      </w:r>
    </w:p>
    <w:p>
      <w:pPr>
        <w:spacing w:after="0" w:line="225"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collaborators’ ability to obtain and devote additional capital that may be necessary to develop and commercialize products under our collaboration agreements, including our COVID-19 vaccine;</w:t>
      </w:r>
    </w:p>
    <w:p>
      <w:pPr>
        <w:spacing w:after="0" w:line="152"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minimize and manage product liability claims arising from the use of our COVID-19 vaccine and our product candidates and other future products, if approved;</w:t>
      </w:r>
    </w:p>
    <w:p>
      <w:pPr>
        <w:spacing w:after="0" w:line="152" w:lineRule="exact"/>
        <w:rPr>
          <w:rFonts w:ascii="Arial" w:cs="Arial" w:eastAsia="Arial" w:hAnsi="Arial"/>
          <w:sz w:val="18"/>
          <w:szCs w:val="18"/>
          <w:color w:val="auto"/>
        </w:rPr>
      </w:pPr>
    </w:p>
    <w:p>
      <w:pPr>
        <w:ind w:left="328" w:hanging="328"/>
        <w:spacing w:after="0"/>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business interruptions such as power outages, strikes, acts of terrorism or natural disasters;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use our net operating loss carryforwards to offset future taxable income;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risks of counterparty defaults within our asset management portfolio; and</w:t>
      </w:r>
    </w:p>
    <w:p>
      <w:pPr>
        <w:sectPr>
          <w:pgSz w:w="11900" w:h="16838" w:orient="portrait"/>
          <w:cols w:equalWidth="0" w:num="1">
            <w:col w:w="10908"/>
          </w:cols>
          <w:pgMar w:left="652"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708"/>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908"/>
          </w:cols>
          <w:pgMar w:left="652" w:top="341" w:right="3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increased or unpredictable pricing for the commodities we rely on, including as a result of inflation.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the factors listed above may be affected by the changing impact of COVID-19 on the global community and the global economy.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Due to the various factors mentioned above, and others, the results of any of our periods should not be relied upon as indications of our future operating performance. Our operating results may fluctuate significantly from one reporting period to the next, such that a period-to-period comparison of our results of operations may not be a good indication of our future performance.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any particular period, our operating results could be below the expectations of securities analysts or investors, which could cause the price of the ADSs to decline. While as a general matter we intend to periodically report on the status of our product candidate pipeline, including articulating anticipated next steps in the form of development plans or potential data readouts, we may not always be able to provide forward-looking guidance on the timing of those next steps. In addition, we do not control the timing of disclosures of any milestones related to any of our programs that are managed by our collaborators. Any disclosure by a collaborator of data that are perceived as negative, whether or not such data are related to other data that we or others release, may have a material adverse impact on the price of the ADSs or our overall valuation. The price of the ADSs may decline as a result of unexpected clinical trial results in one or more of our programs, including adverse safety events reported for any of our programs.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We have incurred significant losses in the past and we may incur significant losses in the future.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first full year of commercialization of our COVID-19 vaccine, and for three and six months ended June 30, 2024, we incurred significant losses and negative cash flows from operations due to our significant research and development expenses and our investment in our manufacturing capabilities, and funded our operations primarily from private placements or issuances of ordinary shares (including in the form of ADSs) in connection with our public offerings, generation of proceeds under our collaboration agreements, secured bank loans and issuance of a convertible note.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experienced, and we expect to continue to experience, increasing reductions in demand for COVID-19 vaccination generally, including for our vaccine. We expect that future revenues from sales of our COVID-19 vaccine will decrease as demand for vaccination wanes. We plan to continue to invest heavily in research and development as we make a strong drive to build out our global development organization and diversify our therapeutic area footprint. Additionally, we plan to enhance capabilities through complementary acquisitions, technologies, infrastructure and manufacturing. Even for those products for which we have obtained or may obtain regulatory approval or emergency use authorization, our future revenues will depend upon the size of any markets in which such products have received approval or authorization to market, our ability to achieve sufficient market acceptance, reimbursement from third-party payors, and adequate market share in those markets.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achieved, profitability is difficult to maintain over time and is highly dependent on various factors. Our future financial results will depend, in part, on the rate of our future expenditures, the extent to which we experience long-term success of our commercial products and our ability to obtain funding through revenue from commercial sales, equity or debt financings, sales of assets, collaborations or grants.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part of our capital allocation strategy, we expect to continue to incur significant and increasing operating expenses for the foreseeable future. We anticipate that our expenses will increase substantially if and as we and our collaborators:</w:t>
      </w:r>
    </w:p>
    <w:p>
      <w:pPr>
        <w:spacing w:after="0" w:line="153"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continue or expand our research or development of our programs in preclinical development;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continue or expand the scope of our clinical trials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trials for our product candidates, including under our collaboration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continue to invest in our immunotherapy platforms to conduct research to identify novel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 or increase our manufacturing capacity or capability;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34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 or add additional suppliers;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add additional infrastructure to our quality control, quality assurance, legal, compliance and other groups to support our operations as a public company and our product development and commercialization efforts, including new and expanded sites globally;</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attract and retain skilled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seek marketing approvals and reimbursement for our product candidates;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develop our sales, marketing, and distribution infrastructure for our COVID-19 vaccine and any other products for which we may obtain marketing approval or emergency use authorization;</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acquire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make milestone or other payments under any in-license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maintain, protect, defend, enforce and expand our intellectual property portfolio;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005A64"/>
        </w:rPr>
        <w:t>The amount of, and our ability to use, net operating losses and research and development credits to offset future taxable income may be subject to certain limitations and uncertainty. In addition, pending and future tax audits within our Group, disputes with tax authorities and changes in tax law or fiscal regulations could lead to additional tax liabilities. We are subject to routine tax audits by the respective local tax authorities. Any additional tax liability could have an adverse effect on our business, financial conditions, results of operations or prospects.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Germany, we have unused German tax loss carryforwards for corporate taxes for German group entities with pre tax group losses, though we have not recognized deferred tax assets related to such loss carryforwards for IFRS reporting purposes as of June 30, 2024. Deferred tax assets are recognized for unused tax losses only to the extent that it is probable that taxable profit will be available against which the losses can be utilized. In general, net operating loss, or NOL, carryforwards in Germany do not expire. Furthermore, under current German tax laws, certain substantial changes in the Company’s ownership and business may further limit the amount of NOL carryforwards that can be used annually to offset future taxable income.</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German tax group we incurred tax losses up to and including December 31, 2020. Even though we recognized deferred tax assets on a majority of German tax loss carry forwards in 2020 which were fully utilized in 2021, they are, however, subject to review and possible adjustment by the German tax authorities.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addition, we have U.S. federal and state NOL carryforwards due to our subsidiaries in the United States, which may be subject to limitations on use after an ownership change.</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not be able to utilize a material portion of our historic or current NOLs or credits in either Germany (resulting from our German tax group or non-tax group entities in Germany) or the United States until these have been finally assessed by the tax authorities or when the limitation period has passed. In addition, the rules regarding the timing of revenue and expense recognition for tax purposes in connection with various transactions are complex and uncertain in many respects, and, if challenged, our recognition may be subject to a revised assessment. In the event any such challenge is sustained, our NOLs could be materially reduced or we could be determined to be a material cash taxpayer for one or more years, which could have an adverse effect on our business, financial conditions, results of operations or prospects.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Furthermore, our ability to use our NOLs or credits is conditioned upon our attaining profitability and generating taxable income. Taxable income exceeding NOLs will be subject to taxation resulting tax liabilities. As described above, we incurred significant net losses in every year since our inception other than</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40"/>
          </w:cols>
          <w:pgMar w:left="320" w:top="341" w:right="3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2018, 2021, 2022 and 2023 and anticipate that in the future, we may incur significant losses for some of the group entities. Our ability to utilize our NOL or credit carryforwards in the United States and for some other group entities is uncertain.</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Under German tax laws, we are obligated to withhold a percentage of wage tax and social security contributions on personnel expenses if contract services providers are considered to be our internal employees and remit those withholdings to German tax authorities and social security institutions. Late payments may subject us to penalties and fees.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German tax and social security laws, we are obligated to withhold a percentage of payments we make to third parties in consideration of the services provided, in case these are considered employment payments, and remit those withholdings to German tax authorities and social security institutions. After a significant volume of service providers were engaged to assist with research, development, manufacturing and supply of our COVID-19 vaccine, we discovered after internal review that we and certain of our subsidiaries did not withhold, report and remit certain German wage taxes and social security contributions in connection with certain contract service providers engaged in a manner comparable to internal employees, which we notified tax authorities about. If we do not properly and timely make required payments in the future, we could be subjected to fees, administrative offenses or other proceedings or penalties.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It is not possible to seek the refund of these wage taxes or social security contributions from either the German tax authorities or social security institutions after filing returns. In Germany, employers are considered secondarily liable for wage taxes.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value added taxes on invoices received by contract services providers who are considered internal employees are considered non-deductible and must be repaid to the German tax authorities. It is possible to reclaim the VAT repaid to the German tax authorities from the service provider. There is a possibility that the relevant input VAT claims against the contract service providers may, in some instances, not be enforceable as a result of a contract service provider no longer existing, the lapse of time or any other facts preventing the enforcement of such claims.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may require substantial additional financing to achieve our goals, and a failure to obtain this capital on acceptable terms, or at all, could force us to delay, limit, reduce or terminate our product development programs, commercialization efforts or other operations.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operating plans may change as a result of many factors currently unknown to us, and we may need to seek additional funds sooner than planned, through public or private equity or debt financings, government or other third-party funding, sales of assets, marketing and distribution arrangements, other collaborations and licensing arrangements, or a combination of these approaches. We may require additional capital to obtain regulatory approval for, and to commercialize, future product candidates. Even if we believe we have sufficient funds for our current or future operating plans, we may seek additional capital if market conditions are favorable or if we have specific strategic considerations. Our spending will vary based on new and ongoing development and corporate activities. Due to the high uncertainty of the length of time and activities associated with discovery and development of our product candidates, we are unable to estimate the actual funds we will require for development, marketing and commercialization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both near and long term, will depend on many factors, including, but not limited to:</w:t>
      </w:r>
    </w:p>
    <w:p>
      <w:pPr>
        <w:spacing w:after="0" w:line="225"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or nonclinical studies and clinical trials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 and timing of revenues and associated costs from sales of our COVID-19 vaccine;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results of research and our other platform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clinical development plans we establish for our product candidates;</w:t>
      </w:r>
    </w:p>
    <w:p>
      <w:pPr>
        <w:spacing w:after="0" w:line="22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terms of any agreements with our current or future collaborators, and the achievement of any milestone payments under such agreements to be paid to us or our collaborators;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34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terms of any other strategic transactions, including relating to any acquisitions, into which we enter;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 or may in-license;</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the EMA and other comparable regulatory authorities;</w:t>
      </w:r>
    </w:p>
    <w:p>
      <w:pPr>
        <w:spacing w:after="0" w:line="15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 of filing, prosecuting, obtaining, maintaining, protecting, defending and enforcing our patent claims and other intellectual property rights, including actions for patent and other intellectual property infringement, misappropriation and other violations brought by third parties against us regarding our products or product candidates or actions by us challenging the patent or intellectual property rights of others;</w:t>
      </w:r>
    </w:p>
    <w:p>
      <w:pPr>
        <w:spacing w:after="0" w:line="17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including other products that may compete with one or more of our product candidates;</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 and timing of completion and further expansion of clinical and commercial scale manufacturing activities sufficient to support all of our current and future programs, including the development of modular production and clinical facilities in various markets via our BioNTainer network; and</w:t>
      </w:r>
    </w:p>
    <w:p>
      <w:pPr>
        <w:spacing w:after="0" w:line="17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marketing approval and reimbursement in regions where we choose to commercialize our products on our own.</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date, we have financed our operations primarily through the sale of equity securities, revenue from collaborations, and revenue from sales of our COVID-19 vaccine. While we are currently generating product sales and royalty revenue to finance our operations, we cannot be certain that we will continue to generate sufficient revenue from product sales and royalties to finance our operations. If we were to seek financing from outside sources, that additional funding may not be available on favorable terms, or at all. Should our revenues from product sales sufficiently decrease in the future, we expect to finance our future cash needs through a combination of product sales, public or private equity offerings, debt financings, collaborations, licensing arrangements, and other marketing or distribution arrangements. Any fundraising efforts may divert our management from their day-to-day activities, which may adversely affect our ability to develop and commercialize our product candidates. In addition, we cannot guarantee that future financing will be available in sufficient amounts, at the right time, on favorable terms, or at all, including as a result of the impact that the shift of COVID-19 towards an endemic phase and other global events, such as political upheavals and economic downturns, may have on the capital markets.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Negative clinical trial data or setbacks, or perceived setbacks, in our programs or with respect to our technology could impair our ability to raise additional financing on favorable terms, or at all. Moreover, the terms of any financing may adversely affect the holdings or the rights of our shareholders, and the issuance of additional securities, whether equity or debt, by us, or the possibility of such issuance, may cause the market price of the ADSs representing our ordinary shares to decline. If we raise additional funds through public or private equity offerings, the terms of these securities may include liquidation or other preferences that may adversely affect our shareholders’ rights.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 to the extent that we raise additional capital through the sale of ADSs, ordinary shares or securities convertible or exchangeable into ordinary shares or ADSs, share ownership interests will be diluted. If we raise additional capital through debt financing, we would be subject to fixed payment obligations and may be subject to security interests in our assets and covenants limiting or restricting our ability to take specific actions, such as incurring additional debt, making capital expenditures or declaring dividends. If we raise additional capital through marketing and distribution arrangements, sales of assets, collaborations, or licensing arrangements with third parties, we may have to relinquish certain valuable rights to our product candidates, technologies, future revenue streams or research programs. We also could be required to seek collaborators for one or more of our current or future product candidates at an earlier stage than otherwise would be desirable or relinquish our rights to product candidates or intellectual property that we otherwise would seek to develop or commercialize ourselves. If we are unable to raise additional capital in sufficient amounts, at the right time, on favorable terms, or at all, we may have to significantly delay, scale back or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34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discontinue the development or commercialization of one or more of our products or product candidates, or one or more of our other research and development initiatives. Any of the above events could significantly harm our business, prospects, financial condition and results of operations, cause the price of the ADSs to decline, and negatively impact our ability to fund operations.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may encounter difficulties in developing and expanding our company and managing such development and expansion, which could disrupt our operations.</w:t>
      </w:r>
    </w:p>
    <w:p>
      <w:pPr>
        <w:spacing w:after="0" w:line="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manage our anticipated development and expansion, we must continue to implement and improve our managerial, operational, legal, compliance and financial systems, expand our facilities, and continue to recruit and train additional qualified personnel. In addition, our management may need to divert a disproportionate amount of its attention away from its day-to-day activities and devote a substantial amount of time to managing these development activities.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growing biotechnology company, we are actively pursuing drug classes, platforms and product candidates in many therapeutic areas and across a wide range of diseases. Successfully developing products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and/or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effectively implement our business strategy. Our future financial performance and our ability to compete effectively and commercialize our COVID-19 vaccine and our product candidates, if approved, will depend in part on our ability to effectively manage the current and future development and expansion of our company.</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005A64"/>
        </w:rPr>
        <w:t>We incur significant costs as a result of operating as a public company, and our management is required to devote substantial time to compliance initiatives. We are subject to financial reporting and other requirements for which our accounting and other management systems and resources may not be adequately prepared. We may fail to comply with the rules that apply to public companies, including Section 404 of the Sarbanes-Oxley Act of 2002, which could result in sanctions or other penalties that would harm the business.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public company, we incur significant legal, accounting and other expenses. The U.S. federal securities laws, including the Sarbanes-Oxley Act of 2002, or the Sarbanes-Oxley Act, and rules subsequently implemented by the SEC and the Nasdaq Stock Market LLC, or Nasdaq, have imposed various requirements on public companies, including requirements to file annual and event-driven reports with respect to our business and financial condition, and to establish and maintain effective disclosure and financial controls and corporate governance practices. Our management and other personnel need to devote a substantial amount of time to these compliance initiatives. Moreover, these rules and regulations result in substantial legal and financial compliance costs and have made some activities time-consuming and costly. We may not be able to produce reliable financial statements or file these financial statements as part of a periodic report in a timely manner with the SEC or comply with Nasdaq listing requirements. In addition, we could make errors in our financial statements that could require us to restate our financial statements.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Section 404 of the Sarbanes-Oxley Act, or Section 404, we are required to furnish a report by our management on our internal control over financial reporting, including the attestation report on internal control over financial reporting issued by our independent registered public accounting firm. To maintain compliance with Section 404, we document and evaluate our internal control over financial reporting, which is both costly and challenging. In this regard, we have needed to continue to dedicate internal resources, have engaged outside consultants, and have adopted a detailed work plan to assess and document the adequacy of internal control over financial reporting. We will continue to implement steps to improve control processes as appropriate, validate through testing that controls are functioning as documented, and implement a continuous reporting and improvement process for internal control over financial reporting. Despite our efforts, there is a risk that in the future neither we nor our independent registered public accounting firm will be able to conclude within the prescribed timeframe that our internal control over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34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financial reporting is effective as required by Section 404. This could result in an adverse reaction in the financial markets due to a loss of confidence in the reliability of our financial statements.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need to devote a substantial amount of time to these compliance initiatives.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If we identify material weaknesses in our internal control over financial reporting and fail to remediate such material weaknesses, we may not be able to report our financial results accurately or to prevent fraud.</w:t>
      </w:r>
    </w:p>
    <w:p>
      <w:pPr>
        <w:spacing w:after="0" w:line="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establishing and maintaining internal control over financial reporting, disclosure controls, and compliance with the other requirements of the Sarbanes-Oxley Act and the rules promulgated by the SEC thereunder. Internal control over financial reporting is a process designed to provide reasonable assurance regarding the reliability of financial reporting and the preparation of financial statements in accordance with international financial reporting standards. A material weakness is defined as a deficiency, or a combination of deficiencies, in internal control over financial reporting, such that there is a reasonable possibility that a material misstatement of a company’s annual or interim financial statements will not be prevented or detected by the company’s internal controls on a timely basis.</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Prior to our initial public offering, we identified a material weakness in our internal control which has been fully remediated, but there can be no guarantee that we will not identify additional material weaknesses in the future.</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we are unable to successfully remediate any future material weaknesses or successfully supervise and rely on outside advisors with expertise in these matters to assist us in the preparation of our financial statements, our financial statements could contain material misstatements discovered in the future that could cause us to fail to meet our future reporting obligations and cause the price of the ADSs to decline.</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have various international trade obligations, including customs value calculation, customs tariff number classification and other related securities requirements. Late payments to customs authorities may subject us to penalties and fees.</w:t>
      </w:r>
    </w:p>
    <w:p>
      <w:pPr>
        <w:spacing w:after="0" w:line="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supply chain, production and distribution network across the globe creates an increasing level of complexity in customs and foreign trade processes. The requirements for internal control systems are increasing and must be developed simultaneously. The risk management system for customs and foreign trade, which we are continuously improving, determines which stakeholders, goods, and means of transport should be examined and to what extent. These risks include the potential for non-compliance with customs value calculation, customs tariff number classification, trade restrictions, security regulations as well as the potential failure to facilitate international trade. We have in the past discovered that certain of our and our subsidiaries’ customs value calculations were not applied correctly, following which we notified the customs authorities of potential late payments.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and will likely continue to be, subject to various audits that arise from time to time, including customs and potential future foreign trade audits. If we do not properly address our international trade and customs requirements, we could be subjected to penalties and fees.</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As a “foreign private issuer,” we are exempt from a number of rules under the U.S. securities laws, as well as Nasdaq rules, and we are permitted to file less information with the SEC than U.S. companies. This may limit the information available to holders of the ADSs and may make our ordinary shares and the ADSs less attractive to investors.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“foreign private issuer,” as defined in the rules and regulations of the SEC, and, consequently, we are not subject to all of the disclosure requirements applicable to companies organized within the United States. For example, we are exempt from certain rules under the U.S. Securities Exchange Act of 1934, as amended, or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34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securities. Moreover, we are not required to file periodic reports and financial statements with the SEC as frequently or as promptly as U.S. public companies. Accordingly, there may be less publicly available information concerning our company than there is for U.S. public companies.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foreign private issuer, we file an Annual Report on Form 20-F within four months of the close of each financial year ending December 31 and reports on Form 6-K relating to certain material events promptly after we publicly announce these events. Additionally, we rely on a provision in Nasdaq’s Listed Company Manual that allows us to follow German company law and European law applicable to European stock corporations in general, the German Stock Corporation Act (Aktiengesetz), the Council Regulation (EC) No 2157/2001 of October 8, 2001 on the Statute for a European company (SE), or the SE Regulation, and the German Act on the Implementation of Council Regulation (EC) No 2157/2001 of October 8, 2001 on the Statute for a European company (SE) (Gesetz zur Ausführung der Verordnung (EG) NR. 2157/2001 des Rates vom 8. Oktober 2001 über das Statut der Europäischen Gesellschaft (SE)) (SE-Ausführungsgesetz-SEAG), in particular with regard to certain aspects of corporate governance. This allows us to follow certain corporate governance practices that differ in significant respects from the corporate governance requirements applicable to U.S. companies listed on Nasdaq.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example, we are exempt from regulations of Nasdaq that require a listed U.S. company to:</w:t>
      </w:r>
    </w:p>
    <w:p>
      <w:pPr>
        <w:spacing w:after="0" w:line="225"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have a majority of the board of directors consist of independent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require non-management directors to meet on a regular basis without management present;</w:t>
      </w:r>
    </w:p>
    <w:p>
      <w:pPr>
        <w:spacing w:after="0" w:line="22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adopt a code of conduct and promptly disclose any waivers of the code for directors or executive officers that should address certain specified items;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have an independent compensation committee;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have an independent nominating committee;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solicit proxies and provide proxy statements for all shareholder meetings;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 related party transactions;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seek shareholder approval for the implementation of certain equity compensation plans and issuances of ordinary shares.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foreign private issuer, we are permitted to follow home country practice in lieu of the above requirements. We therefore continue to follow German corporate governance practices in lieu of the corporate governance requirements of Nasdaq in certain respects. In particular, we follow German corporate governance practices in connection with the distribution of annual and interim reports to shareholders, the application of our code of conduct to our employees and the Supervisory Board, executive remuneration disclosure, proxy solicitation in connection with shareholders’ meetings, and obtaining shareholder approval in connection with the establishment of, or material amendment to, certain equity-based compensation plans.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audit committee is required to comply with the provisions of Section 301 of the Sarbanes-Oxley Act and Rule 10A-3 of the Exchange Act, both of which are also applicable to U.S. companies listed on Nasdaq. As we are a foreign private issuer, however, our audit committee is not subject to additional requirements of Nasdaq applicable to listed U.S. companies, including an affirmative determination that all members of the audit committee are “independent,” using more stringent criteria than those applicable to us as a foreign private issuer.</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Due to the above exemptions for foreign private issuers, our shareholders will not be afforded the same protections or information generally available to investors holding shares in public companies organized in the United States, some investors may find the ADSs less attractive as a result, and there may be a less active trading market for the ADSs.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face risks related to catastrophic global events including natural disasters, political crises, or public health epidemics and pandemics and other public health developments, that could adversely affect our operations.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34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could be adversely impacted by the effects of catastrophic global events, including natural disasters such as an earthquake, fire, hurricane, tornado, flood or significant power outage; public health crises such as the COVID-19 pandemic; political crises, such as terrorist attacks, war and other political instability, including the ongoing geopolitical conflicts in the Middle East and in Ukraine, and resulting sanctions imposed by the United States and other countries and retaliatory actions taken by Russia in response to such sanctions; or other catastrophic events.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ongoing conflict between Russia and Ukraine and the conflicts in the Middle East, and resulting sanctions and other economic actions, have contributed to volatility in the crude oil and natural gas supply chains. Prolonged or expanded conflict between Russia and Ukraine and in the Middle East, and political responses to global actions, could further destabilize oil and gas supply and demand patterns, increase energy volatility and have severe adverse effects on regional and global supply chains and economies and our business. Our commercial production of our COVID-19 vaccine is currently run on natural gas, although we believe our production could be powered by alternative fuel sources if needed. Additionally, we continue to evaluate the impacts that energy shortages may have on our partners, suppliers and service providers. Were any of these parties to experience significant impacts from this or any other energy shortage, our business could be materially harmed. We cannot predict with certainty the impact increased volatility in energy prices would have on our or their operations, including on the manufacturing of our COVID-19 vaccine and the manufacturing and testing of our product candidates.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have generated revenues from sales of our COVID-19 vaccine, there remains uncertainty regarding other potential effects of COVID-19 on our business. For example, if a new variant of COVID-19 emerges for which existing vaccines, including our COVID-19 vaccine, are ineffective, infections may become even more widespread, negatively impact our ability to enroll patients in clinical studies and complete clinical trials on the timelines we currently anticipate, or result in an economic downturn that could affect demand for our products and services or our ability to raise capital, which could have a material adverse effect on our business, operating results and financial condition. Our suppliers, licensors or collaborators could also be disrupted by conditions related to COVID-19 or other pandemics and epidemics, possibly resulting in disruption to our supply chain, clinical trials, partnerships or operations.</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Our insurance policies are expensive and protect us only from some business risks, which leaves us exposed to significant uninsured liabilities.</w:t>
      </w: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carry insurance for all categories of risk that our business may encounter and insurance coverage is becoming increasingly expensive. We do not know if we will be able to maintain existing insurance with adequate levels of coverage, and any liability insurance coverage we acquire in the future may not be sufficient to reimburse us for any expenses or losses we may suffer. We currently maintain insurance coverage for losses relating to property damage, business interruption, transportation, product liability, cyber matters, clinical trials, and several other areas of coverage. We are dedicating resources to exploring additional avenues for more adequate coverage as our business evolves. However, the coverage or coverage limits of our insurance policies may not be adequate. If our losses exceed our insurance coverage, our financial condition would be adversely affected. In the event of contamination or injury, we could be held liable for damages or be penalized with fines in an amount exceeding our resources. Clinical trials or regulatory approvals for any of our product candidates could be suspended, which could adversely affect our results of operations and business, including by preventing or limiting the development and commercialization of any product candidates that we or our collaborators may develop.</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operating as a public company has made it more expensive for us to obtain director and officer liability insurance. As a result, it may be more difficult for us to attract and retain qualified individuals to serve on our Supervisory Board, our Management Board, or our board committees.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or SVB, a bank which we previously used to support operations in the United States, was closed by the California</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34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Department of Financial Protection and Innovation, which appointed the Federal Deposit Insurance Corporation, or the FDIC, as receiver.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a statement by the U.S. Department of the Treasury, the Federal Reserve and the FDIC stated that all depositors of SVB would have access to all of their money after only one business day following the date of closure and we received such access on March 13, 2023, and neither the amount in question nor any delays in access were material to our operations,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maintain our cash and cash equivalents in multiple financial institutions worldwide, 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Risks Related to our Business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Our business is dependent on the successful development, regulatory approval and commercialization of product candidates based on our technology platforms. If we and our collaborators are unable to obtain approval for and effectively commercialize our product candidates for the treatment of patients in their intended indications, our business would be significantly harmed.</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Even if we complete the necessary preclinical studies and clinical trials, the marketing approval process is expensive, time-consuming and uncertain, and we may not be able to obtain approvals for the commercialization of product candidates we may develop. Any product candidates we may develop and the activities associated with their development and commercialization, including design, testing, manufacture, recordkeeping, labeling, storage, approval, advertising, promotion, sale and distribution, are subject to comprehensive regulation by the FDA and by comparable global health authorities. To obtain the requisite regulatory approvals to commercialize any of our product candidates, we and our collaborators must demonstrate through extensive preclinical studies and clinical trials that our products are safe and effective, including in the target populations. Successful completion of clinical trials is a prerequisite to submitting a biologics license application, or BLA, or a new drug application, or NDA, to the FDA, a Marketing Authorization Application, or MAA, to the EMA, and similar marketing applications to comparable global regulatory authorities, for each product candidate and, consequently, the ultimate approval and commercial marketing of any product candidates.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Failure to obtain marketing approval for a product candidate will prevent us from commercializing the product candidate in a given jurisdiction. Although our COVID-19 vaccine has received emergency use authorization and/or regulatory approvals in certain countries, it is possible that none of our other product candidates, or any product candidates we may seek to develop in the future, will ever obtain regulatory approval. We have limited experience in filing and supporting the applications necessary to gain marketing approvals and may need to rely on third-party CROs, regulatory consultants or collaborators to assist us in this process. We expect to submit initial BLAs/MAAs for our mRNA-based product candidates in the United States, the European Union and in other countries globally. In some of these jurisdictions, mRNA-based medicinal products may be classified in different ways and may be subject to specific requirements. Securing regulatory approval requires the submission of extensive quality, preclinical and clinical data and supporting information to the various regulatory authorities for each therapeutic indication to establish the product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34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candidate’s safety and efficacy. Securing regulatory approval also requires the submission of information about the product manufacturing process to, and inspection of manufacturing facilities by, the relevant regulatory authority. Benefit and risk are regularly assessed, and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process of obtaining marketing approvals in the United States, the European Union and elsewhere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and standards of care during the development period, changes in or the enactment of additional statutes or regulations, or changes in regulatory review for each submitted product application may cause delays in the approval or rejection of an application. The FDA, EMA and comparable regulatory authorities in other countries have substantial discretion in the approval process and may refuse to accept any application or may decide that the data are insufficient for approval and require additional preclinical, clinical or other trials.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Additional delays or non-approval may result if an FDA panel of experts, referred to as an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Regulatory agencies also may approve a product candidate for fewer or more limited indications or patient populations than requested or may grant approval subject to the performance of post-marketing studies. In addition, regulatory agencies may not approve the labeling claims that are necessary or desirable for the successful commercialization of our product candidates.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EMA and other regulatory agencies review the Quality or Chemistry, Manufacturing and Controls, or CMC, section of regulatory filings. Any aspects found unsatisfactory by regulatory agencies may result in delays in clinical trials and commercialization. In addition, the regulatory agencies typically conduct pre-approval inspections at the time of a BLA, MAA or comparable filing. Any findings by regulatory agencies and failure to comply with requirements may lead to delay in approval and failure to commercialize the potential mRNA product candidate.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experience delays in obtaining, or if we fail to obtain, approval of any product candidates we may develop, the commercial prospects for those product candidates will be harmed, and our ability to generate revenues will be materially impaired. Additionally, even if we are successful in obtaining marketing approval for product candidates, because our preclinical studies and clinical trials have not been designed with specific commercialization considerations, the commercial prospects for those product candidates could be harmed, and our ability to generate revenues could be materially impaired.</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mRNA drug development carries substantial clinical development and regulatory risks due to limited regulatory experience with mRNA immunotherapies.</w:t>
      </w: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our knowledge, other than our and Moderna, Inc.’s COVID-19 vaccines, no mRNA immunotherapies have been approved or received emergency use authorization or conditional marketing authorization to date by the FDA or the EMA. Successful discovery and development of mRNA-based (and other) immunotherapies by either us or our collaborators is highly uncertain and depends on numerous factors, many of which are beyond our or their control. Our product candidates that appear promising in the early phases of development may fail to advance, experience delays in the clinic or clinical holds, or fail to reach the market for many reasons, including:</w:t>
      </w:r>
    </w:p>
    <w:p>
      <w:pPr>
        <w:spacing w:after="0" w:line="179"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discovery efforts aimed at identifying potential immunotherapies may not be successful;</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nonclinical or preclinical study results may show product candidates to be less effective than desired or have harmful or problematic side effects;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34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right="20" w:hanging="328"/>
        <w:spacing w:after="0" w:line="28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clinical trial results may show the product candidates to be less effective than expected, including a failure to meet one or more endpoints or have unacceptable side effects or toxicities;</w:t>
      </w:r>
    </w:p>
    <w:p>
      <w:pPr>
        <w:spacing w:after="0" w:line="1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manufacturing or distribution failures or insufficient supply of GMP materials for clinical trials or higher than expected cost could delay or set back clinical trials, or make our product candidates commercially unattractive;</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improvements in the manufacturing processes may not be sufficient to satisfy the clinical or commercial demand of our product candidates or regulatory requirements for clinical trials;</w:t>
      </w:r>
    </w:p>
    <w:p>
      <w:pPr>
        <w:spacing w:after="0" w:line="1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changes that we make to optimize our manufacturing, testing or formulating of GMP materials could impact the safety, tolerability and efficacy of our product candidates;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pricing or reimbursement issues or other factors could delay clinical trials or make any immunotherapy uneconomical or noncompetitive with other therapies;</w:t>
      </w:r>
    </w:p>
    <w:p>
      <w:pPr>
        <w:spacing w:after="0" w:line="15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failure to timely advance our programs or receive the necessary regulatory approvals, or a delay in receiving such approvals, due to, among other reasons, slow or failure to complete enrollment in clinical trials, withdrawal by trial participants from trials, failure to achieve trial endpoints, additional time requirements for data analysis, data integrity issues, BLA, MAA or the equivalent application, discussions with the FDA or the EMA, a regulatory request for additional nonclinical or clinical data, or safety formulation or manufacturing issues may lead to our inability to obtain sufficient funding; and</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proprietary rights, products and technologies of our competitors may prevent our immunotherapies from being commercialized.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administrative purposes, mRNA products are classified together with gene therapy products by the FDA. Unlike certain gene therapies that irreversibly alter cell DNA and may cause certain side effects, mRNA is highly unlikely to localize to the nucleus, be reverse transcribed or integrated into the genome. Side effects observed in other gene therapies, however, could negatively impact the perception of immunotherapies despite the differences in mechanism. In addition, the regulatory pathway in the United States and many other jurisdictions for approval is uncertain. Our COVID-19 vaccine is not currently classified as a gene therapy. The regulatory pathway for an individualized therapy, such as our iNeST mRNA-based immunotherapy where each patient receives a different combination of mRNAs, remains undetermined. The number and design of the clinical and preclinical studies required for the approval of these types of medicines have not been established, may be different from those required for advanced medicinal therapy products or therapies that are not individualized or may require safety testing like gene therapy products. Moreover, the length of time necessary to complete clinical trials and submit an application for marketing approval by a regulatory authority varies significantly from one pharmaceutical product to the next and may be difficult to predict.</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Our product candidates may not work as intended, may cause undesirable effects or may have other properties that could delay or prevent their regulatory approval, limit the commercial profile of an approved label, or result in significant negative consequences following marketing approval, if any.</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with most biological products, use of our product candidates could be associated with undesirable effects or adverse events which can vary in severity from minor reactions to death and in frequency from infrequent to prevalent. The potential for adverse events is especially acute in the oncology setting, where patients may have advanced disease, have impaired organ function, compromised immune and other systems and may be receiving numerous other therapies. Undesirable side effects or unacceptable toxicities caused by our product candidates could cause us or regulatory authorities to interrupt, delay or halt clinical trials and could result in a more restrictive label or the delay or denial of regulatory approval by the FDA, the EMA or comparable regulatory authorities. Results of our trials could reveal a high and unacceptable severity and prevalence of side effects.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unacceptable side effects arise in the development of our product candidates, we, the FDA, competent authorities of EU member states, ethics committees, the institutional review boards, or IRBs, at the institutions in which our studies are conducted, or the Data Safety Monitoring Board, or DSMB, could suspend or terminate our clinical trials. The FDA or comparable regulatory authorities could also order us to</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34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cease clinical trials or deny approval of our product candidates for any or all targeted indications. Treatment-related side effects could also affect patient recruitment or the ability of enrolled patients to complete any of our clinical trials or result in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Monitoring the safety of patients receiving our product candidates is challenging, which could adversely affect our ability to obtain regulatory approval and commercialize our product candidates.</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ongoing and planned clinical trials, we have contracted, and are expected to continue to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This could lead to more severe or prolonged toxicities or even patient deaths, which could result in us or the FDA, the EMA or other comparable regulatory authority delaying, suspending or terminating one or more of our clinical trials, and which could jeopardize regulatory approval. The centers using our products, if and when approved, could also have difficulty managing any adverse effects of our products, or use medicines that do not adequately control such undesirable effects or that have a detrimental impact on the efficacy of the treatment.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even if we successfully advance our product candidates into and through clinical trials, such trials will likely only include a limited number of patients and limited duration of exposure to our product candidates. As a result, we cannot be assured that adverse effects of our product candidates will not be uncovered when a significantly larger number of patients are exposed to the product candidate. Further, any clinical trials may not be sufficient to determine the effects and safety consequences of taking our product candidates over a multi-year period.</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effects caused by such products, a number of potentially significant negative consequences could result, including:</w:t>
      </w:r>
    </w:p>
    <w:p>
      <w:pPr>
        <w:spacing w:after="0" w:line="153"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 foregoing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or our immunotherapy approach generally prove to be unsafe, our technology platforms and pipeline could be affected, which would have a material and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34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Preclinical development is uncertain. Our preclinical programs may experience delays or may never advance to clinical trials, which would adversely affect our ability to obtain regulatory approvals or commercialize these programs on a timely basis or at all and would have an adverse effect on our business.</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Much of our pipeline is in preclinical development and these programs could be delayed or not advance into the clinic. Before we can initiate clinical trials for product candidates, we must complete extensive preclinical studies, including IND-enabling Good Laboratory Practice toxicology testing, that support our planned Investigational New Drug applications, or INDs, in the United States or similar applications in other jurisdictions. We must also complete extensive work on CMC activities (including collecting yield, purity and stability data) to be included in the IND filing. CMC activities for a new category of medicines such as mRNA therapies require extensive manufacturing processes and analytical development, which are uncertain and lengthy. For instance, batch failures have occurred as we scale up our manufacturing and may occur in the future. In addition, we have had in the past, and may in the future have, difficulty identifying appropriate buffers and storage conditions to enable sufficient shelf life of batches of our preclinical or clinical product candidates. If we are required to produce new batches of our product candidates due to insufficient shelf life, it may delay the commencement or completion of preclinical or clinical trials of such product candidates. For example, we cannot be certain of the timely completion or outcome of our preclinical testing and studies and cannot predict if the FDA or other regulatory authorities will accept the results of our preclinical testing or our proposed clinical programs or if the outcome of our preclinical testing, studies and CMC activities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005A64"/>
        </w:rPr>
        <w:t>Clinical development involves a lengthy and expensive process with an uncertain outcome, and delays can occur for a variety of reasons outside of our control. Clinical trials of our product candidates may be delayed, certain programs may never advance in the clinic or may be more costly to conduct than we anticipate, and we may have difficulty recruiting patients to participate in clinical trials, any of which can affect our ability to fund our company and would have a material adverse impact on our business.</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Clinical testing is expensive and complex and can take many years to complete. Its outcome is inherently uncertain. We may not be able to initiate, may experience delays in, or may have to discontinue clinical trials for our product candidates. We and our collaborators also may experience numerous unforeseen events during, or as a result of, any clinical trials that we or our collaborators conduct that could delay or prevent us or our collaborators from successfully developing our product candidates, including:</w:t>
      </w:r>
    </w:p>
    <w:p>
      <w:pPr>
        <w:spacing w:after="0" w:line="176" w:lineRule="exact"/>
        <w:rPr>
          <w:sz w:val="20"/>
          <w:szCs w:val="20"/>
          <w:color w:val="auto"/>
        </w:rPr>
      </w:pPr>
    </w:p>
    <w:p>
      <w:pPr>
        <w:jc w:val="both"/>
        <w:ind w:left="660" w:right="20" w:hanging="328"/>
        <w:spacing w:after="0" w:line="268"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FDA, other regulators, IRBs or ethics committees may not authorize us or our investigators to commence a clinical trial or conduct a clinical trial at a prospective trial site for any number of reasons, including concerns regarding safety and aspects of the clinical trial design;</w:t>
      </w:r>
    </w:p>
    <w:p>
      <w:pPr>
        <w:spacing w:after="0" w:line="170"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favorable terms with prospective trial sites and prospective CROs, the terms of which can be subject to extensive negotiation and may vary significantly among different CROs and trial sites;</w:t>
      </w:r>
    </w:p>
    <w:p>
      <w:pPr>
        <w:spacing w:after="0" w:line="15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have optimized in the past and may in the future optimize our manufacturing processes, including through changes to the scale and site of manufacturing, which may lead to additional studies (including bridging and bioequivalence studies) or potentially significant changes in our clinical trial designs, requiring additional cost and time, and, as a consequence, lead to a delay in plans for progressing one or more product candidates;</w:t>
      </w:r>
    </w:p>
    <w:p>
      <w:pPr>
        <w:spacing w:after="0" w:line="17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outcome of our preclinical studies and our early clinical trials may not be predictive of the success of later clinical trials, and interim results of a clinical trial do not necessarily predict final results;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may be unable to establish clinical endpoints that applicable regulatory authorities would consider clinically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34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hanging="328"/>
        <w:spacing w:after="0" w:line="268"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an effort to optimize product features, we have made in the past and may continue to make changes to our product candidates after we commence clinical trials of a medicine which may require us to repeat earlier stages of clinical testing or delay later-stage testing of the medicine;</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clinical trials of any product candidates may fail to show safety or efficacy, or may produce negative or inconclusive results, and we may decide, or regulators may require us, to conduct additional nonclinical studies or clinical trials, or we may decide to abandon product development programs;</w:t>
      </w:r>
    </w:p>
    <w:p>
      <w:pPr>
        <w:spacing w:after="0" w:line="17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differences in trial design between early-stage clinical trials and later-stage clinical trials may make it difficult to extrapolate the results of earlier clinical trials to later clinical trials;</w:t>
      </w:r>
    </w:p>
    <w:p>
      <w:pPr>
        <w:spacing w:after="0" w:line="1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preclinical and clinical data are often susceptible to varying interpretations and analyses, and many product candidates believed to have performed satisfactorily in preclinical studies and clinical trials have nonetheless failed to obtain marketing approval;</w:t>
      </w:r>
    </w:p>
    <w:p>
      <w:pPr>
        <w:spacing w:after="0" w:line="15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product candidates may have undesirable effects or other unexpected characteristics. One or more of such effects or events could cause regulators to impose a clinical hold on the applicable trial, or cause us or our investigators, IRBs or ethics committees to suspend or terminate the trial of that product candidate or any other of our product candidates for which a clinical trial may be ongoing;</w:t>
      </w:r>
    </w:p>
    <w:p>
      <w:pPr>
        <w:spacing w:after="0" w:line="176"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number of trial participants required for clinical trials of any product candidates may be larger than we anticipate, identification of trial participants for such trials may be limited, enrollment in these clinical trials may be slower than we anticipate due to perceived adverse effects, limited patient populations, competitive trials, risks related to COVID-19 or other reasons, or participants may withdraw from clinical trials or fail to return for post-treatment follow-up at a higher rate than we anticipate;</w:t>
      </w:r>
    </w:p>
    <w:p>
      <w:pPr>
        <w:spacing w:after="0" w:line="176"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despite robust sponsor oversight, our third-party contractors may fail to comply with regulatory requirements or meet their contractual obligations to us in a timely manner, or at all, or may deviate from the clinical trial protocol or withdraw from the trial, which may require that we add new clinical trial sites;</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regulators may elect to impose a clinical hold, or we, our investigators, IRBs or ethics committees may elect to suspend or terminate clinical research or trials for various reasons, including noncompliance with regulatory requirements or a finding that the participants are being exposed to an unacceptable benefit-risk ratio;</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respect to infectious disease vaccine trials in particular, we have to wait for particular level of infection in the placebo arm in order to assess protection provided by vaccine, and we cannot control the rate of exposure or infection which can make timing uncertain;</w:t>
      </w:r>
    </w:p>
    <w:p>
      <w:pPr>
        <w:spacing w:after="0" w:line="17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cost of preclinical or nonclinical testing and studies and clinical trials of any product candidates may be greater than we anticipate;</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may be insufficient or inadequate;</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safety or efficacy concerns regarding our product candidates may result from any concerns arising from nonclinical or clinical testing of other therapies targeting a similar disease state or other therapies, such as gene therapy, that are perceived as similar to ours; and</w:t>
      </w:r>
    </w:p>
    <w:p>
      <w:pPr>
        <w:spacing w:after="0" w:line="17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such as long-term toxicology studies, or impose other requirements before permitting us to initiate a clinical trial.</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could also encounter delays if a clinical trial is suspended or terminated by us, the FDA or other regulatory authorities, ethics committees, or the IRBs of the institutions in which such trials are being conducted, or if such trial is recommended for suspension or termination by the DSMB. We may in the future be delayed in gaining clearance from the FDA or other regulators to initiate clinical trials through, among other things, the imposition of a clinical hold in order to address comments from such regulators on our clinical trial design or other elements of our clinical trials. A suspension or termination may be imposed due to</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240"/>
          </w:cols>
          <w:pgMar w:left="320" w:top="341" w:right="3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or adequate benefit-risk ratio, from using a product candidate;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We could also experience delays if physicians encounter unresolved ethical issues associated with enrolling patients in clinical trials of our product candidates in lieu of prescribing existing treatments that have established safety and efficacy profiles. We must also complete extensive work on CMC activities that require extensive manufacturing processes and analytical development, which are uncertain and lengthy.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the novel nature of our product candidates to create further challenges in obtaining regulatory approval. For example, the FDA and regulatory authorities in other jurisdictions have limited experience with commercial development of several of our technologies. The FDA may require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certain.</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the FDA and other regulatory authorities have indicated that, prior to commencing later stage clinical trials for our mRNA-based product candidates, we will need to scale up and further refine assays to measure and predict the potency of a given dose of these product candidates. Any delay in the scaling and refining of assays that are acceptable to the FDA or other regulatory authorities could delay the start of future clinical trials. Further, the FDA or other regulatory authorities may disagree with our clinical trial design and our interpretation of data for our clinical trials or may change the requirements for approval even after they have reviewed and commented on the design for our clinical trials.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Significant additional preclinical or nonclinical testing and studies or clinical trial delays for our product candidates also could allow our competitors to bring products to market before we do, potentially impairing our ability to successfully commercialize our product candidates and harming our business and results of operations. Any delays in the development of our product candidates may harm our business, financial condition and prospects significantly.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addition, on June 28, 2024, the Supreme Court overturned the </w:t>
      </w:r>
      <w:r>
        <w:rPr>
          <w:rFonts w:ascii="Arial" w:cs="Arial" w:eastAsia="Arial" w:hAnsi="Arial"/>
          <w:sz w:val="18"/>
          <w:szCs w:val="18"/>
          <w:i w:val="1"/>
          <w:iCs w:val="1"/>
          <w:color w:val="auto"/>
        </w:rPr>
        <w:t>Chevron</w:t>
      </w:r>
      <w:r>
        <w:rPr>
          <w:rFonts w:ascii="Arial" w:cs="Arial" w:eastAsia="Arial" w:hAnsi="Arial"/>
          <w:sz w:val="18"/>
          <w:szCs w:val="18"/>
          <w:color w:val="auto"/>
        </w:rPr>
        <w:t xml:space="preserve"> doctrine in the combined cases of </w:t>
      </w:r>
      <w:r>
        <w:rPr>
          <w:rFonts w:ascii="Arial" w:cs="Arial" w:eastAsia="Arial" w:hAnsi="Arial"/>
          <w:sz w:val="18"/>
          <w:szCs w:val="18"/>
          <w:i w:val="1"/>
          <w:iCs w:val="1"/>
          <w:color w:val="auto"/>
        </w:rPr>
        <w:t>Loper Bright Enterprises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Raimondo </w:t>
      </w:r>
      <w:r>
        <w:rPr>
          <w:rFonts w:ascii="Arial" w:cs="Arial" w:eastAsia="Arial" w:hAnsi="Arial"/>
          <w:sz w:val="18"/>
          <w:szCs w:val="18"/>
          <w:color w:val="auto"/>
        </w:rPr>
        <w:t>and</w:t>
      </w:r>
      <w:r>
        <w:rPr>
          <w:rFonts w:ascii="Arial" w:cs="Arial" w:eastAsia="Arial" w:hAnsi="Arial"/>
          <w:sz w:val="18"/>
          <w:szCs w:val="18"/>
          <w:i w:val="1"/>
          <w:iCs w:val="1"/>
          <w:color w:val="auto"/>
        </w:rPr>
        <w:t xml:space="preserve"> Relentless Inc. v. Department of Commerce</w:t>
      </w:r>
      <w:r>
        <w:rPr>
          <w:rFonts w:ascii="Arial" w:cs="Arial" w:eastAsia="Arial" w:hAnsi="Arial"/>
          <w:sz w:val="18"/>
          <w:szCs w:val="18"/>
          <w:color w:val="auto"/>
        </w:rPr>
        <w:t>. The</w:t>
      </w:r>
      <w:r>
        <w:rPr>
          <w:rFonts w:ascii="Arial" w:cs="Arial" w:eastAsia="Arial" w:hAnsi="Arial"/>
          <w:sz w:val="18"/>
          <w:szCs w:val="18"/>
          <w:i w:val="1"/>
          <w:iCs w:val="1"/>
          <w:color w:val="auto"/>
        </w:rPr>
        <w:t xml:space="preserve"> Chevron </w:t>
      </w:r>
      <w:r>
        <w:rPr>
          <w:rFonts w:ascii="Arial" w:cs="Arial" w:eastAsia="Arial" w:hAnsi="Arial"/>
          <w:sz w:val="18"/>
          <w:szCs w:val="18"/>
          <w:color w:val="auto"/>
        </w:rPr>
        <w:t>doctrine gave deference to regulatory agencies in litigation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the FDA and other agencies. As a result, more plaintiffs may bring lawsuits against the FDA to challenge longstanding decisions and policies of the FDA, which could undermine the FDA’s authority, lead to uncertainties in the industry, and disrupt the FDA’s normal operations, which could delay the FDA’s review of our marketing applications.</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If we or our collaborators encounter difficulties enrolling participants in our clinical trials, our clinical development activities could be delayed or otherwise adversely affected.</w:t>
      </w: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depend on enrollment of participants in our clinical trials for our product candidates. In the past, our collaborators have found, and we or our collaborators may in the future find, it difficult to enroll trial participants in our clinical studies, which could delay or prevent clinical studies of our product candidates. Identifying and qualifying trial participants to participate in clinical studies of our product candidates is critical to our success. The timing of our clinical studies depends on the speed at which we can recruit trial participants to participate in testing our product candidates. Delays in enrollment may result in increased costs or may affect the timing or outcome of the planned clinical trials, which could prevent completion of these trials and adversely affect our ability to advance the development of our product candidates. If trial participants are unwilling to participate in our studies because of negative publicity from adverse events in our trials or other trials of similar products, or those related to specific a therapeutic area, or for other reasons, including competitive clinical studies for similar patient populations, the timeline for recruiting trial participants, conducting studies, and obtaining regulatory approval of potential products may be delayed. These delays could result in increased costs, delays in advancing our product development, delays in testing the effectiveness of our product, or termination of the clinical studies altogether.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34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may not be able to identify, recruit and enroll a sufficient number of trial participants, or those with required or desired characteristics to achieve diversity in a study, to complete our clinical trials in a timely manner. Patient and subject enrollment is affected by factors including:</w:t>
      </w:r>
    </w:p>
    <w:p>
      <w:pPr>
        <w:spacing w:after="0" w:line="153"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complexity and design of the study protocol;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size of the patient population;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proximity and availability of clinical study sites for prospective trial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including between our own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ability to monitor trial participants adequately during and after treatment;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ability to recruit clinical trial investigators with the appropriate competencies and experience;</w:t>
      </w:r>
    </w:p>
    <w:p>
      <w:pPr>
        <w:spacing w:after="0" w:line="22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clinicians’ and trial participants’ perceptions of the potential advantages and side effects of the product candidate being studied in relation to other available therapies, including any new drugs or treatments that may be approved for the indications we are investigating;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ability to obtain and maintain participant informed consent;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major changes in the approval status of competitor investigational products during the clinical trial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impacts related to the spread of COVID-19;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risk that trial participants enrolled in clinical trials will not complete a clinical trial.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our clinical trials may compete with other clinical trials for product candidates that are in the same therapeutic areas as our product candidates, and this competition will reduce the number and types of trial participants available to us because some trial participants who might have opted to enroll in our trials may instead opt to enroll in a trial being conducted by a third party. Since the number of qualified clinical investigators is limited, we expect to conduct some of our clinical trials at the same clinical trial sites that some of our competitors use, which will reduce the number of trial participants who are available for our clinical trials at such clinical trial sites. Moreover, because in some cases our product candidates represent a therapeutic novelty in contrast to more traditional methods for disease treatment and prevention, potential trial participants and their doctors may be inclined to use conventional therapies or other investigational therapies rather than enroll trial participants in any future clinical trial involving more novel product candidates. Additionally, if new product candidates, such as gene editing therapies, show encouraging results, potential trial participants and their doctors may be inclined to enroll trial participants in clinical trials using those product candidates. If such new product candidates show discouraging results or other adverse safety indications, potential trial participants and their doctors may be less inclined to enroll trial participants in our clinical trials.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particular, certain conditions for which we plan to evaluate our current product candidates are rare diseases with limited patient pools from which to draw for clinical trials. The eligibility criteria of our clinical trials will further limit the pool of available trial participants. Additionally, the process of finding and diagnosing patients may prove costly. Each of the foregoing risks may continue to be affected by the spread of seasonal viral infections, including COVID-19, as well as the potential for any new pandemic caused by an as-yet-unknown agent.</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240"/>
          </w:cols>
          <w:pgMar w:left="320" w:top="341" w:right="3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our collaborators, and other third parties on whom we rely conduct various activities, including research, clinical trials, manufacturing and, where approved, marketing, in jurisdictions across the globe. Such activities are subject to a variety of risks which could materially and adversely affect our business.</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activities increasingly span different jurisdictions. For example, clinical trials of our product candidates are currently being conducted in several countries, and we plan to commercialize our product candidates, if approved, globally. Accordingly, we are subject to additional risks related to operating in multiple countries, including:</w:t>
      </w:r>
    </w:p>
    <w:p>
      <w:pPr>
        <w:spacing w:after="0" w:line="171"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differing regulatory requirements in such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22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increased difficulties in managing the logistics and transportation of storing and shipping product candidates produced in Germany and shipping the product candidate to the patient abroad;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import and export requirements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restrictions on transfers of information, including certain technologies and personal data;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taxes, including withholding of payroll taxes;</w:t>
      </w:r>
    </w:p>
    <w:p>
      <w:pPr>
        <w:spacing w:after="0" w:line="22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currency fluctuations, which could result in increased operating expenses and reduced revenue, and other obligations incident to doing business in another country;</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difficulties staffing and managing operations outside of Germany;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potential liability under the U.S. Foreign Corrupt Practices Act of 1977 or comparable regulations in other jurisdictions;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countries that do not respect and protect intellectual property rights to the same extent as Germany and the United States;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public health epidemics or pandemics.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part of our global operations, we and our collaborators rely on relationships with entities based in various jurisdictions, including for clinical research and manufacturing activities and other regional operational needs. Such relationships may involve the use of our or others’ intellectual property. We expect to continue to rely on such entities, which include locally-based CMOs and CROs, in the future. For example, we and our collaborators rely on WuXi Biologics Co., Ltd. and its affiliates for outsourcing activities related to manufacturing and the supply chain, research and development, certain IP, and commercialization readiness for certain of our product candidates. Such entities are subject to evolving local regulatory requirements, and may also be subject to U.S. and EU legislation, including the proposed U.S. BIOSECURE Act, sanctions,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34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trade restrictions, and/or other regulations. Such requirements could increase the cost or reduce the supply of material available to us, delay the procurement or supply of such material, or have an adverse affect on our ability to secure significant commitments from governments to purchase our potential therapies.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extent to which the COVID-19 virus continues to impact our operations, including our clinical trial operations, as it becomes endemic will depend on future developments, which are highly uncertain and cannot be predicted with confidence, including new outbreaks, new information which may emerge concerning the severity of the coronavirus and the actions to contain the coronavirus or treat its impact, among others. In the future, similar events could affect our ability to manufacture and commercialize our product candidates.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noted above, we and our partners have conducted and are expecting in the future to conduct clinical trials for our product candidates at clinical sites located outside of the United States. Although the FDA may accept data from clinical trials outside the United States that are not conducted under an IND, acceptance of this data in support of a marketing application or IND requires the clinical trial to have been conducted in accordance with GCPs, and that FDA is able to validate the data from the clinical trial through an onsite inspection if it deems such inspection necessary. Where data from foreign clinical trials are intended to serve as the sole basis for marketing approval in the United States, the FDA will not approve the application on the basis of foreign data alone unless those data are considered applicable to the U.S. patient population and U.S. medical practice, the clinical trials were performed by clinical investigators of recognized competence, and the data is considered valid without the need for an onsite inspection by the FDA or, if the FDA considers such an inspection to be necessary, the FDA is able to validate the data through an onsite inspection or other appropriate means. There can be no assurance the FDA will accept data from clinical trials conducted outside of the United States in support of a marketing application. If the FDA does not accept data from our clinical trials of our product candidates, it would likely result in the need for additional clinical trials, which would be costly and time-consuming and delay or permanently halt our development of a product candidate.</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These and other risks associated with our international operations and our collaborations with our collaborators may materially adversely affect our ability to attain or maintain profitable operations.</w:t>
      </w:r>
    </w:p>
    <w:p>
      <w:pPr>
        <w:spacing w:after="0" w:line="15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may publish interim top-line or preliminary data from preclinical studies or clinical trials. Interim data are subject to the risk that one or more of the outcomes may materially change as more data become available. We also make assumptions, estimations, calculations and conclusions as part of our analyses of data, and we may not have received or had the opportunity to 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Additionally,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disclose publicly regarding a particular study or clinical trial is based on what is typically extensive information, and our securityholders may not agree with what we determine is the material or otherwise appropriate information to include in our disclosure. Any information we determine not to disclose may ultimately be deemed significant by our securityholders or others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34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Results of earlier studies and trials of our product candidates may not be predictive of future trial results.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Success in preclinical studies and early clinical trials does not ensure that later clinical trials will be successful.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Even if our clinical trials are completed, the results may not be sufficient to obtain regulatory approval for our product candidates. In addition, the results of our preclinical studies may not be predictive of the results of outcomes in human clinical trials. For example, our tumor-specific cancer immunotherapy candidates and any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the desired pharmacological properties or safety and efficacy traits despite having progressed through preclinical studies and initial clinical trials. Even if we are able to initiate and complete clinical trials, the results may not be sufficient to obtain regulatory approval for our product candidates.</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Our planned clinical trials or those of our collaborators may be less efficacious or may reveal significant adverse events not seen in our preclinical or nonclinical studies and may result in a safety profile that could delay or terminate clinical trials, or delay or prevent regulatory approval or market acceptance of any of our product candidates.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 is typically an extremely high rate of attrition for product candidates across categories of medicines proceeding through clinical trials.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product candidates may fail to show the desired safety and efficacy profile in later stages of clinical trials despite having progressed through nonclinical studies and initial clinical trials. A number of companies in the biopharmaceutical industry have suffered significant setbacks in later-stage clinical trials due to lack of efficacy or unacceptable safety profiles,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Many of our product candidates are being developed or are intended to be co-administered with other developmental therapies or approved medicines. For example, autogene cevumeran (BNT122) is being developed to be co-administered with checkpoint inhibitors. Such combinations may have additional side effects, which may be difficult to predict in future clinical trials.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significant adverse events or other side effects are observed in any of our current or future clinical trials, we may have difficulty recruiting trial participants to any of our clinical trials, trial participants may withdraw from trials, or we may be required to abandon the trials or our development efforts of one or more product candidates altogether. We, the FDA or other regulatory authorities, ethics committees or an IRB may impose a clinical hold on, or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drug from obtaining or maintaining marketing approval, an unfavorable benefit-risk ratio may inhibit market acceptance of the approved product due to its tolerability versus other therapies. Any of these developments could materially harm our business, financial condition and prospects.</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If we are not successful in discovering, developing and commercializing additional product candidates beyond our current portfolio, our ability to expand our business and achieve our strategic objectives would be impaired.</w:t>
      </w:r>
    </w:p>
    <w:p>
      <w:pPr>
        <w:spacing w:after="0" w:line="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a substantial amount of our efforts focus on the clinical trials and potential approval of our existing product candidates, a key element of our strategy is to discover, develop and potentially commercialize additional products beyond our current portfolio to treat various conditions and in a variety of therapeutic areas. We intend to do so by investing in our own drug and target discovery efforts, exploring potential</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34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collaborations for the development of new products, and in-licensing technologies. Identifying new product candidates requires substantial technical, financial and human resources, whether or not any product candidates are ultimately identified. Even if we identify product candidates that initially show promise, we may fail to develop and commercialize such products successfully for many reasons, including the following:</w:t>
      </w:r>
    </w:p>
    <w:p>
      <w:pPr>
        <w:spacing w:after="0" w:line="176"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approved product may not be accepted as safe and effective by trial participants, the medical community or third-party payors.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we are unsuccessful in identifying and developing additional products, our potential for growth may be impaired.</w:t>
      </w:r>
    </w:p>
    <w:p>
      <w:pPr>
        <w:spacing w:after="0" w:line="225"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5A64"/>
        </w:rPr>
        <w:t>Our future success depends on our ability to retain key employees, consultants and advisors and to attract, retain and motivate qualified senior management and scientific personnel.</w:t>
      </w:r>
    </w:p>
    <w:p>
      <w:pPr>
        <w:spacing w:after="0" w:line="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and retain highly qualified managerial, scientific and medical personnel. We are highly dependent upon members of our management and scientific teams. We may not be able to retain these persons due to the competitive environment in the biotechnology industry, as well as a current global shortage of these highly qualified individuals. The loss of any of these persons’ services may adversely impact the achievement of our research, development, financing and commercialization objectives. We are also aware of physical threats made against certain of these people. In response to these threats, we have deployed personal protection for such employees and increased our security generally. We currently do not have “key person” insurance on any of our employees.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rely on consultants, contractors and advisors, including scientific and clinical advisors, to assist us in formulating our research and development, regulatory approval and commercialization strategy.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grown our workforce through the use of contractors and part-time workers. We may not be able to retain the services of such personnel, which might result in delays in the operation of our business.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Recruiting and retaining other qualified employees, consultants and advisors for our business, including scientific and technical personnel, will be critical to our success as well. Competition for skilled personnel, including in mRNA research, clinical development, clinical operations, regulatory affairs, therapeutic area management, manufacturing, and AI, is intense and the turnover rate can be high. We may not be able to attract and retain personnel on favorable terms given the competition among numerous pharmaceutical and biotechnology companies and academic institutions for individuals with similar skill sets. In addition, adverse publicity, and the failure to succeed in preclinical studies or clinical trials or in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have a material adverse impact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34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Our employees, principal investigators and consultants may engage in misconduct or other improper activities, including non-compliance with regulatory standards and requirements and insider trading, which could have an adverse effect on the results of our operations.</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exposed to the risk of fraud or other misconduct by our employees, principal investigators and consultants, despite our robust efforts to prevent such misconduct through sponsor oversight. Misconduct by these parties could include intentional failures to comply with FDA regulations or the regulations applicable in the European Union and other jurisdictions, to provide accurate information to the FDA, the EMA and other regulatory authorities, to comply with healthcare fraud and abuse laws and regulations in the United States and abroad, to report financial information or data accurately or to disclose unauthorized activities to us.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Employment-related disputes, including employee litigation and unfavorable publicity, could negatively affect our future business.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may be subject to claims by our employees or regulatory authorities with respect to employment and workplace matters, including lawsuits or proceedings against us regarding injury, creating a hostile workplace, discrimination, wage and hour disputes, sexual harassment or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Certain companies that have faced employment- or harassment-related lawsuits have had to terminate management or other key personnel, and have suffered reputational harm that has negatively impacted their business. If we were to face any employment-related claims, our business could be negatively affected.</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The illegal distribution and sale by third parties of counterfeit versions of our COVID-19 vaccine, or, if approved, our other product candidates, could have a negative impact on our financial performance or reputation.</w:t>
      </w:r>
    </w:p>
    <w:p>
      <w:pPr>
        <w:spacing w:after="0" w:line="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Third parties have in the past and may continue to illegally distribute and sell counterfeit versions of COVID-19 vaccines. Counterfeit products are frequently unsafe or ineffective, and may even be life-threatening. Counterfeit medicines may contain harmful substances or the wrong dosage. However, to distributors and users, counterfeit products may be visually indistinguishable from the authentic version.</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Reports of adverse reactions to counterfeit products, increased levels of counterfeiting, or unsafe vaccines could materially affect public confidence in our COVID-19 vaccine or other product candidates. It is possible that adverse events caused by unsafe counterfeit vaccines will mistakenly be attributed to our COVID-19 vaccine, or, if approved, our other product candidates. In addition, thefts of inventory at warehouses, plants or while in-transit, which are subsequently improperly stored and which are sold through unauthorized channels, could adversely impact patient safety, our reputation, and our business. Public loss of confidence in the integrity of our COVID-19 vaccine or, if approved, our other product candidates, as a result of counterfeiting or theft could have a material adverse effect on our business, results of operations, and financial condition.</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005A64"/>
        </w:rPr>
        <w:t>We and our collaborators or other contractors or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internal computer systems and those of our current and any future collaborators, vendors, and other contractors or consultants are vulnerable to damage from computer viruses, unauthorized access, natural disasters, terrorism, cybersecurity threats, war, and telecommunication and electrical failures. If any such material system failure, accident or security breach were to occur and cause interruptions in our operations,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34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could result in a material disruption of our development programs and our business operations, whether due to a loss of our trade secrets or other proprietary information or other similar disruptions. For example, the loss of clinical trial data from one or more ongoing or completed or future clinical trials could result in delays in our regulatory approval efforts and significantly increase our costs to recover or reproduce the data. In addition, because of our approach of running multiple clinical trials in parallel, any breach of our computer systems may result in a loss of data or compromised data integrity across many of our programs in many stages of development. Any such breach, loss or compromise of clinical trial participant personal data may also subject us to civil fines and penalties, including under the EU General Data Protection Regulation, or the GDPR, relevant law of an EU member state, HIPAA, and other relevant state and federal privacy laws in the United States or in other jurisdictions. To the extent that any disruption or security breach were to result in a loss of, or damage to,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While we have not experienced any material system failures, accidents or security breaches to date, in December 2020, we were informed by the EMA that the agency was subject to a cyberattack and that some documents relating to our regulatory submission for our COVID-19 vaccine candidate, which was stored on an EMA server, had been unlawfully accessed. None of our systems were breached in connection with this incident and we are unaware that any study participants were identified through the data being accessed.</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put systems and procedures in place to minimize the likelihood of such incidents reoccurring; however, we cannot guarantee that third parties will not be able to gain unauthorized access to or otherwise breach our systems in the future. Any such unauthorized access or breach could adversely affect our business, results of operations and financial condition.</w:t>
      </w:r>
    </w:p>
    <w:p>
      <w:pPr>
        <w:spacing w:after="0" w:line="171"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5A64"/>
        </w:rPr>
        <w:t>Product liability lawsuits against us could cause us to incur substantial liabilities and could limit commercialization of our current or future product candidates.</w:t>
      </w: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any of our current or future product candidates in clinical trials, and an even greater risk related to any commercialized products, such as our COVID-19 vaccine. We have received product liability claims against our COVID-19 vaccine, and expect to receive additional product liability claims in the future. If we cannot successfully defend ourselves against claims that our products and/or our product candidates have caused injuries, we could incur substantial liabilities. Regardless of merit or eventual outcome, liability claims may result in:</w:t>
      </w:r>
    </w:p>
    <w:p>
      <w:pPr>
        <w:spacing w:after="0" w:line="179"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decreased demand for any product or product candidate that we may develop;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substantial monetary awards to patients, healthy volunteers or their children;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inability to commercialize any products or product candidates that we may develop;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carry clinical trial insurance and product liability insurance, which we believe to be sufficient in light of our current clinical programs and commercial operations; however, the amount of coverage we have obtained may not be adequate and we may not be able to maintain insurance coverage at a reasonable cost or in sufficient amounts to protect us against losses due to liability. On occasion, large judgments have been awarded in class action lawsuits based on drugs or medical treatments that had unanticipated adverse effects. A successful product liability claim or series of claims brought against us could cause the price of the ADSs to decline and, if judgments exceed our insurance coverage, could adversely affect our results of operations and business.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34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If our products become subject to a product recall it could harm our reputation, business and financial results.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FDA and similar governmental authorities in other jurisdictions have the authority to require the recall of certain commercialized products. In the case of the FDA, the authority to require a recall of a biologic product must be based on an FDA finding that a batch, lot of other quantity of the biologic product presents an imminent or substantial hazard to the public health. In addition, some governmental bodies outside the United States have the authority to require the recall of any product or product candidate in the event of material deficiencies or defects in design or manufacture. Manufacturers may, under their own initiative, recall a product if any material deficiency in a product is found. A government-mandated or voluntary recall by us could occur as a result of manufacturing errors, design or labeling defects or other deficiencies and issues.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Recalls of any of our products or, if approved, our product candidates, would divert managerial and financial resources and have an adverse effect on our financial condition and results of operations. A recall announcement could harm our reputation with customers and negatively affect our sales, if any.</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Issues in the development and use of AI, combined with an uncertain regulatory environment, may result in reputational harm, liability or other adverse consequences to our business.</w:t>
      </w:r>
    </w:p>
    <w:p>
      <w:pPr>
        <w:spacing w:after="0" w:line="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investing in AI technology systems, including through our acquisition of InstaDeep, and such systems are complex and rapidly changing. We face significant competition from other companies with respect to our AI and machine learning services, along with an evolving regulatory landscape. The introduction of AI into the development and manufacturing of our product candidates, or the provision of services relating to AI technologies and applications, may result in new or enhanced governmental or regulatory scrutiny, litigation, intellectual property risks, confidentiality or security risks, ethical concerns or other complications that could harm our business, reputation or financial condition.</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Uncertainty around AI may require additional investment in the development and maintenance of proprietary datasets and development of appropriate protections and safeguards for handling the use of customer data with AI technologies, which may be costly and could impact our expenses. In addition, AI may create content that appears correct but is inaccurate or flawed, and if created by third parties, may be mistakenly attributed to us. Our customers or others may rely on or use this flawed content to their detriment, which may expose us to brand or reputational harm, competitive harm or legal liability.</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005A64"/>
        </w:rPr>
        <w:t>Our ability to effectively monitor and respond to the rapid and ongoing developments and expectations relating to environmental, social and governance, or ESG, matters, including related social expectations and concerns, may impose unexpected costs or result in reputational or other harm that could have a material adverse effect on our business, financial condition, cash flows and results of operations and could cause the price of ADSs representing our ordinary shares to decline.</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are rapid and ongoing developments and changing expectations relating to ESG matters and factors such as the impact of our operations on the environment, access to our COVID-19 vaccine, corporate governance, our practices relating to product stewardship, management of business ethics, human rights diligence in our own operations and our supply chain, and human resource development, which may result in increased regulatory, social or other scrutiny on us.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we must address climate risks due to our own contribution to climate change (inside-out perspective), risks due to physical effects of climate change as well as transition risks (outside-in perspective), and interactions between both perspectives. To this end, we have set ourselves near-term scienced-based emissions reduction targets for our own operations (scope 1, 2) and for our supply chain (supplier engagement target for scope 3), validated by the SBTi in early February 2024.</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we are addressing increasingly complex regulatory requirements with respect to human rights risks, including German legislation (for example, the Act on Corporate Due Diligence Obligations for the Prevention of Human Rights Violations in Supply Chains (“Lieferkettensorgfaltspflichtengesetz – LkSG”)), potential legislative planning by the European Union and local or regional regulations. We are expected by regulation to identify, prevent, mitigate and ideally end the extent of any potential adverse impacts or violations throughout our own operations and value chain.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34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Finally, we are faced with increasing ESG related transparency and reporting obligations. These requirements arise, for example, from the EU CSRD regulation and the ESRS sustainability standards, from specific human right reporting regulations (e.g. section 10 of the German LkSG), any potential SEC rules that could require registrants to provide additional climate-related disclosures in future periods, and other possible obligations.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Should we fail to meet our climate protection targets or if we are unable to adequately recognize and respond to such developments and governmental, societal, investor and NGO expectations relating to such ESG matters, we may have to pay substantial fines, forego corporate opportunities, become subject to additional scrutiny, incur unexpected costs or experience damage to our reputation or our various brands. If any of these events were to occur, there may be a material adverse effect on our business, financial condition, cash flows and results of operations, and the price of ADSs representing our ordinary shares may decline.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observed that in addition to the importance of their financial performance, companies are increasingly being judged by their performance on ESG matters. A variety of organizations measure the performance of companies on such ESG topics, and the results of these assessments are widely publicized. We may fail to comply with standards or best practices put forth by such organizations or by governmental or regulatory bodies. In addition, investment in funds that specialize in companies that perform well in such assessments are increasingly popular, and major institutional investors have publicly emphasized the importance of such ESG measures to their investment decisions. In light of investors’ increased focus on ESG matters, there can be no certainty that we will manage such issues successfully, or that we will successfully meet society’s expectations as to our proper role. Any failure or perceived failure by us in this regard could have a material adverse effect on our reputation and on our business, the price of ADSs representing our ordinary shares, financial condition, or results of operations, including the sustainability of our business over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Risks Related to the Manufacturing of our COVID-19 Vaccine, our Product Candidates and Future Pipeline</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005A64"/>
        </w:rPr>
        <w:t>Our COVID-19 vaccine and product candidates are based on novel technologies and they may be complex and difficult to manufacture. We 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manufacturing processes for our COVID-19 vaccine and our product candidates are novel and complex. Due to the novel nature of this technology and the recency of our experience at larger scale production,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In an effort to optimize product features, we have in the past and may in the future make changes to our product candidates in their manufacturing and stability formulation and conditions. This has resulted in the past, and may in the future result, in our having to resupply batches for preclinical, clinical, or commercial activities when there is insufficient product stability during storage and insufficient supply. Insufficient stability or shelf life of our products or product candidates could materially delay our or our collaborators’ ability to continue the clinical trial for that product candidate or require us to begin a new clinical trial with a newly formulated drug product, due to the need to manufacture additional preclinical, clinical or commercial supply.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in March 2021 we received product quality complaints related to our COVID-19 vaccine in Hong Kong. A thorough investigation into these complaints concluded that the reported product quality complaints were due to the combination of a deficient container closure process, or crimping, at one specific contract manufacturing organization when such containers were later shipped at ultra-cold conditions created by shipping on dry ice. The investigation did not identify any safety issues related to the product quality complaints. We and our COVID-19 vaccine collaboration partner in Hong Kong, Fosun Pharma, subsequently supplied replacement COVID-19 vaccine vials, but we cannot assure you that we will not experience similar product quality complaints in the future.</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rate of innovation is high, which has resulted in, and will continue to cause a high degree of, technology change that can negatively impact product comparability during and after clinical development. Furthermore,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34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technology changes may drive the need for changes in, modification to, or the sourcing of, new manufacturing infrastructure or may adversely affect third-party relationships.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process to generate mRNA medicines is complex and, if not developed and manufactured under well-controlled conditions, can adversely impact pharmacological activity. We may encounter difficulties in scaling up our manufacturing process, thereby potentially impacting clinical and commercial supply. Additionally, for individualized therapies, we may encounter issues with our ability to timely and efficiently manufacture product given the on-demand requirements of such therapies, thereby potentially impacting clinical and commercial supply.</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continue developing new manufacturing processes for our drug substance and drug product, the changes we implement to the manufacturing process may impact, in turn, specification and stability of the drug product. Changes in our manufacturing processes may lead to failure of lots and this could lead to a substantial delay in our clinical trials or an inability to supply sufficient commercial quantities of drug product. Our mRNA product candidates may prove to have a stability profile that leads to an unfavorable shelf life. This poses risk in supply requirements, wasted stock and higher cost of goods.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are dependent on a number of equipment providers who are also implementing novel technology. Further, we have developed our own custom manufacturing equipment for certain of our product candidates. If such equipment malfunctions or we encounter unexpected performance issues, we could encounter delays or interruptions to clinical and commercial supply.</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Due to the number of different programs, we may in the future have cross contamination of products inside of our factories, CROs, external CMOs, suppliers or in the clinic that affect the integrity of our products. Additionally, for some programs the manufacturing scale is extremely small compared to the standard volumes of supply, such that we run the risk of contaminating the process each time we reopen a container to use remaining supplies.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we scale the manufacturing output for particular programs, we plan to continuously improve yield, purity and the pharmaceutical properties of our product candidates from IND-enabling studies through commercial launch, including shelf life stability and solubility properties of drug product and drug substance. Due to continuous improvement in manufacturing processes, we may switch processes for a particular program during development. However, after the change in process, more time is required for pharmaceutical property testing, such as six- or 12- month stability testing. That may require resupplying clinical or commercial material, or making additional GMP batches to keep up with clinical trial demand before such pharmaceutical property testing is completed.</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utilizing a number of raw materials and excipients that are either new to the pharmaceutical industry or are being employed in a novel manner. Some of these raw materials and excipients have not been scaled to a level to support commercial supply and could experience unexpected manufacturing or testing failures, or supply shortages. Such issues with raw materials and excipients could cause delays or interruptions to clinical and commercial supply of our COVID-19 vaccine and our product candidates. Further, now and in the future, one or more of our programs may have a single source of supply for raw materials and excipients. Some of our suppliers are located in countries different from our manufacturing sites. Export restrictions could lead to unplanned interruptions in manufacturing, thus impacting supply of both clinical and commercial material.</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established a number of analytical assays, and may have to establish several more, to assess the quality of our mRNA products and product candidates. We may identify gaps in our analytical testing strategy that might prevent release of product or could require product withdrawal or recall. For example, we may discover new impurities that have an impact on product safety, efficacy or stability. This may lead to an inability to release mRNA products or product candidates until the manufacturing or testing process is rectified.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 and product intermediates are extremely temperature sensitive, and we may learn that any or all of our products are less stable than desired. We may also find that transportation conditions negatively impact product quality. This may require changes to the formulation or manufacturing process for one or more of our products or product candidates and result in delays or interruptions to clinical or commercial supply. In addition, the cost associated with such transportation services and the limited pool of vendors may also add additional risks of supply disruptions. As we transport intermediate products with holding times in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34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refrigeration (TIR) and allowed times out of refrigeration (TOR) across long distances and crossing borders, traffic issues and customs delays could lead to the loss of batches which would need to be replaced.</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005A64"/>
        </w:rPr>
        <w:t>Certain of our product candidates are uniquely manufactured for each patient and we may encounter difficulties in production, particularly with respect to scaling our manufacturing capabilities. If we or any of the third-party manufacturers with whom we contract encounter these types of difficulties, our ability to provide such product candidates for clinical trials or, if approved, products for patients could be delayed or stopped, or we may be unable to maintain a commercially viable cost structure.</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custom design and manufacture certain product candidates that are unique and tailored specifically for each patient. Manufacturing unique lots of these product candidates is susceptible to product loss or failure due to issues with:</w:t>
      </w:r>
    </w:p>
    <w:p>
      <w:pPr>
        <w:spacing w:after="0" w:line="153"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logistics associated with the collection of a patient’s tumor, blood or other tissue sample;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shipping such samples to a facility for genetic sequencing;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next-generation sequencing of the tumor mRNA;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biopsy of a sufficient quantity of cancerous tissue to allow for proper sequencing and identification of tumor-specific mutations;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identification of appropriate tumor-specific mutations;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use of a software program, including proprietary and open source components, which is hosted in the cloud and a part of our product candidate, to assist with the design of the patient-specific mRNA, which software must be maintained and secured;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effective design of the patient-specific mRNA that encodes for the required neoantigens;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batch-specific manufacturing failures or issues that arise due to the uniqueness of each patient-specific batch that may not have been foreseen;</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quality control testing failures;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unexpected failures of batches placed on stability;</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shortages or quality control issues with single-use assemblies, consumables or critical parts sourced from third-party vendors that must be changed out for each patient-specific batch;</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significant costs associated with individualized manufacturing that may adversely affect our ability to continue development;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successful and timely manufacture and release of the patient-specific batch;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shipment issues encountered during transport of the batch to the site of patient care;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ability to define a consistent safety profile at a given dose when each participant receives a unique treatment;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reliance on single source suppliers.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continue to evolve our own custom manufacturing equipment. This equipment may not function as designed, which may lead to deviations in the drug product being produced. This can lead to increased batch failure and the inability to supply patients enrolled in the clinical trial. If our clinical development plans are expanded, we may not be able to supply this expanded need reliably without significant investments due to the custom nature of the equipment and single-use assemblies. In addition, there will be considerable time to scale up our facilities or build new facilities before we can begin to meet any commercial demand if one or more of our individualized product candidates are approved. This expansion or addition of new facilities could also lead to product comparability issues, which can further delay introduction of new capacity.</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240"/>
          </w:cols>
          <w:pgMar w:left="320" w:top="341" w:right="33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those of our product candidates that are manufactured for each individual patient, we are required to maintain a chain of identity with respect to each patient’s tissue sample, the sequenced data derived from such tissue sample, the results of such patient’s genomic analysis and the custom manufactured product for such patient. Maintaining such a chain of identity is difficult and complex, and failure to do so could result in product mix-up, adverse patient outcomes, loss of product, or regulatory action, including withdrawal of any approved products from the market. Further, as our product candidates are developed through early-stage clinical studies to later-stage clinical trials towards approval and commercialization, we expect that multiple aspects of the complicated collection, analysis, manufacture and delivery processes will be modified in an effort to optimize processes and results. These changes may not achieve the intended objectives, and any of these changes could cause our product candidates to perform differently than we expect, potentially affecting the results of clinical trials.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Our inability to manufacture sufficient or appropriate quantities of our COVID-19 vaccine or any of our product candidates, or our failure to comply with applicable regulatory requirements, could materially and adversely affect our business.</w:t>
      </w: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Manufacturing is a vital component of our individualized immunotherapy approach, and we have invested significantly in our manufacturing facilities, including the acquisition of a manufacturing site in Marburg, Germany, the construction of a novel modular manufacturing facility that we refer to as a “BioNTainer,” and the construction of a facility to support manufacturing of our Individualized Vaccines Against Cancer candidates. All internal manufacturing is performed under GMP guidelines. We also rely on a network of CMOs for the manufacture of our COVID-19 vaccine. We do not rely on any external CMOs for the manufacture of our individualized product candidates and at this time, and we have limited redundancy among our facilities. Due to the individualized nature of our product candidates, we do not maintain product reserves. If any of our or our external CMOs’ manufacturing facilities, including our BioNTainer units, experience difficulties, including related to manufacturing, product release, shelf life, testing, storage and supply chain management or shipping, our clinical development programs may be delayed or suspended until we or our external CMOs can resume operations. We may also be required to incur significant expenditures to resolve such difficulties.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and our collaboration partner also have experienced, and continue to face the risk of, inventory write-downs or redundant production capacities with respect to our COVID-19 vaccine. Planned new formulations of our COVID-19 vaccine, including versions that could protect against new variants of COVID-19, have resulted or may result in significant research and development expense that was not or may not be recouped. In addition, we have experienced in the past, and may experience in the future, redundant production capacities under our agreements with CMOs due to planned new formulations, adaptations of our COVID-19 vaccine and increased internal manufacturing capacities. Significant inventory write-downs or redundant manufacturing expenses would negatively impact our results of operations.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facilities are subject to various regulatory requirements and may be subject to announced or unannounced inspections by the FDA or other regulatory authorities at any time during the development or commercialization phase. If we or our external CMOs cannot successfully manufacture material that conforms to our specifications and the strict regulatory requirements of the FDA, the EMA or comparable regulatory authorities in other jurisdictions, we may not be able to rely on our or our external CMOs’ manufacturing facilities for the manufacture of our product candidates. If the FDA, the EMA or another comparable regulatory authority finds our or our external CMOs’ facilities inadequate for the manufacture of our COVID-19 vaccine or our product candidates or otherwise deficient, including as a result of a site inspection, such facilities may be the subject of adverse regulatory action, including the issuance of untitled or warning letters. If such facilities are subject to enforcement action in the future or are otherwise inadequate, we may need to find alternative manufacturing facilities, which would significantly delay or otherwise impact our ability to develop, obtain regulatory approval for or market our COVID-19 vaccine or our product candidates.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we may experience manufacturing difficulties due to resource constraints, labor disputes or unstable political environments. If we were to encounter any of these difficulties, our ability to provide our product candidates to patients in clinical trials, or to provide approved products for the treatment of patients, would be jeopardized.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34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are subject to regulatory and operational risks associated with the physical and digital infrastructure at both our internal manufacturing facilities and at those of our external service providers.</w:t>
      </w: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designs of our facilities are based on current standards for biotechnology facilities. They have been reviewed and approved by local authorities and have also received GMP manufacturing licenses. We have designed our facilities to incorporate a significant level of automation of equipment with integration of several digital systems to improve efficiency of operations. We have attempted to achieve a high level of digitization for clinical and commercial manufacturing facilities relative to industry standards. While this is meant to improve operational efficiency, this may pose additional risk of process equipment malfunction and even overall manufacturing system failure or shutdown due to internal or external factors including, but not limited to, design issues, system compatibility or potential cybersecurity breaches. This may lead to a delay in supply or shutdown of our facilities. Any disruption in our manufacturing capabilities could cause delays in our production capacity for our drug substances or drug products, impose additional costs, or require us to identify, qualify and establish an alternative manufacturing site, the occurrence of which could have a material adverse effect on our business, financial condition, results of operations and prospects.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expand our development and commercial capacity, we may continue to establish additional manufacturing capabilities in different jurisdictions, which may lead to regulatory delays or prove costly. If we fail to select the correct location, complete the construction in an efficient manner, recruit required personnel, and/or generally manage our growth effectively, the development and production of our products or product candidates could be delayed or curtailed. Additional investments may be needed if changes in our manufacturing process lead to required changes in our infrastructure.</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Our COVID-19 vaccine and certain of our product candidates rely on the availability of specialty raw materials, which may not be available to us on acceptable terms or at all.</w:t>
      </w:r>
    </w:p>
    <w:p>
      <w:pPr>
        <w:spacing w:after="0" w:line="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product candidates require many specialty raw materials, some of which are manufactured by small companies with limited resources and experience to support a commercial product, and suppliers may not be able to deliver raw materials to our specifications. In addition, some such suppliers normally support blood-based hospital businesses and generally do not have the capacity to support commercial products manufactured under GMP by biopharmaceutical firms. These suppliers may be ill-equipped to support our needs, especially in non-routine circumstances like an FDA inspection or medical crisis, such as widespread contamination. We also do not have contracts with many of these suppliers, and we may not be able to contract with them on acceptable terms or at all. Accordingly, we have experienced and we may in the future experience delays in receiving key raw materials to support clinical or commercial manufacturing.</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negatively impact our operating results. Further, we may be unable to enter into agreements with a new supplier on commercially reasonable terms or at all, which could have a material adverse impact on our business.</w:t>
      </w:r>
    </w:p>
    <w:p>
      <w:pPr>
        <w:spacing w:after="0" w:line="183"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b w:val="1"/>
          <w:bCs w:val="1"/>
          <w:color w:val="005A64"/>
        </w:rPr>
        <w:t>We are subject to significant regulatory oversight with respect to manufacturing our products and product candidates. Our manufacturing facilities or the manufacturing facilities of our third-party manufacturers or suppliers may not meet regulatory requirements. Failure to meet GMP requirements set forth in regulations promulgated by the FDA, the EMA and other comparable regulatory authorities could result in significant delays in and costs of our products.</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manufacturing of immunotherapies for clinical trials or commercial sale is subject to extensive regulation. GMP requirements govern manufacturing processes and procedures, including record-keeping, and the implementation and operation of quality systems to control and assure the quality of products and materials used in our products and product candidates. Poor control of the GMP production processes can lead to product quality failures that can impact our ability to supply product, resulting in loss of potential product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34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sales revenue, cost overruns and delays to clinical timelines for our clinical programs, which could be extensive. Such production process issues include but are not limited to:</w:t>
      </w:r>
    </w:p>
    <w:p>
      <w:pPr>
        <w:spacing w:after="0" w:line="153"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critical deviations in the manufacturing process;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facility and equipment failures;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contamination of the product due to an ineffective quality control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facility contamination as assessed by the facility and utility environmental monitoring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ineffective process, equipment or analytical change management, resulting in failed lot release criteria;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raw material failures due to ineffective supplier qualification or regulatory compliance issues at critical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ineffective product stability;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failed lot release or facility and utility quality control testing;</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ineffective corrective actions or preventative actions taken to correct or avoid critical deviations due to our developing understanding of the manufacturing process as we scale; and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failed or defective components or consumables.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must supply all necessary documentation in support of a BLA or other marketing authorization application on a timely basis and must adhere to the FDA’s, the EMA’s and other countries’ GMP requirements, which are enforced, in the case of the FDA, in part through its facilities inspection program.</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Regulatory authorities typically require representative manufacturing site inspections to assess adequate compliance with GMPs and manufacturing controls as described in the filing. If either we or one of our third-party manufacturing sites fail to provide sufficient quality assurance or control, approval to continue delivery of our commercial product or to commercialize our product candidates may not be granted. Inspections by regulatory authorities may be announced or unannounced and may occur at any time during the development or commercialization phase. The inspections may be product-specific or facility-specific for broader GMP inspections, or as a follow up to market or development issues that the regulatory agency may identify. Deficient inspection outcomes may result in adverse regulatory action, including the issuance of untitled or warning letters, which could influence our ability, or the ability of our third-party manufacturers or suppliers, to fulfill supply obligations, impacting or delaying supply or delaying programs. Our failure, or the failure of our third-party manufacturers, to comply with applicable regulations could result in sanctions being imposed on us, including, but not limited to,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(including those of our collaborators) and our overall business operations.</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manufacturing process for any product is subject to the FDA’s, the EMA’s and other regulatory authorities’ approval processes, and we may need to contract with manufacturers whom we believe can meet applicable regulatory authority requirements on an ongoing basis. If we or our third-party manufacturers are unable to reliably manufacture to specifications acceptable to the FDA, the EMA or other regulatory authorities, we or our collaborators may not obtain or maintain the approvals we or they need to release and deliver such products. Even if we or our collaborators obtain regulatory approval for any of our immunotherapies, there is no assurance that either we or our CMOs will be able to manufacture our product candidates to specifications acceptable to the FDA, the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or increase our cost of goods. The occurrence of any of the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240"/>
          </w:cols>
          <w:pgMar w:left="320" w:top="341" w:right="33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foregoing could have an adverse effect on our business, financial condition, results of operations and growth prospects.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may not have direct control over the ability of our CMOs to maintain adequate quality control, quality assurance and qualified personnel. Furthermore, all of our CMOs are engaged with other companies to supply or manufacture materials or products for such companies, which exposes our CMOs to regulatory risks for the production of such materials and products. As a result, failure to meet the regulatory requirements for the production of those materials and products may generally affect the regulatory status of our CMOs’ facilities, and could result in the sanctions and other adverse outcomes described above. Our potential future dependence upon others for the manufacture of our products, product candidates and raw materials may adversely affect our future operating results and our ability to commercialize any products that receive regulatory approval on a timely and competitive basis.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the EMA and other regulatory authorities may require us to submit product samples of any lot of any approved product together with the protocols showing the results of applicable tests at any time. Under some circumstances, the FDA or other regulatory authorities may require that we do not distribute a lot or lots until the relevant agency authorizes such release. Deviations in the manufacturing process, including those affecting quality attributes and stability, may result in unacceptable changes in the product that could result in lot failures or product recalls. Our CMOs have, in the past, experienced lot failures and some may have experienced product recalls. Lot failures or product recalls with respect to product produced by either our own facilities or those of our third-party manufacturers could cause us and our collaborators to delay clinical trials, product launches or product supply, which could be costly to us and otherwise harm our business, financial condition, results of operations and prospects.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may encounter problems hiring and retaining the experienced scientific, quality-control and manufacturing personnel needed to operate our manufacturing processes and operations, which could result in delays in production or difficulties in maintaining compliance with applicable regulatory requirements. While we train and qualify all personnel around the appropriate handling of our products and materials, we may not be able to control for or ultimately detect intentional sabotage or negligence by any employee or contractor.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Risks Related to our Reliance on Third Parties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005A64"/>
        </w:rPr>
        <w:t>We rely on third parties in the conduct of significant aspects of our preclinical studies and clinical trials and intend to rely on third parties in the conduct of future clinical trials. If these third parties do not successfully carry out their contractual duties, fail to comply with applicable regulatory requirements or fail to meet expected deadlines, we may be unable to obtain regulatory approval for our product candidates.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collaborators, medical institutions and clinical investigators, to conduct various and significant elements of our clinical trials. Furthermore, we currently rely, and expect to continue to rely, on third parties to conduct certain research and preclinical testing activities. In some cases, these third parties may terminate their engagements with us. If we need to enter into alternative arrangements, it would delay our discovery or product development activities.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regulatory or contractual responsibilities. We are responsible for ensuring that each of our preclinical studies and clinical trials is conducted in accordance with the applicable protocol, legal and regulatory requirements and scientific standards. For example, we are responsible for ensuring that each of our clinical trials is conducted in accordance with the general investigational plan and protocols for the trial.</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the FDA requires us to comply with GCP for conducting, recording and reporting the results of clinical trials to assure that data and reported results are credible and accurate and that the rights, integrity and confidentiality of trial participants are protected. We are also required to register ongoing clinical trials and post the results of completed clinical trials on a U.S. government-sponsored database, ClinicalTrials.gov, within certain timeframes.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34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and our CROs are required to comply with regulations, including GCP,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are also responsible for ensuring that the rights of our clinical trial participants are protected. These regulations are enforced by the FDA, the regulatory authorities of the EU member states, and comparable regulatory authorities of other jurisdictions for any product candidates in clinical development. The FDA enforces GCP regulations through periodic inspections of clinical trial sponsors, principal investigators and trial sites. If we or our CROs fail to comply with applicable GCP, the clinical data generated in our clinical trials may be deemed unreliable and the FDA or comparable regulatory authorities of other jurisdictions may require us to perform additional clinical trials before approving our marketing applications. We cannot be sure that, upon inspection, the FDA will determine that any of our future clinical trials will comply with GCP. In addition, our clinical trials must be conducted with product candidates produced in accordance with the requirements of GMP regulations. Our failure or the failure of our CROs to comply with these regulations may require us to repeat clinical trials, which would delay the regulatory approval process and could also subject us to enforcement action.</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have designed, and in the future intend to design the clinical trials for certain of our product candidates, our collaborators will design the clinical trials that they are managing (in some cases, with our input) and in the case of clinical trials controlled by us, we expect that CROs will conduct all of the clinical trials. As a result, many important aspects of our development programs, including their conduct and timing, are outside of our direct control. Our reliance on third parties to conduct future preclinical studies and clinical trials results in less direct control over the management of data developed through preclinical studies and clinical trials than would be the case if we were relying entirely upon our own staff. Communicating with outside parties can also potentially lead to mistakes as well as difficulties in coordinating activities. Outside parties may:</w:t>
      </w:r>
    </w:p>
    <w:p>
      <w:pPr>
        <w:spacing w:after="0" w:line="183"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make human errors;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be subject to cyberattacks.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rely on other third parties to transport, store and distribute the required materials for our clinical trials. In the past, certain of our third-party vendors have mishandled our materials, resulting in loss of full or partial lots of material. Any further performance failure on the part of these third parties could result in damaged products and could delay clinical development or marketing approval of any product candidates we may develop or commercialization of our medicines, if approved, producing additional losses and depriving us of potential product sales revenue, causing us to default on our contractual commitments, result in losses that are not covered by insurance, and damage our reputation and overall perception of our products in the marketplace. Each of the risks set forth above continues to be affected by the spread of COVID-19 globally, even as the virus begins to enter an endemic phase.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34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Our existing collaborations, or any future collaboration arrangements that we may enter into, may not be successful, which could significantly limit the likelihood of receiving the potential economic benefits of the collaboration and adversely affect our ability to develop and commercialize our products and product candidates.</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entered into collaborations under which our collaborators have provided, and may in the future provide, funding and other resources for developing and commercializing our products and product candidates. We expect to enter into additional collaborations to access additional funding, capabilities and/or expertise in the future. Our existing collaborations, and any future collaborations we enter into, may pose a number of risks, including the following:</w:t>
      </w:r>
    </w:p>
    <w:p>
      <w:pPr>
        <w:spacing w:after="0" w:line="176"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collaborators may not perform or prioritize their obligations as expected;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clinical trials conducted as part of such collaborations may not be successful;</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and products that achieve regulatory approval or may elect not to continue or renew development or commercialization of programs based on clinical trial results, changes in the collaborators’ focus or available funding (for example, we are aware that there have been allegations that Fosun International Ltd., an affiliate of our collaboration partner Fosun Pharma, is facing liquidity risks), or external factors, such as an acquisition, that divert resources or create competing priorities;</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clinical trials, stop a clinical trial, abandon a product candidate, repeat or conduct new clinical trials, or require a new formulation of a product candidate for clinical testing;</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product candidates developed in collaborations with us may be viewed by our collaborators as competitive with their own product candidates or products, which may cause collaborators to cease to devote resources to the development or commercialization of our product candidates;</w:t>
      </w:r>
    </w:p>
    <w:p>
      <w:pPr>
        <w:spacing w:after="0" w:line="170"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any such product;</w:t>
      </w:r>
    </w:p>
    <w:p>
      <w:pPr>
        <w:spacing w:after="0" w:line="15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p>
    <w:p>
      <w:pPr>
        <w:spacing w:after="0" w:line="176"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collaborators may not properly maintain, protect, defend or enforce our intellectual property rights or may use our proprietary information in such a way as to invite litigation that could jeopardize or invalidate our intellectual property or proprietary information or expose us to potential litigation;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the development of our product candidates may be delayed, and we could be required to raise additional capital to pursue further development or commercialization of the applicable product candidates;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34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328"/>
        <w:spacing w:after="0" w:line="28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future relationships may require us to incur non-recurring and other charges, increase our near- and long-term expenditures, issue securities that dilute our existing shareholders, or disrupt our management and business;</w:t>
      </w:r>
    </w:p>
    <w:p>
      <w:pPr>
        <w:spacing w:after="0" w:line="1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could face significant competition in seeking appropriate collaborators, and the negotiation process is time-consuming and complex; and</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international operations through any future collaborations, acquisitions or joint ventures may expose us to certain operating, legal and other risks not encountered in Germany or the United States.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our collaborations do not result in the successful development and commercialization of programs, or if one of our collaborators terminates its agreement with us, we may not receive any future research funding or milestone, earn-out, royalty or other contingent payments, or otherwise yield the expected benefits under the collaborations. As a result, our development of product candidates and commercialization efforts could be delayed and we may need additional resources to develop and commercialize our product candidates.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report apply to the activities of our collaborators.</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If we are not able to establish collaborations on commercially reasonable terms, we may have to alter our research, development and commercialization plans.</w:t>
      </w:r>
    </w:p>
    <w:p>
      <w:pPr>
        <w:spacing w:after="0" w:line="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research and product development programs and the potential commercialization of any product candidates we develop alone or with collaborators will require substantial additional cash to fund expenses, and we expect that we will continue to seek collaborative arrangements with others in connection with the development and potential commercialization of current and future product candidates or the development of ancillary technologies. We face significant competition in establishing relationships with appropriate collaborators. In addition, there have been a significant number of recent business combinations among large pharmaceutical companies that have resulted in a reduced number of potential future collaborators. Whether or not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among other things and as applicable for the type of potential product or technology, an assessment of the opportunities and risks of our technology, the design or results of studies or trials, the likelihood of approval, if necessary, of the FDA or comparable regulatory authorities outside the United States, the potential market for the subject product candidate, the costs and complexities of manufacturing and delivering such product candidate to patients, the potential of competing products and technologies and industry and market conditions generally.</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Current or future collaborators may also consider alternative product candidates or technologies for similar indications that may be available to collaborate on and whether such a collaboration could be more attractive than the one with us. Additionally, we may be restricted under existing collaboration agreements from entering into future agreements on certain terms or for certain development activities with potential collaborators. For example, we have granted exclusive rights or options to Pfizer for certain targets, and under the terms of our respective collaboration agreements with them, we will be restricted from granting rights to other parties to use our mRNA technology to pursue potential products that address those targets. Similarly, our collaboration agreements have in the past and may in the future contain non-competition provisions that could limit our ability to enter into collaborations with future collaborators.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Collaborations are complex and time-consuming to negotiate and document. We may not be able to negotiate collaborations on a timely basis, on acceptable terms, or at all. If we do enter into additional collaboration agreements, the negotiated terms may force us to relinquish rights that diminish our potential profitability from development and commercialization of the subject product candidates or others. If we are unable to enter into additional collaboration agreements, we may have to curtail the research and development of the product candidate or technology for which we are seeking to collaborate, reduce or delay research and development programs, delay potential commercialization timelines, reduce the scope of any sales or marketing activities or undertake research, development or commercialization activities at our own expense. If we elect to increase our expenditures to fund research, development or commercialization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34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activities on our own, we may need to obtain additional capital, which may not be available to us on acceptable terms or at all.</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have entered into in-licensing arrangements and may form or seek to enter into additional licensing arrangements in the future, and we may not realize the benefits of such licensing arrangements.</w:t>
      </w:r>
    </w:p>
    <w:p>
      <w:pPr>
        <w:spacing w:after="0" w:line="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party to licenses that give us rights to third-party intellectual property, including patents and patent applications, that are necessary or useful for our business. In particular, we have obtained licenses from Acuitas Therapeutics, CellScript LLC and its affiliate, mRNA RiboTherapeutics, Inc., to patent rights claiming certain uses of modified RNA, as well as licenses from certain other parties for intellectual property useful in pharmaceutical formulations. We may enter into additional licenses to third-party intellectual property in the future.</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success of products developed based on in-licensed technology will depend in part on the ability of our current and future licensors to prosecute, obtain, maintain, protect, enforce and defend patent protection for our in-licensed intellectual property. Our current and future licensors may not successfully prosecute the patent applications we license. Even if patents were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In addition, we sublicense our rights under various third-party licenses to our collaborators. Any impairment of these sublicensed rights could result in reduced revenues under our collaboration agreements or result in termination of an agreement by one or more of our collaborators.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225"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the intellectual property of the licensor that is not subject to the licensing agreement;</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right to sublicense patent and other intellectual property rights to third parties under collaborative relationships;</w:t>
      </w:r>
    </w:p>
    <w:p>
      <w:pPr>
        <w:spacing w:after="0" w:line="22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intellectual property and technology in relation to our development and commercialization of our product candidates, and what activities satisfy those diligence obligations;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ownership of inventions, trade secrets, know-how and other intellectual property resulting from the joint creation or use of intellectual property by our licensors and us and our collaborators;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priority of invention of patented technology; and</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including amounts to be paid pursuant to certain program milestones being achieved or to royalty obligations, including the triggering of royalty obligations and amounts to be paid pursuant thereto.</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disputes over intellectual property that we have in-licensed or other related contractual rights prevent or impair our ability to maintain our current licensing arrangements on favorable terms, we may be unable to successfully develop and commercialize the affected product candidates.</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our co-owners or our licensors fail to adequately protect, defend, maintain or enforce this intellectual property, our ability to commercialize products could suffer.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34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5A64"/>
        </w:rPr>
        <w:t>We and our collaborators rely on third parties to manufacture certain of our clinical product supplies, and we may have to rely on third parties to produce and process our product candidates, if approved.</w:t>
      </w:r>
    </w:p>
    <w:p>
      <w:pPr>
        <w:spacing w:after="0" w:line="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we expect to continue using our own clinical manufacturing facilities where available, we also rely on outside vendors to manufacture supplies and process our product candidates. We only manufacture our COVID-19 vaccine on a commercial scale and may not be able to achieve commercial-scale manufacturing and processing for our other product candidates, if approved, and may be unable to create an inventory of mass-produced, off-the-shelf product to satisfy demands for our product candidates, if approved.</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not be able to develop commercially viable products other than our COVID-19 vaccine.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reliance on a limited number of CMOs exposes us to the following risks:</w:t>
      </w:r>
    </w:p>
    <w:p>
      <w:pPr>
        <w:spacing w:after="0" w:line="225" w:lineRule="exact"/>
        <w:rPr>
          <w:sz w:val="20"/>
          <w:szCs w:val="20"/>
          <w:color w:val="auto"/>
        </w:rPr>
      </w:pPr>
    </w:p>
    <w:p>
      <w:pPr>
        <w:jc w:val="both"/>
        <w:ind w:left="660" w:hanging="328"/>
        <w:spacing w:after="0" w:line="262"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may be unable to identify manufacturers on acceptable terms or at all because the number of potential manufacturers is limited and the FDA or other regulatory authorities may have questions regarding any replacement contractor. This may require new testing and regulatory interactions. In addition, a new manufacturer would have to be educated in, or develop substantially equivalent processes for, production of our products after receipt of regulatory authority questions, if any;</w:t>
      </w:r>
    </w:p>
    <w:p>
      <w:pPr>
        <w:spacing w:after="0" w:line="17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CMOs might be unable to timely formulate and manufacture our product or produce the quantity and quality required to meet our clinical and commercial needs, if any;</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CMOs may not be able to execute our manufacturing procedures appropriately;</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future CMOs may not perform as agreed or may not remain in the contract manufacturing business for the time required to supply our clinical trials or to successfully produce, store and distribute our products;</w:t>
      </w:r>
    </w:p>
    <w:p>
      <w:pPr>
        <w:spacing w:after="0" w:line="15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the U.S. Drug Enforcement Administration and corresponding state agencies and by regulatory authorities in other jurisdictions to ensure strict compliance with GMP and other government regulations and corresponding standards in other jurisdictions. We do not have control over CMOs’ compliance with these regulations and standards;</w:t>
      </w:r>
    </w:p>
    <w:p>
      <w:pPr>
        <w:spacing w:after="0" w:line="17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in the manufacturing process for our products;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CMOs could breach or terminate their agreement with us;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CMOs would also be subject to the same risks we face in developing our own manufacturing capabilities, as described above.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these risks could delay our clinical trials, the approval, if any, of our COVID-19 vaccine or product candidates by the FDA or regulatory authorities in other jurisdictions or the commercialization of our COVID-19 vaccine or product candidates, or result in higher costs or deprive us of potential product sales revenue. In addition, we will rely on third parties to perform release tests on our COVID-19 or our product candidates prior to delivery to patients. If these tests are not appropriately done and test data are not reliable, patients could be put at risk of serious harm.</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our collaborators currently rely on CMOs located outside of the United States to manufacture their clinical materials, and we expect to rely on CMOs located outside of the United States in the future. Such ex-U.S. CMOs may be subject to or affected by U.S. legislation, executive orders, regulations, or investigations, including but not limited to the proposed BIOSECURE Act, the Executive Order on Preventing Access to Americans’ Bulk Sensitive Personal Data and United States Government-Related Data by Countries of Concern, sanctions, trade restrictions and other U.S. and other regulatory requirements, which could increase the cost or reduce the supply of material available to us, delay the procurement or supply of such</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240"/>
          </w:cols>
          <w:pgMar w:left="320" w:top="341" w:right="33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material, delay or impact clinical trials, have an adverse effect on our ability to secure significant commitments from governments to purchase our potential therapies and adversely affect our financial condition and business prospects.</w:t>
      </w:r>
    </w:p>
    <w:p>
      <w:pPr>
        <w:spacing w:after="0" w:line="15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are dependent on single source suppliers for some of the components and materials used in, and the processes required to develop, our COVID-19 vaccine and our product candidates.</w:t>
      </w: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depend on single source suppliers for some of the components and materials used in, and manufacturing processes required to develop, our COVID-19 vaccine and our product candidates. We cannot ensure that these suppliers or service providers will remain in business, or have sufficient capacity or supply to meet our needs, or that they will not be purchased by one of our competitors or another company that is not interested in continuing to work with us. Our use of single source suppliers of raw materials, components, key processes and finished goods exposes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 source supplier or service provider could lead to supply delays or interruptions which would damage our business, financial condition, results of operations and prospects.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have to switch to a replacement supplier, the manufacture and delivery of our product candidates could be interrupted for an extended period, which could adversely affect our business. Establishing additional or replacement suppliers for any of the components or processes used in our COVID-19 vaccine and our product candidates,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COVID-19 vaccine and our product candidates, any interruption or delay in the supply of components or materials, or our inability to obtain components or materials from alternate sources at acceptable prices in a timely manner, could impair our ability to meet the demand for our COVID-19 vaccine and product candidates.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as part of the FDA’s approval of our product candidates, we will also require FDA review of the individual components of our process, which include the manufacturing processes and facilities of our single source suppliers.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reliance on these suppliers, service providers and manufacturers subjects us to a number of risks that could harm our reputation, business and financial condition, including, among other things:</w:t>
      </w:r>
    </w:p>
    <w:p>
      <w:pPr>
        <w:spacing w:after="0" w:line="153"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delays to the development timelines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interruption of supply resulting from modifications to or discontinuation of a supplier’s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inability to obtain adequate supply in a timely manner, or to obtain adequate supply on commercially reasonable terms;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production delays related to the evaluation and testing of components from alternative suppliers, and corresponding regulatory qualifications;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delay in delivery due to our suppliers’ prioritizing other customer orders over ours;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341"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risks materialize, costs could significantly increase and our ability to meet demand for our products could be impacted.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Risks Related to Intellectual Property</w:t>
      </w:r>
    </w:p>
    <w:p>
      <w:pPr>
        <w:spacing w:after="0" w:line="117"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5A64"/>
        </w:rPr>
        <w:t>If our efforts to obtain, maintain, protect, defend and/or enforce the intellectual property related to our COVID-19 vaccine or our product candidates and technologies are not adequate, we may not be able to compete effectively in our market.</w:t>
      </w:r>
    </w:p>
    <w:p>
      <w:pPr>
        <w:spacing w:after="0" w:line="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commercial success depends in part on our ability to obtain, maintain, protect, defend and enforce patent and other intellectual property, including trade secret and know-how, protection for our COVID-19 vaccine and for our product candidates, proprietary technologies and their uses, as well as our ability to operate, develop, manufacture and commercialize our COVID-19 vaccine or one or more of our product candidates without infringing, misappropriating or otherwise violating the intellectual property or other proprietary rights of our competitors or any other third parties, including any non-practicing entities or patent assertion entities. We generally seek to protect our intellectual property position by filing and/or licensing patent applications in the European Union, the United States and elsewhere related to our product candidates, proprietary technologies (including methods of manufacture) and their uses that are important to our business. Our patent applications cannot be enforced against third parties practicing the technology claimed in such applications unless, and until, patents issue from such applications, and then only to the extent that the issued claims cover third parties’ activities in the countries in which they are performed. We cannot be certain that the claims in any of our patent applications will be considered patentable by the United States Patent and Trademark Office, or the USPTO, courts in the United States or the patent offices and courts in other jurisdictions, including Europe, nor can we be certain that any claim in our issued patents will not be found invalid or unenforceable if challenged. Accordingly, there can be no assurance that our patent applications or those of our licensors will result in additional patents being issued or that issued patents will adequately cover our COVID-19 vaccine or our product candidates, or otherwise afford sufficient protection against competitors with similar technology, nor can there be any assurance that issued patents will not be infringed, designed around, invalidated or held unenforceable. Furthermore, we may not be able to apply for patents on certain aspects of our current or future products or product candidates, proprietary technologies and their uses in a timely fashion, at a reasonable cost, in all jurisdictions, or at all, and any potential patent protection we obtain may not be sufficient to prevent substantial competition.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claims of issued patents may later be found invalid or unenforceable, or may be modified or revoked in proceedings before various patent offices or in courts in the United States, Europe or other jurisdictions. The degree of future protection for our intellectual property and other proprietary rights is uncertain. Only limited protection may be available and may not adequately protect our rights or permit us to gain or keep any competitive advantage. If we do not adequately obtain, maintain, protect, defend and enforce our intellectual property and proprietary technology, competitors may be able to use our products, product candidates and proprietary technologies and erode or negate any competitive advantage we may have, which could have a material adverse effect on our financial condition and results of operations.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current or future licensors or collaborators will be successful in prosecuting, obtaining, protecting, maintaining, enforcing or defending patents and patent applications necessary or useful to protect our products or product candidates, proprietary technologies (including methods of manufacture) and their uses. These risks and uncertainties include, from time to time, the following:</w:t>
      </w:r>
    </w:p>
    <w:p>
      <w:pPr>
        <w:spacing w:after="0" w:line="176" w:lineRule="exact"/>
        <w:rPr>
          <w:sz w:val="20"/>
          <w:szCs w:val="20"/>
          <w:color w:val="auto"/>
        </w:rPr>
      </w:pPr>
    </w:p>
    <w:p>
      <w:pPr>
        <w:jc w:val="both"/>
        <w:ind w:left="660" w:hanging="328"/>
        <w:spacing w:after="0" w:line="262"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USPTO and various other governmental patent agencies require compliance with a number of procedural, documentary, fee payment and other provisions during the patenting process, the noncompliance with which can result in abandonment or lapse of a patent or patent application or a finding that a patent is unenforceable, and partial or complete loss of patent rights in the relevant jurisdiction;</w:t>
      </w:r>
    </w:p>
    <w:p>
      <w:pPr>
        <w:spacing w:after="0" w:line="176"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claims of issued patents that we own (solely or jointly) or have in-licensed may be challenged, invalidated, modified, revoked, circumvented, found to be unenforceable or otherwise may not provide any competitive advantage;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240"/>
          </w:cols>
          <w:pgMar w:left="320" w:top="341"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hanging="328"/>
        <w:spacing w:after="0" w:line="262"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other parties may have designed around our patent claims or developed technologies that may be related or competitive to our COVID-19 vaccine or to our product candidates or other technologies, may have filed or may file patent applications and may have received or may receive patents that overlap or conflict with our patent filings, either by claiming the same or overlapping methods, products, reagents, tools or devices or by claiming subject matter that could dominate one or more of our patent claims;</w:t>
      </w:r>
    </w:p>
    <w:p>
      <w:pPr>
        <w:spacing w:after="0" w:line="176"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successful opposition to claims of any patents owned by or in-licensed to us could deprive us of rights necessary for the development and exploitation of our COVID-19 vaccine or our product candidates and other technologies, or the successful commercialization of any product candidates and other technologies that we may develop;</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because patent applications in the United States and most other jurisdictions are confidential for a period of time after filing, we cannot be certain that we, our co-owners or our licensors were the first to file any patent application related to our product candidates, proprietary technologies and their uses;</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court or patent office proceeding, such as a derivative action or interference, can be provoked or instituted by a third party or a patent office, and might determine that one or more of the inventions described in our patent filings, or in those we licensed, was first invented by someone else, so that we may lose rights to such invention(s);</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court or other patent proceeding, such as an inter partes review, post grant review or opposition, can be instituted by a third party to challenge the inventorship, scope, validity and/or enforceability of our patent claims and might result in invalidation or revision of one or more of our patent claims, or in a determination that such claims are unenforceable;</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existing legislation (for example, in the United States, the Public Readiness and Emergency Preparedness Act, etc.) may be interpreted, and new legislation may be passed, to permit third-party use of patented technologies relating to a public health concern, with little or no compensation to the patent holder(s); and</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competitors a better opportunity to create, develop and market competing product candidates.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The standards that the USPTO and its counterparts use to grant patents are not always applied predictably or uniformly and can change. Similarly, the ultimate degree of protection that will be afforded to biotechnology inventions, including ours, in the United States and other countries, remains uncertain and is dependent upon the scope of the protection decided upon by patent offices, courts and lawmakers. Moreover, there are periodic changes in patent law, as well as discussions in the U.S. Congress and in other jurisdictions about modifying various aspects of patent law. There is no uniform, worldwide policy regarding the subject matter and scope of claims granted or allowable in pharmaceutical or biotechnology patents. In certain countries, for example, methods for the medical treatment of humans are not patentable. More generally, the laws of some countries do not protect intellectual property rights to the same extent as U.S. or EU laws, and those countries may lack adequate rules and procedures for granting, maintaining, protecting, defending and enforcing our intellectual property rights.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the patent prosecution process is expensive and time-consuming, and we may not be able to file, prosecute, maintain, protect, defend, enforce or license all necessary or desirable patents or patent applications, as applicable, at a reasonable cost or in a timely manner. It is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if</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240"/>
          </w:cols>
          <w:pgMar w:left="320" w:top="341"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of these parties were to breach such agreements and improperly disclose such output before a patent application is filed, this could jeopardize our ability to seek patent protection. We also rely to a certain extent on trade secrets, know-how, and technology, which are not protected by patents, to maintain our competitive position. If any trade secret, know-how or other technology not protected by a patent were to be disclosed to or independently developed by a competitor, our business and financial condition could be materially adversely affected.</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issuance of a patent is not conclusive as to its inventorship, priority date, scope, term, validity or enforceability so that any patents that may issue or that we may license may be challenged in the courts or patent offices in the United States, Europe and other jurisdictions. Once granted, patents may remain open to a variety of challenges, including opposition, interference, re-examination, post-grant review, inter partes review, nullification or derivation action in court or before patent offices or similar proceedings, and furthermore, may be challenged as a defense in any enforcement action that we might bring. Such challenges may result in loss of exclusivity or in patent claims being narrowed, terminated, disclaimed, invalidated, assigned to others or held unenforceable, any or all of which could limit our ability to stop others from using or commercializing similar or identical products, or limit the scope and/or term of patent protection of our products and product candidates and/ or eliminate it altogether, thus hindering or removing our ability to limit third parties from making, using or selling products or technologies that are similar or identical to ours, and/or reduce or eliminate royalty payments to us from our licensees. Given the amount of time required for the development, testing and regulatory review of new product candidates, patents protecting such candidates might expire before or shortly after such candidates are commercialized. Furthermore, our pending and future patent applications may not result in patents being issued which protect our technology or our product(s) or product candidates, or which effectively prevent others from commercializing competitive technologies and products. As a result, our intellectual property may not provide us with sufficient rights to exclude others from commercializing products similar or identical to ours.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ability to enforce our owned and in-licensed patent and other intellectual property rights depends on our ability to detect infringement, misappropriation and other violation of such patents and other intellectual property. It may be difficult to detect infringers, misappropriators and other violators who do not advertise the components or methods that are used in connection with their products and services. Moreover, it may be difficult or impossible to obtain evidence of infringement, misappropriation or other violation in a competitor’s or potential competitor’s product or service, and in some cases we may not be able to introduce obtained evidence into a proceeding or otherwise utilize it to successfully demonstrate infringement. We may not prevail in any lawsuits that we initiate and the damages or other remedies awarded if we were to prevail may not be commercially meaningful.</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Furthermore, patents or other intellectual property rights that we may be able to secure for our COVID-19 vaccine or our other COVID-19 vaccine candidates could be restricted or preempted if governments determine that they will not enforce, or will require compulsory licensing of, technologies useful to address the spread of COVID-19.</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proceedings to enforce or defend our owned or in-licensed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If any of our owned or in-licensed patents covering our product candidates or other technologies are narrowed, invalidated or found unenforceable, or if a court found that valid, enforceable patents held by third parties covered one or more of our product candidates or other technologies, our competitive position could be harmed or we could be required to incur significant expenses to protect, enforce or defend our rights. If we initiate lawsuits to protect, defend or enforce our patents, or litigate against third-party claims, such proceedings would be expensive and would divert the attention of our management, technical personnel, and other employees even if the eventual outcome is favorable to us.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341"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intellectual property and other proprietary rights is uncertain, and we cannot ensure that:</w:t>
      </w:r>
    </w:p>
    <w:p>
      <w:pPr>
        <w:spacing w:after="0" w:line="225" w:lineRule="exact"/>
        <w:rPr>
          <w:sz w:val="20"/>
          <w:szCs w:val="20"/>
          <w:color w:val="auto"/>
        </w:rPr>
      </w:pPr>
    </w:p>
    <w:p>
      <w:pPr>
        <w:ind w:left="660" w:right="20" w:hanging="328"/>
        <w:spacing w:after="0" w:line="287"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or those of our licensors, will include claims having a scope sufficient to protect our product(s), our product candidates and other technologies;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of our pending patent applications or those of our licensors may issue as patents;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others will not or may not be able to make, use, offer to sell or sell products that are the same as or similar to our own but that are not covered by the claims of the patents that we own or license;</w:t>
      </w:r>
    </w:p>
    <w:p>
      <w:pPr>
        <w:spacing w:after="0" w:line="1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products on a substantial scale, if approved, before the relevant patents that we own or license expire;</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the patents and pending patent applications that we own or license;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our co-owners or our licensors were the first to file patent applications for these inventions;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others will not develop similar or alternative products or technologies that do not infringe the patents we own or license;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of the claims of patents we own or license will be found to ultimately be valid and enforceable;</w:t>
      </w:r>
    </w:p>
    <w:p>
      <w:pPr>
        <w:spacing w:after="0" w:line="22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patents issued to us or our licensors will provide a basis for an exclusive market for our commercially viable product candidates and other technologies or will provide us with any competitive advantages;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third party may not challenge the claims of patents we own or license and, if challenged, a court would hold that such patent claims are valid, enforceable and infringed;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patents of others will not have an adverse effect on our ability to issue patents, or otherwise on our business;</w:t>
      </w:r>
    </w:p>
    <w:p>
      <w:pPr>
        <w:spacing w:after="0" w:line="22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competitors do not conduct research, development, testing or commercialization activities in countries where we do not have enforceable patent rights and then use the information learned from such activities to develop competitive products for sale in our major commercial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product(s) or product candidates that are separately patentable; and</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or our collaborators’, development and commercialization activities, including our manufacturing processes, or products will not infringe patents of our competitors or any other third parties, including any non-practicing entities or patent assertion entities.</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Other companies or organizations may challenge our intellectual property rights or the intellectual property rights of our partners or may assert intellectual property rights that prevent us or our partners from developing and commercializing our COVID-19 vaccine or our product candidates and other technologies.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practice in new and evolving scientific fields, the continued development and potential use of which has resulted in many different patents and patent applications from organizations and individuals seeking to obtain intellectual property protection in the fields. We own and in-license patent applications and issued patents that describe and/or claim certain technologies, including products, reagents, formulations, tools and methods including uses and manufacturing methods, or features or aspects of any of these. These issued patents and pending patent applications claim certain compositions of matter and methods relating to the discovery, development, testing, manufacture and commercialization of therapeutic modalities and our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341"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delivery technologies, including LNPs. If we, our co-owners or our licensors are unable to obtain, maintain, protect, defend or enforce patent protection with respect to our products, product candidates and other technology and any other products, product candidates and technology that we may develop, our business, financial condition, results of operations and prospects could be materially harmed.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scientific fields mature, our known competitors and other third parties, many of whom have substantially greater resources than we do and many of whom have made significant investments in competing technologies, may seek or may have already obtained patents, and they have filed and will continue to file patent applications claiming inventions in the fields in the United States and elsewhere. This may limit, interfere with or eliminate our and our partners’ ability to make, use, sell, import or otherwise exploit our COVID-19 vaccine or our product candidates or other technologies. There is uncertainty about which patents will issue, and, if they do, as to when, to whom and with what claims.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our co-owners, our partners or our licensors may in the future become a party to patent proceedings or priority disputes in the United States, Europe or other jurisdictions. In the United States, the Leahy-Smith America Invents Act, or the America Invents Act,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through USPTO-administered post-grant proceedings, including post-grant review, inter partes review and derivation proceedings. We expect that our competitors and other third parties will institute litigation and other proceedings, such as interference, reexamination and opposition proceedings, as well as inter partes and post-grant review proceedings against us and the patents and patent applications that we own and in-license.</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Additionally, we face ongoing COVID-19 vaccine-related patent litigation. Alnylam Pharmaceuticals Inc. has brought litigation against us and Pfizer regarding U.S. Patent Nos. 11,245,933; 11,382,979; 11,633,479; 11,633,480; 11,612,657; and 11,590,229, the latter five of which are continuations of the ‘933 Patent. In addition, CureVac SE has brought litigation against us in Germany regarding three European patents, 1857122B1 (“EP’122”), 3708668B1 (EP’668), and 4023755B1 (“EP’755”) and three German utility models, DE202015009961, DE202015009974, and DE202021004130, or the CureVac IP. BioNTech filed a nullity action in the Federal Patent Court of Germany seeking a declaration that EP’122 is invalid, initiated cancellation actions against the CureVac IP in the German Patent and Trademark Office, and filed opposition proceedings in the EPO seeking the revocation of EP’668 and EP’755. In the United States, CureVac asserts seven U.S. patents against us and Pfizer: U.S. Patent Nos. 11,135,312; 11,149,278; 10,760,070; 11,286,492; 11,345,920; 11,596,686, and 11,667,910. BioNTech and Pfizer also initiated proceedings seeking the revocation of EP’122 and EP’668 in the Business and Property Courts of England and Wales. ModernaTX, Inc., or Moderna, has brought litigation against us and Pfizer regarding European patents 3590949B1 (“EP’949”) and 3718565B1 (“EP’565”) in Germany, England and Wales, the Netherlands, Ireland, and Belgium, and regarding U.S. Patent Nos. 10,898,574, 10,702,600, and 10,933,127 in the United States. BioNTech and Pfizer also initiated proceedings seeking the revocation of EP’949 and EP’565 in the Business and Property Courts of England and Wales and have filed opposition proceedings in the EPO seeking the revocation of EP’949 and EP’565. BioNTech and Pfizer have filed petitions for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before the Patent Trial and Appeal Board in the U.S. with respect to U.S. Patent Nos. 10,702,600 and 10,933,127. Arbutus Biopharma Corp. and Genevant Sciences GmbH have brought litigation against us and Pfizer in the United States regarding U.S. Patent Nos. 9,504,651; 8,492,359; 11,141,378; 11,298,320; and 11,318,098. Promosome initiated litigation against us and Pfizer in the United States regarding U.S. Patent No. 8,853,179; it has since been dismissed with prejudice. GlaxoSmithKline has brought litigation against us and Pfizer in the United States regarding U.S. Patent Nos. 11,638,693; 11,638,694; 11,666,534; 11,766,401; and 11,786,467. We cannot guarantee that we will not become subject to additional COVID-19 vaccine patent infringement lawsuits in the future. In addition, should Pfizer not prevail in any of the ongoing COVID-19 vaccine patent infringement lawsuits to which it is a party, Pfizer may seek to require us to indemnify Pfizer for losses suffered therefrom as well as any losses from future COVID-19 vaccine patent infringement lawsuits in which it does not prevail. We believe we have strong defenses against each of these claims and intend to vigorously defend ourselves in each proceeding, but we can make no assurances regarding the ultimate outcome of any of these matters.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341"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that we will continue to be subject to similar proceedings or priority disputes, including oppositions, in Europe or other jurisdictions relating to patents and patent applications in our portfolio.</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our co-owners, our partners or our licensors are unsuccessful in any interference proceedings or other priority or validity disputes, including any derivations, post-grant review, inter partes review or oppositions, to which we or they are subject, we may lose valuable intellectual property rights through the narrowing or loss of one or more patents owned or in-licensed, or our owned or in-licensed patent claims may be narrowed, invalidated or held unenforceable. In many cases, the possibility of appeal exists for either us or our opponents, and it may be years before final, unappealable rulings are made with respect to these patents in certain jurisdictions. The timing and outcome of these and other proceedings is uncertain and may adversely affect our business if we are not successful in defending the patentability and scope of our pending and issued patent claims.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technical personnel and other employees and could have a material adverse impact on our business and our ability to successfully compete against our current and future competitors.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many issued and pending patent filings that claim aspects of technologies that we may need for our mRNA products or product candidates, or other product candidates, including patent filings that relate to relevant delivery technologies. There are also many issued patents that claim targeting genes or portions of genes that may be relevant for immunotherapies we wish to develop. In addition, as evidenced by the lawsuits brought against Moderna, Pfizer and us, there may be additional issued and pending patent applications that may be asserted against us in a court proceeding or otherwise based upon the asserting party’s belief that we may need such patents for the development, manufacturing, testing and commercialization of our COVID-19 vaccine or of our product candidates. Thus, it is possible that one or more organizations, ranging from our competitors to non-practicing entities or patent assertion entities, has or will hold patent rights to which we may need a license, or hold patent rights which could be asserted against us. Such licenses may not be available on commercially reasonable terms or at all, or may be non-exclusive. If those organizations refuse to grant us a license to such patent rights on reasonable terms, if we fail to invalidate relevant patents, or if a court or other governing body determines that we need such patent rights that have been asserted against us and we are not able to obtain a license on reasonable terms or at all, we may be unable to perform research and development or other activities or market products covered by such patents, and we may need to cease the development, manufacture, testing and commercialization of one or more of the product candidates we may develop. Any of the foregoing could result in a material adverse effect on our business, financial condition, results of operations or prospects.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may not be successful in obtaining, maintaining, protecting or defending the necessary intellectual property rights to allow us to identify and develop product candidates, and test product components and manufacturing processes for our development pipeline.</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have rights to certain intellectual property through our owned and in-licensed patents and other intellectual property rights relating to identification, development and testing of our product candidates or other technologies. As our activities may involve additional product candidates or services that could require the use of intellectual property and other proprietary rights held by third parties, the growth of our business could depend in part on our ability to acquire, in-license or use such intellectual property and proprietary rights. In addition, our product candidates may require specific formulations to work effectively and efficiently and these intellectual property and other proprietary rights may be held by others. We may be unable to secure such licenses or otherwise acquire or in-license any compositions, methods of use, processes or other third-party intellectual property rights from third parties that we identify as necessary, on reasonable terms, or at all, for product candidates and other technologies that we may develop. The licensing and acquisition of third-party intellectual property rights is a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sometimes collaborate with academic institutions and/or utilize services of CROs and CMOs in certain aspects of our research or development under written agreements with these parties. These agreements may not ensure protection of intellectual property rights in developed technology, or may fail to provide us with sufficient control of or access to such intellectual property rights. For example, agreements with these academic institutions typically provide us with an option to negotiate a license to any of the institution’s rights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34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technology resulting from the collaboration. However, these institutions may not honor our option and right of first negotiation for intellectual property rights or we may otherwise be unable to negotiate a license within the specified time frame or under terms that are acceptable to us. If we are unable to do so, the institution may offer the intellectual property rights to other parties, potentially blocking our ability to pursue our program or otherwise continue to develop certain product candidates or other technologies. CROs and/or CMOs may control certain technologies that were utilized in and/or developed through work on our behalf, and may not pursue protection of such technologies, or may provide us with only non-exclusive rights in such technologies, so that relevant technologies may be shared with other parties including our competitors. In any relationship with a third party, there is a risk of disagreement over intellectual property rights (including inventorship or ownership of, rights to protect and/or enforce, and/or rights to use) in utilized or developed technologies.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some of our owned patents and patent applications are, and may in the future be, co-owned with third parties. If we are unable to obtain, or continue to maintain, exclusive rights to any such third-party co-owners’ interest in such patents or patent applications, such co-owners may be able to license their rights to other third parties, including our competitors, and our competitors could market competing products and technologies.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third parties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protect, defend or enforce the existing intellectual property rights we have, we may have to abandon the development and commercialization of the relevant program or product candidate, which could have a material adverse effect on our business, financial condition, results of operations and prospects.</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The lifespans of our patents may not be sufficient to effectively protect our products or product candidates, technologies and business.</w:t>
      </w:r>
    </w:p>
    <w:p>
      <w:pPr>
        <w:spacing w:after="0" w:line="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its first effective non-provisional filing date, assuming maintenance fees are timely paid after the patent has issued. Most other jurisdictions also provide a 20-year nominal patent term, though many require payment of regular, often annual, annuities to maintain pendency of an application or viability of an issued patent. In some jurisdictions, one or more options for extension of a patent term may be available, but even with such extensions, the lifespan of a patent, and the protection it affords, is limited. Even if patents covering our product candidates, proprietary technologies and their uses are obtained, once the patent term has expired, we may be subject to competition from third parties that can then use the inventions included in such patents to create competing products and technologies. In addition, although upon issuance in the United States a patent’s life can be increased based on certain delays caused by the USPTO, this increase can be reduced or eliminated based on certain delays caused by the patent applicant during patent prosecution. The USPTO can also require, in certain circumstances, that the expiration date of a subject patent be shortened by the filing of a terminal disclaimer over one or more patents that may expire sooner than the subject patent. Given the amount of time required for the development, testing and regulatory review of new product candidates, patents protecting such product candidates might expire before or shortly after such candidates are commercialized. If any patents that we own or in-license expire, we would not be able to stop others from using or commercializing similar or identical technology and products, and our competitors could market competing products and technology. Any of the foregoing could have a material adverse effect on our competitive position, business, financial conditions, results of operations and prospects.</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If we do not obtain patent term extension and data exclusivity for any product candidates we may develop, our business may be materially harmed.</w:t>
      </w:r>
    </w:p>
    <w:p>
      <w:pPr>
        <w:spacing w:after="0" w:line="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for a drug product subject to the provisions of the Hatch-</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240"/>
          </w:cols>
          <w:pgMar w:left="320" w:top="341"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Waxman Act.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did not extend any patent for our COVID-19 vaccine.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If we fail to comply, or are viewed to have failed to comply, with our obligations in the agreements under which we license intellectual property rights from third parties or otherwise experience disruptions to our business relationships with our licensors or other third parties, we could lose license rights that are important to our business or suffer monetary losses.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heavily reliant upon licenses to certain intellectual property and other proprietary rights from third parties that are important or necessary to the development and commercialization of our technology and product(s) or product candidates, and we expect to enter into similar license agreements in the future. Licensing of intellectual property is important to our business and involves complex legal, business and scientific issues and is complicated by the rapid pace of scientific discovery in our industry. Our licenses may not provide exclusive rights to use such intellectual property and technology in all relevant fields of use and in all territories in which we may wish to develop, test, or commercialize our technology and products in the future. As a result, we may not be able to prevent competitors from developing and commercializing competitive products in territories included in any or all of our licenses.</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Where we obtain licenses from, or collaborate with, third parties, in some circumstances we may not have the right to control the preparation, filing, prosecution, maintenance, enforcement and defense of patents and patent applications covering the technology that we license from, or that arises through collaboration with, such third parties, or such activities, if controlled by us, may require the input of such third parties. In some cases, patent prosecution (including preparation and filing) of our in-licensed intellectual property or of intellectual property developed through collaboration, is controlled solely by the licensor or collaborator. We may also require the agreement and/or cooperation of our licensors and collaborators to protect, enforce, utilize, or defend any in-licensed patent rights, and such agreement and/or cooperation may not be provided. Therefore, we cannot be certain that these patents and patent applications will be prepared, filed, prosecuted, maintained, protected, enforced or defended in a manner consistent with the best interests of our business. Any patents or patent applications that we in-license may be challenged, narrowed, circumvented, invalidated or held unenforceable, or our licensors may not properly maintain such patents or patent applications and they may expire. If our licensors fail to obtain, maintain, defend, protect or enforce the intellectual property we license from them, we could lose our rights to the intellectual property and our competitors could market competing products using the inventions in such intellectual property. In certain cases, we control the prosecution of patents included from in-licensed technology. In the event we breach any of our obligations related to such prosecution, we may incur significant liability to our collaborators. If we and our licensors or collaborators disagree over IP protection strategies for relevant technologies, disputes may arise, and we could lose access to or control over protection of technologies important to our business. If so, we may not be able to adequately protect our product(s) or product candidates, including not being able to prevent a competitor or other third party from developing the same product(s) or product candidates for the same or a different use. Any of the foregoing could have a material adverse effect on our competitive position, business, financial conditions, results of operations and prospects.</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Moreover, we may disagree from time to time with licensors or collaborators regarding, among other things, the interpretation of each party’s obligations or the amounts payable under our agreements. For example, we are in ongoing discussions with the University of Pennsylvania, or UPenn, and the National Institutes of Health, or NIH, concerning royalties and other related amounts allegedly owed on sales of our COVID-19 vaccine since commercialization. We and the NIH have exchanged detailed characterizations of our positions and the NIH has delivered a notice of default relating to alleged amounts owed and breaches under such license. We have shared a non-binding proposal with NIH to amend and restate our agreement with NIH. We have also shared a non-binding proposal with UPenn to amend and restate our agreement with UPenn, including a possible financial resolution and facilitating continued collaboration. While we disagree</w:t>
      </w:r>
    </w:p>
    <w:p>
      <w:pPr>
        <w:spacing w:after="0" w:line="200" w:lineRule="exact"/>
        <w:rPr>
          <w:sz w:val="20"/>
          <w:szCs w:val="20"/>
          <w:color w:val="auto"/>
        </w:rPr>
      </w:pPr>
    </w:p>
    <w:p>
      <w:pPr>
        <w:spacing w:after="0" w:line="347"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240"/>
          </w:cols>
          <w:pgMar w:left="320" w:top="341"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the positions being taken by UPenn and the NIH, the ultimate outcome of these matters is uncertain and we cannot guarantee that our interpretation of these license agreements will prevail, or that we will not ultimately need to pay some or all of the royalty and other related amounts in dispute. Despite our recording a provision in our statement of income relating to our non-binding proposal with NIH, substantial uncertainty exists as to the ultimate resolution of our discussions with NIH and UPenn. Any ultimate cash outflow from these ongoing negotiations may be greater or less than we currently expect and we cannot currently predict what our ultimate level of future collaboration with NIH or UPenn will be, nor can we predict the timing, amount or structure of any potential resolution of these matters.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are found to have failed to satisfy obligations or materially breached any of our agreements, such as licenses to third-party intellectual or any disagreements between us and our licensors, a licensor could potentially have the right or reason to terminate the license, to exercise the option of a non-exclusive license, which would allow our competitors to have access to the same intellectual property and technology licensed to us. Our existing license agreements impose, and we expect that future license agreements will impose, various diligence, milestone and royalty payment, exclusivity and other obligations on us. If we fail to comply with our obligations under these agreements, including royalty payments, or we are subject to a bankruptcy, the licensor may have the right to terminate the license agreement, in which event we would not be able to develop, market and commercialize product(s) or product candidates covered by the license agreement. In spite of our best efforts and even if we disagree, our licensors might still conclude that we have materially breached our license agreements and might therefore terminate the license agreements, thereby removing our ability to develop, test and commercialize the product(s) or product candidates covered by these license agreements. In the event that any of our license agreements were to be terminated by the licensor, we may need to negotiate new or reinstated agreements, which may not be available to us on equally favorable terms, or at all. If these license agreements are rightfully terminated, or if the underlying patents or other intellectual property fail to provide the intended exclusivity, competitors would have the freedom to seek regulatory approval of, and to market and commercialize, products similar or identical to ours, and our licensors may be able to seek additional judicial remedies. In addition, we may seek to obtain additional licenses from our licensors and, in connection with obtaining such licenses, we may agree to amend our existing license agreements in a manner that may be more favorable to the licensors, including by agreeing to terms that could enable third parties (potentially including our competitors) to receive licenses to a portion of the intellectual property that is subject to our existing licenses. Failure to prevail with respect to any contractual disagreements could result in a material adverse effect on our competitive position, business, financial conditions, results of operations or prospects, particularly if discussions result in legal or other dispute resolution proceedings.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in this section. If we, our co-owners or our licensors fail to adequately protect this intellectual property, our ability to develop, test, market and commercialize our product(s) or product candidates could suffer. Moreover, if disputes over intellectual property that we have in-licensed prevent or impair our ability to maintain our current licensing arrangements on commercially acceptable terms, we may be unable to successfully develop, test, market and commercialize the affected product(s) or product candidates, which could have a material adverse effect on our business, financial condition, results of operations and prospects.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Some of our in-licensed intellectual property has been discovered through government-funded programs and thus may be subject to federal regulations such as “march-in” rights and certain reporting requirements, and compliance with such regulations may limit our exclusive rights and our ability to contract with manufacturers.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intellectual property rights that have been in-licensed, including patent applications and patents that we in-license from the University of Pennsylvania, the Louisiana State University, the Broad Institute, the NIH, Genevant, and Cellscript, have been generated through the use of U.S. government funding and are therefore subject to certain federal regulations. The U.S. government may have certain rights to intellectual property embodied in our current or future product candidates pursuant to the Bayh-Dole Act of 1980, or the Bayh-Dole Act. These U.S. government rights may include a non-exclusive, non-transferable, irrevocable worldwide license to use inventions covered by that Act for any governmental purpose. In addition, the U.S. government may have the right, under certain limited circumstances, to require the licensor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34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requirements for public use under federal regulations (also collectively referred to as “march-in rights”). The U.S. government may also have the right to take title to these inventions if the licensor fails to disclose the invention to the government or fails to file an application to register the intellectual property within specified time limits. Any exercise by the government of such rights could harm our competitive position, business, financial condition, results of operations and prospects. Intellectual property generated under a government-funded program is also subject to certain reporting requirements, compliance with which may require us to expend substantial resources.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 U.S. government requires that any products embodying any such inventions or produced through the use of any such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We may not be able to obtain a waiver of this preference for U.S. industry, and this preference may limit our ability to contract with non-U.S. product manufacturers for products covered by such intellectual property. To the extent any of our owned or in-licensed future intellectual property is generated through the use of U.S. government funding, the provisions of the Bayh-Dole Act may similarly apply. If we or our licensors are unable to secure an exemption to these manufacturing requirements, if we comply with them, or if we are unable to comply with them, we may experience a material adverse effect on our competitive position, business, financial conditions, results of operations and prospects.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Our current proprietary position for certain products and product candidates depends upon our owned or in-licensed patent filings covering components, manufacturing-related methods, formulations and/or methods of use, which may not adequately prevent a competitor or other third party from using the same product candidate for the same or a different use.</w:t>
      </w:r>
    </w:p>
    <w:p>
      <w:pPr>
        <w:spacing w:after="0" w:line="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Composition of matter patent protection is generally considered to be desirable because it provides protection without regard to any particular method of use or manufacture or formulation. While we have pursued or obtained patent protection covering components of certain product candidates and tests, manufacturing-related methods, formulations and/or methods of use, we have not yet obtained patent protection for all components of certain product candidates and tests, manufacturing-related methods, formulations and/or methods of use. For instance, we do not currently have any claims in our owned or in-licensed issued U.S. patents that cover the overall construct used in our iNeST product candidates. We also cannot be certain that claims in any future patents issuing from our pending owned or in-licensed patent applications or our future owned or in-licensed patent applications will cover the composition of matter, tests, manufacturing -related methods, formulations and/or methods of use of our current or future product candidates. Method of use patents protect the use of a product for the specified method and formulation patents cover formulations to deliver therapeutics. These types of patents do not prevent a competitor or other third party from developing, testing, marketing or commercializing a similar or identical product for an indication that is outside the scope of the patented method or from developing a different formulation that is outside the scope of the patented formulation. Moreover, with respect to method of 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this type of infringement is difficult to prevent or enforce. Consequently, we may not be able to prevent third parties from practicing our inventions in the United States or abroad.</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Intellectual property rights of third parties could adversely affect our ability to commercialize our product(s) and product candidates, and we might be required to litigate or obtain licenses from third parties in order to develop, test or market our product(s) and product candidates.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our products and product candidates are still in early stages of development, testing or commercialization, and one or more features of the products or product candidates, or related technologies such as their manufacture, formulation, testing or use, may still change, we cannot be confident that we are aware of all third-party intellectual property that might be relevant to products that we eventually hope to commercialize. Furthermore, even if all aspects of our product(s) or product candidates, or of other technology, were known, it is possible that third-party intellectual property, which may or may not currently be public, could develop in a manner (for example, through issuance of additional patents) that could impede our ability to make or use relevant products or product candidates, or other technology. Various third-party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341"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competitors practice in relevant spaces, and may have issued patents, or patent applications that will issue as patents in the future, that will impede or preclude our ability to commercialize products. Furthermore, while U.S. patent laws provide a “safe harbor” to our clinical product candidates under 35 U.S.C. § 271(e)(1), which exempts from patent infringement activities related to pursuing FDA approval for a drug product, that exemption expires when an NDA or BLA is submitted. Accordingly, after such submission (including for certain formulations of our COVID-19 vaccine), the 271(e)(1) safe harbor may no longer provide the same level of protection from third party patent infringement claims for that product. We may become exposed to lawsuits from third parties who consider our COVID-19 vaccine to infringe their patents. More generally, given the uncertainty of clinical trials, we cannot be certain of the timing of their completion and it is possible that we might want to submit an NDA or BLA at a time when one or more relevant third-party patents is in force. Thus, it is possible that at the time that we commercialize our product candidates, one or more third parties may have issued patent claims that cover such products or critical features of their production, testing or use. We may not be able to commercialize our products if patents issued to third parties or other third-party intellectual property rights cover, or may be alleged to cover, our products or elements thereof, or their methods of manufacture, testing or use at the time that we seek to commercialize them. In such cases, we may not be in a position to develop, test or commercialize product candidates unless we successfully pursue litigation to nullify or invalidate the third-party intellectual property right concerned, successfully design around their claims, or enter into a license agreement with the intellectual property right holder(s). Such litigation or licenses could be costly, licenses could not be available on commercially reasonable terms or at all, and design-around could be prohibitively expensive or impossible.</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with respect to our products, product candidates and related technologies that may play a role in addressing a pandemic or other public health emergency, it is unclear whether governments around the world will protect vaccine manufacturers for liability from infringement of third party intellectual property, at least during the period of such public health emergency. Thus, it is possible that third parties may assert intellectual property rights against us relating to our COVID-19 vaccine, and that we will not be successful in arguing that commercialization of our COVID-19 vaccine is exempted from infringement and/or liability for infringement (for example, under 35 U.S.C. § 271(e)(1), discussed above, or under the Public Readiness and Emergency Preparedness Act, or the PREP Act, etc.). Furthermore, even if such commercialization was deemed protected from infringement during the period of the pandemic crisis, now that various global and U.S. agencies have declared an end to the global COVID-19 public health emergency, any such exemption may be terminated so that continuing commercialization could expose us to liability, and might even be precluded if third party(ies) who hold relevant intellectual property rights are able to secure injunction(s) or are unwilling to license to us on commercially feasible terms.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It is also possible that we have failed to identify relevant third-party patents that cover, or applications that will mature into patents that cover, one or more aspects of our platform or product(s) and product candidates. Given that, in most jurisdictions, a patent application is confidential when initially filed, and typically remains so until it is published about 18 months after the initial filing, it may not be possible for us to identify certain relevant filings in time to avoid using the technology that they claim. Additionally, the claims of pending patent applications can, subject to certain limitations, be amended over time, so that even patent applications whose claims did not cover our products or activities when published could be amended to cover one or more aspects of our platform or product candidates over time, and we might not be aware that such amendment had been made.</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may be involved in lawsuits or other legal proceedings to protect or enforce our intellectual property or the intellectual property of our licensors, or to defend against third-party claims that we infringe, misappropriate or otherwise violate such third party’s intellectual property, each of which could be expensive, time consuming and unsuccessful.</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is a substantial amount of litigation, both within and outside the United States, involving patent and other intellectual property rights in the biotechnology and pharmaceutical industries, including patent infringement lawsuits, interferences, oppositions, ex parte reexaminations, post-grant review, and inter partes review proceedings before the USPTO and corresponding European and other non-U.S. patent offices.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Competitors and other third parties may infringe, misappropriate or otherwise violate our intellectual property rights or those of our licensors. To prevent infringement, misappropriation or other unauthorized use, we may be required to file claims, which can be expensive and time-consuming. In certain instances, we have instituted and may in the future institute inter partes review proceedings against issued U.S. patents and opposition proceedings against European patents owned by third parties. We have a number of opposition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341"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proceedings ongoing at the EPO against third-party patents related to mRNA technologies. As the biotechnology and pharmaceutical industries expand and more patents are issued, the risk increases that our products, product candidates and services may be subject to claims of infringement of the patent rights of third parties.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in a patent infringement proceeding, our owned or in-licensed patents may be challenged and a court may decide that a patent we own or in-license is not valid, is unenforceable and/or is not infringed. If we or any of our potential future collaborators were to initiate legal proceedings against a third party to enforce a patent directed at one of our product(s) and/or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novelty, non-obviousness, enablement or written description.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ex-U.S. patent offices and may result in the revocation, cancellation or amendment of any ex-U.S.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could lose at least part, and perhaps all, of the patent protection on a product and/or product candidate. Such a loss of patent protection would have a material adverse impact on our competitive position, business, financial conditions, results of operations and prospects.</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Third parties, including our competitors to non-practicing entities or patent assertion entities, may assert that we are employing their intellectual property and other proprietary technology without authorization. There may be third-party patents or patent applications with claims to materials, formulations, testing, methods of manufacture or methods for treatment related to the use, development, testing, manufacture or commercialization of our COVID-19 vaccine or product candidates. For example, BioNTech SE and certain of our wholly owned subsidiaries are defendants in litigations initiated by CureVac SE, Alnylam Pharmaceuticals, Inc., ModernaTX, Inc., Arbutus Biopharma Corp., Genevant Sciences GmbH, and GlaxoSmithKline Biologicals SA regarding Comirnaty. See “Legal Proceedings.” As patent applications can take many years to issue, there may be currently pending patent applications which may later result in issued patents that our product(s) and/or product candidates may infringe. In addition, third parties may obtain patents in the future and claim that our technologies infringe upon these patents. If any third-party patents were held by a court of competent jurisdiction to cover the testing or manufacturing processes of any of our product(s) and/or product candidates, any molecules formed during the testing and manufacturing processes or any final product itself, the holders of any such patents may obtain injunctive or other equitable relief, which could effectively block our ability to develop, test and commercialize such product and/or product candidate unless we obtained a license under the applicable patents, or until such patents expire. Similarly, if any third-party patents were held by a court of competent jurisdiction to cover aspects of our formulations, processes for testing or manufacture or methods of use, including combination therapy, the holders of any such patents may be able to block our ability to develop, test and commercialize the applicable product and/or product candidate unless we obtained a license or until such patent expires. In either case, such a license may not be available on commercially reasonable terms, or at all, or may be non-exclusive.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intellectual property and technology. Our defense of litigation, interference, derivation or similar proceedings may fail and, even if successful, may result in substantial costs and distract our management, technical personnel and other employees. In addition, the uncertainties associated with litigation could have a material adverse effect on our ability to raise the funds we need to continue our clinical trials and research programs, to license necessary technology from third parties or to enter into development or manufacturing collaborations that would help us bring our product(s) and/or product candidates to market.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341"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management, technical personnel and other employees from their normal responsibilities.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such proceedings more effectively than we can because of their greater resources in one or more aspects, or for other reasons. Uncertainties resulting from the initiation and continuation of patent litigation or other proceedings could compromise our ability to compete in the marketplace.</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event of a successful claim of infringement, misappropriation or other violation against us, we may have to pay substantial damages, including treble damages and attorneys’ fees for willful infringement, pay royalties, redesign our infringing products, or obtain one or more licenses from third parties, which may not be made available on commercially favorable terms, if at all, or may require substantial time and expense.</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Such licenses are likely to be non-exclusive and, therefore, our competitors may have access to the same intellectual property and technology licensed to us. If we fail to obtain a required license and are unable to design around a patent, we may be unable to effectively market some of our technology and product(s) and/or product candidates, which could limit our ability to generate revenues or achieve or maintain profitability and possibly prevent us from generating revenue sufficient to sustain our operations. Moreover, certain of our collaborations provide, and we expect additional collaborations to provide, that royalties payable to us for licenses to our intellectual property may be offset by amounts paid by our collaborators to third parties for licenses to such third parties’ intellectual property in the relevant fields, which could result in significant reductions in our revenues from products developed through collaborations.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in connection with certain license and collaboration agreements, we have agreed to indemnify certain third parties for certain costs incurred in connection with litigation relating to intellectual property rights or the subject matter of the agreements. The cost to us of any litigation or other proceeding relating to intellectual property rights, even if resolved in our favor, could be substantial.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in any litigation or other intellectual property proceedings. If securities analysts or investors perceive these results to be negative, the price of the ADSs representing our ordinary shares could decline.</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Obtaining and maintaining our patent protection depends on compliance with various procedural, document submission, fee payment and other requirements imposed by governmental patent agencies, and our patent protection could be reduced or eliminated for non- compliance with these requirements.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however, we cannot guarantee that we will successfully pay these fees.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We are also dependent on our licensors to take the necessary action to comply with these requirements with respect to our in-licensed intellectual property, and we cannot guarantee that they will do so. In such an event, our competitors might be able to enter the market with similar or identical products or technology, and this would have a material adverse impact on our business, financial condition, results of operations and prospects.</w:t>
      </w:r>
    </w:p>
    <w:p>
      <w:pPr>
        <w:spacing w:after="0" w:line="190"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Changes in patent law in the United States or in other countries could diminish the value of patents in general, thereby impairing our ability to protect our products.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34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is the case with other biotechnology companies, our success is heavily dependent on our intellectual property rights, particularly patents that we own and in-license. Obtaining and enforcing patents in the biotechnology industry involve both technological and legal complexity, and therefore obtaining and enforcing biotechnology patents is costly, time-consuming and inherently uncertain. Moreover, there are periodic changes in patent law. For example, after March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have affected the way patent applications are prosecuted and also affect patent litigation. Such legislation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decisions by courts and governmental bodies in the United States and other jurisdictions may affect the value of patent applications, issued patents or other intellectual property that we own or in-license. For example,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the USPTO and other administrative agencies, and their equivalents in other jurisdictions, the laws and regulations governing patents could change in unpredictable ways that could have a material adverse effect on our existing patent portfolio and our ability to obtain, maintain, protect, defend or enforce our intellectual property in the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If we are unable to protect the confidentiality of our trade secrets, our business and competitive position would be harmed.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seeking patent protection for some of our technology, product(s) and product candidates, we also seek to rely on trade secret protection and confidentiality agreements to maintain our competitive position and protect proprietary know-how that is not patentable, processes for which patents are difficult to enforce and any other elements of our product discovery development, testing, manufacturing and commercialization processes that involve proprietary know-how, information or technology that is not covered by patents. However, trade secrets and know-how may be difficult to protect.</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seek to protect these trade secrets, know-how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and require all of our employees and key consultants who have access to our trade secrets, proprietary know-how, information or technology to enter into confidentiality agreements. We cannot guarantee that we have entered into such agreements with each party that may have or have had access to our trade secrets or proprietary technology and processes. To the extent we become involved in litigation that may require discovery of our trade secrets, know-how and other proprietary technology, we seek to secure protective orders from the court that bind the parties with access to the discovered information. Despite our best efforts, we cannot be certain that our trade secrets and other confidential proprietary information will not be disclosed or that competitors will not otherwise gain access to our trade secrets or independently develop substantially equivalent information and techniques. Any of these parties who may have access to our trade secrets, know-how and other proprietary technology may breach such agreements or orders. For example, a former employee of our COVID-19 vaccine collaborator, Pfizer, has reportedly misappropriated trade secrets on our COVID-19 vaccine. We may not be able to obtain adequate remedies for such breaches. Enforcing a claim that a party illegally disclosed or misappropriated a trade secret or know-how is difficult, expensive and time-consuming, and the outcome is unpredictable. In addition, some courts inside and outside the United States are less willing or unwilling to protect trade secrets and know-how. In addition, we cannot be certain that our proprietary technical information and related confidential documents that we have shared with our collaborators and/or have submitted to governmental agencies including regulatory agencies for evaluation and supervision of pharmaceutical products will be kept confidential. For example, certain documents relating to our COVID-19 vaccine were unlawfully accessed after a cyberattack on the EMA in December 2020. If any of our trade secrets or know-how were to be lawfully obtained or independently developed by a competitor or other third party, we would have no right to</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341"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prevent them from using that technology or information to compete with us. If we are unable to prevent unauthorized material disclosure of our intellectual property to third parties, we may not be able to establish or maintain a competitive advantage in our market, which could materially adversely affect our business, operating results, financial condition and prospects.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may be subject to claims that we have wrongfully hired an employee from a competitor, or that our employees, consultants or independent contractors have wrongfully used or disclosed confidential information of third parties, including alleged trade secrets of their former employers.</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received confidential and proprietary information from third parties in the course of our research and other collaborations with others in the industry, academic institutions and other third parties. In addition, many of our employees, consultants and advisors are currently or were previously employed at universities or other biotechnology or pharmaceutical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 -how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technical personnel and other employees. Claims that we or our employees, consultants or advisors have misappropriated the confidential or proprietary information, trade secrets or know-how of third parties could have a material adverse effect on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We may be subject to claims challenging the inventorship or ownership of our patents and other intellectual property.</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future, we may be subject to claims that current or former employees, consultants, independent contractors, collaborators or other third parties have an interest in our patents or other intellectual property as an inventor or co-inventor. While it is our policy to require our employees, consultants, independent contractors, collaborators and other third parties who may be involved in the conception, development or reduction to practice of intellectual property to execute agreements assigning such intellectual property to us, we may be unsuccessful in executing such an agreement with each party who, in fact, conceives, develops or reduces to practice such intellectual property that we regard as our own. In addition, certain such agreements, even if successfully executed may distribute ownership or control of intellectual property rights between or among parties, for example based on subject matter, relationship to other intellectual property, and/or one or more aspects of development of the intellectual property; after the agreements are in place disputes may arise over such distribution principles or over proper treatment of particular developed intellectual property in accordance with them. Disagreements may be difficult or impossible to resolve, may be expensive to address, and may result in our failing to secure or maintain ownership in or control of intellectual property necessary or important to our business.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assignment of intellectual property rights may not be self-executing, or the assignment agreements may be breached. For example, we may have inventorship or ownership disputes arise from conflicting obligations of employees, consultants, independent contractors, collaborators or other third parties who are involved in developing and commercializing our product(s) and/or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operating results and financial condition. Even if we are successful in defending against such claims, litigation could result in substantial costs and be a distraction to management, technical personnel and other employees.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Furthermore, the laws of some other countries do not protect intellectual property and other proprietary rights or establish ownership of inventions to the same extent or in the same manner as the U.S. laws. A majority of our employees work in Germany and are subject to German employment law. Ideas, developments, discoveries and inventions made by such employees are subject to the provisions of the German Act on Employees’ Inventions, which regulates the ownership of, and compensation for, inventions made by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341"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employees. We face the risk that disputes can occur between us and our employees or former employees pertaining to alleged non-adherence to the provisions of this act that may be costly to defend and take up our management’s, technical personnel’s and other employees’ time and efforts whether we prevail or fail in any such dispute. There is a risk that the compensation we provided to employees who assign patents to us may be deemed to be insufficient and we may be required under German law to increase the compensation due to such employees for the use of the patents. In those cases, where employees’ rights have not been assigned to us, we may need to pay compensation for the use of those patents. If we are required to pay additional compensation or face other disputes under the German Act on Employees’ Inventions, our business, results of operations and financial condition could be adversely affected.</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will not seek to protect our intellectual property rights in all jurisdictions throughout the world, and we may not be able to adequately enforce our intellectual property rights even in the jurisdictions where we seek protection.</w:t>
      </w: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Filing, prosecuting and defending patents on product(s) and/or product candidates in all countries throughout the world would be prohibitively expensive, and our intellectual property rights in some countries outside the United States, particularly those in Asia, including China, can be less extensive than those in the United States. In addition, the laws of some countries do not protect intellectual property rights to the same extent as laws in Germany and the United States. Consequently, we may not be able to prevent third parties from practicing our inventions in all countries outside the United States to the same extent as within the United States, or from selling or importing products made using our inventions in and to the United States or other jurisdictions. Competitors may use our technologies in jurisdictions where we have not obtained patent protection to develop their own product candidates and further, may export otherwise infringing products to territories where we have patent protection, but enforcement is not as strong as that in the United States. These products may compete with our product(s) and/or product candidates, and our patents or other intellectual property rights may not be effective or sufficient to prevent them from competing.</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jurisdictions, particularly outside of Europe and the United States.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 of our patents and other intellectual property or development, testing, marketing and commercialization of competing products in violation of our owned or in-licensed intellectual property and other proprietary rights generally. Proceedings to enforce our intellectual property rights in such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in-license. In particular, the validity, enforceability and scope of protection of intellectual property in China, where we derive net sales and maintain collaboration partnerships including licensing, are still evolving and historically, have not protected and may not protect in the future, intellectual property rights to the same extent as laws developed in Europe, including Germany, and the United States. Consequently, the time required to enforce our intellectual property rights in the legal regime of China may be lengthy and delay our recovery.</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our trademarks and trade names are not adequately protected, we may not be able to build name recognition in our markets of interest and our business may be adversely affected.</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240"/>
          </w:cols>
          <w:pgMar w:left="320" w:top="341"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or customers in our markets of interest. At times, competitors may adopt trade names or trademarks similar to ours or collaborators may fail to use our trade names or trademarks appropriately or at all,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we may not be able to compete effectively and our business may be adversely affected. We may license our trademarks and trade names to third parties, such as distributors and collaborators. Though these license agreements may provide guidelines for how our trademarks and trade names may be used, a breach of these agreements or misuse or failure to use of our trademarks and trade names by our licensees may jeopardize our rights in or diminish the goodwill associated with our trademarks, and trade names. Our efforts to enforce or protect our proprietary rights related to trademarks, trade names, trade secrets, know-how, domain names, copyrights or other intellectual property may be ineffective and could result in substantial costs and diversion of resources and could adversely affect our business, financial condition,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Intellectual property rights do not necessarily address all potential threats to our competitive advantage.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53" w:lineRule="exact"/>
        <w:rPr>
          <w:sz w:val="20"/>
          <w:szCs w:val="20"/>
          <w:color w:val="auto"/>
        </w:rPr>
      </w:pPr>
    </w:p>
    <w:p>
      <w:pPr>
        <w:jc w:val="both"/>
        <w:ind w:left="660" w:hanging="328"/>
        <w:spacing w:after="0" w:line="268"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others may be able to make COVID-19 vaccines or therapies, and/or individualized cancer immunotherapies that are similar to our COVID-19 vaccine and/or any product candidates we may develop and commercialize or utilize similar technologies that are not covered by the claims of the patents that we now or may in the future own or have exclusively in-licensed;</w:t>
      </w:r>
    </w:p>
    <w:p>
      <w:pPr>
        <w:spacing w:after="0" w:line="17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our co-owners or our licensors or future collaborators might not have been the first to make the inventions covered by the issued patents or pending patent applications that we own or have exclusively in-licensed;</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our co-owners or our licensors or future collaborators might not have been the first to file patent applications covering certain of our or their inventions;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or in-license in the future will not lead to issued patents;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claims of issued patents that we own or have exclusively in-licensed may be held invalid or unenforceable, including as a result of legal challenges by our competitors;</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competitors might conduct research, development, testing or commercialization activities in countries where we do not have patent rights and then use the information learned from such activities to develop competitive products for sale in our major commercial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5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341"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Risks Related to Government Regulation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may not be able to develop or obtain approval for companion diagnostics required for commercialization of some of our product candidates.</w:t>
      </w: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Administration of some of our product candidates may require the use of immuno-assays and bioinformatic tools in which patients are screened for optimal target antigens of our product candidates. If safe and effective use of a biologic product depends on an in vitro diagnostic, then the FDA generally requires approval or clearance of the diagnostic, known as a companion diagnostic, concurrently with approval of the therapeutic product. To date, the FDA has generally required in vitro companion diagnostics intended to select the patients who will respond to cancer treatment to obtain a pre-market approval, or PMA, for that diagnostic, which can take up to several years, simultaneously with approval of the biologic product. Similarly, in the European Union, an in vitro companion diagnostic may be placed on the market only if it conforms to certain “essential requirements” and bears the Conformité Européene Mark, or CE Mark. The conformity assessment process to obtain the CE Mark can be lengthy and we may fail to demonstrate such conformity. Further, the applicable regulatory framework for in vitro diagnostics in the EU changed in May 2022 when a new EU regulation with stricter regulatory requirements for in vitro diagnostics became applicable.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our individualized immunotherapy candidates, the FDA and comparable regulatory authorities outside of the United States may require the development and regulatory approval of a companion diagnostic assay as a condition to approval. The FDA may require PMA supplemental approvals for use of that same companion diagnostic as a condition of approval of additional individualized therapeutic candidates. We do not have experience or capabilities in developing or commercializing companion diagnostics and plan to rely in large part on third parties to perform these functions. Companion diagnostic assays are subject to regulation by the FDA and other comparable regulatory authorities in other jurisdictions as medical devices and require separate regulatory approval prior to the use of such diagnostic assays with our individualized therapeutic candidates. If we, or any third parties that we engage to assist us, are unable to successfully develop companion diagnostic assays for use with our individualized therapeutic candidates, or are unable to obtain regulatory approval or experience delays in either development or obtaining regulatory approval, we may be unable to identify patients with the specific profile targeted by our product candidates for enrollment in our clinical trials. Accordingly, further investment may be required to further develop or obtain the required regulatory approval for the relevant companion diagnostic assay, which would delay or substantially impact our ability to conduct additional clinical trials or obtain regulatory approval.</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Because we are developing some of our product candidates for the treatment of diseases in which there is little clinical experience and, in some cases, using new endpoints or methodologies, the FDA, the EMA or other regulatory authorities may not consider the endpoints of our clinical trials to provide clinically meaningful results.</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may not be pharmacologic therapies approved to treat the underlying causes of many diseases that we may address in the future. For instance, we and our collaborators are applying our technology to develop therapeutics in indications such as certain rare diseases, including some for which no or few clinical trials have been attempted. As a result, any future design and conduct of clinical trials of product candidates for the treatment of certain rare diseases may take longer, be more costly, or be less effective as part of the novelty of development in these diseases. Even if we decide to conduct clinical trials and the FDA does find our success criteria to be sufficiently validated and clinically meaningful, we may not achieve the pre-specified endpoint to a degree of statistical significance in any pivotal or other clinical trials we or our collaborators may conduct for our programs.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endpoint, if we do not do so on our secondary efficacy endpoints. The FDA also weighs the benefits of a product against its risks and the FDA may view the efficacy results in the context of safety as not being supportive of licensure. Other regulatory authorities in Europe and other jurisdictions may make similar findings with respect to these endpoints.</w:t>
      </w:r>
    </w:p>
    <w:p>
      <w:pPr>
        <w:spacing w:after="0" w:line="190"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The FDA, the EMA or other comparable regulatory authorities may disagree with our regulatory plan and we may fail to obtain regulatory approval of our product candidates.</w:t>
      </w:r>
    </w:p>
    <w:p>
      <w:pPr>
        <w:spacing w:after="0" w:line="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If the results of our clinical trials are sufficiently compelling, we or our collaborators intend to discuss with the FDA and regulatory authorities in other countries the submission of a BLA or respective applications in other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341"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countries for our product candidates. However, we do not have any agreement or guidance from the FDA that our regulatory development plans will be sufficient for submission of a BLA for any of our product candidates. The FDA, the EMA or other regulatory agencies may grant accelerated approval for our product candidates and, as a condition for accelerated approval, the FDA, the EMA or other regulatory agencies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the EMA or other regulatory agencies that are more accelerated than those available for regular approvals. In addition, the standard of care may change with the approval of new products in the same indications that we are studying. This may result in the FDA, the EMA or other regulatory agencies requesting additional studies to show that our product candidate is superior to the new products.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clinical trial results may also not support approval. In addition, our product candidates could fail to receive regulatory approval for many reasons, including the following:</w:t>
      </w:r>
    </w:p>
    <w:p>
      <w:pPr>
        <w:spacing w:after="0" w:line="153"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FDA, the EMA or comparable regulatory authorities may disagree with the design or implementation of our clinical trials;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regulatory authorities that our product candidates are safe and effective for any of their proposed indications;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regulatory authorities for approval, including due to the heterogeneity of patient populations;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clinical and other benefits outweigh their safety risks;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FDA, the EMA or comparable regulatory authorities may disagree with our interpretation of data from preclinical studies or clinical trials;</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the satisfaction of the FDA, the EMA or comparable regulatory authorities to support the submission of a BLA or other comparable submissions or to obtain regulatory approval in the United States or elsewhere;</w:t>
      </w:r>
    </w:p>
    <w:p>
      <w:pPr>
        <w:spacing w:after="0" w:line="170"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FDA, the EMA or comparable regulatory authorities will inspect our manufacturing facilities and may not approve our facilities or our manufacturing processes and controls; and</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regulatory authorities may significantly change in a manner rendering our clinical data insufficient for approval.</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may not be able to file INDs with the FDA, clinical trial applications with the competent authorities of the member states of the European Union or similar applications with other comparable regulatory authorities to commence additional clinical trials on the timelines we expect, and even if we are able to, one or more of these regulatory authorities may not permit us to proceed.</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timing of filing on our product candidates is dependent on further preclinical, clinical and manufacturing success. We cannot be sure that submission of an IND or IND amendment with the FDA, a clinical trial application with the regulatory authorities of the EU member states or similar application with other comparable regulatory authorities will result in the FDA, the regulatory authorities of the EU member states or any comparable regulatory authority allowing testing and clinical trials to begin, or that, once begun, issues will not arise that result in the suspension or termination of such clinical trials. Additionally, even if such regulatory authorities agree with the design and implementation of the clinical trials set forth in an IND, clinical trial application or similar applications, we cannot guarantee that such regulatory authorities will not change their requirements in the future.</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may seek Orphan Drug Designation for some or all of our product candidates across various indications, but we may be unable to obtain such designations or to maintain the benefits associated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341"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with Orphan Drug Designation, including market exclusivity, which may cause our revenue, if any, to be reduced.</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strategy includes filing for Orphan Drug Designation where available for our product candidates. Under the U.S. Orphan Drug Act, the FDA may grant Orphan Drug Designation to a drug or biologic intended to treat a rare disease or condition, which is defined as one occurring in a patient population of fewer than 200,000 in the United States, or a patient population of 200,000 or greater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new drug application or a BLA, to market the same drug or biologic for the same indication for seven years, except in limited circumstances, such as a showing of clinical superiority to the product with orphan drug exclusivity or where the original manufacturer is unable to assure sufficient product quantity. Similar rules apply in the European Union with respect to drugs or biologics designated as orphan medicinal products.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exclusive marketing rights in the United States may be limited if we seek approval for an indication broader than the orphan-designated indication or may be lost if the FDA later determines that the request for designation was materially defective. Further, even if we obtain orphan drug exclusivity for a product, that exclusivity may not protect the product effectively from competition because different drugs with different active moieties may receive and be approved for the same condition, and only the first applicant to receive approval will receive the benefits of marketing exclusivity. Even after an orphan-designated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Similar considerations apply in the European Union with respect to drugs or biologics designated as orphan medicinal products.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may seek Breakthrough Therapy or Fast Track designation for one or more of our product candidates, but we may not receive such designations. Even if we do, it may not lead to a faster development or regulatory review or approval process, and it may not increase the likelihood that such product candidates will receive marketing approval.</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seek a Breakthrough Therapy Designation in the United States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BLA.</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may also seek Fast Track Designation in the United States for some of our product candidates. If a therapy is intended for the treatment of a serious or life -threatening condition and the therapy demonstrates the potential to address significant unmet medical needs for this condition, the drug sponsor may apply for Fast Track Designation. The FDA has broad discretion whether or not to grant this designation, and even if</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341"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a particular product candidate is eligible for this designation, we cannot be sure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expect some of the product candidates we develop will be regulated as biologics in the United States and therefore they may be subject to competition from biosimilars approved through an abbreviated regulatory pathway.</w:t>
      </w: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ACA includes a subtitle called the Biologics Price Competition and Innovation Act of 2009, or the BPCIA, which created an abbreviated approval pathway for biological products that are biosimilar to or interchangeable with an FDA-approved reference biological product. Under the BPCIA, an application for a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that any of our product candidates approved as a biological product under a BLA should qualify for a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005A64"/>
        </w:rPr>
        <w:t>Some of our product candidates are classified as gene therapies by the FDA and the EMA, and the FDA has indicated that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have been few approvals of gene therapy products in the United States and other jurisdictions, and there have been well-reported significant adverse events associated with their testing and use. Gene therapy products have the effect of introducing new DNA and potentially irreversibly changing the DNA in a cell. In contrast, mRNA is highly unlikely to localize to the nucleus, be reverse transcribed or integrated into the genome. Consequently, we expect that our products or product candidates will have a different potential side effect profile from gene therapies because they lack risks associated with altering cell DNA irreversibly. Further, we may avail ourselves of ways of mitigating side effects in developing our products and product candidates to address safety concerns that are not available to other products or product candidates classified as gene therapies, such as lowering the dose of our products or product candidates during repeat dosing or stopping treatment to potentially ameliorate undesirable side effects.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Regulatory requirements governing gene and cell therapy products have evolved and may continue to change in the future, and the implications for mRNA-based therapies is unknown. For example, the FDA has established the Office of Tissues and Advanced Therapies within CBER to consolidate the review of gene therapy and related products, and convenes the Cellular, Tissue and Gene Therapies Advisory Committee to advise CBER on its review. In the European Union, mRNA has been characterized as a gene therapy medicinal product. In certain countries, mRNA therapies have not yet been classified or any such classification is not known to us. Notwithstanding the differences between our mRNA product candidates and gene therapies, the classification of some of our mRNA product candidates as gene therapies in the United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341"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States, the European Union and potentially other counties could adversely impact our ability to develop our product candidates, and could negatively impact our platform and our business. For instance, a potential future clinical hold on gene therapy products across the field due to risks associated with altering cell DNA irreversibly could apply to our mRNA product candidates irrespective of the mechanistic differences between gene therapies and mRNA.</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Adverse events reported with respect to gene therapies or genome editing therapies could adversely impact one or more of our programs. Although our mRNA product candidates are designed not to make any permanent changes to cell DNA, regulatory agencies or others could believe that adverse effects of gene therapy products caused by introducing new DNA and irreversibly changing the DNA in a cell could also be a risk for our approved mRNA products or investigational therapies, and as a result may delay one or more of our trials or impose additional testing for long-term side effects. Any new requirements and guidelines promulgated by regulatory review agencies may have a negative effect on our business by lengthening the regulatory review process, requiring us to perform additional or larger studies, or increasing our development costs, any of which could lead to changes in regulatory positions and interpretations, delay or prevent advancement or approval and commercialization of our product candidates or lead to significant post-approval studies, limitations or restrictions. As we advance our product candidates, we will be required to consult with these regulatory agencies and advisory committees and comply with applicable requirements and guidelines. If we fail to do so, we may be required to delay or discontinue development of some or all of our product candidates.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regulatory requirements to which our product candidates will be subject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Although the FDA decides whether individual gene therapy protocols may proceed, the review process and determinations of other reviewing bodies can impede or delay the initiation of a clinical study, even if the FDA has reviewed the study and approved its initiation. Conversely, the FDA can place an IND application on clinical hold even if such other entities have provided a favorable review. Furthermore, gene therapy clinical trials are also subject to review and oversight by an institutional biosafety committee, a local institutional committee that reviews and oversees basic and clinical research conducted at the institution participating in the clinical trial. In addition, adverse developments in clinical trials of gene therapy products conducted by others may cause the FDA or other regulatory bodies to change the requirements for approval of any of our product candidates.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was established within the EMA in accordance with Regulation (EC) No 1394/2007 on advanced-therapy medicinal products, or ATMPs, to assess the quality, safety and efficacy of ATMPs, and to follow scientific developments in the field. ATMPs include gene therapy products as well as somatic cell therapy products and tissue engineered products.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the regulatory landscape for our CAR-T-cell immunotherapy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240"/>
          </w:cols>
          <w:pgMar w:left="320" w:top="341"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Delay or failure to obtain, or unexpected costs in obtaining, the regulatory approval necessary to bring a potential product to market could decrease our ability to generate sufficient product sales revenue to maintain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We may be unable to obtain regulatory approval for our product candidates under applicable international regulatory requirements.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denial or delay of such approval would delay commercialization of our product candidates and adversely impact our potential to generate revenue, our business and our results of operations.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Approval by the FDA in the United States, if obtained, does not ensure approval by regulatory authorities in other countries or jurisdictions. In order to market our products or product candidates in any other jurisdiction, we must establish and comply with numerous and varying regulatory requirements on a jurisdiction-by-jurisdiction basis regarding safety and efficacy.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and additional administrative review periods.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Seeking regulatory approval in other jurisdictions could result in difficulties and costs for us and require additional preclinical studies or clinical trials which could be costly and time-consuming. Regulatory requirements can vary widely from country to country and could delay or prevent the introduction of our products in those countries. The European Union and other jurisdictions’ regulatory approval processes involve all of the risks associated with the FDA approval. If we fail to comply with regulatory requirements in certain markets or to obtain and maintain required approvals, or if regulatory approvals in certain markets are delayed, our target market will be reduced and our ability to realize the full market potential of our products will be unrealized.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jurisdictions may have submission requirements for drug clinical trial and marketing applications that require us or our partners to submit substantial detailed materials related to non-clinical and clinical development and manufacturing and quality control to drug regulators or testing laboratories. This can include executed batch records for the production of biological products or other records or documents that set forth detailed information about the manufacturing process. If these records are disclosed, lost, or diverted to third parties or competitors during the application preparation process, this could negatively affect our ability to protect our intellectual property.</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partners in different countries are subject to local regulatory requirements on the manufacturing and distribution of drugs and the implementation of clinical and non-clinical research. These include but are not limited to good manufacturing, distribution, laboratory, and clinical practice rules. If these companies do not comply with applicable standards, they could become the subjects of investigations and enforcement, including orders to cease the activities pending remediation that is acceptable to the government. Such an order or other similar enforcement could interfere with our clinical development activities both in that jurisdiction and others, if it impacts supply or the quality and transfer of data.</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A third-party investigational product candidate used in combination with our product candidates may be unable to obtain regulatory approval, which may delay commercialization of our product candidates.</w:t>
      </w: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developing several of our product candidates to be used in combination with our and third-party product candidates. Even if any product candidate we develop were to receive marketing approval or be commercialized for use in combination with other existing products, we would continue to be subject to the risks that the FDA, the EMA or comparable regulatory authorities in other jurisdictions could revoke approval of the product used in combination with our product or that safety, efficacy, manufacturing or supply issues could arise with any of those existing products. If the products or product candidates we use in combination with our product candidates are replaced as the standard of care for the indications we choose for any of our product candidates, the FDA, the EMA or comparable regulatory authorities in other jurisdictions may require us to conduct additional clinical trials. The occurrence of any of these risks could result in our own products, if approved, being removed from the market or being less successful commercially. We also plan to evaluate current and future product candidates in combination with one or more product candidates that have not yet been approved for marketing by the FDA, the EMA or comparable regulatory authorities in other jurisdictions. We will not be able to market any product candidate we develop in combination with an unapproved product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341"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candidate if that unapproved product candidate does not ultimately obtain marketing approval. In addition, unapproved product candidates face the same risks described with respect to our product candidates currently in development and clinical trials, including the potential for serious adverse effects, delay in their clinical trials and lack of FDA, EMA or comparable regulatory authority approval.</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FDA, the EMA or comparable regulatory authorities in other jurisdictions do not approve these other product candidates or revoke their approval of, or if safety, efficacy, manufacturing or supply issues arise with, the products or product candidates we choose to evaluate in combination with any product candidate we develop, we may be unable to obtain approval of or market any product candidate we develop.</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005A64"/>
        </w:rPr>
        <w:t>Our COVID-19 vaccine and any other product candidates for which we receive approval or emergency use authorization are subject to continuing regulatory oversight, and we will be subject to ongoing regulatory obligations and continued regulatory review, which may result in significant additional expense. We may be subject to penalties if we fail to comply with regulatory requirements or experience unanticipated problems with our products or product candidates.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COVID-19 vaccine and any other product candidates for which we receive approval or emergency use authorization are subject to continuing regulatory oversight, including the review of additional safety information, and the applicable regulatory authority may still impose significant restrictions on the indicated uses or marketing of our product or impose ongoing requirements for potentially costly post-approval studies or post-market surveillance. For example, the holder of an approved BLA is obligated to monitor and report adverse events and any failure of a product to meet the specifications in the BLA. The holder of an approved BLA must also submit new or supplemental applications and obtain FDA approval for certain changes to the approved product, product labeling or manufacturing process. Similar requirements apply to holders of (conditional) approvals in other countries. Advertising and promotional materials must comply with FDA rules and are subject to FDA review, in addition to other potentially applicable federal and state laws. In other countries, advertising and promotional material may be subject to similar rules.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agency may:</w:t>
      </w:r>
    </w:p>
    <w:p>
      <w:pPr>
        <w:spacing w:after="0" w:line="225"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suspend or withdraw regulatory approval or revoke a license;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suspend any ongoing clinical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refuse to approve a pending BLA (or comparable approval) or supplements to a BLA (or comparable approval) submitted by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seize product;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approved products and generate revenues.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any of our products or product candidates cause undesirable side effects, it could delay or prevent their regulatory approval, limit their commercial potential, or result in significant negative consequences following any potential marketing approval. Products or product candidates we may develop may be associated with an adverse immune response or other serious adverse events, undesirable side effects or unexpected characteristics. In addition to serious adverse events or side effects caused by any of our products or product candidates, the administration process or related procedures also can cause undesirable side effects. If any such events occur, the clinical trials of any of our product candidates could be suspended or terminated.</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in the future we are unable to demonstrate that such adverse events were caused by factors other than our product candidate, the FDA, the EMA or other regulatory authorities could order us to cease further</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240"/>
          </w:cols>
          <w:pgMar w:left="320" w:top="341" w:right="339" w:bottom="144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development of, or deny approval of, any of our product candidates for any or all targeted indications. Even if we are able to demonstrate that all future serious adverse events are not product-related, such occurrences could affect patient recruitment or the ability of enrolled trial participants to complete the trial. Moreover, if we elect, or are required, to delay, suspend or terminate any clinical trial of any of our product candidates, the commercial prospects of such product candidates, if approved, may be harmed and our ability to generate product sale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following regulatory approval of a product candidate, the FDA or other regulatory authority could require us to adopt a REMS or a risk management plan to ensure that the benefits of treatment with such product candidate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Furthermore, if we or others later identify undesirable side effects caused by any product that we develop, several potentially significant negative consequences could result, including:</w:t>
      </w:r>
    </w:p>
    <w:p>
      <w:pPr>
        <w:spacing w:after="0" w:line="153"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or revoke licenses of such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administered or conduct additional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 their children;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of these events could prevent us from achieving or maintaining market acceptance of any products we may identify and develop and could have a material adverse effect on our business, financial condition, results of operations and prospects.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the successful approval of a product candidate, we will continue to face significant regulatory oversight of its manufacturing and distribution. Product manufacturers and their facilities are subject to payment of user fees and continual review and periodic inspections by the FDA and other regulatory authorities for compliance with GMP and adherence to commitments made in the BLA or comparable approval.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may be subject, directly or indirectly, to federal and state healthcare fraud and abuse laws, false claims laws, and other healthcare laws. If we are unable to comply, or have not fully complied, with such laws, we could face substantial penalties.</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be subject to additional healthcare regulation and enforcement by the U.S. federal government and by authorities in the United States, the European Union and other jurisdictions in which we conduct our business. Our operations may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the Physician Payments Sunshine Act and regulations. Many states and other jurisdictions have similar laws and regulations, some of which may be broader in scope. These laws will impact, among other things, our proposed sales, marketing and educational programs. In addition, we may be subject to patient privacy laws enacted by both the federal government and the states in which we conduct our business. The laws that will affect our operations include, but are not limited to the following:</w:t>
      </w:r>
    </w:p>
    <w:p>
      <w:pPr>
        <w:spacing w:after="0" w:line="185" w:lineRule="exact"/>
        <w:rPr>
          <w:sz w:val="20"/>
          <w:szCs w:val="20"/>
          <w:color w:val="auto"/>
        </w:rPr>
      </w:pPr>
    </w:p>
    <w:p>
      <w:pPr>
        <w:jc w:val="both"/>
        <w:ind w:left="660" w:hanging="328"/>
        <w:spacing w:after="0" w:line="268"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341"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ACA amends the intent requirement of the federal Anti-Kickback Statute to provide that a person or entity no longer needs to have actual knowledge of this statute or specific intent to violate it;</w:t>
      </w:r>
    </w:p>
    <w:p>
      <w:pPr>
        <w:spacing w:after="0" w:line="179" w:lineRule="exact"/>
        <w:rPr>
          <w:sz w:val="20"/>
          <w:szCs w:val="20"/>
          <w:color w:val="auto"/>
        </w:rPr>
      </w:pPr>
    </w:p>
    <w:p>
      <w:pPr>
        <w:jc w:val="both"/>
        <w:ind w:left="660" w:hanging="328"/>
        <w:spacing w:after="0" w:line="259"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U.S. federal civil and criminal false claims laws and civil monetary penalty laws, which prohibit, among other things, individuals or entities from knowingly presenting, or causing to be presented, false or fraudulent claims for payment or approval from Medicare, Medicaid or other government payors. The 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or HIPAA, which created new federal criminal statutes that prohibit a person from knowingly and willfully executing a scheme or making false or fraudulent statements to defraud any healthcare benefit program, regardless of the payor (e.g., public or private);</w:t>
      </w:r>
    </w:p>
    <w:p>
      <w:pPr>
        <w:spacing w:after="0" w:line="170"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implementing regulations,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17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U.S. Federal Food, Drug, and Cosmetic Act, which prohibits, among other things, the adulteration or misbranding of drugs, biologics and medical devices;</w:t>
      </w:r>
    </w:p>
    <w:p>
      <w:pPr>
        <w:spacing w:after="0" w:line="1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Federal transparency laws, including the federal Physician Payment Sunshine Act, which require disclosure of payments and other transfers of value provided to physicians and teaching hospitals, and ownership and investment interests held by physicians and other healthcare providers and their immediate family members and applicable group purchasing organizations;</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U.S. state law equivalents of each of the above federal laws,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which are also applicable to us, and many of them differ from each other in significant ways and may not have the same effect, thus complicating compliance efforts in certain circumstances;</w:t>
      </w:r>
    </w:p>
    <w:p>
      <w:pPr>
        <w:spacing w:after="0" w:line="17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U.S. Foreign Corrupt Practices Act of 1977, as amended, which prohibits, among other things, U.S. companies and their employees and agents, as well as non-U.S. companies that are registered with the SEC,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Similar statutes, healthcare laws and regulations in the European Union and other jurisdictions, including reporting requirements detailing interactions with and payments to healthcare providers.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240"/>
          </w:cols>
          <w:pgMar w:left="320" w:top="341" w:right="339" w:bottom="1440"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and other jurisdictions, such as the U.K. Bribery Act 2010. Infringement of these laws could result in substantial fines and imprisonment.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We are subject to certain anti-corruption, anti-money laundering, export control, sanctions, and other trade laws and regulations.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We can face serious consequences for violations.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Among other matters, anti-corruption, anti-money laundering, export control, sanctions, and other trade laws and regulations, which are collectively referred to as “trade laws,” prohibit companies and their employees, agents, CROs, legal counsel, accountants, consultants, contractors and other collaborators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plan to engage third parties for clinical trials and/or to obtain necessary permits, licenses, intellectual property (including patents) and other regulatory approvals, and we can be held liable for the corrupt or other illegal activities of our personnel, agents or collaborators, even if we do not explicitly authorize or have prior knowledge of such activities.</w:t>
      </w:r>
    </w:p>
    <w:p>
      <w:pPr>
        <w:spacing w:after="0" w:line="185"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5A64"/>
        </w:rPr>
        <w:t>We are subject to stringent privacy laws, information security policies and contractual obligations governing the use, processing, and cross-border transfer of personal information and our data privacy and security practices.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We receive, generate and store significant and increasing volumes of sensitive information, such as employee, personal and patient data.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a variety of local, state, national and international laws, directives and regulations that apply to the collection, use, storage, retention, protection, disclosure, transfer and other processing of personal data, collectively referred to as “data processing”, in the different jurisdictions in which we operate, including comprehensive regulatory systems in the United States and Europe. Legal requirements relating to data processing continue to evolve and may result in ever-increasing public scrutiny and escalating levels of enforcement, sanctions and increased costs of compliance.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collection and use of personal data in the European Union had previously been governed by the provisions of the EU Data Protection Directive, which EU member states were required to implement. While the Data Protection Directive did not apply to organizations based outside the European Union, the GDPR has expanded its reach to include any business, regardless of its location, that targets goods or services to residents in the European Union or that “monitors” their behavior in the European Union. The GDPR imposes strict requirements on controllers and processors of personal data, including special protections for “sensitive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341"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which includes health and genetic information of patients residing in the European Union. The GDPR also imposes strict rules on the transfer of personal data out of the European Union to the United States and other countries. In addition, the GDPR provides that EU member states may make their own further laws and regulations limiting the processing of personal data, including genetic, biometric or health data.</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we are located in the European Union, we are subject to the GDPR. Additionally, as the GDPR applies extraterritorially, we are also subject to the GDPR even where our data processing activities occur outside of the European Union if such activities involve the personal data of individuals located in the European Union and the above-mentioned applicable law triggers apply. GDPR regulations have imposed additional responsibility and liability in relation to the personal data that we process and we may be required to put in place additional mechanisms to ensure compliance with the new data protection rules. This may be onerous and may interrupt or delay our development activities, and adversely affect our business, financial condition, results of operations and prospects.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jurisdictions outside the European Union are similarly introducing or enhancing privacy and data security laws, rules and regulations, which could increase our compliance costs and the risks associated with non-compliance. In particular, in China, where some of our clinical data are originated, the cybersecurity, data privacy, data protection, or other data-related laws and regulations, including the Human Genetic Resources Regulation (which now only regulates transfer human genetic data generated in clinical research to foreign or foreign controlled parties), are relatively new and evolving, and their interpretation and application may be uncertain. In the United States, we may be subject to restrictions and requirements under the Executive Order on Preventing Access to Americans’ Bulk Sensitive Personal Data and United States Government-Related Data by Countries of Concern, signed on February 28, 2024. Practices regarding the collection, use, storage, transmission and security of personal information by companies have also been subject to increasing regulatory focus. As such, we cannot assure you that we will be compliant with such new regulations in all respects, and we may be ordered to rectify and terminate any actions that are deemed illegal by the government authorities and become subject to fines and other government sanctions, which may materially and adversely affect our business, financial condition, and results of operations. In addition, the uncertainties regarding further interpretation and implementation of these laws and regulations may adversely affect the secure storage of documented work as well as the cross-border transfer of important data and personal information originated from our clinical trial activities, which are critical to the development of our pipelines.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cannot guarantee that we are, or will be, in compliance with all applicable international regulations as they are enforced now or as they evolve. For example, our privacy policies may be insufficient to protect any personal information we collect, or may not comply with applicable laws, in which case we may be subject to regulatory enforcement actions, lawsuits or reputational damage, all of which may adversely affect our business. There is significant uncertainty related to the manner in which data protection authorities will seek to enforce compliance with the GDPR and other international data protection regulations, especially with regard to clinical trial activities. For example, it is not clear if the authorities will conduct random audits of companies doing business in the European Union, or if the authorities will wait for complaints to be filed by individuals who claim their rights have been violated, as enforcement practices vary from country to country. Enforcement uncertainty and the costs associated with ensuring GDPR compliance may be onerous and adversely affect our business, financial condition, results of operations and prospects. If we fail to comply with the GDPR and the applicable national data protection laws of the EU member states, or if regulators assert we have failed to comply with these laws, it may lead to regulatory enforcement actions, which can result in monetary penalties of up to €20,000,000 or up to 4% of the total worldwide annual turnover of the preceding financial year, whichever is higher, and other administrative penalties. If any of these events were to occur, our business and financial results could be significantly disrupted and adversely affected.</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as well as regulatory penalties. In many jurisdictions, there are legal requirements to provide notice of breaches to affected individuals and/or regulators in certain circumstances. Such a notice could harm our reputation and our ability to compete. Regulators may also have the discretion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240"/>
          </w:cols>
          <w:pgMar w:left="320" w:top="341"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impose penalties without attempting to resolve violations through informal means. Although we have implemented security measures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182"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5A64"/>
        </w:rPr>
        <w:t>If we or our third-party suppliers fail to comply with environmental, health and safety laws and regulations, we could become subject to fines or penalties or incur costs that could harm our business.</w:t>
      </w:r>
    </w:p>
    <w:p>
      <w:pPr>
        <w:spacing w:after="0" w:line="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1"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b w:val="1"/>
          <w:bCs w:val="1"/>
          <w:color w:val="005A64"/>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the physicians or other providers or entities with whom we expect to do business are found to not be in compliance with applicable laws, they may be subject to criminal, civil or administrative sanctions, including exclusions from government-funded healthcare programs and imprisonment, which could affect our ability to operate our business.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Risks Related to Ownership of the ADSs</w:t>
      </w:r>
    </w:p>
    <w:p>
      <w:pPr>
        <w:spacing w:after="0" w:line="117"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5A64"/>
        </w:rPr>
        <w:t>We have experienced and may continue to experience significant volatility in the market price of the ADSs representing our ordinary shares.</w:t>
      </w:r>
    </w:p>
    <w:p>
      <w:pPr>
        <w:spacing w:after="0" w:line="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Biopharmaceutical companies such as BioNTech SE that are developing potential therapeutics and vaccines to combat COVID-19, as well as conducting mRNA-based research in oncology and infectious disease more generally, have experienced significant volatility in the price of their securities upon publication of preclinical</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240"/>
          </w:cols>
          <w:pgMar w:left="320" w:top="341" w:right="339" w:bottom="144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clinical data as well as news about their development programs and commercialization activities. For example, during 2023, the closing sales price of the ADSs representing our ordinary shares on the Nasdaq Global Select Market ranged from $88.00 to $156.28, with significant volatility occurring, for example, shortly after announcements by us or others related to regulatory matters, to our COVID-19 vaccine, to other COVID-19 vaccines, to development and commercialization pipelines in oncology and infectious disease, and to our transactions with third parties. Additionally, we have observed the trading price of the ADSs respond significantly to news and statements by us, government agencies, other vaccine developers, financial analysts or others relating to our business as well as to other COVID-19 vaccines and COVID-19 therapeutics and the spread of COVID-19 generally, even in cases in which we believe the news does not affect our business or vaccine specifically. Given the attention being paid to COVID-19 worldwide and the public scrutiny of COVID-19 development and commercialization announcements, and given that our COVID-19 vaccine is currently among the primary vaccines being used worldwide, any news regarding manufacturing, supply and distribution of our COVID-19 vaccine or unanticipated side effects of our COVID-19 vaccine, whether or not accurate, will attract significant attention and scrutiny and, as a result, the price of the ADSs representing our ordinary shares likely will continue to be volatile. In addition, volatility in the overall market and in the market price of a particular company’s securities can result in securities litigation, including shareholder class action lawsuits. Any securities litigation can result in substantial costs and a diversion of our management’s attention and resources.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Acquisitions, joint ventures and collaborations may increase our capital requirements, dilute our shareholders, cause us to incur debt or assume contingent liabilities, and subject us to other risks. We may not realize the benefits of these acquisitions, joint ventures or collaborations.</w:t>
      </w:r>
    </w:p>
    <w:p>
      <w:pPr>
        <w:spacing w:after="0" w:line="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may evaluate various acquisitions and collaborations, including licensing or acquiring complementary products, intellectual property rights, technologies or businesses. Any potential acquisition, joint venture or collaboration may entail numerous risks, including:</w:t>
      </w:r>
    </w:p>
    <w:p>
      <w:pPr>
        <w:spacing w:after="0" w:line="153"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or products sufficient to meet our objectives in undertaking the acquisition or even to offset the associated acquisition and maintenance costs.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if we undertake acquisitions, we may utilize our cash, issue dilutive securities, assume or incur debt obligations, incur large one-time expenses and acquire intangible assets that could result in significant future amortization expense. For example, in July 2023, we acquired InstaDeep, a leading global technology company in the field of AI and machine learning, for upfront consideration of cash and BioNTech shares, and potential future milestone payments. Although we believe that AI and machine learning technology has the potential to accelerate the development of therapeutic programs and further optimize manufacturing and supply chain processes, it is possible that our use of the acquired technology will not achieve the desired results, and that we will not be able to retain and grow InstaDeep’s business around the world. If demand for the services developed by InstaDeep does not continue, or if we are unable to improve our AI and machine learning technology in a timely, effective and competitive manner, we may not be able realize the expected outcomes from the InstaDeep acquisition. There is no guarantee that we will realize any anticipated benefits of this or future acquisitions, or that the diversification of our business through acquired technology or products will be successful.</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240"/>
          </w:cols>
          <w:pgMar w:left="320" w:top="341"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Our Articles of Association designate specific courts in the United States as the exclusive forum for certain U.S. litigation that may be initiated by our shareholders, which could limit our shareholders’ ability to obtain a favorable judicial forum for disputes with us.</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Articles of Association provide that the United States District Court for the Southern District of New York shall be the competent court of jurisdiction for the resolution of any litigation on the grounds of or in connection with U.S. federal or state capital market laws. In the absence of these provisions, under the Securities Act of 1933, as amended, or the Securities Act, U.S. federal and state courts have been found to have concurrent jurisdiction over suits brought to enforce duties or liabilities created by the Securities Act.</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choice of forum provision contained in our Articles of Association may limit a shareholder’s ability to bring a claim in a judicial forum that it finds favorable for disputes with us or our executive officers, directors, or other employees, or impose additional litigation costs on shareholders in pursuing any such claims, particularly if the shareholders do not reside in or near the state of New York, which may discourage such lawsuits. In addition, while the Delaware Supreme Court ruled in March 2020 that federal forum selection provisions purporting to require claims under the Securities Act be brought in federal court are “facially valid” under Delaware law, there is uncertainty as to whether other U.S. or German courts will enforce our choice of forum provision. The enforceability of similar choice of forum provisions in other companies’ governing documents has been challenged in recent legal proceedings, and it is possible that a court in the relevant jurisdictions with respect to us could find the choice of forum provision contained our Articles of Association to be inapplicable or unenforceable. If the relevant court were to find the choice of forum provision contained in our articles of association to be inapplicable or unenforceable, we may incur additional costs associated with resolving such matters in other jurisdictions, which could adversely affect our business, financial condition and operating results. The choice of forum provision may also impose additional litigation costs on shareholders who assert that the provision is not enforceable or invalid. The United States District Court for the Southern District of New York may also reach different judgments or results than would other courts, including courts where a shareholder considering a U.S.-based action may be located or would otherwise choose to bring the action, and such judgments may be more or less favorable to us than our shareholders.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Holders of the ADSs may not be able to participate in any future preemptive subscription rights issues or elect to receive dividends in shares, which may cause additional dilution to their holdings.</w:t>
      </w: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German law, the existing shareholders of a company generally have a preemptive right in proportion to the amount of shares they hold in connection with any issuance of ordinary shares, convertible bonds, bonds with warrants, profit participation rights and participating bonds. However, our shareholders in a shareholders’ meeting may vote, by a majority representing at least three-quarters of the share capital represented at the meeting, to waive this preemptive right provided that, from the company’s perspective, there exists good and objective cause for such waiver.</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future rights offerings and may experience dilution in their holdings. For example, ADS holders were unable to participate in our summer 2020 rights offering.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The amount and frequency of our dividends and ADS repurchases may fluctuate.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amount, timing and execution of any ADS repurchase program we conduct in the future and the amount and timing of any dividends we pay may fluctuate based on our priorities for the use of cash for other purposes, and any ADS repurchases would be subject to the parameters contained in the applicable repurchase plan. These purposes may include operational spending, capital spending, acquisitions and repayment of debt. Additionally, we may choose to repurchase ADSs so that such ADSs may be used to</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240"/>
          </w:cols>
          <w:pgMar w:left="320" w:top="341"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settle outstanding and future equity awards granted to our employees. Changes in cash flows, tax laws and the price of the ADSs could also impact any ADS repurchase program. Additionally, we may enter into a Rule 10b5-1 trading plan governing the repurchases, and if we do, we would have no discretion over the particular purchases made and would only be able to set minimum price floors and maximum ADS count ceilings.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Our principal shareholders and management own a significant percentage of our ordinary shares and will be able to exert significant control over matters subject to shareholder approval.</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executive officers, directors, five percent shareholders, and their affiliates beneficially own a majority of our ordinary shares (including ordinary shares represented by ADSs) as of December 31, 2023, and will have the ability to influence us through their ownership positions. For example, these shareholders, acting together, may be able to exert significant influence over matters such as elections of directors, amendments of our organizational documents, or approval of any merger, sale of assets or other major corporate transaction. This may prevent or discourage unsolicited acquisition proposals or offers for our ordinary shares that shareholders may believe are in their best interest. Such insiders may also act in concert to waive rights to participate in rights offerings, as was done in our summer 2020 rights offering, which would have the effect of permitting the ADSs or shares underlying such waived rights to be offered to the public in an underwritten offering without contravening German law pricing requirements.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The large number of shares eligible for sale or subject to rights requiring us to register them for sale could cause the market price of the ADSs to drop significantly, even if our business is performing well.</w:t>
      </w:r>
    </w:p>
    <w:p>
      <w:pPr>
        <w:spacing w:after="0" w:line="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filed registration statements on Form S-8 under the Securities Act to register all ordinary shares issued or issuable under our equity plans. Such Form S-8 registration statements have become, and any other registration statements on Form S-8 we file in the future will become, effective upon filing, upon which shares registered under such registration statements become available for sale in the open market.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certain sales of ADSs or our ordinary shares that we have made have included, and we may in the future make sales including, holding period restrictions or registration rights. Sales of ADSs or our ordinary shares as restrictions end or pursuant to registration rights may make it more difficult for us to finance our operations through the sale of equity securities in the future at a time and at a price that we deem appropriate. These sales also could cause the trading price of the ADSs to fall and make it more difficult to sell the ADSs on favorable terms.</w:t>
      </w:r>
    </w:p>
    <w:p>
      <w:pPr>
        <w:spacing w:after="0" w:line="179"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5A64"/>
        </w:rPr>
        <w:t>If we are a “passive foreign investment company” for U.S. federal income tax purposes, there may be adverse U.S. federal income tax consequences to U.S. investors.</w:t>
      </w:r>
    </w:p>
    <w:p>
      <w:pPr>
        <w:spacing w:after="0" w:line="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Based on our income and assets, we believe that we should be treated as a PFIC for the preceding taxable year. However, the determination of our PFIC status is made annually based on the factual tests described below. Consequently, while we may be a PFIC in future years, we cannot estimate with certainty at this stage whether or not we are likely to be treated as a PFIC in the current taxable year or any future taxable years. Generally, if, for any taxable year, at least 75 percent of our gross income is “passive income” or at least 50 percent of our gross assets during the taxable year (based on the average of the fair market values of the assets determined at the end of each quarterly period) are assets that produce or are held for the production of passive income, we will be characterized as a PFIC for U.S. federal income tax purposes. Passive income for this purpose generally includes, among other things, dividends, interest, rents, royalties, gains from commodities and securities transactions, and gains from assets that produce passive income. However, rents and royalties received from unrelated parties in connection with the active conduct of a trade or business should not be considered passive income for purposes of the PFIC test. For example, if we were to be characterized as a PFIC for U.S. federal income tax purposes in any taxable year during which a U.S. Holder (as defined in “Taxation —Material United States federal income tax considerations” in our Annual Report on Form 20-F as of and for the year ended December 31, 2023) holds ordinary shares or ADSs, such U.S. Holder could be subject to additional taxes and interest charges upon certain distributions by us and any gain recognized on a sale, exchange or other disposition of our shares, whether or not we continue to be characterized as a PFIC. Certain adverse consequences of PFIC status can be mitigated if a U.S. Holder makes a “mark to market” election or a “Qualified Electing Fund” (QEF) election. We have made available to U.S. Holders the information necessary to make and maintain a QEF election for the year ended December 31, 2023. See “Taxation —Material United States federal income tax considerations —Passive foreign investment company considerations” in our Annual Report on Form 20-F as of and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341"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Whether we are a PFIC for any taxable year will depend on the composition of our income and the composition and value of our assets from time to time. Each U.S. Holder is strongly urged to consult its tax advisor regarding these issues and any available elections to mitigate such tax consequences.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341"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Disclaimer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Forward-Looking Statements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This quarterly report contains forward-looking statements within the meaning of the Private Securities Litigation Reform Act of 1995, as amended, including, but not limited to, statements concerning: our expected revenues and net profit/(loss) related to sales of our COVID-19 vaccine, referred to as </w:t>
      </w:r>
      <w:r>
        <w:rPr>
          <w:rFonts w:ascii="Arial" w:cs="Arial" w:eastAsia="Arial" w:hAnsi="Arial"/>
          <w:sz w:val="18"/>
          <w:szCs w:val="18"/>
          <w:i w:val="1"/>
          <w:iCs w:val="1"/>
          <w:color w:val="auto"/>
        </w:rPr>
        <w:t>Comirnaty</w:t>
      </w:r>
      <w:r>
        <w:rPr>
          <w:rFonts w:ascii="Arial" w:cs="Arial" w:eastAsia="Arial" w:hAnsi="Arial"/>
          <w:sz w:val="18"/>
          <w:szCs w:val="18"/>
          <w:color w:val="auto"/>
        </w:rPr>
        <w:t xml:space="preserve"> where approved for use under full or conditional marketing authorization, in territories controlled by our collaboration partners, particularly for those figures that are derived from preliminary estimates provided by our partners; the rate and degree of market acceptance of our COVID-19 vaccine and, if approved, our investigational medicines; expectations regarding anticipated changes in COVID-19 vaccine demand, including changes to the ordering environment and expected regulatory recommendations to adapt vaccines to address new variants or sublineages; the initiation, timing, progress, results, and cost of our research and development programs, including our current and future preclinical studies and clinical trials, including statements regarding the timing of initiation, enrollment, and completion of studies or trials and related preparatory work and the availability of results, and the timing and outcome of applications for regulatory approvals and marketing authorizations; our expectations regarding potential future commercialization in oncology, including goals regarding timing and indications; the targeted timing and number of potentially registrational trials, and the registrational potential of any trial we may initiate; discussions with regulatory agencies; our expectations with respect to intellectual property; the impact of our collaboration and licensing agreements; the development, nature and feasibility of sustainable vaccine production and supply solutions; and our expectations with respect to legal claims and proceedings.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forward-looking statements in this quarterly report are based on our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including the data discussed in this report, and including the possibility of unfavorable new preclinical, clinical or safety data and further analyses of existing preclinical, clinical or safety data; the nature of the clinical data, which is subject to ongoing peer review, regulatory review and market interpretation; our pricing and coverage negotiations regarding our COVID-19 vaccines with governmental authorities, private health insurers and other third-party payors; the future commercial demand and medical need for initial or booster doses of a COVID-19 vaccine; competition from other COVID-19 vaccines or related to our other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timing of and our ability to obtain and maintain regulatory approval for our product candidates; the ability of our COVID-19 vaccine to prevent COVID-19 caused by emerging virus variants; our and our counterparties’ ability to manage and source necessary energy resources; our ability to identify research opportunities and discover and develop investigational medicines; the ability and willingness of our third-party collaborators to continue research and development activities relating to our development candidates and investigational medicines; the impact of COVID-19 on our development programs, supply chain, collaborators and financial performance; unforeseen safety issues and claims for personal injury or death arising from the use of our COVID-19 vaccine and other products and product candidates developed or manufactured by us; our ability and that of our collaborators to commercialize and market our COVID-19 vaccine and, if approved, our product candidates; our ability to manage our development and expansion and related expenses; regulatory developments in the United States and other countries; our ability to effectively scale our production capabilities and manufacture our products, including our target COVID-19 vaccine production levels, and our product candidates; risks relating to the global financial system and markets; and other factors not known to us at this time. You should review the risks and uncertainties described under the heading “Risk Factors” in this quarterly report for the three and six months ended June 30, 2024, and in subsequent filings made by BioNTech with the SEC, which are available on the SEC’s website at https://www.sec.gov/. These forward-looking statements speak only as of the date hereof. Except as required by law, BioNTech disclaims any intention or responsibility for updating or revising any forward-looking</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341"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statements contained in this quarterly report in the event of new information, future developments or otherwise.</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341"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six months ended June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General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quarterly report contains references to our trademarks and to trademarks belong to other entities. Solely for convenience, trademarks and trade names referred to,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Our trademark portfolio includes, but is not limited to, </w:t>
      </w:r>
      <w:r>
        <w:rPr>
          <w:rFonts w:ascii="Arial" w:cs="Arial" w:eastAsia="Arial" w:hAnsi="Arial"/>
          <w:sz w:val="18"/>
          <w:szCs w:val="18"/>
          <w:i w:val="1"/>
          <w:iCs w:val="1"/>
          <w:color w:val="auto"/>
        </w:rPr>
        <w:t>Comirnaty</w:t>
      </w:r>
      <w:r>
        <w:rPr>
          <w:rFonts w:ascii="Arial" w:cs="Arial" w:eastAsia="Arial" w:hAnsi="Arial"/>
          <w:sz w:val="18"/>
          <w:szCs w:val="18"/>
          <w:color w:val="auto"/>
        </w:rPr>
        <w:t xml:space="preserve">, </w:t>
      </w:r>
      <w:r>
        <w:rPr>
          <w:rFonts w:ascii="Arial" w:cs="Arial" w:eastAsia="Arial" w:hAnsi="Arial"/>
          <w:sz w:val="18"/>
          <w:szCs w:val="18"/>
          <w:i w:val="1"/>
          <w:iCs w:val="1"/>
          <w:color w:val="auto"/>
        </w:rPr>
        <w:t>BioNTainer</w:t>
      </w:r>
      <w:r>
        <w:rPr>
          <w:rFonts w:ascii="Arial" w:cs="Arial" w:eastAsia="Arial" w:hAnsi="Arial"/>
          <w:sz w:val="18"/>
          <w:szCs w:val="18"/>
          <w:color w:val="auto"/>
        </w:rPr>
        <w:t xml:space="preserve">, </w:t>
      </w:r>
      <w:r>
        <w:rPr>
          <w:rFonts w:ascii="Arial" w:cs="Arial" w:eastAsia="Arial" w:hAnsi="Arial"/>
          <w:sz w:val="18"/>
          <w:szCs w:val="18"/>
          <w:i w:val="1"/>
          <w:iCs w:val="1"/>
          <w:color w:val="auto"/>
        </w:rPr>
        <w:t>FixVac</w:t>
      </w:r>
      <w:r>
        <w:rPr>
          <w:rFonts w:ascii="Arial" w:cs="Arial" w:eastAsia="Arial" w:hAnsi="Arial"/>
          <w:sz w:val="18"/>
          <w:szCs w:val="18"/>
          <w:color w:val="auto"/>
        </w:rPr>
        <w:t xml:space="preserve">, </w:t>
      </w:r>
      <w:r>
        <w:rPr>
          <w:rFonts w:ascii="Arial" w:cs="Arial" w:eastAsia="Arial" w:hAnsi="Arial"/>
          <w:sz w:val="18"/>
          <w:szCs w:val="18"/>
          <w:i w:val="1"/>
          <w:iCs w:val="1"/>
          <w:color w:val="auto"/>
        </w:rPr>
        <w:t>RiboCytokine</w:t>
      </w:r>
      <w:r>
        <w:rPr>
          <w:rFonts w:ascii="Arial" w:cs="Arial" w:eastAsia="Arial" w:hAnsi="Arial"/>
          <w:sz w:val="18"/>
          <w:szCs w:val="18"/>
          <w:color w:val="auto"/>
        </w:rPr>
        <w:t xml:space="preserve"> and </w:t>
      </w:r>
      <w:r>
        <w:rPr>
          <w:rFonts w:ascii="Arial" w:cs="Arial" w:eastAsia="Arial" w:hAnsi="Arial"/>
          <w:sz w:val="18"/>
          <w:szCs w:val="18"/>
          <w:i w:val="1"/>
          <w:iCs w:val="1"/>
          <w:color w:val="auto"/>
        </w:rPr>
        <w:t>RiboMab</w:t>
      </w:r>
      <w:r>
        <w:rPr>
          <w:rFonts w:ascii="Arial" w:cs="Arial" w:eastAsia="Arial" w:hAnsi="Arial"/>
          <w:sz w:val="18"/>
          <w:szCs w:val="18"/>
          <w:color w:val="auto"/>
        </w:rPr>
        <w:t>, including logo versions of some of these trademarks. Brand names appearing in italics throughout this report are trademarks owned by BioNTech. All other trademarks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135</w:t>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2"/>
      <w:numFmt w:val="bullet"/>
      <w:start w:val="1"/>
    </w:lvl>
  </w:abstractNum>
  <w:abstractNum w:abstractNumId="1">
    <w:nsid w:val="75C6C33A"/>
    <w:multiLevelType w:val="hybridMultilevel"/>
    <w:lvl w:ilvl="0">
      <w:lvlJc w:val="left"/>
      <w:lvlText w:val="(%1)"/>
      <w:numFmt w:val="decimal"/>
      <w:start w:val="1"/>
    </w:lvl>
  </w:abstractNum>
  <w:abstractNum w:abstractNumId="2">
    <w:nsid w:val="12E685FB"/>
    <w:multiLevelType w:val="hybridMultilevel"/>
    <w:lvl w:ilvl="0">
      <w:lvlJc w:val="left"/>
      <w:lvlText w:val="(%1)"/>
      <w:numFmt w:val="decimal"/>
      <w:start w:val="1"/>
    </w:lvl>
  </w:abstractNum>
  <w:abstractNum w:abstractNumId="3">
    <w:nsid w:val="70C6A529"/>
    <w:multiLevelType w:val="hybridMultilevel"/>
    <w:lvl w:ilvl="0">
      <w:lvlJc w:val="left"/>
      <w:lvlText w:val="(%1)"/>
      <w:numFmt w:val="decimal"/>
      <w:start w:val="1"/>
    </w:lvl>
  </w:abstractNum>
  <w:abstractNum w:abstractNumId="4">
    <w:nsid w:val="520EEDD1"/>
    <w:multiLevelType w:val="hybridMultilevel"/>
    <w:lvl w:ilvl="0">
      <w:lvlJc w:val="left"/>
      <w:lvlText w:val="(%1)"/>
      <w:numFmt w:val="decimal"/>
      <w:start w:val="1"/>
    </w:lvl>
  </w:abstractNum>
  <w:abstractNum w:abstractNumId="5">
    <w:nsid w:val="374A3FE6"/>
    <w:multiLevelType w:val="hybridMultilevel"/>
    <w:lvl w:ilvl="0">
      <w:lvlJc w:val="left"/>
      <w:lvlText w:val="(%1)"/>
      <w:numFmt w:val="decimal"/>
      <w:start w:val="1"/>
    </w:lvl>
  </w:abstractNum>
  <w:abstractNum w:abstractNumId="6">
    <w:nsid w:val="4F4EF005"/>
    <w:multiLevelType w:val="hybridMultilevel"/>
    <w:lvl w:ilvl="0">
      <w:lvlJc w:val="left"/>
      <w:lvlText w:val="(%1)"/>
      <w:numFmt w:val="decimal"/>
      <w:start w:val="1"/>
    </w:lvl>
  </w:abstractNum>
  <w:abstractNum w:abstractNumId="7">
    <w:nsid w:val="23F9C13C"/>
    <w:multiLevelType w:val="hybridMultilevel"/>
    <w:lvl w:ilvl="0">
      <w:lvlJc w:val="left"/>
      <w:lvlText w:val="\endash "/>
      <w:numFmt w:val="bullet"/>
      <w:start w:val="1"/>
    </w:lvl>
  </w:abstractNum>
  <w:abstractNum w:abstractNumId="8">
    <w:nsid w:val="649BB77C"/>
    <w:multiLevelType w:val="hybridMultilevel"/>
    <w:lvl w:ilvl="0">
      <w:lvlJc w:val="left"/>
      <w:lvlText w:val="\endash "/>
      <w:numFmt w:val="bullet"/>
      <w:start w:val="1"/>
    </w:lvl>
  </w:abstractNum>
  <w:abstractNum w:abstractNumId="9">
    <w:nsid w:val="275AC794"/>
    <w:multiLevelType w:val="hybridMultilevel"/>
    <w:lvl w:ilvl="0">
      <w:lvlJc w:val="left"/>
      <w:lvlText w:val="(%1)"/>
      <w:numFmt w:val="decimal"/>
      <w:start w:val="1"/>
    </w:lvl>
  </w:abstractNum>
  <w:abstractNum w:abstractNumId="10">
    <w:nsid w:val="39386575"/>
    <w:multiLevelType w:val="hybridMultilevel"/>
    <w:lvl w:ilvl="0">
      <w:lvlJc w:val="left"/>
      <w:lvlText w:val="(%1)"/>
      <w:numFmt w:val="decimal"/>
      <w:start w:val="2"/>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1)"/>
      <w:numFmt w:val="lowerLetter"/>
      <w:start w:val="1"/>
    </w:lvl>
    <w:lvl w:ilvl="1">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1)"/>
      <w:numFmt w:val="lowerLetter"/>
      <w:start w:val="3"/>
    </w:lvl>
    <w:lvl w:ilvl="1">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1."/>
      <w:numFmt w:val="decimal"/>
      <w:start w:val="1"/>
    </w:lvl>
    <w:lvl w:ilvl="1">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1."/>
      <w:numFmt w:val="decimal"/>
      <w:start w:val="2"/>
    </w:lvl>
    <w:lvl w:ilvl="1">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lvl w:ilvl="1">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1)"/>
      <w:numFmt w:val="lowerLetter"/>
      <w:start w:val="1"/>
    </w:lvl>
    <w:lvl w:ilvl="1">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1."/>
      <w:numFmt w:val="decimal"/>
      <w:start w:val="3"/>
    </w:lvl>
    <w:lvl w:ilvl="1">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1."/>
      <w:numFmt w:val="decimal"/>
      <w:start w:val="4"/>
    </w:lvl>
    <w:lvl w:ilvl="1">
      <w:lvlJc w:val="left"/>
      <w:lvlText w:val="•"/>
      <w:numFmt w:val="bullet"/>
      <w:start w:val="1"/>
    </w:lvl>
  </w:abstractNum>
  <w:abstractNum w:abstractNumId="47">
    <w:nsid w:val="7BD3EE7B"/>
    <w:multiLevelType w:val="hybridMultilevel"/>
    <w:lvl w:ilvl="0">
      <w:lvlJc w:val="left"/>
      <w:lvlText w:val="%1."/>
      <w:numFmt w:val="decimal"/>
      <w:start w:val="5"/>
    </w:lvl>
    <w:lvl w:ilvl="1">
      <w:lvlJc w:val="left"/>
      <w:lvlText w:val="•"/>
      <w:numFmt w:val="bullet"/>
      <w:start w:val="1"/>
    </w:lvl>
  </w:abstractNum>
  <w:abstractNum w:abstractNumId="48">
    <w:nsid w:val="51D9C564"/>
    <w:multiLevelType w:val="hybridMultilevel"/>
    <w:lvl w:ilvl="0">
      <w:lvlJc w:val="left"/>
      <w:lvlText w:val="%1."/>
      <w:numFmt w:val="decimal"/>
      <w:start w:val="6"/>
    </w:lvl>
    <w:lvl w:ilvl="1">
      <w:lvlJc w:val="left"/>
      <w:lvlText w:val="•"/>
      <w:numFmt w:val="bullet"/>
      <w:start w:val="1"/>
    </w:lvl>
  </w:abstractNum>
  <w:abstractNum w:abstractNumId="49">
    <w:nsid w:val="613EFDC5"/>
    <w:multiLevelType w:val="hybridMultilevel"/>
    <w:lvl w:ilvl="0">
      <w:lvlJc w:val="left"/>
      <w:lvlText w:val="%1."/>
      <w:numFmt w:val="decimal"/>
      <w:start w:val="7"/>
    </w:lvl>
    <w:lvl w:ilvl="1">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1)"/>
      <w:numFmt w:val="decimal"/>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
      <w:numFmt w:val="bullet"/>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
      <w:numFmt w:val="bullet"/>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
      <w:numFmt w:val="bullet"/>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
      <w:numFmt w:val="bullet"/>
      <w:start w:val="1"/>
    </w:lvl>
  </w:abstractNum>
  <w:abstractNum w:abstractNumId="76">
    <w:nsid w:val="74DE0EE3"/>
    <w:multiLevelType w:val="hybridMultilevel"/>
    <w:lvl w:ilvl="0">
      <w:lvlJc w:val="left"/>
      <w:lvlText w:val="•"/>
      <w:numFmt w:val="bullet"/>
      <w:start w:val="1"/>
    </w:lvl>
  </w:abstractNum>
  <w:abstractNum w:abstractNumId="77">
    <w:nsid w:val="68EBC550"/>
    <w:multiLevelType w:val="hybridMultilevel"/>
    <w:lvl w:ilvl="0">
      <w:lvlJc w:val="left"/>
      <w:lvlText w:val="•"/>
      <w:numFmt w:val="bullet"/>
      <w:start w:val="1"/>
    </w:lvl>
  </w:abstractNum>
  <w:abstractNum w:abstractNumId="78">
    <w:nsid w:val="2DF6D648"/>
    <w:multiLevelType w:val="hybridMultilevel"/>
    <w:lvl w:ilvl="0">
      <w:lvlJc w:val="left"/>
      <w:lvlText w:val="•"/>
      <w:numFmt w:val="bullet"/>
      <w:start w:val="1"/>
    </w:lvl>
  </w:abstractNum>
  <w:abstractNum w:abstractNumId="79">
    <w:nsid w:val="46B7D447"/>
    <w:multiLevelType w:val="hybridMultilevel"/>
    <w:lvl w:ilvl="0">
      <w:lvlJc w:val="left"/>
      <w:lvlText w:val="•"/>
      <w:numFmt w:val="bullet"/>
      <w:start w:val="1"/>
    </w:lvl>
  </w:abstractNum>
  <w:abstractNum w:abstractNumId="80">
    <w:nsid w:val="4A2AC315"/>
    <w:multiLevelType w:val="hybridMultilevel"/>
    <w:lvl w:ilvl="0">
      <w:lvlJc w:val="left"/>
      <w:lvlText w:val="•"/>
      <w:numFmt w:val="bullet"/>
      <w:start w:val="1"/>
    </w:lvl>
  </w:abstractNum>
  <w:abstractNum w:abstractNumId="81">
    <w:nsid w:val="39EE015C"/>
    <w:multiLevelType w:val="hybridMultilevel"/>
    <w:lvl w:ilvl="0">
      <w:lvlJc w:val="left"/>
      <w:lvlText w:val="•"/>
      <w:numFmt w:val="bullet"/>
      <w:start w:val="1"/>
    </w:lvl>
  </w:abstractNum>
  <w:abstractNum w:abstractNumId="82">
    <w:nsid w:val="57FC4FBB"/>
    <w:multiLevelType w:val="hybridMultilevel"/>
    <w:lvl w:ilvl="0">
      <w:lvlJc w:val="left"/>
      <w:lvlText w:val="•"/>
      <w:numFmt w:val="bullet"/>
      <w:start w:val="1"/>
    </w:lvl>
  </w:abstractNum>
  <w:abstractNum w:abstractNumId="83">
    <w:nsid w:val="CC1016F"/>
    <w:multiLevelType w:val="hybridMultilevel"/>
    <w:lvl w:ilvl="0">
      <w:lvlJc w:val="left"/>
      <w:lvlText w:val="•"/>
      <w:numFmt w:val="bullet"/>
      <w:start w:val="1"/>
    </w:lvl>
  </w:abstractNum>
  <w:abstractNum w:abstractNumId="84">
    <w:nsid w:val="43F18422"/>
    <w:multiLevelType w:val="hybridMultilevel"/>
    <w:lvl w:ilvl="0">
      <w:lvlJc w:val="left"/>
      <w:lvlText w:val="•"/>
      <w:numFmt w:val="bullet"/>
      <w:start w:val="1"/>
    </w:lvl>
  </w:abstractNum>
  <w:abstractNum w:abstractNumId="85">
    <w:nsid w:val="60EF0119"/>
    <w:multiLevelType w:val="hybridMultilevel"/>
    <w:lvl w:ilvl="0">
      <w:lvlJc w:val="left"/>
      <w:lvlText w:val="•"/>
      <w:numFmt w:val="bullet"/>
      <w:start w:val="1"/>
    </w:lvl>
  </w:abstractNum>
  <w:abstractNum w:abstractNumId="86">
    <w:nsid w:val="26F324BA"/>
    <w:multiLevelType w:val="hybridMultilevel"/>
    <w:lvl w:ilvl="0">
      <w:lvlJc w:val="left"/>
      <w:lvlText w:val="•"/>
      <w:numFmt w:val="bullet"/>
      <w:start w:val="1"/>
    </w:lvl>
  </w:abstractNum>
  <w:abstractNum w:abstractNumId="87">
    <w:nsid w:val="7F01579B"/>
    <w:multiLevelType w:val="hybridMultilevel"/>
    <w:lvl w:ilvl="0">
      <w:lvlJc w:val="left"/>
      <w:lvlText w:val="•"/>
      <w:numFmt w:val="bullet"/>
      <w:start w:val="1"/>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
      <w:numFmt w:val="bullet"/>
      <w:start w:val="1"/>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
      <w:numFmt w:val="bullet"/>
      <w:start w:val="1"/>
    </w:lvl>
  </w:abstractNum>
  <w:abstractNum w:abstractNumId="92">
    <w:nsid w:val="488AC1A"/>
    <w:multiLevelType w:val="hybridMultilevel"/>
    <w:lvl w:ilvl="0">
      <w:lvlJc w:val="left"/>
      <w:lvlText w:val="•"/>
      <w:numFmt w:val="bullet"/>
      <w:start w:val="1"/>
    </w:lvl>
  </w:abstractNum>
  <w:abstractNum w:abstractNumId="93">
    <w:nsid w:val="5FB8011C"/>
    <w:multiLevelType w:val="hybridMultilevel"/>
    <w:lvl w:ilvl="0">
      <w:lvlJc w:val="left"/>
      <w:lvlText w:val="•"/>
      <w:numFmt w:val="bullet"/>
      <w:start w:val="1"/>
    </w:lvl>
  </w:abstractNum>
  <w:abstractNum w:abstractNumId="94">
    <w:nsid w:val="6AA78F7F"/>
    <w:multiLevelType w:val="hybridMultilevel"/>
    <w:lvl w:ilvl="0">
      <w:lvlJc w:val="left"/>
      <w:lvlText w:val="•"/>
      <w:numFmt w:val="bullet"/>
      <w:start w:val="1"/>
    </w:lvl>
  </w:abstractNum>
  <w:abstractNum w:abstractNumId="95">
    <w:nsid w:val="7672BD23"/>
    <w:multiLevelType w:val="hybridMultilevel"/>
    <w:lvl w:ilvl="0">
      <w:lvlJc w:val="left"/>
      <w:lvlText w:val="•"/>
      <w:numFmt w:val="bullet"/>
      <w:start w:val="1"/>
    </w:lvl>
  </w:abstractNum>
  <w:abstractNum w:abstractNumId="96">
    <w:nsid w:val="6FC75AF8"/>
    <w:multiLevelType w:val="hybridMultilevel"/>
    <w:lvl w:ilvl="0">
      <w:lvlJc w:val="left"/>
      <w:lvlText w:val="•"/>
      <w:numFmt w:val="bullet"/>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
      <w:numFmt w:val="bullet"/>
      <w:start w:val="1"/>
    </w:lvl>
  </w:abstractNum>
  <w:abstractNum w:abstractNumId="99">
    <w:nsid w:val="5F3534A4"/>
    <w:multiLevelType w:val="hybridMultilevel"/>
    <w:lvl w:ilvl="0">
      <w:lvlJc w:val="left"/>
      <w:lvlText w:val="•"/>
      <w:numFmt w:val="bullet"/>
      <w:start w:val="1"/>
    </w:lvl>
  </w:abstractNum>
  <w:abstractNum w:abstractNumId="100">
    <w:nsid w:val="73A1821B"/>
    <w:multiLevelType w:val="hybridMultilevel"/>
    <w:lvl w:ilvl="0">
      <w:lvlJc w:val="left"/>
      <w:lvlText w:val="•"/>
      <w:numFmt w:val="bullet"/>
      <w:start w:val="1"/>
    </w:lvl>
  </w:abstractNum>
  <w:abstractNum w:abstractNumId="101">
    <w:nsid w:val="7DE6771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2024-08-05T05:47:36Z</dcterms:created>
  <dcterms:modified xsi:type="dcterms:W3CDTF">2024-08-05T05:47:36Z</dcterms:modified>
</cp:coreProperties>
</file>