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 (Commission File No. 001-39081)</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14d-2(b)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ind w:left="7600"/>
        <w:spacing w:after="0"/>
        <w:rPr>
          <w:sz w:val="20"/>
          <w:szCs w:val="20"/>
          <w:color w:val="auto"/>
        </w:rPr>
      </w:pPr>
      <w:r>
        <w:rPr>
          <w:rFonts w:ascii="Times New Roman" w:cs="Times New Roman" w:eastAsia="Times New Roman" w:hAnsi="Times New Roman"/>
          <w:sz w:val="17"/>
          <w:szCs w:val="17"/>
          <w:color w:val="auto"/>
        </w:rPr>
        <w:t>Commission File No.: 001-39446</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0"/>
          <w:szCs w:val="20"/>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12, 2025, BioNTech SE and CureVac N.V. issued a joint press release announcing their entry into a Purchase Agreement, dated as of June 12, 2025. A copy of the joint press release is attached hereto as Exhibit 99.1.</w:t>
      </w:r>
    </w:p>
    <w:p>
      <w:pPr>
        <w:sectPr>
          <w:pgSz w:w="11900" w:h="16838" w:orient="portrait"/>
          <w:cols w:equalWidth="0" w:num="1">
            <w:col w:w="10820"/>
          </w:cols>
          <w:pgMar w:left="440" w:top="266"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SE</w:t>
      </w:r>
    </w:p>
    <w:p>
      <w:pPr>
        <w:sectPr>
          <w:pgSz w:w="11900" w:h="16838" w:orient="portrait"/>
          <w:cols w:equalWidth="0" w:num="1">
            <w:col w:w="10700"/>
          </w:cols>
          <w:pgMar w:left="440" w:top="266" w:right="759" w:bottom="1440" w:gutter="0" w:footer="0" w:header="0"/>
        </w:sectPr>
      </w:pP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Prof. Dr. Ugur Sahin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Prof. Dr. Ugur Sahin</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99" w:right="2260" w:hanging="599"/>
        <w:spacing w:after="0" w:line="274" w:lineRule="auto"/>
        <w:tabs>
          <w:tab w:leader="none" w:pos="-2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 By: /s/ Dr. Sierk Poetting Name: Dr. Sierk Poetting 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-300990</wp:posOffset>
            </wp:positionV>
            <wp:extent cx="3068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2">
            <w:col w:w="4541" w:space="720"/>
            <w:col w:w="5439"/>
          </w:cols>
          <w:pgMar w:left="440" w:top="266" w:right="759" w:bottom="1440" w:gutter="0" w:footer="0" w:header="0"/>
          <w:type w:val="continuous"/>
        </w:sectPr>
      </w:pPr>
    </w:p>
    <w:bookmarkStart w:id="4" w:name="page5"/>
    <w:bookmarkEnd w:id="4"/>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 of Exhibit</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BioNTech Announces Strategic Transaction to Acquire CureVac in Public Exchange Offer</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242570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39433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173990</wp:posOffset>
            </wp:positionV>
            <wp:extent cx="1491615"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Announces Strategic Transaction to Acquire CureVac in Public Exchange Offer</w:t>
      </w:r>
    </w:p>
    <w:p>
      <w:pPr>
        <w:spacing w:after="0" w:line="254" w:lineRule="exact"/>
        <w:rPr>
          <w:sz w:val="20"/>
          <w:szCs w:val="20"/>
          <w:color w:val="auto"/>
        </w:rPr>
      </w:pPr>
    </w:p>
    <w:p>
      <w:pPr>
        <w:ind w:left="960" w:right="4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will strengthen the research, development, manufacturing and commercialization of mRNA-based cancer immunotherapy candidates, marking BioNTech’s next key milestone in the execution of its oncology strategy</w:t>
      </w:r>
    </w:p>
    <w:p>
      <w:pPr>
        <w:spacing w:after="0" w:line="63" w:lineRule="exact"/>
        <w:rPr>
          <w:rFonts w:ascii="Times New Roman" w:cs="Times New Roman" w:eastAsia="Times New Roman" w:hAnsi="Times New Roman"/>
          <w:sz w:val="18"/>
          <w:szCs w:val="18"/>
          <w:color w:val="auto"/>
        </w:rPr>
      </w:pPr>
    </w:p>
    <w:p>
      <w:pPr>
        <w:ind w:left="960" w:right="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of CureVac will complement BioNTech’s capabilities and proprietary technologies in mRNA design, delivery formulations, and mRNA manufacturing</w:t>
      </w:r>
    </w:p>
    <w:p>
      <w:pPr>
        <w:spacing w:after="0" w:line="63" w:lineRule="exact"/>
        <w:rPr>
          <w:rFonts w:ascii="Times New Roman" w:cs="Times New Roman" w:eastAsia="Times New Roman" w:hAnsi="Times New Roman"/>
          <w:sz w:val="18"/>
          <w:szCs w:val="18"/>
          <w:color w:val="auto"/>
        </w:rPr>
      </w:pPr>
    </w:p>
    <w:p>
      <w:pPr>
        <w:jc w:val="both"/>
        <w:ind w:left="960" w:right="160" w:hanging="424"/>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exchange offer for all shares of CureVac where each share of CureVac will be exchanged for approx. $5.46 in BioNTech American Depositary Shares (“ADSs”), representing a premium of 55% to CureVac’s three-month volume weighted average price of approx. $3.53 as of June 11, 2025</w:t>
      </w:r>
    </w:p>
    <w:p>
      <w:pPr>
        <w:spacing w:after="0" w:line="78" w:lineRule="exact"/>
        <w:rPr>
          <w:rFonts w:ascii="Times New Roman" w:cs="Times New Roman" w:eastAsia="Times New Roman" w:hAnsi="Times New Roman"/>
          <w:sz w:val="18"/>
          <w:szCs w:val="18"/>
          <w:color w:val="auto"/>
        </w:rPr>
      </w:pPr>
    </w:p>
    <w:p>
      <w:pPr>
        <w:ind w:left="960" w:right="3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All-stock acquisition has potential to create long-term value for both companies’ shareholders given their complementary capabilities, focus on mRNA innovation, and shared vision</w:t>
      </w:r>
    </w:p>
    <w:p>
      <w:pPr>
        <w:spacing w:after="0" w:line="63"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is supported by CureVac’s major shareholder dievini Hopp BioTech holding GmbH &amp; Co. KG and certain of its affiliates and expected to close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MAINZ and TÜBINGEN, Germany, June 12, 2025 (GLOBE 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BioNTech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BNTX, “BioNTech”)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CureVac N.V.</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(Nasdaq: CVAC, “CureVac”) today announced that they have entered into a definitive Purchase Agreement pursuant to which BioNTech intends to acquire all of the shares of CureVac, a clinical-stage biotech company developing a novel class of transformative medicines in oncology and infectious diseases based on messenger ribonucleic acid (“mRNA”). The all-stock transaction will bring together two highly complementary companies based in Germany and will build on BioNTech’s proven track record and established position in the global mRNA industry.</w:t>
      </w:r>
    </w:p>
    <w:p>
      <w:pPr>
        <w:spacing w:after="0" w:line="18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With the acquisition, BioNTech aims to strengthen the research, development, manufacturing, and commercialization of investigational mRNA-based cancer immunotherapy. The strategic transaction will complement BioNTech’s capabilities and proprietary technologies in mRNA design, delivery formulations, and mRNA manufacturing. For BioNTech, this transaction marks the next milestone in the execution of its oncology strategy which focuses on two pan-tumor programs, mRNA-based cancer immunotherapy candidates, and BNT327, a PD-L1xVEGF-A bispecific antibody candidate.</w:t>
      </w:r>
    </w:p>
    <w:p>
      <w:pPr>
        <w:spacing w:after="0" w:line="16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each CureVac share will be exchanged for approx. $5.46 in BioNTech ADSs, resulting in an implied aggregate equity value for CureVac of approx. $1.25 billion (subject to the adjustments described below). The consideration is subject to a collar mechanism, such that if the 10-day volume weighted average price of the BioNTech ADSs ending on the fifth business day prior to the closing of the offer (“VWAP”) exceeds $126.55, the exchange ratio would be 0.04318, and if the VWAP is lower than $84.37, the exchange ratio would be 0.06476. Upon closing of the transaction, CureVac shareholders are expected to own between 4% and 6% of BioNTech.</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“This transaction is another building block in BioNTech’s oncology strategy and an investment in the future of cancer medicine,” said </w:t>
      </w:r>
      <w:r>
        <w:rPr>
          <w:rFonts w:ascii="Times New Roman" w:cs="Times New Roman" w:eastAsia="Times New Roman" w:hAnsi="Times New Roman"/>
          <w:sz w:val="18"/>
          <w:szCs w:val="18"/>
          <w:b w:val="1"/>
          <w:bCs w:val="1"/>
          <w:color w:val="auto"/>
        </w:rPr>
        <w:t>Prof. Ugur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Sahin, M.D., CEO and Co-Founder of BioNTech</w:t>
      </w:r>
      <w:r>
        <w:rPr>
          <w:rFonts w:ascii="Times New Roman" w:cs="Times New Roman" w:eastAsia="Times New Roman" w:hAnsi="Times New Roman"/>
          <w:sz w:val="18"/>
          <w:szCs w:val="18"/>
          <w:color w:val="auto"/>
        </w:rPr>
        <w:t>. “We intend to bring together complementary capabilities and leverage technologies with the goal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the development of innovative and transformative cancer treatments and establishing new standards of care for various types of cancer in the coming years.”</w:t>
      </w:r>
    </w:p>
    <w:p>
      <w:pPr>
        <w:sectPr>
          <w:pgSz w:w="11900" w:h="16838" w:orient="portrait"/>
          <w:cols w:equalWidth="0" w:num="1">
            <w:col w:w="11020"/>
          </w:cols>
          <w:pgMar w:left="440" w:top="266" w:right="439" w:bottom="1440" w:gutter="0" w:footer="0" w:header="0"/>
        </w:sectPr>
      </w:pPr>
    </w:p>
    <w:bookmarkStart w:id="6" w:name="page7"/>
    <w:bookmarkEnd w:id="6"/>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me, this transaction is more than a business decision, it represents a shared commitment to leverage the full potential of mRNA as a disruptive technology to develop transformative therapies with greater scale and speed,” said </w:t>
      </w:r>
      <w:r>
        <w:rPr>
          <w:rFonts w:ascii="Times New Roman" w:cs="Times New Roman" w:eastAsia="Times New Roman" w:hAnsi="Times New Roman"/>
          <w:sz w:val="18"/>
          <w:szCs w:val="18"/>
          <w:b w:val="1"/>
          <w:bCs w:val="1"/>
          <w:color w:val="auto"/>
        </w:rPr>
        <w:t>Dr. Alexander Zehnder, CEO of CureVac</w:t>
      </w:r>
      <w:r>
        <w:rPr>
          <w:rFonts w:ascii="Times New Roman" w:cs="Times New Roman" w:eastAsia="Times New Roman" w:hAnsi="Times New Roman"/>
          <w:sz w:val="18"/>
          <w:szCs w:val="18"/>
          <w:color w:val="auto"/>
        </w:rPr>
        <w:t>. “For more than two decades, both companies have operated with related ambitions, often tackling challenges from different angles. This transaction aims at combining complementary scientific capabilities, proprietary technologies, and manufacturing expertise in the mRNA field under one roof.”</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BioNTech will start preparing an integration plan in alignment with BioNTech’s ongoing group-wide transformation. Following the closing of the transaction, CureVac’s operating subsidiary will become a wholly owned subsidiary of BioNTech. As part of this plan, BioNTech will integrate CureVac’s state-of-the-art research and manufacturing site in Tübingen.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BioNTech’s all-stock acquisition of CureVac is expected to create long-term value for shareholders of both companies, building on BioNTech’s proven track record in mRNA research, development, manufacturing, and commercialization, in particular the COVID-19 vaccine, which was developed in collaboration with Pfizer Inc. and marked the first approved mRNA product in the history of medicine. Based on BioNTech’s strong financial position with €15.9 billion in cash, cash equivalents and security investments as of </w:t>
      </w:r>
      <w:r>
        <w:rPr>
          <w:rFonts w:ascii="Times New Roman" w:cs="Times New Roman" w:eastAsia="Times New Roman" w:hAnsi="Times New Roman"/>
          <w:sz w:val="18"/>
          <w:szCs w:val="18"/>
          <w:u w:val="single" w:color="auto"/>
          <w:color w:val="auto"/>
        </w:rPr>
        <w:t>March 31, 2025</w:t>
      </w:r>
      <w:r>
        <w:rPr>
          <w:rFonts w:ascii="Times New Roman" w:cs="Times New Roman" w:eastAsia="Times New Roman" w:hAnsi="Times New Roman"/>
          <w:sz w:val="18"/>
          <w:szCs w:val="18"/>
          <w:color w:val="auto"/>
        </w:rPr>
        <w:t>, its global presence, late-stage clinical pipeline, and sustained investment in mRNA research across a broad range of solid tumor types, the acquisition positions the company to accelerate and broaden the development of mRNA-based medicines for patients in need.</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closing of the exchange offer BioNTech and CureVac will effectuate a corporate reorganization of CureVac and its subsidiaries, resulting in BioNTech owning 100% of CureVac’s business and interests in CureVac and its subsidiaries. As part of this corporate reorganization, CureVac shareholders who do not tender their shares in the exchange offer will receive the same consideration received for each CureVac share tendered in the exchange offer (without interest and subject to applicable withholding taxes). An extraordinary general meeting of CureVac’s shareholders will be convened in connection with the exchange offer to adopt, among other things, certain resolutions relating to the transaction.</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transaction was unanimously approved by both BioNTech’s and CureVac’s management and supervisory boards. The transaction, which is expected to close in 2025, is subject to the satisfaction of customary closing conditions, including a minimum acceptance threshold of at least 80% of CureVac’s shares (which threshold may be reduced to 75% unilaterally by BioNTech under certain circumstances) and required regulatory approvals.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shareholders of CureVac representing 36.76% of CureVac’s shares, including dievini Hopp BioTech holding GmbH &amp; Co. KG and certain of its affiliates and all members of CureVac’s management and supervisory boards, have entered into tender and support agreements, pursuant to which they have agreed, among other things, and subject to the terms and conditions of such agreements, to tender their shares in the exchange offer and to vote in favor of the resolutions relating to the transaction at the CureVac extraordinary general meeting to be held in connection with the transaction. In addition, the German Federal government has confirmed to generally have a positive view of the transaction. BioNTech therefore assumes that Kreditanstalt für Wiederaufbau – which holds 13.32% of the shares in CureVac on behalf of the Federal Republic of Germany – will support the transaction by tendering its shares in CureVac. As a result, BioNTech expects to have contractual commitments to support the transaction from shareholders of CureVac representing a total of 50.08% of CureVac shares towards the 80% minimum condition required under the exchange offer.</w:t>
      </w:r>
    </w:p>
    <w:p>
      <w:pPr>
        <w:sectPr>
          <w:pgSz w:w="11900" w:h="16838" w:orient="portrait"/>
          <w:cols w:equalWidth="0" w:num="1">
            <w:col w:w="10980"/>
          </w:cols>
          <w:pgMar w:left="440" w:top="270" w:right="479" w:bottom="1440" w:gutter="0" w:footer="0" w:header="0"/>
        </w:sectPr>
      </w:pPr>
    </w:p>
    <w:bookmarkStart w:id="7" w:name="page8"/>
    <w:bookmarkEnd w:id="7"/>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Covington &amp; Burling LLP, Hengeler Mueller Partnerschaft von Rechtsanwälten mbB and Loyens &amp; Loeff N.V. served as legal counsel to BioNTech. Skadden, Arps, Slate, Meagher &amp; Flom LLP and NautaDutilh N.V. served as legal counsel to CureVac. PJT Partners served as exclusive financial advisor to BioNTech. Goldman Sachs Bank Europe SE served as exclusive financial advisor to CureVac.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CureVac</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CureVac (Nasdaq: CVAC) is a pioneering multinational biotech company founded in 2000 to advance the field of messenger RNA (mRNA) technology for application in human medicine. CureVac’s mRNA platform incorporates a series of novel technologies, designed to improve the efficacy, safety and cost-effectiveness of mRNA therapeutics aimed at resulting in enhanced immune responses at lower doses. Additionally, CureVac has developed LNPs, which have been optimized for indication specific use across infectious diseases and oncology. CureVac is leveraging mRNA technology, combined with advanced omics and computational tools, to design and develop off-the-shelf and personalized cancer vaccine product candidates. It also develops programs in prophylactic vaccines and in treatments that aim to enable the human body to produce its own therapeutic proteins. Headquartered in Tübingen, Germany, CureVac also operates sites in the Netherlands, Belgium, Switzerland, and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can be found at </w:t>
      </w:r>
      <w:r>
        <w:rPr>
          <w:rFonts w:ascii="Times New Roman" w:cs="Times New Roman" w:eastAsia="Times New Roman" w:hAnsi="Times New Roman"/>
          <w:sz w:val="18"/>
          <w:szCs w:val="18"/>
          <w:u w:val="single" w:color="auto"/>
          <w:color w:val="auto"/>
        </w:rPr>
        <w:t>www.CureVac.com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w:t>
      </w:r>
    </w:p>
    <w:p>
      <w:pPr>
        <w:sectPr>
          <w:pgSz w:w="11900" w:h="16838" w:orient="portrait"/>
          <w:cols w:equalWidth="0" w:num="1">
            <w:col w:w="11020"/>
          </w:cols>
          <w:pgMar w:left="440" w:top="270" w:right="439" w:bottom="1440" w:gutter="0" w:footer="0" w:header="0"/>
        </w:sectPr>
      </w:pPr>
    </w:p>
    <w:bookmarkStart w:id="8" w:name="page9"/>
    <w:bookmarkEnd w:id="8"/>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U.S. Securities and Exchange Commission (the “SEC”), including an offer to exchange/prospectus to register, under the Securities Act of 1933, as amended, the issuance of BioNTech’s American Depositary Shares (“ADSs”) pursuant to the exchange offer. In addition, BioNTech intends to file a Tender Offer Statement on Schedule TO (the “Schedule TO”), which will include, as exhibits, the offer to exchange/prospectus, a form of letter of transmittal and other customary ancillary documents, with the SEC and soon thereafter CureVac intends to file a Solicitation/Recommendation Statement on Schedule 14D-9 (the “Schedule 14D-9”) with respect to the</w:t>
      </w:r>
    </w:p>
    <w:p>
      <w:pPr>
        <w:sectPr>
          <w:pgSz w:w="11900" w:h="16838" w:orient="portrait"/>
          <w:cols w:equalWidth="0" w:num="1">
            <w:col w:w="11000"/>
          </w:cols>
          <w:pgMar w:left="440" w:top="270" w:right="459" w:bottom="1440" w:gutter="0" w:footer="0" w:header="0"/>
        </w:sectPr>
      </w:pPr>
    </w:p>
    <w:bookmarkStart w:id="9" w:name="page10"/>
    <w:bookmarkEnd w:id="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w:t>
      </w: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w:t>
      </w:r>
      <w:r>
        <w:rPr>
          <w:rFonts w:ascii="Times New Roman" w:cs="Times New Roman" w:eastAsia="Times New Roman" w:hAnsi="Times New Roman"/>
          <w:sz w:val="17"/>
          <w:szCs w:val="17"/>
          <w:u w:val="single" w:color="auto"/>
          <w:color w:val="auto"/>
        </w:rPr>
        <w:t>www.BioNTech.com</w:t>
      </w:r>
      <w:r>
        <w:rPr>
          <w:rFonts w:ascii="Times New Roman" w:cs="Times New Roman" w:eastAsia="Times New Roman" w:hAnsi="Times New Roman"/>
          <w:sz w:val="17"/>
          <w:szCs w:val="17"/>
          <w:color w:val="auto"/>
        </w:rPr>
        <w:t>).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BioNTech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public offering of BioNTech ADSs to CureVac shareholders in the United Kingdom (the “UK”), BioNTech will publish a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exemption document for the purposes of the prospectus regulation EU 2017/1129 as it forms part of UK domestic law by virtue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(Withdrawal) Act 2018, as amended. This document does not constitute an offer to purchase any BioNTech ADSs or shares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BioNTech and does not replace the UK prospectus exemption document which will be available free of charge from BioNTech’s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 Investors in the UK should acquire BioNTech ADSs solely on the basis of the UK prospectus exemption document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supplements thereto, if any) relating to the BioNTech ADSs and should read the UK prospectus exemption document which is yet to be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supplements thereto, if any) before making an investment decision in order to fully understand the potential risks and rewards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decision to invest in the BioNTech ADSs. Investment in BioNTech ADSs entails numerous risks, including a total loss of the initial investment.</w:t>
      </w:r>
    </w:p>
    <w:p>
      <w:pPr>
        <w:spacing w:after="0" w:line="21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Investors will be able to obtain free copies of the Registration Statement, exchange offer/prospectus, Schedule TO and Schedule 14D-9, as each may be amended from time to time, and other relevant documents filed by BioNTech and CureVac with the SEC (when they become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Investors@BioNTech.de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Media@BioNTech.de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CureVac: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communications@CureVac.com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2025-06-12T15:31:23Z</dcterms:created>
  <dcterms:modified xsi:type="dcterms:W3CDTF">2025-06-12T15:31:23Z</dcterms:modified>
</cp:coreProperties>
</file>