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JANUARY 2026</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On January 12, 2026, BioNTech SE announced that it will provide a strategic business update and outline the Company’s focus areas for 2026, including an overview of expected near- to longer-term milestones, on January 13, 2026 at the 44th Annual J.P. Morgan Healthcare Conference in San Francisco, California. The press release is attached hereto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Ramon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Ramon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January 12, 2026</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30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u w:val="single" w:color="auto"/>
          <w:color w:val="auto"/>
        </w:rPr>
        <w:t>Exhibit</w:t>
      </w:r>
      <w:r>
        <w:rPr>
          <w:sz w:val="20"/>
          <w:szCs w:val="20"/>
          <w:color w:val="auto"/>
        </w:rPr>
        <w:tab/>
      </w:r>
      <w:r>
        <w:rPr>
          <w:rFonts w:ascii="Times New Roman" w:cs="Times New Roman" w:eastAsia="Times New Roman" w:hAnsi="Times New Roman"/>
          <w:sz w:val="22"/>
          <w:szCs w:val="22"/>
          <w:u w:val="single" w:color="auto"/>
          <w:color w:val="auto"/>
        </w:rPr>
        <w:t>Description of Exhibit</w:t>
      </w:r>
    </w:p>
    <w:p>
      <w:pPr>
        <w:spacing w:after="0" w:line="301" w:lineRule="exact"/>
        <w:rPr>
          <w:sz w:val="20"/>
          <w:szCs w:val="20"/>
          <w:color w:val="auto"/>
        </w:rPr>
      </w:pPr>
    </w:p>
    <w:p>
      <w:pPr>
        <w:ind w:left="1220" w:hanging="1221"/>
        <w:spacing w:after="0" w:line="284" w:lineRule="auto"/>
        <w:tabs>
          <w:tab w:leader="none" w:pos="12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u w:val="single" w:color="auto"/>
          <w:color w:val="0000FF"/>
        </w:rPr>
        <w:t>BioNTech Provides Strategic Business Update and Outlines 2026 Areas of Focus at 44th Annual J.P. Morgan Healthcare Conference</w:t>
      </w:r>
    </w:p>
    <w:p>
      <w:pPr>
        <w:sectPr>
          <w:pgSz w:w="11900" w:h="16838" w:orient="portrait"/>
          <w:cols w:equalWidth="0" w:num="1">
            <w:col w:w="11180"/>
          </w:cols>
          <w:pgMar w:left="360" w:top="1094"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120650</wp:posOffset>
            </wp:positionV>
            <wp:extent cx="234886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488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340" w:right="380"/>
        <w:spacing w:after="0" w:line="246" w:lineRule="auto"/>
        <w:rPr>
          <w:sz w:val="20"/>
          <w:szCs w:val="20"/>
          <w:color w:val="auto"/>
        </w:rPr>
      </w:pPr>
      <w:r>
        <w:rPr>
          <w:rFonts w:ascii="Arial" w:cs="Arial" w:eastAsia="Arial" w:hAnsi="Arial"/>
          <w:sz w:val="25"/>
          <w:szCs w:val="25"/>
          <w:b w:val="1"/>
          <w:bCs w:val="1"/>
          <w:color w:val="auto"/>
        </w:rPr>
        <w:t>BioNTech Provides Strategic Business Update and Outlines 2026 Areas of Focus at 44</w:t>
      </w:r>
      <w:r>
        <w:rPr>
          <w:rFonts w:ascii="Arial" w:cs="Arial" w:eastAsia="Arial" w:hAnsi="Arial"/>
          <w:sz w:val="32"/>
          <w:szCs w:val="32"/>
          <w:b w:val="1"/>
          <w:bCs w:val="1"/>
          <w:color w:val="auto"/>
          <w:vertAlign w:val="superscript"/>
        </w:rPr>
        <w:t>th</w:t>
      </w:r>
      <w:r>
        <w:rPr>
          <w:rFonts w:ascii="Arial" w:cs="Arial" w:eastAsia="Arial" w:hAnsi="Arial"/>
          <w:sz w:val="25"/>
          <w:szCs w:val="25"/>
          <w:b w:val="1"/>
          <w:bCs w:val="1"/>
          <w:color w:val="auto"/>
        </w:rPr>
        <w:t xml:space="preserve"> Annual J.P. Morgan Healthcare Conference</w:t>
      </w:r>
    </w:p>
    <w:p>
      <w:pPr>
        <w:spacing w:after="0" w:line="205" w:lineRule="exact"/>
        <w:rPr>
          <w:sz w:val="20"/>
          <w:szCs w:val="20"/>
          <w:color w:val="auto"/>
        </w:rPr>
      </w:pPr>
    </w:p>
    <w:p>
      <w:pPr>
        <w:ind w:left="340" w:hanging="332"/>
        <w:spacing w:after="0" w:line="262"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2026 poised to be a catalyst-rich year for BioNTech with continued late-stage pipeline progress with candidates across immunomodulators, antibody-drug conjugates and mRNA immunotherapies</w:t>
      </w: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2026 oncology milestones include seven late-stage data readouts and to have 15 Phase 3 clinical trials ongoing by year end</w:t>
      </w:r>
    </w:p>
    <w:p>
      <w:pPr>
        <w:spacing w:after="0" w:line="21" w:lineRule="exact"/>
        <w:rPr>
          <w:rFonts w:ascii="Times New Roman" w:cs="Times New Roman" w:eastAsia="Times New Roman" w:hAnsi="Times New Roman"/>
          <w:sz w:val="18"/>
          <w:szCs w:val="18"/>
          <w:color w:val="auto"/>
        </w:rPr>
      </w:pPr>
    </w:p>
    <w:p>
      <w:pPr>
        <w:ind w:left="340" w:hanging="332"/>
        <w:spacing w:after="0" w:line="257"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Additional late-stage trial readouts through 2030+ set to create multiple launch opportunities across tumor types, building BioNTech into a multi-product oncology company</w:t>
      </w:r>
    </w:p>
    <w:p>
      <w:pPr>
        <w:spacing w:after="0" w:line="1" w:lineRule="exact"/>
        <w:rPr>
          <w:rFonts w:ascii="Times New Roman" w:cs="Times New Roman" w:eastAsia="Times New Roman" w:hAnsi="Times New Roman"/>
          <w:sz w:val="18"/>
          <w:szCs w:val="18"/>
          <w:color w:val="auto"/>
        </w:rPr>
      </w:pPr>
    </w:p>
    <w:p>
      <w:pPr>
        <w:ind w:left="340" w:right="20" w:hanging="332"/>
        <w:spacing w:after="0" w:line="231"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Financial strength with €17.2 billion in cash and cash equivalents plus security investments</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COVID-19 vaccine revenue stream, disciplined R&amp;D spend, and strategic partnerships will continue to enable sustainable innovation</w:t>
      </w:r>
    </w:p>
    <w:p>
      <w:pPr>
        <w:ind w:left="340" w:hanging="332"/>
        <w:spacing w:after="0" w:line="281"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Presentation and webcast at the 44th Annual J.P. Morgan Healthcare Conference from 2:15 – 2:55 pm PT / 11:15 – 11:55 pm CET on Tuesday, January 13, 2026</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 xml:space="preserve">Mainz, Germany, January 12, 2026 </w:t>
      </w:r>
      <w:r>
        <w:rPr>
          <w:rFonts w:ascii="Arial" w:cs="Arial" w:eastAsia="Arial" w:hAnsi="Arial"/>
          <w:sz w:val="18"/>
          <w:szCs w:val="18"/>
          <w:color w:val="auto"/>
        </w:rPr>
        <w:t>– BioNTech SE (Nasdaq: BNTX, “BioNTech” or “the Company”) will provide a strategic business update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outline the Company’s focus areas for 2026, including an overview of expected near- to longer-term milestones, at the 44th Annual J.P. Morgan Healthcare Conference this week in San Francisco, California.</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concluded 2025 with strong momentum, driven by our execution in research and development, partnerships, acquisitions, and our financial strength. We continued to advance our next wave of innovation, including the initiation of novel-novel combination trials. These achievements have successfully positioned us as a late-stage biopharmaceutical company,” </w:t>
      </w:r>
      <w:r>
        <w:rPr>
          <w:rFonts w:ascii="Arial" w:cs="Arial" w:eastAsia="Arial" w:hAnsi="Arial"/>
          <w:sz w:val="18"/>
          <w:szCs w:val="18"/>
          <w:b w:val="1"/>
          <w:bCs w:val="1"/>
          <w:color w:val="auto"/>
        </w:rPr>
        <w:t>said Prof. Ugur Sahin, M.D., Chief Executive</w:t>
      </w:r>
      <w:r>
        <w:rPr>
          <w:rFonts w:ascii="Arial" w:cs="Arial" w:eastAsia="Arial" w:hAnsi="Arial"/>
          <w:sz w:val="18"/>
          <w:szCs w:val="18"/>
          <w:color w:val="auto"/>
        </w:rPr>
        <w:t xml:space="preserve"> </w:t>
      </w:r>
      <w:r>
        <w:rPr>
          <w:rFonts w:ascii="Arial" w:cs="Arial" w:eastAsia="Arial" w:hAnsi="Arial"/>
          <w:sz w:val="18"/>
          <w:szCs w:val="18"/>
          <w:b w:val="1"/>
          <w:bCs w:val="1"/>
          <w:color w:val="auto"/>
        </w:rPr>
        <w:t>Officer and Co-Founder of BioNTech</w:t>
      </w:r>
      <w:r>
        <w:rPr>
          <w:rFonts w:ascii="Arial" w:cs="Arial" w:eastAsia="Arial" w:hAnsi="Arial"/>
          <w:sz w:val="18"/>
          <w:szCs w:val="18"/>
          <w:color w:val="auto"/>
        </w:rPr>
        <w:t>. “We see 2026 as a year when science translates into tangible results. We will report on a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milestones, including readouts from late-stage trials and earlier trials evaluating novel-novel combinations, as well as new Phase 3 clinical trial initiations. If positive, they will help unlock our path towards multiple near- and mid-term product launch opportunities with the aim to benefit patients across cancer types.”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Ugur Sahin will present at the 44th Annual J.P. Morgan Healthcare Conference from 2:15 – 2:55 pm PT / 11:15 – 11:55 pm CET on Tuesday, January 13, 2026. The live webcast of the presentation can be accessed via the “Events &amp; Presentations” page in the Investor Relations section of the Company's website. The slide deck will be available there after the presentation. A replay of the webcast will be archived on the Company’s website for 30 days following the conference.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Areas of Focus for 2026</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BioNTech will continue to execute its strategy in 2026 towards becoming a multi-product oncology company. Its diversified oncology pipeline comprises late-stage candidates spanning immunomodulators, antibody drug conjugates (“ADCs”), and mRNA cancer immunotherapies. BioNTech is developing several assets with pan-tumor potential, including novel-novel combination approaches, with the aim of addressing the full continuum from early- to late-stage disease across selected tumor types.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Late-Stage Acceleration</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BioNTech is focused on advancing its late-stage oncology pipeline towards potential launches. Within the past two years, the Company has more than doubled the number of Phase 2 and 3 oncology trials across key modalities with now more than 25 Phase 2 or 3 trials ongoing. In 2026, BioNTech plans to initiate six additional Phase 3 clinical trials, bringing the total number of anticipated Phase 3 clinical trials to 15, and expects seven late-stage data readouts. The clinical trials and resulting data will inform regulatory and launch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645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88" w:lineRule="exact"/>
        <w:rPr>
          <w:sz w:val="20"/>
          <w:szCs w:val="20"/>
          <w:color w:val="auto"/>
        </w:rPr>
      </w:pPr>
    </w:p>
    <w:p>
      <w:pPr>
        <w:ind w:left="120" w:hanging="112"/>
        <w:spacing w:after="0"/>
        <w:tabs>
          <w:tab w:leader="none" w:pos="120" w:val="left"/>
        </w:tabs>
        <w:numPr>
          <w:ilvl w:val="0"/>
          <w:numId w:val="2"/>
        </w:numPr>
        <w:rPr>
          <w:rFonts w:ascii="Arial" w:cs="Arial" w:eastAsia="Arial" w:hAnsi="Arial"/>
          <w:sz w:val="23"/>
          <w:szCs w:val="23"/>
          <w:color w:val="auto"/>
          <w:vertAlign w:val="superscript"/>
        </w:rPr>
      </w:pPr>
      <w:r>
        <w:rPr>
          <w:rFonts w:ascii="Arial" w:cs="Arial" w:eastAsia="Arial" w:hAnsi="Arial"/>
          <w:sz w:val="16"/>
          <w:szCs w:val="16"/>
          <w:color w:val="auto"/>
        </w:rPr>
        <w:t>Preliminary, unaudited figure; consists of cash and cash equivalents plus security investments, as of December 31, 2025.</w:t>
      </w:r>
    </w:p>
    <w:p>
      <w:pPr>
        <w:sectPr>
          <w:pgSz w:w="11900" w:h="16838" w:orient="portrait"/>
          <w:cols w:equalWidth="0" w:num="1">
            <w:col w:w="11240"/>
          </w:cols>
          <w:pgMar w:left="320" w:top="134" w:right="339" w:bottom="1440" w:gutter="0" w:footer="0" w:header="0"/>
        </w:sectPr>
      </w:pPr>
    </w:p>
    <w:bookmarkStart w:id="5" w:name="page6"/>
    <w:bookmarkEnd w:id="5"/>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4991735</wp:posOffset>
            </wp:positionH>
            <wp:positionV relativeFrom="page">
              <wp:posOffset>88900</wp:posOffset>
            </wp:positionV>
            <wp:extent cx="234886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348865" cy="2571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Combination Therapy Momentum</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BioNTech has more than ten novel-novel combination clinical trials in its pipeline with multiple data updates expected in 2026. These trials explore pumitamig (BNT327/BMS986545), which is being partnered with Bristol Myers Squibb (“BMS”), in combination with other investigational immunomodulators, ADCs, and mRNA cancer immunotherapies and will inform the dose selection and explore anti-tumor activity in multiple tumors for later-stage development.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From Modalities to Disease Area</w:t>
      </w:r>
    </w:p>
    <w:p>
      <w:pPr>
        <w:spacing w:after="0" w:line="4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With the maturation of the oncology pipeline, BioNTech will focus on specific disease areas across major cancer types, including lung, breast, gynecologic, gastrointestinal, and genitourinary cancers.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2026 Milestones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40" w:type="dxa"/>
            <w:vAlign w:val="bottom"/>
          </w:tcPr>
          <w:p>
            <w:pPr>
              <w:spacing w:after="0"/>
              <w:rPr>
                <w:sz w:val="19"/>
                <w:szCs w:val="19"/>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auto"/>
              </w:rPr>
              <w:t>Program</w:t>
            </w:r>
          </w:p>
        </w:tc>
        <w:tc>
          <w:tcPr>
            <w:tcW w:w="2440" w:type="dxa"/>
            <w:vAlign w:val="bottom"/>
          </w:tcPr>
          <w:p>
            <w:pPr>
              <w:ind w:left="100"/>
              <w:spacing w:after="0"/>
              <w:rPr>
                <w:sz w:val="20"/>
                <w:szCs w:val="20"/>
                <w:color w:val="auto"/>
              </w:rPr>
            </w:pPr>
            <w:r>
              <w:rPr>
                <w:rFonts w:ascii="Arial" w:cs="Arial" w:eastAsia="Arial" w:hAnsi="Arial"/>
                <w:sz w:val="16"/>
                <w:szCs w:val="16"/>
                <w:b w:val="1"/>
                <w:bCs w:val="1"/>
                <w:color w:val="auto"/>
              </w:rPr>
              <w:t>Modality</w:t>
            </w:r>
          </w:p>
        </w:tc>
        <w:tc>
          <w:tcPr>
            <w:tcW w:w="1760" w:type="dxa"/>
            <w:vAlign w:val="bottom"/>
          </w:tcPr>
          <w:p>
            <w:pPr>
              <w:ind w:left="100"/>
              <w:spacing w:after="0"/>
              <w:rPr>
                <w:sz w:val="20"/>
                <w:szCs w:val="20"/>
                <w:color w:val="auto"/>
              </w:rPr>
            </w:pPr>
            <w:r>
              <w:rPr>
                <w:rFonts w:ascii="Arial" w:cs="Arial" w:eastAsia="Arial" w:hAnsi="Arial"/>
                <w:sz w:val="16"/>
                <w:szCs w:val="16"/>
                <w:b w:val="1"/>
                <w:bCs w:val="1"/>
                <w:color w:val="auto"/>
              </w:rPr>
              <w:t>Trial Phase</w:t>
            </w:r>
          </w:p>
        </w:tc>
        <w:tc>
          <w:tcPr>
            <w:tcW w:w="2540" w:type="dxa"/>
            <w:vAlign w:val="bottom"/>
          </w:tcPr>
          <w:p>
            <w:pPr>
              <w:ind w:left="240"/>
              <w:spacing w:after="0"/>
              <w:rPr>
                <w:sz w:val="20"/>
                <w:szCs w:val="20"/>
                <w:color w:val="auto"/>
              </w:rPr>
            </w:pPr>
            <w:r>
              <w:rPr>
                <w:rFonts w:ascii="Arial" w:cs="Arial" w:eastAsia="Arial" w:hAnsi="Arial"/>
                <w:sz w:val="16"/>
                <w:szCs w:val="16"/>
                <w:b w:val="1"/>
                <w:bCs w:val="1"/>
                <w:color w:val="auto"/>
              </w:rPr>
              <w:t>Indication</w:t>
            </w:r>
          </w:p>
        </w:tc>
        <w:tc>
          <w:tcPr>
            <w:tcW w:w="0" w:type="dxa"/>
            <w:vAlign w:val="bottom"/>
          </w:tcPr>
          <w:p>
            <w:pPr>
              <w:spacing w:after="0"/>
              <w:rPr>
                <w:sz w:val="1"/>
                <w:szCs w:val="1"/>
                <w:color w:val="auto"/>
              </w:rPr>
            </w:pPr>
          </w:p>
        </w:tc>
      </w:tr>
      <w:tr>
        <w:trPr>
          <w:trHeight w:val="21"/>
        </w:trPr>
        <w:tc>
          <w:tcPr>
            <w:tcW w:w="2240" w:type="dxa"/>
            <w:vAlign w:val="bottom"/>
            <w:tcBorders>
              <w:bottom w:val="single" w:sz="8" w:color="A6A6A6"/>
            </w:tcBorders>
          </w:tcPr>
          <w:p>
            <w:pPr>
              <w:spacing w:after="0" w:line="20" w:lineRule="exact"/>
              <w:rPr>
                <w:sz w:val="1"/>
                <w:szCs w:val="1"/>
                <w:color w:val="auto"/>
              </w:rPr>
            </w:pPr>
          </w:p>
        </w:tc>
        <w:tc>
          <w:tcPr>
            <w:tcW w:w="2260" w:type="dxa"/>
            <w:vAlign w:val="bottom"/>
            <w:tcBorders>
              <w:bottom w:val="single" w:sz="8" w:color="A6A6A6"/>
            </w:tcBorders>
          </w:tcPr>
          <w:p>
            <w:pPr>
              <w:spacing w:after="0" w:line="20" w:lineRule="exact"/>
              <w:rPr>
                <w:sz w:val="1"/>
                <w:szCs w:val="1"/>
                <w:color w:val="auto"/>
              </w:rPr>
            </w:pPr>
          </w:p>
        </w:tc>
        <w:tc>
          <w:tcPr>
            <w:tcW w:w="2440" w:type="dxa"/>
            <w:vAlign w:val="bottom"/>
            <w:tcBorders>
              <w:bottom w:val="single" w:sz="8" w:color="A6A6A6"/>
            </w:tcBorders>
          </w:tcPr>
          <w:p>
            <w:pPr>
              <w:spacing w:after="0" w:line="20" w:lineRule="exact"/>
              <w:rPr>
                <w:sz w:val="1"/>
                <w:szCs w:val="1"/>
                <w:color w:val="auto"/>
              </w:rPr>
            </w:pPr>
          </w:p>
        </w:tc>
        <w:tc>
          <w:tcPr>
            <w:tcW w:w="1760" w:type="dxa"/>
            <w:vAlign w:val="bottom"/>
            <w:tcBorders>
              <w:bottom w:val="single" w:sz="8" w:color="A6A6A6"/>
            </w:tcBorders>
          </w:tcPr>
          <w:p>
            <w:pPr>
              <w:spacing w:after="0" w:line="20" w:lineRule="exact"/>
              <w:rPr>
                <w:sz w:val="1"/>
                <w:szCs w:val="1"/>
                <w:color w:val="auto"/>
              </w:rPr>
            </w:pPr>
          </w:p>
        </w:tc>
        <w:tc>
          <w:tcPr>
            <w:tcW w:w="25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760" w:type="dxa"/>
            <w:vAlign w:val="bottom"/>
            <w:vMerge w:val="restart"/>
          </w:tcPr>
          <w:p>
            <w:pPr>
              <w:ind w:left="100"/>
              <w:spacing w:after="0"/>
              <w:rPr>
                <w:sz w:val="20"/>
                <w:szCs w:val="20"/>
                <w:color w:val="auto"/>
              </w:rPr>
            </w:pPr>
            <w:r>
              <w:rPr>
                <w:rFonts w:ascii="Arial" w:cs="Arial" w:eastAsia="Arial" w:hAnsi="Arial"/>
                <w:sz w:val="16"/>
                <w:szCs w:val="16"/>
                <w:color w:val="auto"/>
              </w:rPr>
              <w:t>Single-arm Phase 2</w:t>
            </w:r>
          </w:p>
        </w:tc>
        <w:tc>
          <w:tcPr>
            <w:tcW w:w="2540" w:type="dxa"/>
            <w:vAlign w:val="bottom"/>
          </w:tcPr>
          <w:p>
            <w:pPr>
              <w:ind w:left="240"/>
              <w:spacing w:after="0"/>
              <w:rPr>
                <w:sz w:val="20"/>
                <w:szCs w:val="20"/>
                <w:color w:val="auto"/>
              </w:rPr>
            </w:pPr>
            <w:r>
              <w:rPr>
                <w:rFonts w:ascii="Arial" w:cs="Arial" w:eastAsia="Arial" w:hAnsi="Arial"/>
                <w:sz w:val="16"/>
                <w:szCs w:val="16"/>
                <w:color w:val="auto"/>
              </w:rPr>
              <w:t>2L+ HER2-expressing</w:t>
            </w: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endometrial cancer</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Trastuzumab pamirtecan</w:t>
            </w:r>
          </w:p>
        </w:tc>
        <w:tc>
          <w:tcPr>
            <w:tcW w:w="2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4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2440" w:type="dxa"/>
            <w:vAlign w:val="bottom"/>
            <w:vMerge w:val="restart"/>
          </w:tcPr>
          <w:p>
            <w:pPr>
              <w:ind w:left="100"/>
              <w:spacing w:after="0"/>
              <w:rPr>
                <w:sz w:val="20"/>
                <w:szCs w:val="20"/>
                <w:color w:val="auto"/>
              </w:rPr>
            </w:pPr>
            <w:r>
              <w:rPr>
                <w:rFonts w:ascii="Arial" w:cs="Arial" w:eastAsia="Arial" w:hAnsi="Arial"/>
                <w:sz w:val="16"/>
                <w:szCs w:val="16"/>
                <w:color w:val="auto"/>
              </w:rPr>
              <w:t>ADC</w:t>
            </w:r>
          </w:p>
        </w:tc>
        <w:tc>
          <w:tcPr>
            <w:tcW w:w="1760" w:type="dxa"/>
            <w:vAlign w:val="bottom"/>
            <w:tcBorders>
              <w:bottom w:val="single" w:sz="8" w:color="A6A6A6"/>
            </w:tcBorders>
          </w:tcPr>
          <w:p>
            <w:pPr>
              <w:spacing w:after="0"/>
              <w:rPr>
                <w:sz w:val="9"/>
                <w:szCs w:val="9"/>
                <w:color w:val="auto"/>
              </w:rPr>
            </w:pPr>
          </w:p>
        </w:tc>
        <w:tc>
          <w:tcPr>
            <w:tcW w:w="2540" w:type="dxa"/>
            <w:vAlign w:val="bottom"/>
            <w:tcBorders>
              <w:bottom w:val="single" w:sz="8" w:color="A6A6A6"/>
            </w:tcBorders>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240" w:type="dxa"/>
            <w:vAlign w:val="bottom"/>
          </w:tcPr>
          <w:p>
            <w:pPr>
              <w:spacing w:after="0"/>
              <w:rPr>
                <w:sz w:val="8"/>
                <w:szCs w:val="8"/>
                <w:color w:val="auto"/>
              </w:rPr>
            </w:pPr>
          </w:p>
        </w:tc>
        <w:tc>
          <w:tcPr>
            <w:tcW w:w="22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(“T-Pam”)</w:t>
            </w:r>
            <w:r>
              <w:rPr>
                <w:rFonts w:ascii="Arial" w:cs="Arial" w:eastAsia="Arial" w:hAnsi="Arial"/>
                <w:sz w:val="21"/>
                <w:szCs w:val="21"/>
                <w:b w:val="1"/>
                <w:bCs w:val="1"/>
                <w:color w:val="auto"/>
                <w:vertAlign w:val="superscript"/>
              </w:rPr>
              <w:t>4</w:t>
            </w:r>
          </w:p>
        </w:tc>
        <w:tc>
          <w:tcPr>
            <w:tcW w:w="2440" w:type="dxa"/>
            <w:vAlign w:val="bottom"/>
            <w:vMerge w:val="continue"/>
          </w:tcPr>
          <w:p>
            <w:pPr>
              <w:spacing w:after="0"/>
              <w:rPr>
                <w:sz w:val="8"/>
                <w:szCs w:val="8"/>
                <w:color w:val="auto"/>
              </w:rPr>
            </w:pPr>
          </w:p>
        </w:tc>
        <w:tc>
          <w:tcPr>
            <w:tcW w:w="1760" w:type="dxa"/>
            <w:vAlign w:val="bottom"/>
            <w:vMerge w:val="restart"/>
          </w:tcPr>
          <w:p>
            <w:pPr>
              <w:ind w:left="100"/>
              <w:spacing w:after="0"/>
              <w:rPr>
                <w:sz w:val="20"/>
                <w:szCs w:val="20"/>
                <w:color w:val="auto"/>
              </w:rPr>
            </w:pPr>
            <w:r>
              <w:rPr>
                <w:rFonts w:ascii="Arial" w:cs="Arial" w:eastAsia="Arial" w:hAnsi="Arial"/>
                <w:sz w:val="16"/>
                <w:szCs w:val="16"/>
                <w:color w:val="auto"/>
              </w:rPr>
              <w:t>Phase 3</w:t>
            </w:r>
          </w:p>
        </w:tc>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Chemo naïve HR+ HER2-low</w:t>
            </w:r>
          </w:p>
        </w:tc>
        <w:tc>
          <w:tcPr>
            <w:tcW w:w="0" w:type="dxa"/>
            <w:vAlign w:val="bottom"/>
          </w:tcPr>
          <w:p>
            <w:pPr>
              <w:spacing w:after="0"/>
              <w:rPr>
                <w:sz w:val="1"/>
                <w:szCs w:val="1"/>
                <w:color w:val="auto"/>
              </w:rPr>
            </w:pPr>
          </w:p>
        </w:tc>
      </w:tr>
      <w:tr>
        <w:trPr>
          <w:trHeight w:val="164"/>
        </w:trPr>
        <w:tc>
          <w:tcPr>
            <w:tcW w:w="224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2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2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7"/>
        </w:trPr>
        <w:tc>
          <w:tcPr>
            <w:tcW w:w="2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breast cancer</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760" w:type="dxa"/>
            <w:vAlign w:val="bottom"/>
            <w:tcBorders>
              <w:bottom w:val="single" w:sz="8" w:color="A6A6A6"/>
            </w:tcBorders>
          </w:tcPr>
          <w:p>
            <w:pPr>
              <w:spacing w:after="0"/>
              <w:rPr>
                <w:sz w:val="9"/>
                <w:szCs w:val="9"/>
                <w:color w:val="auto"/>
              </w:rPr>
            </w:pPr>
          </w:p>
        </w:tc>
        <w:tc>
          <w:tcPr>
            <w:tcW w:w="2540" w:type="dxa"/>
            <w:vAlign w:val="bottom"/>
            <w:tcBorders>
              <w:bottom w:val="single" w:sz="8" w:color="A6A6A6"/>
            </w:tcBorders>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240" w:type="dxa"/>
            <w:vAlign w:val="bottom"/>
          </w:tcPr>
          <w:p>
            <w:pPr>
              <w:spacing w:after="0"/>
              <w:rPr>
                <w:sz w:val="19"/>
                <w:szCs w:val="19"/>
                <w:color w:val="auto"/>
              </w:rPr>
            </w:pPr>
          </w:p>
        </w:tc>
        <w:tc>
          <w:tcPr>
            <w:tcW w:w="22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Gotistobart</w:t>
            </w:r>
            <w:r>
              <w:rPr>
                <w:rFonts w:ascii="Arial" w:cs="Arial" w:eastAsia="Arial" w:hAnsi="Arial"/>
                <w:sz w:val="21"/>
                <w:szCs w:val="21"/>
                <w:b w:val="1"/>
                <w:bCs w:val="1"/>
                <w:color w:val="auto"/>
                <w:vertAlign w:val="superscript"/>
              </w:rPr>
              <w:t>2</w:t>
            </w:r>
          </w:p>
        </w:tc>
        <w:tc>
          <w:tcPr>
            <w:tcW w:w="2440" w:type="dxa"/>
            <w:vAlign w:val="bottom"/>
            <w:vMerge w:val="restart"/>
          </w:tcPr>
          <w:p>
            <w:pPr>
              <w:ind w:left="100"/>
              <w:spacing w:after="0"/>
              <w:rPr>
                <w:sz w:val="20"/>
                <w:szCs w:val="20"/>
                <w:color w:val="auto"/>
              </w:rPr>
            </w:pPr>
            <w:r>
              <w:rPr>
                <w:rFonts w:ascii="Arial" w:cs="Arial" w:eastAsia="Arial" w:hAnsi="Arial"/>
                <w:sz w:val="16"/>
                <w:szCs w:val="16"/>
                <w:color w:val="auto"/>
              </w:rPr>
              <w:t>Immunomodulator</w:t>
            </w:r>
          </w:p>
        </w:tc>
        <w:tc>
          <w:tcPr>
            <w:tcW w:w="1760" w:type="dxa"/>
            <w:vAlign w:val="bottom"/>
          </w:tcPr>
          <w:p>
            <w:pPr>
              <w:ind w:left="100"/>
              <w:spacing w:after="0"/>
              <w:rPr>
                <w:sz w:val="20"/>
                <w:szCs w:val="20"/>
                <w:color w:val="auto"/>
              </w:rPr>
            </w:pPr>
            <w:r>
              <w:rPr>
                <w:rFonts w:ascii="Arial" w:cs="Arial" w:eastAsia="Arial" w:hAnsi="Arial"/>
                <w:sz w:val="16"/>
                <w:szCs w:val="16"/>
                <w:color w:val="auto"/>
              </w:rPr>
              <w:t>Phase 3</w:t>
            </w:r>
          </w:p>
        </w:tc>
        <w:tc>
          <w:tcPr>
            <w:tcW w:w="2540" w:type="dxa"/>
            <w:vAlign w:val="bottom"/>
          </w:tcPr>
          <w:p>
            <w:pPr>
              <w:ind w:left="240"/>
              <w:spacing w:after="0"/>
              <w:rPr>
                <w:sz w:val="20"/>
                <w:szCs w:val="20"/>
                <w:color w:val="auto"/>
              </w:rPr>
            </w:pPr>
            <w:r>
              <w:rPr>
                <w:rFonts w:ascii="Arial" w:cs="Arial" w:eastAsia="Arial" w:hAnsi="Arial"/>
                <w:sz w:val="16"/>
                <w:szCs w:val="16"/>
                <w:color w:val="auto"/>
              </w:rPr>
              <w:t>2L+ sqNSCLC</w:t>
            </w:r>
          </w:p>
        </w:tc>
        <w:tc>
          <w:tcPr>
            <w:tcW w:w="0" w:type="dxa"/>
            <w:vAlign w:val="bottom"/>
          </w:tcPr>
          <w:p>
            <w:pPr>
              <w:spacing w:after="0"/>
              <w:rPr>
                <w:sz w:val="1"/>
                <w:szCs w:val="1"/>
                <w:color w:val="auto"/>
              </w:rPr>
            </w:pPr>
          </w:p>
        </w:tc>
      </w:tr>
      <w:tr>
        <w:trPr>
          <w:trHeight w:val="29"/>
        </w:trPr>
        <w:tc>
          <w:tcPr>
            <w:tcW w:w="22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Late-Stage Trial</w:t>
            </w:r>
          </w:p>
        </w:tc>
        <w:tc>
          <w:tcPr>
            <w:tcW w:w="2260" w:type="dxa"/>
            <w:vAlign w:val="bottom"/>
            <w:vMerge w:val="continue"/>
          </w:tcPr>
          <w:p>
            <w:pPr>
              <w:spacing w:after="0"/>
              <w:rPr>
                <w:sz w:val="2"/>
                <w:szCs w:val="2"/>
                <w:color w:val="auto"/>
              </w:rPr>
            </w:pPr>
          </w:p>
        </w:tc>
        <w:tc>
          <w:tcPr>
            <w:tcW w:w="2440" w:type="dxa"/>
            <w:vAlign w:val="bottom"/>
            <w:vMerge w:val="continue"/>
          </w:tcPr>
          <w:p>
            <w:pPr>
              <w:spacing w:after="0"/>
              <w:rPr>
                <w:sz w:val="2"/>
                <w:szCs w:val="2"/>
                <w:color w:val="auto"/>
              </w:rPr>
            </w:pPr>
          </w:p>
        </w:tc>
        <w:tc>
          <w:tcPr>
            <w:tcW w:w="1760" w:type="dxa"/>
            <w:vAlign w:val="bottom"/>
            <w:tcBorders>
              <w:bottom w:val="single" w:sz="8" w:color="A6A6A6"/>
            </w:tcBorders>
          </w:tcPr>
          <w:p>
            <w:pPr>
              <w:spacing w:after="0"/>
              <w:rPr>
                <w:sz w:val="2"/>
                <w:szCs w:val="2"/>
                <w:color w:val="auto"/>
              </w:rPr>
            </w:pPr>
          </w:p>
        </w:tc>
        <w:tc>
          <w:tcPr>
            <w:tcW w:w="25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24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2440" w:type="dxa"/>
            <w:vAlign w:val="bottom"/>
            <w:vMerge w:val="continue"/>
          </w:tcPr>
          <w:p>
            <w:pPr>
              <w:spacing w:after="0"/>
              <w:rPr>
                <w:sz w:val="12"/>
                <w:szCs w:val="12"/>
                <w:color w:val="auto"/>
              </w:rPr>
            </w:pPr>
          </w:p>
        </w:tc>
        <w:tc>
          <w:tcPr>
            <w:tcW w:w="1760" w:type="dxa"/>
            <w:vAlign w:val="bottom"/>
            <w:vMerge w:val="restart"/>
          </w:tcPr>
          <w:p>
            <w:pPr>
              <w:ind w:left="100"/>
              <w:spacing w:after="0" w:line="182" w:lineRule="exact"/>
              <w:rPr>
                <w:sz w:val="20"/>
                <w:szCs w:val="20"/>
                <w:color w:val="auto"/>
              </w:rPr>
            </w:pPr>
            <w:r>
              <w:rPr>
                <w:rFonts w:ascii="Arial" w:cs="Arial" w:eastAsia="Arial" w:hAnsi="Arial"/>
                <w:sz w:val="16"/>
                <w:szCs w:val="16"/>
                <w:color w:val="auto"/>
              </w:rPr>
              <w:t>Phase 2</w:t>
            </w:r>
          </w:p>
        </w:tc>
        <w:tc>
          <w:tcPr>
            <w:tcW w:w="2540" w:type="dxa"/>
            <w:vAlign w:val="bottom"/>
            <w:vMerge w:val="restart"/>
          </w:tcPr>
          <w:p>
            <w:pPr>
              <w:ind w:left="240"/>
              <w:spacing w:after="0" w:line="182" w:lineRule="exact"/>
              <w:rPr>
                <w:sz w:val="20"/>
                <w:szCs w:val="20"/>
                <w:color w:val="auto"/>
              </w:rPr>
            </w:pPr>
            <w:r>
              <w:rPr>
                <w:rFonts w:ascii="Arial" w:cs="Arial" w:eastAsia="Arial" w:hAnsi="Arial"/>
                <w:sz w:val="16"/>
                <w:szCs w:val="16"/>
                <w:color w:val="auto"/>
              </w:rPr>
              <w:t>2L+ mCRPC</w:t>
            </w:r>
          </w:p>
        </w:tc>
        <w:tc>
          <w:tcPr>
            <w:tcW w:w="0" w:type="dxa"/>
            <w:vAlign w:val="bottom"/>
          </w:tcPr>
          <w:p>
            <w:pPr>
              <w:spacing w:after="0"/>
              <w:rPr>
                <w:sz w:val="1"/>
                <w:szCs w:val="1"/>
                <w:color w:val="auto"/>
              </w:rPr>
            </w:pPr>
          </w:p>
        </w:tc>
      </w:tr>
      <w:tr>
        <w:trPr>
          <w:trHeight w:val="34"/>
        </w:trPr>
        <w:tc>
          <w:tcPr>
            <w:tcW w:w="2240" w:type="dxa"/>
            <w:vAlign w:val="bottom"/>
            <w:vMerge w:val="continue"/>
          </w:tcPr>
          <w:p>
            <w:pPr>
              <w:spacing w:after="0"/>
              <w:rPr>
                <w:sz w:val="2"/>
                <w:szCs w:val="2"/>
                <w:color w:val="auto"/>
              </w:rPr>
            </w:pPr>
          </w:p>
        </w:tc>
        <w:tc>
          <w:tcPr>
            <w:tcW w:w="2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760" w:type="dxa"/>
            <w:vAlign w:val="bottom"/>
            <w:vMerge w:val="continue"/>
          </w:tcPr>
          <w:p>
            <w:pPr>
              <w:spacing w:after="0"/>
              <w:rPr>
                <w:sz w:val="2"/>
                <w:szCs w:val="2"/>
                <w:color w:val="auto"/>
              </w:rPr>
            </w:pPr>
          </w:p>
        </w:tc>
        <w:tc>
          <w:tcPr>
            <w:tcW w:w="2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22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Readouts</w:t>
            </w:r>
          </w:p>
        </w:tc>
        <w:tc>
          <w:tcPr>
            <w:tcW w:w="2260" w:type="dxa"/>
            <w:vAlign w:val="bottom"/>
            <w:tcBorders>
              <w:bottom w:val="single" w:sz="8" w:color="A6A6A6"/>
            </w:tcBorders>
          </w:tcPr>
          <w:p>
            <w:pPr>
              <w:spacing w:after="0"/>
              <w:rPr>
                <w:sz w:val="5"/>
                <w:szCs w:val="5"/>
                <w:color w:val="auto"/>
              </w:rPr>
            </w:pPr>
          </w:p>
        </w:tc>
        <w:tc>
          <w:tcPr>
            <w:tcW w:w="2440" w:type="dxa"/>
            <w:vAlign w:val="bottom"/>
            <w:tcBorders>
              <w:bottom w:val="single" w:sz="8" w:color="A6A6A6"/>
            </w:tcBorders>
          </w:tcPr>
          <w:p>
            <w:pPr>
              <w:spacing w:after="0"/>
              <w:rPr>
                <w:sz w:val="5"/>
                <w:szCs w:val="5"/>
                <w:color w:val="auto"/>
              </w:rPr>
            </w:pPr>
          </w:p>
        </w:tc>
        <w:tc>
          <w:tcPr>
            <w:tcW w:w="1760" w:type="dxa"/>
            <w:vAlign w:val="bottom"/>
            <w:tcBorders>
              <w:bottom w:val="single" w:sz="8" w:color="A6A6A6"/>
            </w:tcBorders>
          </w:tcPr>
          <w:p>
            <w:pPr>
              <w:spacing w:after="0"/>
              <w:rPr>
                <w:sz w:val="5"/>
                <w:szCs w:val="5"/>
                <w:color w:val="auto"/>
              </w:rPr>
            </w:pPr>
          </w:p>
        </w:tc>
        <w:tc>
          <w:tcPr>
            <w:tcW w:w="254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22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BNT113</w:t>
            </w:r>
          </w:p>
        </w:tc>
        <w:tc>
          <w:tcPr>
            <w:tcW w:w="2440" w:type="dxa"/>
            <w:vAlign w:val="bottom"/>
            <w:vMerge w:val="restart"/>
          </w:tcPr>
          <w:p>
            <w:pPr>
              <w:ind w:left="100"/>
              <w:spacing w:after="0"/>
              <w:rPr>
                <w:sz w:val="20"/>
                <w:szCs w:val="20"/>
                <w:color w:val="auto"/>
              </w:rPr>
            </w:pPr>
            <w:r>
              <w:rPr>
                <w:rFonts w:ascii="Arial" w:cs="Arial" w:eastAsia="Arial" w:hAnsi="Arial"/>
                <w:sz w:val="16"/>
                <w:szCs w:val="16"/>
                <w:color w:val="auto"/>
              </w:rPr>
              <w:t>mRNA cancer immunotherapy</w:t>
            </w:r>
          </w:p>
        </w:tc>
        <w:tc>
          <w:tcPr>
            <w:tcW w:w="1760" w:type="dxa"/>
            <w:vAlign w:val="bottom"/>
            <w:vMerge w:val="restart"/>
          </w:tcPr>
          <w:p>
            <w:pPr>
              <w:ind w:left="100"/>
              <w:spacing w:after="0"/>
              <w:rPr>
                <w:sz w:val="20"/>
                <w:szCs w:val="20"/>
                <w:color w:val="auto"/>
              </w:rPr>
            </w:pPr>
            <w:r>
              <w:rPr>
                <w:rFonts w:ascii="Arial" w:cs="Arial" w:eastAsia="Arial" w:hAnsi="Arial"/>
                <w:sz w:val="16"/>
                <w:szCs w:val="16"/>
                <w:color w:val="auto"/>
              </w:rPr>
              <w:t>Phase 3</w:t>
            </w:r>
          </w:p>
        </w:tc>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1L HPV16+ PD-L1+ HNSCC</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2260" w:type="dxa"/>
            <w:vAlign w:val="bottom"/>
            <w:vMerge w:val="continue"/>
          </w:tcPr>
          <w:p>
            <w:pPr>
              <w:spacing w:after="0"/>
              <w:rPr>
                <w:sz w:val="23"/>
                <w:szCs w:val="23"/>
                <w:color w:val="auto"/>
              </w:rPr>
            </w:pPr>
          </w:p>
        </w:tc>
        <w:tc>
          <w:tcPr>
            <w:tcW w:w="2440" w:type="dxa"/>
            <w:vAlign w:val="bottom"/>
            <w:vMerge w:val="continue"/>
          </w:tcPr>
          <w:p>
            <w:pPr>
              <w:spacing w:after="0"/>
              <w:rPr>
                <w:sz w:val="23"/>
                <w:szCs w:val="23"/>
                <w:color w:val="auto"/>
              </w:rPr>
            </w:pPr>
          </w:p>
        </w:tc>
        <w:tc>
          <w:tcPr>
            <w:tcW w:w="17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260" w:type="dxa"/>
            <w:vAlign w:val="bottom"/>
            <w:tcBorders>
              <w:bottom w:val="single" w:sz="8" w:color="A6A6A6"/>
            </w:tcBorders>
          </w:tcPr>
          <w:p>
            <w:pPr>
              <w:spacing w:after="0"/>
              <w:rPr>
                <w:sz w:val="18"/>
                <w:szCs w:val="18"/>
                <w:color w:val="auto"/>
              </w:rPr>
            </w:pPr>
          </w:p>
        </w:tc>
        <w:tc>
          <w:tcPr>
            <w:tcW w:w="2440" w:type="dxa"/>
            <w:vAlign w:val="bottom"/>
            <w:tcBorders>
              <w:bottom w:val="single" w:sz="8" w:color="A6A6A6"/>
            </w:tcBorders>
          </w:tcPr>
          <w:p>
            <w:pPr>
              <w:spacing w:after="0"/>
              <w:rPr>
                <w:sz w:val="18"/>
                <w:szCs w:val="18"/>
                <w:color w:val="auto"/>
              </w:rPr>
            </w:pPr>
          </w:p>
        </w:tc>
        <w:tc>
          <w:tcPr>
            <w:tcW w:w="1760" w:type="dxa"/>
            <w:vAlign w:val="bottom"/>
            <w:tcBorders>
              <w:bottom w:val="single" w:sz="8" w:color="A6A6A6"/>
            </w:tcBorders>
          </w:tcPr>
          <w:p>
            <w:pPr>
              <w:spacing w:after="0"/>
              <w:rPr>
                <w:sz w:val="18"/>
                <w:szCs w:val="18"/>
                <w:color w:val="auto"/>
              </w:rPr>
            </w:pPr>
          </w:p>
        </w:tc>
        <w:tc>
          <w:tcPr>
            <w:tcW w:w="254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224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auto"/>
              </w:rPr>
              <w:t>Pumitamig</w:t>
            </w:r>
            <w:r>
              <w:rPr>
                <w:rFonts w:ascii="Arial" w:cs="Arial" w:eastAsia="Arial" w:hAnsi="Arial"/>
                <w:sz w:val="21"/>
                <w:szCs w:val="21"/>
                <w:b w:val="1"/>
                <w:bCs w:val="1"/>
                <w:color w:val="auto"/>
                <w:vertAlign w:val="superscript"/>
              </w:rPr>
              <w:t>1</w:t>
            </w:r>
          </w:p>
        </w:tc>
        <w:tc>
          <w:tcPr>
            <w:tcW w:w="2440" w:type="dxa"/>
            <w:vAlign w:val="bottom"/>
          </w:tcPr>
          <w:p>
            <w:pPr>
              <w:ind w:left="100"/>
              <w:spacing w:after="0"/>
              <w:rPr>
                <w:sz w:val="20"/>
                <w:szCs w:val="20"/>
                <w:color w:val="auto"/>
              </w:rPr>
            </w:pPr>
            <w:r>
              <w:rPr>
                <w:rFonts w:ascii="Arial" w:cs="Arial" w:eastAsia="Arial" w:hAnsi="Arial"/>
                <w:sz w:val="16"/>
                <w:szCs w:val="16"/>
                <w:color w:val="auto"/>
              </w:rPr>
              <w:t>Immunomodulator</w:t>
            </w:r>
          </w:p>
        </w:tc>
        <w:tc>
          <w:tcPr>
            <w:tcW w:w="1760" w:type="dxa"/>
            <w:vAlign w:val="bottom"/>
          </w:tcPr>
          <w:p>
            <w:pPr>
              <w:ind w:left="100"/>
              <w:spacing w:after="0"/>
              <w:rPr>
                <w:sz w:val="20"/>
                <w:szCs w:val="20"/>
                <w:color w:val="auto"/>
              </w:rPr>
            </w:pPr>
            <w:r>
              <w:rPr>
                <w:rFonts w:ascii="Arial" w:cs="Arial" w:eastAsia="Arial" w:hAnsi="Arial"/>
                <w:sz w:val="16"/>
                <w:szCs w:val="16"/>
                <w:color w:val="auto"/>
              </w:rPr>
              <w:t>Phase 3 in China</w:t>
            </w:r>
          </w:p>
        </w:tc>
        <w:tc>
          <w:tcPr>
            <w:tcW w:w="2540" w:type="dxa"/>
            <w:vAlign w:val="bottom"/>
          </w:tcPr>
          <w:p>
            <w:pPr>
              <w:ind w:left="240"/>
              <w:spacing w:after="0"/>
              <w:rPr>
                <w:sz w:val="20"/>
                <w:szCs w:val="20"/>
                <w:color w:val="auto"/>
              </w:rPr>
            </w:pPr>
            <w:r>
              <w:rPr>
                <w:rFonts w:ascii="Arial" w:cs="Arial" w:eastAsia="Arial" w:hAnsi="Arial"/>
                <w:sz w:val="16"/>
                <w:szCs w:val="16"/>
                <w:color w:val="auto"/>
              </w:rPr>
              <w:t>1L TNBC</w:t>
            </w:r>
          </w:p>
        </w:tc>
        <w:tc>
          <w:tcPr>
            <w:tcW w:w="0" w:type="dxa"/>
            <w:vAlign w:val="bottom"/>
          </w:tcPr>
          <w:p>
            <w:pPr>
              <w:spacing w:after="0"/>
              <w:rPr>
                <w:sz w:val="1"/>
                <w:szCs w:val="1"/>
                <w:color w:val="auto"/>
              </w:rPr>
            </w:pPr>
          </w:p>
        </w:tc>
      </w:tr>
      <w:tr>
        <w:trPr>
          <w:trHeight w:val="35"/>
        </w:trPr>
        <w:tc>
          <w:tcPr>
            <w:tcW w:w="2240" w:type="dxa"/>
            <w:vAlign w:val="bottom"/>
          </w:tcPr>
          <w:p>
            <w:pPr>
              <w:spacing w:after="0"/>
              <w:rPr>
                <w:sz w:val="3"/>
                <w:szCs w:val="3"/>
                <w:color w:val="auto"/>
              </w:rPr>
            </w:pPr>
          </w:p>
        </w:tc>
        <w:tc>
          <w:tcPr>
            <w:tcW w:w="2260" w:type="dxa"/>
            <w:vAlign w:val="bottom"/>
            <w:tcBorders>
              <w:bottom w:val="single" w:sz="8" w:color="A6A6A6"/>
            </w:tcBorders>
          </w:tcPr>
          <w:p>
            <w:pPr>
              <w:spacing w:after="0"/>
              <w:rPr>
                <w:sz w:val="3"/>
                <w:szCs w:val="3"/>
                <w:color w:val="auto"/>
              </w:rPr>
            </w:pPr>
          </w:p>
        </w:tc>
        <w:tc>
          <w:tcPr>
            <w:tcW w:w="2440" w:type="dxa"/>
            <w:vAlign w:val="bottom"/>
            <w:tcBorders>
              <w:bottom w:val="single" w:sz="8" w:color="A6A6A6"/>
            </w:tcBorders>
          </w:tcPr>
          <w:p>
            <w:pPr>
              <w:spacing w:after="0"/>
              <w:rPr>
                <w:sz w:val="3"/>
                <w:szCs w:val="3"/>
                <w:color w:val="auto"/>
              </w:rPr>
            </w:pPr>
          </w:p>
        </w:tc>
        <w:tc>
          <w:tcPr>
            <w:tcW w:w="1760" w:type="dxa"/>
            <w:vAlign w:val="bottom"/>
            <w:tcBorders>
              <w:bottom w:val="single" w:sz="8" w:color="A6A6A6"/>
            </w:tcBorders>
          </w:tcPr>
          <w:p>
            <w:pPr>
              <w:spacing w:after="0"/>
              <w:rPr>
                <w:sz w:val="3"/>
                <w:szCs w:val="3"/>
                <w:color w:val="auto"/>
              </w:rPr>
            </w:pPr>
          </w:p>
        </w:tc>
        <w:tc>
          <w:tcPr>
            <w:tcW w:w="25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240" w:type="dxa"/>
            <w:vAlign w:val="bottom"/>
          </w:tcPr>
          <w:p>
            <w:pPr>
              <w:spacing w:after="0"/>
              <w:rPr>
                <w:sz w:val="24"/>
                <w:szCs w:val="24"/>
                <w:color w:val="auto"/>
              </w:rPr>
            </w:pPr>
          </w:p>
        </w:tc>
        <w:tc>
          <w:tcPr>
            <w:tcW w:w="22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Autogene cevumeran</w:t>
            </w:r>
            <w:r>
              <w:rPr>
                <w:rFonts w:ascii="Arial" w:cs="Arial" w:eastAsia="Arial" w:hAnsi="Arial"/>
                <w:sz w:val="21"/>
                <w:szCs w:val="21"/>
                <w:b w:val="1"/>
                <w:bCs w:val="1"/>
                <w:color w:val="auto"/>
                <w:vertAlign w:val="superscript"/>
              </w:rPr>
              <w:t>3</w:t>
            </w:r>
          </w:p>
        </w:tc>
        <w:tc>
          <w:tcPr>
            <w:tcW w:w="2440" w:type="dxa"/>
            <w:vAlign w:val="bottom"/>
            <w:vMerge w:val="restart"/>
          </w:tcPr>
          <w:p>
            <w:pPr>
              <w:ind w:left="100"/>
              <w:spacing w:after="0"/>
              <w:rPr>
                <w:sz w:val="20"/>
                <w:szCs w:val="20"/>
                <w:color w:val="auto"/>
              </w:rPr>
            </w:pPr>
            <w:r>
              <w:rPr>
                <w:rFonts w:ascii="Arial" w:cs="Arial" w:eastAsia="Arial" w:hAnsi="Arial"/>
                <w:sz w:val="16"/>
                <w:szCs w:val="16"/>
                <w:color w:val="auto"/>
              </w:rPr>
              <w:t>mRNA cancer immunotherapy</w:t>
            </w:r>
          </w:p>
        </w:tc>
        <w:tc>
          <w:tcPr>
            <w:tcW w:w="1760" w:type="dxa"/>
            <w:vAlign w:val="bottom"/>
            <w:vMerge w:val="restart"/>
          </w:tcPr>
          <w:p>
            <w:pPr>
              <w:ind w:left="100"/>
              <w:spacing w:after="0"/>
              <w:rPr>
                <w:sz w:val="20"/>
                <w:szCs w:val="20"/>
                <w:color w:val="auto"/>
              </w:rPr>
            </w:pPr>
            <w:r>
              <w:rPr>
                <w:rFonts w:ascii="Arial" w:cs="Arial" w:eastAsia="Arial" w:hAnsi="Arial"/>
                <w:sz w:val="16"/>
                <w:szCs w:val="16"/>
                <w:color w:val="auto"/>
              </w:rPr>
              <w:t>Phase 2</w:t>
            </w:r>
          </w:p>
        </w:tc>
        <w:tc>
          <w:tcPr>
            <w:tcW w:w="2540" w:type="dxa"/>
            <w:vAlign w:val="bottom"/>
          </w:tcPr>
          <w:p>
            <w:pPr>
              <w:ind w:left="240"/>
              <w:spacing w:after="0"/>
              <w:rPr>
                <w:sz w:val="20"/>
                <w:szCs w:val="20"/>
                <w:color w:val="auto"/>
              </w:rPr>
            </w:pPr>
            <w:r>
              <w:rPr>
                <w:rFonts w:ascii="Arial" w:cs="Arial" w:eastAsia="Arial" w:hAnsi="Arial"/>
                <w:sz w:val="16"/>
                <w:szCs w:val="16"/>
                <w:color w:val="auto"/>
              </w:rPr>
              <w:t>Adj. ctDNA+ stage II (high</w:t>
            </w:r>
          </w:p>
        </w:tc>
        <w:tc>
          <w:tcPr>
            <w:tcW w:w="0" w:type="dxa"/>
            <w:vAlign w:val="bottom"/>
          </w:tcPr>
          <w:p>
            <w:pPr>
              <w:spacing w:after="0"/>
              <w:rPr>
                <w:sz w:val="1"/>
                <w:szCs w:val="1"/>
                <w:color w:val="auto"/>
              </w:rPr>
            </w:pPr>
          </w:p>
        </w:tc>
      </w:tr>
      <w:tr>
        <w:trPr>
          <w:trHeight w:val="163"/>
        </w:trPr>
        <w:tc>
          <w:tcPr>
            <w:tcW w:w="224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244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risk) / stage III CRC</w:t>
            </w:r>
          </w:p>
        </w:tc>
        <w:tc>
          <w:tcPr>
            <w:tcW w:w="0" w:type="dxa"/>
            <w:vAlign w:val="bottom"/>
          </w:tcPr>
          <w:p>
            <w:pPr>
              <w:spacing w:after="0"/>
              <w:rPr>
                <w:sz w:val="1"/>
                <w:szCs w:val="1"/>
                <w:color w:val="auto"/>
              </w:rPr>
            </w:pPr>
          </w:p>
        </w:tc>
      </w:tr>
      <w:tr>
        <w:trPr>
          <w:trHeight w:val="52"/>
        </w:trPr>
        <w:tc>
          <w:tcPr>
            <w:tcW w:w="22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240" w:type="dxa"/>
            <w:vAlign w:val="bottom"/>
            <w:tcBorders>
              <w:bottom w:val="single" w:sz="8" w:color="A6A6A6"/>
            </w:tcBorders>
          </w:tcPr>
          <w:p>
            <w:pPr>
              <w:spacing w:after="0"/>
              <w:rPr>
                <w:sz w:val="9"/>
                <w:szCs w:val="9"/>
                <w:color w:val="auto"/>
              </w:rPr>
            </w:pPr>
          </w:p>
        </w:tc>
        <w:tc>
          <w:tcPr>
            <w:tcW w:w="2260" w:type="dxa"/>
            <w:vAlign w:val="bottom"/>
            <w:tcBorders>
              <w:bottom w:val="single" w:sz="8" w:color="A6A6A6"/>
            </w:tcBorders>
          </w:tcPr>
          <w:p>
            <w:pPr>
              <w:spacing w:after="0"/>
              <w:rPr>
                <w:sz w:val="9"/>
                <w:szCs w:val="9"/>
                <w:color w:val="auto"/>
              </w:rPr>
            </w:pPr>
          </w:p>
        </w:tc>
        <w:tc>
          <w:tcPr>
            <w:tcW w:w="2440" w:type="dxa"/>
            <w:vAlign w:val="bottom"/>
            <w:tcBorders>
              <w:bottom w:val="single" w:sz="8" w:color="A6A6A6"/>
            </w:tcBorders>
          </w:tcPr>
          <w:p>
            <w:pPr>
              <w:spacing w:after="0"/>
              <w:rPr>
                <w:sz w:val="9"/>
                <w:szCs w:val="9"/>
                <w:color w:val="auto"/>
              </w:rPr>
            </w:pPr>
          </w:p>
        </w:tc>
        <w:tc>
          <w:tcPr>
            <w:tcW w:w="1760" w:type="dxa"/>
            <w:vAlign w:val="bottom"/>
            <w:tcBorders>
              <w:bottom w:val="single" w:sz="8" w:color="A6A6A6"/>
            </w:tcBorders>
          </w:tcPr>
          <w:p>
            <w:pPr>
              <w:spacing w:after="0"/>
              <w:rPr>
                <w:sz w:val="9"/>
                <w:szCs w:val="9"/>
                <w:color w:val="auto"/>
              </w:rPr>
            </w:pPr>
          </w:p>
        </w:tc>
        <w:tc>
          <w:tcPr>
            <w:tcW w:w="2540" w:type="dxa"/>
            <w:vAlign w:val="bottom"/>
            <w:tcBorders>
              <w:bottom w:val="single" w:sz="8" w:color="A6A6A6"/>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A6A6A6"/>
            </w:tcBorders>
          </w:tcPr>
          <w:p>
            <w:pPr>
              <w:spacing w:after="0"/>
              <w:rPr>
                <w:sz w:val="20"/>
                <w:szCs w:val="20"/>
                <w:color w:val="auto"/>
              </w:rPr>
            </w:pPr>
          </w:p>
        </w:tc>
        <w:tc>
          <w:tcPr>
            <w:tcW w:w="2260" w:type="dxa"/>
            <w:vAlign w:val="bottom"/>
            <w:tcBorders>
              <w:bottom w:val="single" w:sz="8" w:color="A6A6A6"/>
            </w:tcBorders>
          </w:tcPr>
          <w:p>
            <w:pPr>
              <w:spacing w:after="0"/>
              <w:rPr>
                <w:sz w:val="20"/>
                <w:szCs w:val="20"/>
                <w:color w:val="auto"/>
              </w:rPr>
            </w:pPr>
          </w:p>
        </w:tc>
        <w:tc>
          <w:tcPr>
            <w:tcW w:w="2440" w:type="dxa"/>
            <w:vAlign w:val="bottom"/>
            <w:tcBorders>
              <w:bottom w:val="single" w:sz="8" w:color="A6A6A6"/>
            </w:tcBorders>
          </w:tcPr>
          <w:p>
            <w:pPr>
              <w:spacing w:after="0"/>
              <w:rPr>
                <w:sz w:val="20"/>
                <w:szCs w:val="20"/>
                <w:color w:val="auto"/>
              </w:rPr>
            </w:pPr>
          </w:p>
        </w:tc>
        <w:tc>
          <w:tcPr>
            <w:tcW w:w="1760" w:type="dxa"/>
            <w:vAlign w:val="bottom"/>
            <w:tcBorders>
              <w:bottom w:val="single" w:sz="8" w:color="A6A6A6"/>
            </w:tcBorders>
          </w:tcPr>
          <w:p>
            <w:pPr>
              <w:spacing w:after="0"/>
              <w:rPr>
                <w:sz w:val="20"/>
                <w:szCs w:val="20"/>
                <w:color w:val="auto"/>
              </w:rPr>
            </w:pPr>
          </w:p>
        </w:tc>
        <w:tc>
          <w:tcPr>
            <w:tcW w:w="2540" w:type="dxa"/>
            <w:vAlign w:val="bottom"/>
            <w:tcBorders>
              <w:bottom w:val="single" w:sz="8" w:color="A6A6A6"/>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60" w:type="dxa"/>
            <w:vAlign w:val="bottom"/>
          </w:tcPr>
          <w:p>
            <w:pPr>
              <w:ind w:left="100"/>
              <w:spacing w:after="0"/>
              <w:rPr>
                <w:sz w:val="20"/>
                <w:szCs w:val="20"/>
                <w:color w:val="auto"/>
              </w:rPr>
            </w:pPr>
            <w:r>
              <w:rPr>
                <w:rFonts w:ascii="Arial" w:cs="Arial" w:eastAsia="Arial" w:hAnsi="Arial"/>
                <w:sz w:val="16"/>
                <w:szCs w:val="16"/>
                <w:color w:val="auto"/>
              </w:rPr>
              <w:t>Phase 2</w:t>
            </w:r>
          </w:p>
        </w:tc>
        <w:tc>
          <w:tcPr>
            <w:tcW w:w="2540" w:type="dxa"/>
            <w:vAlign w:val="bottom"/>
          </w:tcPr>
          <w:p>
            <w:pPr>
              <w:ind w:left="240"/>
              <w:spacing w:after="0"/>
              <w:rPr>
                <w:sz w:val="20"/>
                <w:szCs w:val="20"/>
                <w:color w:val="auto"/>
              </w:rPr>
            </w:pPr>
            <w:r>
              <w:rPr>
                <w:rFonts w:ascii="Arial" w:cs="Arial" w:eastAsia="Arial" w:hAnsi="Arial"/>
                <w:sz w:val="16"/>
                <w:szCs w:val="16"/>
                <w:color w:val="auto"/>
              </w:rPr>
              <w:t>1L NSCLC</w:t>
            </w:r>
          </w:p>
        </w:tc>
        <w:tc>
          <w:tcPr>
            <w:tcW w:w="0" w:type="dxa"/>
            <w:vAlign w:val="bottom"/>
          </w:tcPr>
          <w:p>
            <w:pPr>
              <w:spacing w:after="0"/>
              <w:rPr>
                <w:sz w:val="1"/>
                <w:szCs w:val="1"/>
                <w:color w:val="auto"/>
              </w:rPr>
            </w:pPr>
          </w:p>
        </w:tc>
      </w:tr>
      <w:tr>
        <w:trPr>
          <w:trHeight w:val="56"/>
        </w:trPr>
        <w:tc>
          <w:tcPr>
            <w:tcW w:w="22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760" w:type="dxa"/>
            <w:vAlign w:val="bottom"/>
            <w:tcBorders>
              <w:bottom w:val="single" w:sz="8" w:color="A6A6A6"/>
            </w:tcBorders>
          </w:tcPr>
          <w:p>
            <w:pPr>
              <w:spacing w:after="0"/>
              <w:rPr>
                <w:sz w:val="4"/>
                <w:szCs w:val="4"/>
                <w:color w:val="auto"/>
              </w:rPr>
            </w:pPr>
          </w:p>
        </w:tc>
        <w:tc>
          <w:tcPr>
            <w:tcW w:w="254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60" w:type="dxa"/>
            <w:vAlign w:val="bottom"/>
          </w:tcPr>
          <w:p>
            <w:pPr>
              <w:ind w:left="100"/>
              <w:spacing w:after="0"/>
              <w:rPr>
                <w:sz w:val="20"/>
                <w:szCs w:val="20"/>
                <w:color w:val="auto"/>
              </w:rPr>
            </w:pPr>
            <w:r>
              <w:rPr>
                <w:rFonts w:ascii="Arial" w:cs="Arial" w:eastAsia="Arial" w:hAnsi="Arial"/>
                <w:sz w:val="16"/>
                <w:szCs w:val="16"/>
                <w:color w:val="auto"/>
              </w:rPr>
              <w:t>Phase 2</w:t>
            </w:r>
          </w:p>
        </w:tc>
        <w:tc>
          <w:tcPr>
            <w:tcW w:w="2540" w:type="dxa"/>
            <w:vAlign w:val="bottom"/>
          </w:tcPr>
          <w:p>
            <w:pPr>
              <w:ind w:left="240"/>
              <w:spacing w:after="0"/>
              <w:rPr>
                <w:sz w:val="20"/>
                <w:szCs w:val="20"/>
                <w:color w:val="auto"/>
              </w:rPr>
            </w:pPr>
            <w:r>
              <w:rPr>
                <w:rFonts w:ascii="Arial" w:cs="Arial" w:eastAsia="Arial" w:hAnsi="Arial"/>
                <w:sz w:val="16"/>
                <w:szCs w:val="16"/>
                <w:color w:val="auto"/>
              </w:rPr>
              <w:t>1L ES-SCLC</w:t>
            </w: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22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Pumitamig</w:t>
            </w:r>
            <w:r>
              <w:rPr>
                <w:rFonts w:ascii="Arial" w:cs="Arial" w:eastAsia="Arial" w:hAnsi="Arial"/>
                <w:sz w:val="21"/>
                <w:szCs w:val="21"/>
                <w:b w:val="1"/>
                <w:bCs w:val="1"/>
                <w:color w:val="auto"/>
                <w:vertAlign w:val="superscript"/>
              </w:rPr>
              <w:t>1</w:t>
            </w:r>
          </w:p>
        </w:tc>
        <w:tc>
          <w:tcPr>
            <w:tcW w:w="2440" w:type="dxa"/>
            <w:vAlign w:val="bottom"/>
            <w:vMerge w:val="restart"/>
          </w:tcPr>
          <w:p>
            <w:pPr>
              <w:ind w:left="100"/>
              <w:spacing w:after="0"/>
              <w:rPr>
                <w:sz w:val="20"/>
                <w:szCs w:val="20"/>
                <w:color w:val="auto"/>
              </w:rPr>
            </w:pPr>
            <w:r>
              <w:rPr>
                <w:rFonts w:ascii="Arial" w:cs="Arial" w:eastAsia="Arial" w:hAnsi="Arial"/>
                <w:sz w:val="16"/>
                <w:szCs w:val="16"/>
                <w:color w:val="auto"/>
              </w:rPr>
              <w:t>Immunomodulator</w:t>
            </w:r>
          </w:p>
        </w:tc>
        <w:tc>
          <w:tcPr>
            <w:tcW w:w="1760" w:type="dxa"/>
            <w:vAlign w:val="bottom"/>
            <w:tcBorders>
              <w:bottom w:val="single" w:sz="8" w:color="A6A6A6"/>
            </w:tcBorders>
          </w:tcPr>
          <w:p>
            <w:pPr>
              <w:spacing w:after="0"/>
              <w:rPr>
                <w:sz w:val="2"/>
                <w:szCs w:val="2"/>
                <w:color w:val="auto"/>
              </w:rPr>
            </w:pPr>
          </w:p>
        </w:tc>
        <w:tc>
          <w:tcPr>
            <w:tcW w:w="25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240" w:type="dxa"/>
            <w:vAlign w:val="bottom"/>
          </w:tcPr>
          <w:p>
            <w:pPr>
              <w:spacing w:after="0"/>
              <w:rPr>
                <w:sz w:val="21"/>
                <w:szCs w:val="21"/>
                <w:color w:val="auto"/>
              </w:rPr>
            </w:pPr>
          </w:p>
        </w:tc>
        <w:tc>
          <w:tcPr>
            <w:tcW w:w="2260" w:type="dxa"/>
            <w:vAlign w:val="bottom"/>
            <w:vMerge w:val="continue"/>
          </w:tcPr>
          <w:p>
            <w:pPr>
              <w:spacing w:after="0"/>
              <w:rPr>
                <w:sz w:val="21"/>
                <w:szCs w:val="21"/>
                <w:color w:val="auto"/>
              </w:rPr>
            </w:pPr>
          </w:p>
        </w:tc>
        <w:tc>
          <w:tcPr>
            <w:tcW w:w="2440" w:type="dxa"/>
            <w:vAlign w:val="bottom"/>
            <w:vMerge w:val="continue"/>
          </w:tcPr>
          <w:p>
            <w:pPr>
              <w:spacing w:after="0"/>
              <w:rPr>
                <w:sz w:val="21"/>
                <w:szCs w:val="21"/>
                <w:color w:val="auto"/>
              </w:rPr>
            </w:pPr>
          </w:p>
        </w:tc>
        <w:tc>
          <w:tcPr>
            <w:tcW w:w="1760" w:type="dxa"/>
            <w:vAlign w:val="bottom"/>
            <w:vMerge w:val="restart"/>
          </w:tcPr>
          <w:p>
            <w:pPr>
              <w:ind w:left="100"/>
              <w:spacing w:after="0"/>
              <w:rPr>
                <w:sz w:val="20"/>
                <w:szCs w:val="20"/>
                <w:color w:val="auto"/>
              </w:rPr>
            </w:pPr>
            <w:r>
              <w:rPr>
                <w:rFonts w:ascii="Arial" w:cs="Arial" w:eastAsia="Arial" w:hAnsi="Arial"/>
                <w:sz w:val="16"/>
                <w:szCs w:val="16"/>
                <w:color w:val="auto"/>
              </w:rPr>
              <w:t>Phase 2 in China</w:t>
            </w:r>
          </w:p>
        </w:tc>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1L HCC</w:t>
            </w:r>
          </w:p>
        </w:tc>
        <w:tc>
          <w:tcPr>
            <w:tcW w:w="0" w:type="dxa"/>
            <w:vAlign w:val="bottom"/>
          </w:tcPr>
          <w:p>
            <w:pPr>
              <w:spacing w:after="0"/>
              <w:rPr>
                <w:sz w:val="1"/>
                <w:szCs w:val="1"/>
                <w:color w:val="auto"/>
              </w:rPr>
            </w:pPr>
          </w:p>
        </w:tc>
      </w:tr>
      <w:tr>
        <w:trPr>
          <w:trHeight w:val="52"/>
        </w:trPr>
        <w:tc>
          <w:tcPr>
            <w:tcW w:w="22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760" w:type="dxa"/>
            <w:vAlign w:val="bottom"/>
            <w:vMerge w:val="continue"/>
          </w:tcPr>
          <w:p>
            <w:pPr>
              <w:spacing w:after="0"/>
              <w:rPr>
                <w:sz w:val="4"/>
                <w:szCs w:val="4"/>
                <w:color w:val="auto"/>
              </w:rPr>
            </w:pPr>
          </w:p>
        </w:tc>
        <w:tc>
          <w:tcPr>
            <w:tcW w:w="2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2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760" w:type="dxa"/>
            <w:vAlign w:val="bottom"/>
            <w:tcBorders>
              <w:bottom w:val="single" w:sz="8" w:color="A6A6A6"/>
            </w:tcBorders>
          </w:tcPr>
          <w:p>
            <w:pPr>
              <w:spacing w:after="0"/>
              <w:rPr>
                <w:sz w:val="9"/>
                <w:szCs w:val="9"/>
                <w:color w:val="auto"/>
              </w:rPr>
            </w:pPr>
          </w:p>
        </w:tc>
        <w:tc>
          <w:tcPr>
            <w:tcW w:w="2540" w:type="dxa"/>
            <w:vAlign w:val="bottom"/>
            <w:tcBorders>
              <w:bottom w:val="single" w:sz="8" w:color="A6A6A6"/>
            </w:tcBorders>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6"/>
                <w:szCs w:val="16"/>
                <w:color w:val="auto"/>
              </w:rPr>
              <w:t>Phase 2 in China</w:t>
            </w:r>
          </w:p>
        </w:tc>
        <w:tc>
          <w:tcPr>
            <w:tcW w:w="2540" w:type="dxa"/>
            <w:vAlign w:val="bottom"/>
          </w:tcPr>
          <w:p>
            <w:pPr>
              <w:ind w:left="240"/>
              <w:spacing w:after="0"/>
              <w:rPr>
                <w:sz w:val="20"/>
                <w:szCs w:val="20"/>
                <w:color w:val="auto"/>
              </w:rPr>
            </w:pPr>
            <w:r>
              <w:rPr>
                <w:rFonts w:ascii="Arial" w:cs="Arial" w:eastAsia="Arial" w:hAnsi="Arial"/>
                <w:sz w:val="16"/>
                <w:szCs w:val="16"/>
                <w:color w:val="auto"/>
              </w:rPr>
              <w:t>1L MSS-CRC</w:t>
            </w:r>
          </w:p>
        </w:tc>
        <w:tc>
          <w:tcPr>
            <w:tcW w:w="0" w:type="dxa"/>
            <w:vAlign w:val="bottom"/>
          </w:tcPr>
          <w:p>
            <w:pPr>
              <w:spacing w:after="0"/>
              <w:rPr>
                <w:sz w:val="1"/>
                <w:szCs w:val="1"/>
                <w:color w:val="auto"/>
              </w:rPr>
            </w:pPr>
          </w:p>
        </w:tc>
      </w:tr>
      <w:tr>
        <w:trPr>
          <w:trHeight w:val="110"/>
        </w:trPr>
        <w:tc>
          <w:tcPr>
            <w:tcW w:w="2240" w:type="dxa"/>
            <w:vAlign w:val="bottom"/>
          </w:tcPr>
          <w:p>
            <w:pPr>
              <w:spacing w:after="0"/>
              <w:rPr>
                <w:sz w:val="9"/>
                <w:szCs w:val="9"/>
                <w:color w:val="auto"/>
              </w:rPr>
            </w:pPr>
          </w:p>
        </w:tc>
        <w:tc>
          <w:tcPr>
            <w:tcW w:w="2260" w:type="dxa"/>
            <w:vAlign w:val="bottom"/>
            <w:tcBorders>
              <w:bottom w:val="single" w:sz="8" w:color="A6A6A6"/>
            </w:tcBorders>
          </w:tcPr>
          <w:p>
            <w:pPr>
              <w:spacing w:after="0"/>
              <w:rPr>
                <w:sz w:val="9"/>
                <w:szCs w:val="9"/>
                <w:color w:val="auto"/>
              </w:rPr>
            </w:pPr>
          </w:p>
        </w:tc>
        <w:tc>
          <w:tcPr>
            <w:tcW w:w="2440" w:type="dxa"/>
            <w:vAlign w:val="bottom"/>
          </w:tcPr>
          <w:p>
            <w:pPr>
              <w:spacing w:after="0"/>
              <w:rPr>
                <w:sz w:val="9"/>
                <w:szCs w:val="9"/>
                <w:color w:val="auto"/>
              </w:rPr>
            </w:pPr>
          </w:p>
        </w:tc>
        <w:tc>
          <w:tcPr>
            <w:tcW w:w="1760" w:type="dxa"/>
            <w:vAlign w:val="bottom"/>
            <w:tcBorders>
              <w:bottom w:val="single" w:sz="8" w:color="A6A6A6"/>
            </w:tcBorders>
          </w:tcPr>
          <w:p>
            <w:pPr>
              <w:spacing w:after="0"/>
              <w:rPr>
                <w:sz w:val="9"/>
                <w:szCs w:val="9"/>
                <w:color w:val="auto"/>
              </w:rPr>
            </w:pPr>
          </w:p>
        </w:tc>
        <w:tc>
          <w:tcPr>
            <w:tcW w:w="2540" w:type="dxa"/>
            <w:vAlign w:val="bottom"/>
            <w:tcBorders>
              <w:bottom w:val="single" w:sz="8" w:color="A6A6A6"/>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224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auto"/>
              </w:rPr>
              <w:t>Pumitamig</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tc>
        <w:tc>
          <w:tcPr>
            <w:tcW w:w="2440" w:type="dxa"/>
            <w:vAlign w:val="bottom"/>
          </w:tcPr>
          <w:p>
            <w:pPr>
              <w:spacing w:after="0"/>
              <w:rPr>
                <w:sz w:val="24"/>
                <w:szCs w:val="24"/>
                <w:color w:val="auto"/>
              </w:rPr>
            </w:pPr>
          </w:p>
        </w:tc>
        <w:tc>
          <w:tcPr>
            <w:tcW w:w="1760" w:type="dxa"/>
            <w:vAlign w:val="bottom"/>
            <w:vMerge w:val="restart"/>
          </w:tcPr>
          <w:p>
            <w:pPr>
              <w:ind w:left="100"/>
              <w:spacing w:after="0"/>
              <w:rPr>
                <w:sz w:val="20"/>
                <w:szCs w:val="20"/>
                <w:color w:val="auto"/>
              </w:rPr>
            </w:pPr>
            <w:r>
              <w:rPr>
                <w:rFonts w:ascii="Arial" w:cs="Arial" w:eastAsia="Arial" w:hAnsi="Arial"/>
                <w:sz w:val="16"/>
                <w:szCs w:val="16"/>
                <w:color w:val="auto"/>
              </w:rPr>
              <w:t>Phase 1/2</w:t>
            </w:r>
          </w:p>
        </w:tc>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Breast cancer</w:t>
            </w: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2260" w:type="dxa"/>
            <w:vAlign w:val="bottom"/>
            <w:vMerge w:val="restart"/>
          </w:tcPr>
          <w:p>
            <w:pPr>
              <w:ind w:left="100"/>
              <w:spacing w:after="0" w:line="230" w:lineRule="exact"/>
              <w:rPr>
                <w:sz w:val="20"/>
                <w:szCs w:val="20"/>
                <w:color w:val="auto"/>
              </w:rPr>
            </w:pPr>
            <w:r>
              <w:rPr>
                <w:rFonts w:ascii="Arial" w:cs="Arial" w:eastAsia="Arial" w:hAnsi="Arial"/>
                <w:sz w:val="16"/>
                <w:szCs w:val="16"/>
                <w:b w:val="1"/>
                <w:bCs w:val="1"/>
                <w:color w:val="auto"/>
              </w:rPr>
              <w:t>T-Pam (HER2-ADC)</w:t>
            </w:r>
            <w:r>
              <w:rPr>
                <w:rFonts w:ascii="Arial" w:cs="Arial" w:eastAsia="Arial" w:hAnsi="Arial"/>
                <w:sz w:val="21"/>
                <w:szCs w:val="21"/>
                <w:b w:val="1"/>
                <w:bCs w:val="1"/>
                <w:color w:val="auto"/>
                <w:vertAlign w:val="superscript"/>
              </w:rPr>
              <w:t>4</w:t>
            </w:r>
          </w:p>
        </w:tc>
        <w:tc>
          <w:tcPr>
            <w:tcW w:w="244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24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2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Early-Stage</w:t>
            </w:r>
          </w:p>
        </w:tc>
        <w:tc>
          <w:tcPr>
            <w:tcW w:w="2260" w:type="dxa"/>
            <w:vAlign w:val="bottom"/>
            <w:tcBorders>
              <w:bottom w:val="single" w:sz="8" w:color="A6A6A6"/>
            </w:tcBorders>
          </w:tcPr>
          <w:p>
            <w:pPr>
              <w:spacing w:after="0"/>
              <w:rPr>
                <w:sz w:val="8"/>
                <w:szCs w:val="8"/>
                <w:color w:val="auto"/>
              </w:rPr>
            </w:pPr>
          </w:p>
        </w:tc>
        <w:tc>
          <w:tcPr>
            <w:tcW w:w="2440" w:type="dxa"/>
            <w:vAlign w:val="bottom"/>
          </w:tcPr>
          <w:p>
            <w:pPr>
              <w:spacing w:after="0"/>
              <w:rPr>
                <w:sz w:val="8"/>
                <w:szCs w:val="8"/>
                <w:color w:val="auto"/>
              </w:rPr>
            </w:pPr>
          </w:p>
        </w:tc>
        <w:tc>
          <w:tcPr>
            <w:tcW w:w="1760" w:type="dxa"/>
            <w:vAlign w:val="bottom"/>
            <w:tcBorders>
              <w:bottom w:val="single" w:sz="8" w:color="A6A6A6"/>
            </w:tcBorders>
          </w:tcPr>
          <w:p>
            <w:pPr>
              <w:spacing w:after="0"/>
              <w:rPr>
                <w:sz w:val="8"/>
                <w:szCs w:val="8"/>
                <w:color w:val="auto"/>
              </w:rPr>
            </w:pPr>
          </w:p>
        </w:tc>
        <w:tc>
          <w:tcPr>
            <w:tcW w:w="2540" w:type="dxa"/>
            <w:vAlign w:val="bottom"/>
            <w:tcBorders>
              <w:bottom w:val="single" w:sz="8" w:color="A6A6A6"/>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vMerge w:val="restart"/>
          </w:tcPr>
          <w:p>
            <w:pPr>
              <w:ind w:left="100"/>
              <w:spacing w:after="0" w:line="223" w:lineRule="exact"/>
              <w:rPr>
                <w:sz w:val="20"/>
                <w:szCs w:val="20"/>
                <w:color w:val="auto"/>
              </w:rPr>
            </w:pPr>
            <w:r>
              <w:rPr>
                <w:rFonts w:ascii="Arial" w:cs="Arial" w:eastAsia="Arial" w:hAnsi="Arial"/>
                <w:sz w:val="16"/>
                <w:szCs w:val="16"/>
                <w:b w:val="1"/>
                <w:bCs w:val="1"/>
                <w:color w:val="auto"/>
              </w:rPr>
              <w:t>Pumitamig</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 BNT324/DB-</w:t>
            </w:r>
          </w:p>
        </w:tc>
        <w:tc>
          <w:tcPr>
            <w:tcW w:w="24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Pumitamig &amp; ADC</w:t>
            </w:r>
          </w:p>
        </w:tc>
        <w:tc>
          <w:tcPr>
            <w:tcW w:w="226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vMerge w:val="restart"/>
          </w:tcPr>
          <w:p>
            <w:pPr>
              <w:ind w:left="100"/>
              <w:spacing w:after="0"/>
              <w:rPr>
                <w:sz w:val="20"/>
                <w:szCs w:val="20"/>
                <w:color w:val="auto"/>
              </w:rPr>
            </w:pPr>
            <w:r>
              <w:rPr>
                <w:rFonts w:ascii="Arial" w:cs="Arial" w:eastAsia="Arial" w:hAnsi="Arial"/>
                <w:sz w:val="16"/>
                <w:szCs w:val="16"/>
                <w:color w:val="auto"/>
              </w:rPr>
              <w:t>Phase 1/2</w:t>
            </w:r>
          </w:p>
        </w:tc>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Advanced solid tumors</w:t>
            </w:r>
          </w:p>
        </w:tc>
        <w:tc>
          <w:tcPr>
            <w:tcW w:w="0" w:type="dxa"/>
            <w:vAlign w:val="bottom"/>
          </w:tcPr>
          <w:p>
            <w:pPr>
              <w:spacing w:after="0"/>
              <w:rPr>
                <w:sz w:val="1"/>
                <w:szCs w:val="1"/>
                <w:color w:val="auto"/>
              </w:rPr>
            </w:pPr>
          </w:p>
        </w:tc>
      </w:tr>
      <w:tr>
        <w:trPr>
          <w:trHeight w:val="68"/>
        </w:trPr>
        <w:tc>
          <w:tcPr>
            <w:tcW w:w="2240" w:type="dxa"/>
            <w:vAlign w:val="bottom"/>
            <w:vMerge w:val="continue"/>
          </w:tcPr>
          <w:p>
            <w:pPr>
              <w:spacing w:after="0"/>
              <w:rPr>
                <w:sz w:val="5"/>
                <w:szCs w:val="5"/>
                <w:color w:val="auto"/>
              </w:rPr>
            </w:pPr>
          </w:p>
        </w:tc>
        <w:tc>
          <w:tcPr>
            <w:tcW w:w="22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1311</w:t>
            </w:r>
          </w:p>
        </w:tc>
        <w:tc>
          <w:tcPr>
            <w:tcW w:w="24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2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2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Trial Readouts</w:t>
            </w:r>
          </w:p>
        </w:tc>
        <w:tc>
          <w:tcPr>
            <w:tcW w:w="2260" w:type="dxa"/>
            <w:vAlign w:val="bottom"/>
            <w:vMerge w:val="continue"/>
          </w:tcPr>
          <w:p>
            <w:pPr>
              <w:spacing w:after="0"/>
              <w:rPr>
                <w:sz w:val="10"/>
                <w:szCs w:val="10"/>
                <w:color w:val="auto"/>
              </w:rPr>
            </w:pPr>
          </w:p>
        </w:tc>
        <w:tc>
          <w:tcPr>
            <w:tcW w:w="2440" w:type="dxa"/>
            <w:vAlign w:val="bottom"/>
          </w:tcPr>
          <w:p>
            <w:pPr>
              <w:spacing w:after="0"/>
              <w:rPr>
                <w:sz w:val="10"/>
                <w:szCs w:val="10"/>
                <w:color w:val="auto"/>
              </w:rPr>
            </w:pPr>
          </w:p>
        </w:tc>
        <w:tc>
          <w:tcPr>
            <w:tcW w:w="1760" w:type="dxa"/>
            <w:vAlign w:val="bottom"/>
            <w:tcBorders>
              <w:bottom w:val="single" w:sz="8" w:color="A6A6A6"/>
            </w:tcBorders>
          </w:tcPr>
          <w:p>
            <w:pPr>
              <w:spacing w:after="0"/>
              <w:rPr>
                <w:sz w:val="10"/>
                <w:szCs w:val="10"/>
                <w:color w:val="auto"/>
              </w:rPr>
            </w:pPr>
          </w:p>
        </w:tc>
        <w:tc>
          <w:tcPr>
            <w:tcW w:w="2540" w:type="dxa"/>
            <w:vAlign w:val="bottom"/>
            <w:tcBorders>
              <w:bottom w:val="single" w:sz="8" w:color="A6A6A6"/>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240" w:type="dxa"/>
            <w:vAlign w:val="bottom"/>
            <w:vMerge w:val="continue"/>
          </w:tcPr>
          <w:p>
            <w:pPr>
              <w:spacing w:after="0"/>
              <w:rPr>
                <w:sz w:val="7"/>
                <w:szCs w:val="7"/>
                <w:color w:val="auto"/>
              </w:rPr>
            </w:pPr>
          </w:p>
        </w:tc>
        <w:tc>
          <w:tcPr>
            <w:tcW w:w="22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(B7H3-ADC)</w:t>
            </w:r>
            <w:r>
              <w:rPr>
                <w:rFonts w:ascii="Arial" w:cs="Arial" w:eastAsia="Arial" w:hAnsi="Arial"/>
                <w:sz w:val="21"/>
                <w:szCs w:val="21"/>
                <w:b w:val="1"/>
                <w:bCs w:val="1"/>
                <w:color w:val="auto"/>
                <w:vertAlign w:val="superscript"/>
              </w:rPr>
              <w:t>4</w:t>
            </w:r>
          </w:p>
        </w:tc>
        <w:tc>
          <w:tcPr>
            <w:tcW w:w="2440" w:type="dxa"/>
            <w:vAlign w:val="bottom"/>
            <w:vMerge w:val="restart"/>
          </w:tcPr>
          <w:p>
            <w:pPr>
              <w:ind w:left="100"/>
              <w:spacing w:after="0"/>
              <w:rPr>
                <w:sz w:val="20"/>
                <w:szCs w:val="20"/>
                <w:color w:val="auto"/>
              </w:rPr>
            </w:pPr>
            <w:r>
              <w:rPr>
                <w:rFonts w:ascii="Arial" w:cs="Arial" w:eastAsia="Arial" w:hAnsi="Arial"/>
                <w:sz w:val="16"/>
                <w:szCs w:val="16"/>
                <w:color w:val="auto"/>
              </w:rPr>
              <w:t>Immunomodulator</w:t>
            </w:r>
          </w:p>
        </w:tc>
        <w:tc>
          <w:tcPr>
            <w:tcW w:w="1760" w:type="dxa"/>
            <w:vAlign w:val="bottom"/>
            <w:vMerge w:val="restart"/>
          </w:tcPr>
          <w:p>
            <w:pPr>
              <w:ind w:left="100"/>
              <w:spacing w:after="0"/>
              <w:rPr>
                <w:sz w:val="20"/>
                <w:szCs w:val="20"/>
                <w:color w:val="auto"/>
              </w:rPr>
            </w:pPr>
            <w:r>
              <w:rPr>
                <w:rFonts w:ascii="Arial" w:cs="Arial" w:eastAsia="Arial" w:hAnsi="Arial"/>
                <w:sz w:val="16"/>
                <w:szCs w:val="16"/>
                <w:color w:val="auto"/>
              </w:rPr>
              <w:t>Phase 2</w:t>
            </w:r>
          </w:p>
        </w:tc>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NSCLC/SCLC</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4"/>
                <w:szCs w:val="14"/>
                <w:color w:val="auto"/>
              </w:rPr>
            </w:pPr>
          </w:p>
        </w:tc>
        <w:tc>
          <w:tcPr>
            <w:tcW w:w="2260" w:type="dxa"/>
            <w:vAlign w:val="bottom"/>
            <w:tcBorders>
              <w:bottom w:val="single" w:sz="8" w:color="A6A6A6"/>
            </w:tcBorders>
            <w:vMerge w:val="continue"/>
          </w:tcPr>
          <w:p>
            <w:pPr>
              <w:spacing w:after="0"/>
              <w:rPr>
                <w:sz w:val="14"/>
                <w:szCs w:val="14"/>
                <w:color w:val="auto"/>
              </w:rPr>
            </w:pPr>
          </w:p>
        </w:tc>
        <w:tc>
          <w:tcPr>
            <w:tcW w:w="2440" w:type="dxa"/>
            <w:vAlign w:val="bottom"/>
            <w:vMerge w:val="continue"/>
          </w:tcPr>
          <w:p>
            <w:pPr>
              <w:spacing w:after="0"/>
              <w:rPr>
                <w:sz w:val="14"/>
                <w:szCs w:val="14"/>
                <w:color w:val="auto"/>
              </w:rPr>
            </w:pPr>
          </w:p>
        </w:tc>
        <w:tc>
          <w:tcPr>
            <w:tcW w:w="1760" w:type="dxa"/>
            <w:vAlign w:val="bottom"/>
            <w:tcBorders>
              <w:bottom w:val="single" w:sz="8" w:color="A6A6A6"/>
            </w:tcBorders>
            <w:vMerge w:val="continue"/>
          </w:tcPr>
          <w:p>
            <w:pPr>
              <w:spacing w:after="0"/>
              <w:rPr>
                <w:sz w:val="14"/>
                <w:szCs w:val="14"/>
                <w:color w:val="auto"/>
              </w:rPr>
            </w:pPr>
          </w:p>
        </w:tc>
        <w:tc>
          <w:tcPr>
            <w:tcW w:w="2540" w:type="dxa"/>
            <w:vAlign w:val="bottom"/>
            <w:tcBorders>
              <w:bottom w:val="single" w:sz="8" w:color="A6A6A6"/>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2260" w:type="dxa"/>
            <w:vAlign w:val="bottom"/>
          </w:tcPr>
          <w:p>
            <w:pPr>
              <w:ind w:left="100"/>
              <w:spacing w:after="0" w:line="209" w:lineRule="exact"/>
              <w:rPr>
                <w:sz w:val="20"/>
                <w:szCs w:val="20"/>
                <w:color w:val="auto"/>
              </w:rPr>
            </w:pPr>
            <w:r>
              <w:rPr>
                <w:rFonts w:ascii="Arial" w:cs="Arial" w:eastAsia="Arial" w:hAnsi="Arial"/>
                <w:sz w:val="16"/>
                <w:szCs w:val="16"/>
                <w:b w:val="1"/>
                <w:bCs w:val="1"/>
                <w:color w:val="auto"/>
              </w:rPr>
              <w:t>Pumitamig</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 BNT325/DB-</w:t>
            </w:r>
          </w:p>
        </w:tc>
        <w:tc>
          <w:tcPr>
            <w:tcW w:w="2440" w:type="dxa"/>
            <w:vAlign w:val="bottom"/>
          </w:tcPr>
          <w:p>
            <w:pPr>
              <w:ind w:left="100"/>
              <w:spacing w:after="0"/>
              <w:rPr>
                <w:sz w:val="20"/>
                <w:szCs w:val="20"/>
                <w:color w:val="auto"/>
              </w:rPr>
            </w:pPr>
            <w:r>
              <w:rPr>
                <w:rFonts w:ascii="Arial" w:cs="Arial" w:eastAsia="Arial" w:hAnsi="Arial"/>
                <w:sz w:val="16"/>
                <w:szCs w:val="16"/>
                <w:color w:val="auto"/>
              </w:rPr>
              <w:t>+ ADC</w:t>
            </w:r>
          </w:p>
        </w:tc>
        <w:tc>
          <w:tcPr>
            <w:tcW w:w="1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auto"/>
              </w:rPr>
              <w:t>1305</w:t>
            </w:r>
          </w:p>
        </w:tc>
        <w:tc>
          <w:tcPr>
            <w:tcW w:w="2440" w:type="dxa"/>
            <w:vAlign w:val="bottom"/>
          </w:tcPr>
          <w:p>
            <w:pPr>
              <w:spacing w:after="0"/>
              <w:rPr>
                <w:sz w:val="17"/>
                <w:szCs w:val="17"/>
                <w:color w:val="auto"/>
              </w:rPr>
            </w:pPr>
          </w:p>
        </w:tc>
        <w:tc>
          <w:tcPr>
            <w:tcW w:w="1760" w:type="dxa"/>
            <w:vAlign w:val="bottom"/>
          </w:tcPr>
          <w:p>
            <w:pPr>
              <w:ind w:left="100"/>
              <w:spacing w:after="0"/>
              <w:rPr>
                <w:sz w:val="20"/>
                <w:szCs w:val="20"/>
                <w:color w:val="auto"/>
              </w:rPr>
            </w:pPr>
            <w:r>
              <w:rPr>
                <w:rFonts w:ascii="Arial" w:cs="Arial" w:eastAsia="Arial" w:hAnsi="Arial"/>
                <w:sz w:val="16"/>
                <w:szCs w:val="16"/>
                <w:color w:val="auto"/>
              </w:rPr>
              <w:t>Phase 2</w:t>
            </w:r>
          </w:p>
        </w:tc>
        <w:tc>
          <w:tcPr>
            <w:tcW w:w="2540" w:type="dxa"/>
            <w:vAlign w:val="bottom"/>
          </w:tcPr>
          <w:p>
            <w:pPr>
              <w:ind w:left="240"/>
              <w:spacing w:after="0"/>
              <w:rPr>
                <w:sz w:val="20"/>
                <w:szCs w:val="20"/>
                <w:color w:val="auto"/>
              </w:rPr>
            </w:pPr>
            <w:r>
              <w:rPr>
                <w:rFonts w:ascii="Arial" w:cs="Arial" w:eastAsia="Arial" w:hAnsi="Arial"/>
                <w:sz w:val="16"/>
                <w:szCs w:val="16"/>
                <w:color w:val="auto"/>
              </w:rPr>
              <w:t>TNBC</w:t>
            </w: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1"/>
                <w:szCs w:val="21"/>
                <w:color w:val="auto"/>
              </w:rPr>
            </w:pPr>
          </w:p>
        </w:tc>
        <w:tc>
          <w:tcPr>
            <w:tcW w:w="2260" w:type="dxa"/>
            <w:vAlign w:val="bottom"/>
            <w:tcBorders>
              <w:bottom w:val="single" w:sz="8" w:color="A6A6A6"/>
            </w:tcBorders>
          </w:tcPr>
          <w:p>
            <w:pPr>
              <w:ind w:left="100"/>
              <w:spacing w:after="0"/>
              <w:rPr>
                <w:sz w:val="20"/>
                <w:szCs w:val="20"/>
                <w:color w:val="auto"/>
              </w:rPr>
            </w:pPr>
            <w:r>
              <w:rPr>
                <w:rFonts w:ascii="Arial" w:cs="Arial" w:eastAsia="Arial" w:hAnsi="Arial"/>
                <w:sz w:val="16"/>
                <w:szCs w:val="16"/>
                <w:b w:val="1"/>
                <w:bCs w:val="1"/>
                <w:color w:val="auto"/>
              </w:rPr>
              <w:t>(TROP2-ADC)</w:t>
            </w:r>
            <w:r>
              <w:rPr>
                <w:rFonts w:ascii="Arial" w:cs="Arial" w:eastAsia="Arial" w:hAnsi="Arial"/>
                <w:sz w:val="21"/>
                <w:szCs w:val="21"/>
                <w:b w:val="1"/>
                <w:bCs w:val="1"/>
                <w:color w:val="auto"/>
                <w:vertAlign w:val="superscript"/>
              </w:rPr>
              <w:t>4</w:t>
            </w:r>
          </w:p>
        </w:tc>
        <w:tc>
          <w:tcPr>
            <w:tcW w:w="2440" w:type="dxa"/>
            <w:vAlign w:val="bottom"/>
          </w:tcPr>
          <w:p>
            <w:pPr>
              <w:spacing w:after="0"/>
              <w:rPr>
                <w:sz w:val="21"/>
                <w:szCs w:val="21"/>
                <w:color w:val="auto"/>
              </w:rPr>
            </w:pPr>
          </w:p>
        </w:tc>
        <w:tc>
          <w:tcPr>
            <w:tcW w:w="1760" w:type="dxa"/>
            <w:vAlign w:val="bottom"/>
            <w:tcBorders>
              <w:bottom w:val="single" w:sz="8" w:color="A6A6A6"/>
            </w:tcBorders>
          </w:tcPr>
          <w:p>
            <w:pPr>
              <w:spacing w:after="0"/>
              <w:rPr>
                <w:sz w:val="21"/>
                <w:szCs w:val="21"/>
                <w:color w:val="auto"/>
              </w:rPr>
            </w:pPr>
          </w:p>
        </w:tc>
        <w:tc>
          <w:tcPr>
            <w:tcW w:w="2540" w:type="dxa"/>
            <w:vAlign w:val="bottom"/>
            <w:tcBorders>
              <w:bottom w:val="single" w:sz="8" w:color="A6A6A6"/>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2260" w:type="dxa"/>
            <w:vAlign w:val="bottom"/>
          </w:tcPr>
          <w:p>
            <w:pPr>
              <w:ind w:left="100"/>
              <w:spacing w:after="0" w:line="209" w:lineRule="exact"/>
              <w:rPr>
                <w:sz w:val="20"/>
                <w:szCs w:val="20"/>
                <w:color w:val="auto"/>
              </w:rPr>
            </w:pPr>
            <w:r>
              <w:rPr>
                <w:rFonts w:ascii="Arial" w:cs="Arial" w:eastAsia="Arial" w:hAnsi="Arial"/>
                <w:sz w:val="16"/>
                <w:szCs w:val="16"/>
                <w:b w:val="1"/>
                <w:bCs w:val="1"/>
                <w:color w:val="auto"/>
              </w:rPr>
              <w:t>Pumitamig</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tc>
        <w:tc>
          <w:tcPr>
            <w:tcW w:w="2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auto"/>
              </w:rPr>
              <w:t>BNT326/YL202</w:t>
            </w:r>
          </w:p>
        </w:tc>
        <w:tc>
          <w:tcPr>
            <w:tcW w:w="2440" w:type="dxa"/>
            <w:vAlign w:val="bottom"/>
          </w:tcPr>
          <w:p>
            <w:pPr>
              <w:spacing w:after="0"/>
              <w:rPr>
                <w:sz w:val="17"/>
                <w:szCs w:val="17"/>
                <w:color w:val="auto"/>
              </w:rPr>
            </w:pPr>
          </w:p>
        </w:tc>
        <w:tc>
          <w:tcPr>
            <w:tcW w:w="1760" w:type="dxa"/>
            <w:vAlign w:val="bottom"/>
          </w:tcPr>
          <w:p>
            <w:pPr>
              <w:ind w:left="100"/>
              <w:spacing w:after="0"/>
              <w:rPr>
                <w:sz w:val="20"/>
                <w:szCs w:val="20"/>
                <w:color w:val="auto"/>
              </w:rPr>
            </w:pPr>
            <w:r>
              <w:rPr>
                <w:rFonts w:ascii="Arial" w:cs="Arial" w:eastAsia="Arial" w:hAnsi="Arial"/>
                <w:sz w:val="16"/>
                <w:szCs w:val="16"/>
                <w:color w:val="auto"/>
              </w:rPr>
              <w:t>Phase 1/2</w:t>
            </w:r>
          </w:p>
        </w:tc>
        <w:tc>
          <w:tcPr>
            <w:tcW w:w="2540" w:type="dxa"/>
            <w:vAlign w:val="bottom"/>
          </w:tcPr>
          <w:p>
            <w:pPr>
              <w:ind w:left="240"/>
              <w:spacing w:after="0"/>
              <w:rPr>
                <w:sz w:val="20"/>
                <w:szCs w:val="20"/>
                <w:color w:val="auto"/>
              </w:rPr>
            </w:pPr>
            <w:r>
              <w:rPr>
                <w:rFonts w:ascii="Arial" w:cs="Arial" w:eastAsia="Arial" w:hAnsi="Arial"/>
                <w:sz w:val="16"/>
                <w:szCs w:val="16"/>
                <w:color w:val="auto"/>
              </w:rPr>
              <w:t>2L+ EGFRm NSCLC</w:t>
            </w: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1"/>
                <w:szCs w:val="21"/>
                <w:color w:val="auto"/>
              </w:rPr>
            </w:pPr>
          </w:p>
        </w:tc>
        <w:tc>
          <w:tcPr>
            <w:tcW w:w="2260" w:type="dxa"/>
            <w:vAlign w:val="bottom"/>
            <w:tcBorders>
              <w:bottom w:val="single" w:sz="8" w:color="A6A6A6"/>
            </w:tcBorders>
          </w:tcPr>
          <w:p>
            <w:pPr>
              <w:ind w:left="100"/>
              <w:spacing w:after="0"/>
              <w:rPr>
                <w:sz w:val="20"/>
                <w:szCs w:val="20"/>
                <w:color w:val="auto"/>
              </w:rPr>
            </w:pPr>
            <w:r>
              <w:rPr>
                <w:rFonts w:ascii="Arial" w:cs="Arial" w:eastAsia="Arial" w:hAnsi="Arial"/>
                <w:sz w:val="16"/>
                <w:szCs w:val="16"/>
                <w:b w:val="1"/>
                <w:bCs w:val="1"/>
                <w:color w:val="auto"/>
              </w:rPr>
              <w:t>(HER3-ADC)</w:t>
            </w:r>
            <w:r>
              <w:rPr>
                <w:rFonts w:ascii="Arial" w:cs="Arial" w:eastAsia="Arial" w:hAnsi="Arial"/>
                <w:sz w:val="21"/>
                <w:szCs w:val="21"/>
                <w:b w:val="1"/>
                <w:bCs w:val="1"/>
                <w:color w:val="auto"/>
                <w:vertAlign w:val="superscript"/>
              </w:rPr>
              <w:t>5</w:t>
            </w:r>
          </w:p>
        </w:tc>
        <w:tc>
          <w:tcPr>
            <w:tcW w:w="2440" w:type="dxa"/>
            <w:vAlign w:val="bottom"/>
            <w:tcBorders>
              <w:bottom w:val="single" w:sz="8" w:color="A6A6A6"/>
            </w:tcBorders>
          </w:tcPr>
          <w:p>
            <w:pPr>
              <w:spacing w:after="0"/>
              <w:rPr>
                <w:sz w:val="21"/>
                <w:szCs w:val="21"/>
                <w:color w:val="auto"/>
              </w:rPr>
            </w:pPr>
          </w:p>
        </w:tc>
        <w:tc>
          <w:tcPr>
            <w:tcW w:w="1760" w:type="dxa"/>
            <w:vAlign w:val="bottom"/>
            <w:tcBorders>
              <w:bottom w:val="single" w:sz="8" w:color="A6A6A6"/>
            </w:tcBorders>
          </w:tcPr>
          <w:p>
            <w:pPr>
              <w:spacing w:after="0"/>
              <w:rPr>
                <w:sz w:val="21"/>
                <w:szCs w:val="21"/>
                <w:color w:val="auto"/>
              </w:rPr>
            </w:pPr>
          </w:p>
        </w:tc>
        <w:tc>
          <w:tcPr>
            <w:tcW w:w="2540" w:type="dxa"/>
            <w:vAlign w:val="bottom"/>
            <w:tcBorders>
              <w:bottom w:val="single" w:sz="8" w:color="A6A6A6"/>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auto"/>
              </w:rPr>
              <w:t>BNT324/DB-1311</w:t>
            </w:r>
          </w:p>
        </w:tc>
        <w:tc>
          <w:tcPr>
            <w:tcW w:w="2440" w:type="dxa"/>
            <w:vAlign w:val="bottom"/>
            <w:vMerge w:val="restart"/>
          </w:tcPr>
          <w:p>
            <w:pPr>
              <w:ind w:left="100"/>
              <w:spacing w:after="0"/>
              <w:rPr>
                <w:sz w:val="20"/>
                <w:szCs w:val="20"/>
                <w:color w:val="auto"/>
              </w:rPr>
            </w:pPr>
            <w:r>
              <w:rPr>
                <w:rFonts w:ascii="Arial" w:cs="Arial" w:eastAsia="Arial" w:hAnsi="Arial"/>
                <w:sz w:val="16"/>
                <w:szCs w:val="16"/>
                <w:color w:val="auto"/>
              </w:rPr>
              <w:t>ADC</w:t>
            </w:r>
          </w:p>
        </w:tc>
        <w:tc>
          <w:tcPr>
            <w:tcW w:w="1760" w:type="dxa"/>
            <w:vAlign w:val="bottom"/>
            <w:vMerge w:val="restart"/>
          </w:tcPr>
          <w:p>
            <w:pPr>
              <w:ind w:left="100"/>
              <w:spacing w:after="0"/>
              <w:rPr>
                <w:sz w:val="20"/>
                <w:szCs w:val="20"/>
                <w:color w:val="auto"/>
              </w:rPr>
            </w:pPr>
            <w:r>
              <w:rPr>
                <w:rFonts w:ascii="Arial" w:cs="Arial" w:eastAsia="Arial" w:hAnsi="Arial"/>
                <w:sz w:val="16"/>
                <w:szCs w:val="16"/>
                <w:color w:val="auto"/>
              </w:rPr>
              <w:t>Phase 1/2</w:t>
            </w:r>
          </w:p>
        </w:tc>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2L+ mCRPC</w:t>
            </w: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(B7H3-ADC)</w:t>
            </w:r>
            <w:r>
              <w:rPr>
                <w:rFonts w:ascii="Arial" w:cs="Arial" w:eastAsia="Arial" w:hAnsi="Arial"/>
                <w:sz w:val="21"/>
                <w:szCs w:val="21"/>
                <w:b w:val="1"/>
                <w:bCs w:val="1"/>
                <w:color w:val="auto"/>
                <w:vertAlign w:val="superscript"/>
              </w:rPr>
              <w:t>4</w:t>
            </w:r>
          </w:p>
        </w:tc>
        <w:tc>
          <w:tcPr>
            <w:tcW w:w="24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240" w:type="dxa"/>
            <w:vAlign w:val="bottom"/>
            <w:tcBorders>
              <w:bottom w:val="single" w:sz="8" w:color="A6A6A6"/>
            </w:tcBorders>
          </w:tcPr>
          <w:p>
            <w:pPr>
              <w:spacing w:after="0"/>
              <w:rPr>
                <w:sz w:val="11"/>
                <w:szCs w:val="11"/>
                <w:color w:val="auto"/>
              </w:rPr>
            </w:pPr>
          </w:p>
        </w:tc>
        <w:tc>
          <w:tcPr>
            <w:tcW w:w="2260" w:type="dxa"/>
            <w:vAlign w:val="bottom"/>
            <w:tcBorders>
              <w:bottom w:val="single" w:sz="8" w:color="A6A6A6"/>
            </w:tcBorders>
            <w:vMerge w:val="continue"/>
          </w:tcPr>
          <w:p>
            <w:pPr>
              <w:spacing w:after="0"/>
              <w:rPr>
                <w:sz w:val="11"/>
                <w:szCs w:val="11"/>
                <w:color w:val="auto"/>
              </w:rPr>
            </w:pPr>
          </w:p>
        </w:tc>
        <w:tc>
          <w:tcPr>
            <w:tcW w:w="2440" w:type="dxa"/>
            <w:vAlign w:val="bottom"/>
            <w:tcBorders>
              <w:bottom w:val="single" w:sz="8" w:color="A6A6A6"/>
            </w:tcBorders>
          </w:tcPr>
          <w:p>
            <w:pPr>
              <w:spacing w:after="0"/>
              <w:rPr>
                <w:sz w:val="11"/>
                <w:szCs w:val="11"/>
                <w:color w:val="auto"/>
              </w:rPr>
            </w:pPr>
          </w:p>
        </w:tc>
        <w:tc>
          <w:tcPr>
            <w:tcW w:w="1760" w:type="dxa"/>
            <w:vAlign w:val="bottom"/>
            <w:tcBorders>
              <w:bottom w:val="single" w:sz="8" w:color="A6A6A6"/>
            </w:tcBorders>
          </w:tcPr>
          <w:p>
            <w:pPr>
              <w:spacing w:after="0"/>
              <w:rPr>
                <w:sz w:val="11"/>
                <w:szCs w:val="11"/>
                <w:color w:val="auto"/>
              </w:rPr>
            </w:pPr>
          </w:p>
        </w:tc>
        <w:tc>
          <w:tcPr>
            <w:tcW w:w="2540" w:type="dxa"/>
            <w:vAlign w:val="bottom"/>
            <w:tcBorders>
              <w:bottom w:val="single" w:sz="8" w:color="A6A6A6"/>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240" w:type="dxa"/>
            <w:vAlign w:val="bottom"/>
            <w:tcBorders>
              <w:bottom w:val="single" w:sz="8" w:color="A6A6A6"/>
            </w:tcBorders>
          </w:tcPr>
          <w:p>
            <w:pPr>
              <w:spacing w:after="0"/>
              <w:rPr>
                <w:sz w:val="20"/>
                <w:szCs w:val="20"/>
                <w:color w:val="auto"/>
              </w:rPr>
            </w:pPr>
          </w:p>
        </w:tc>
        <w:tc>
          <w:tcPr>
            <w:tcW w:w="2260" w:type="dxa"/>
            <w:vAlign w:val="bottom"/>
            <w:tcBorders>
              <w:bottom w:val="single" w:sz="8" w:color="A6A6A6"/>
            </w:tcBorders>
          </w:tcPr>
          <w:p>
            <w:pPr>
              <w:spacing w:after="0"/>
              <w:rPr>
                <w:sz w:val="20"/>
                <w:szCs w:val="20"/>
                <w:color w:val="auto"/>
              </w:rPr>
            </w:pPr>
          </w:p>
        </w:tc>
        <w:tc>
          <w:tcPr>
            <w:tcW w:w="2440" w:type="dxa"/>
            <w:vAlign w:val="bottom"/>
            <w:tcBorders>
              <w:bottom w:val="single" w:sz="8" w:color="A6A6A6"/>
            </w:tcBorders>
          </w:tcPr>
          <w:p>
            <w:pPr>
              <w:spacing w:after="0"/>
              <w:rPr>
                <w:sz w:val="20"/>
                <w:szCs w:val="20"/>
                <w:color w:val="auto"/>
              </w:rPr>
            </w:pPr>
          </w:p>
        </w:tc>
        <w:tc>
          <w:tcPr>
            <w:tcW w:w="1760" w:type="dxa"/>
            <w:vAlign w:val="bottom"/>
            <w:tcBorders>
              <w:bottom w:val="single" w:sz="8" w:color="A6A6A6"/>
            </w:tcBorders>
          </w:tcPr>
          <w:p>
            <w:pPr>
              <w:spacing w:after="0"/>
              <w:rPr>
                <w:sz w:val="20"/>
                <w:szCs w:val="20"/>
                <w:color w:val="auto"/>
              </w:rPr>
            </w:pPr>
          </w:p>
        </w:tc>
        <w:tc>
          <w:tcPr>
            <w:tcW w:w="2540" w:type="dxa"/>
            <w:vAlign w:val="bottom"/>
            <w:tcBorders>
              <w:bottom w:val="single" w:sz="8" w:color="A6A6A6"/>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4991735</wp:posOffset>
            </wp:positionH>
            <wp:positionV relativeFrom="page">
              <wp:posOffset>88900</wp:posOffset>
            </wp:positionV>
            <wp:extent cx="2348865"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348865" cy="25717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40" w:type="dxa"/>
            <w:vAlign w:val="bottom"/>
          </w:tcPr>
          <w:p>
            <w:pPr>
              <w:ind w:left="100"/>
              <w:spacing w:after="0"/>
              <w:rPr>
                <w:sz w:val="20"/>
                <w:szCs w:val="20"/>
                <w:color w:val="auto"/>
              </w:rPr>
            </w:pPr>
            <w:r>
              <w:rPr>
                <w:rFonts w:ascii="Arial" w:cs="Arial" w:eastAsia="Arial" w:hAnsi="Arial"/>
                <w:sz w:val="16"/>
                <w:szCs w:val="16"/>
                <w:color w:val="auto"/>
              </w:rPr>
              <w:t>Phase 3</w:t>
            </w:r>
          </w:p>
        </w:tc>
        <w:tc>
          <w:tcPr>
            <w:tcW w:w="2960" w:type="dxa"/>
            <w:vAlign w:val="bottom"/>
          </w:tcPr>
          <w:p>
            <w:pPr>
              <w:ind w:left="660"/>
              <w:spacing w:after="0"/>
              <w:rPr>
                <w:sz w:val="20"/>
                <w:szCs w:val="20"/>
                <w:color w:val="auto"/>
              </w:rPr>
            </w:pPr>
            <w:r>
              <w:rPr>
                <w:rFonts w:ascii="Arial" w:cs="Arial" w:eastAsia="Arial" w:hAnsi="Arial"/>
                <w:sz w:val="16"/>
                <w:szCs w:val="16"/>
                <w:color w:val="auto"/>
              </w:rPr>
              <w:t>1L MSS-CRC</w:t>
            </w:r>
          </w:p>
        </w:tc>
        <w:tc>
          <w:tcPr>
            <w:tcW w:w="0" w:type="dxa"/>
            <w:vAlign w:val="bottom"/>
          </w:tcPr>
          <w:p>
            <w:pPr>
              <w:spacing w:after="0"/>
              <w:rPr>
                <w:sz w:val="1"/>
                <w:szCs w:val="1"/>
                <w:color w:val="auto"/>
              </w:rPr>
            </w:pPr>
          </w:p>
        </w:tc>
      </w:tr>
      <w:tr>
        <w:trPr>
          <w:trHeight w:val="56"/>
        </w:trPr>
        <w:tc>
          <w:tcPr>
            <w:tcW w:w="2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340" w:type="dxa"/>
            <w:vAlign w:val="bottom"/>
            <w:tcBorders>
              <w:bottom w:val="single" w:sz="8" w:color="A6A6A6"/>
            </w:tcBorders>
          </w:tcPr>
          <w:p>
            <w:pPr>
              <w:spacing w:after="0"/>
              <w:rPr>
                <w:sz w:val="4"/>
                <w:szCs w:val="4"/>
                <w:color w:val="auto"/>
              </w:rPr>
            </w:pPr>
          </w:p>
        </w:tc>
        <w:tc>
          <w:tcPr>
            <w:tcW w:w="296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2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Phase 3 Trial</w:t>
            </w:r>
          </w:p>
        </w:tc>
        <w:tc>
          <w:tcPr>
            <w:tcW w:w="2000" w:type="dxa"/>
            <w:vAlign w:val="bottom"/>
          </w:tcPr>
          <w:p>
            <w:pPr>
              <w:ind w:left="100"/>
              <w:spacing w:after="0" w:line="237" w:lineRule="exact"/>
              <w:rPr>
                <w:sz w:val="20"/>
                <w:szCs w:val="20"/>
                <w:color w:val="auto"/>
              </w:rPr>
            </w:pPr>
            <w:r>
              <w:rPr>
                <w:rFonts w:ascii="Arial" w:cs="Arial" w:eastAsia="Arial" w:hAnsi="Arial"/>
                <w:sz w:val="16"/>
                <w:szCs w:val="16"/>
                <w:b w:val="1"/>
                <w:bCs w:val="1"/>
                <w:color w:val="auto"/>
              </w:rPr>
              <w:t>Pumitamig</w:t>
            </w:r>
            <w:r>
              <w:rPr>
                <w:rFonts w:ascii="Arial" w:cs="Arial" w:eastAsia="Arial" w:hAnsi="Arial"/>
                <w:sz w:val="21"/>
                <w:szCs w:val="21"/>
                <w:b w:val="1"/>
                <w:bCs w:val="1"/>
                <w:color w:val="auto"/>
                <w:vertAlign w:val="superscript"/>
              </w:rPr>
              <w:t>1</w:t>
            </w:r>
          </w:p>
        </w:tc>
        <w:tc>
          <w:tcPr>
            <w:tcW w:w="2700" w:type="dxa"/>
            <w:vAlign w:val="bottom"/>
          </w:tcPr>
          <w:p>
            <w:pPr>
              <w:ind w:left="360"/>
              <w:spacing w:after="0"/>
              <w:rPr>
                <w:sz w:val="20"/>
                <w:szCs w:val="20"/>
                <w:color w:val="auto"/>
              </w:rPr>
            </w:pPr>
            <w:r>
              <w:rPr>
                <w:rFonts w:ascii="Arial" w:cs="Arial" w:eastAsia="Arial" w:hAnsi="Arial"/>
                <w:sz w:val="16"/>
                <w:szCs w:val="16"/>
                <w:color w:val="auto"/>
              </w:rPr>
              <w:t>Immunomodulator</w:t>
            </w:r>
          </w:p>
        </w:tc>
        <w:tc>
          <w:tcPr>
            <w:tcW w:w="1340" w:type="dxa"/>
            <w:vAlign w:val="bottom"/>
          </w:tcPr>
          <w:p>
            <w:pPr>
              <w:ind w:left="100"/>
              <w:spacing w:after="0"/>
              <w:rPr>
                <w:sz w:val="20"/>
                <w:szCs w:val="20"/>
                <w:color w:val="auto"/>
              </w:rPr>
            </w:pPr>
            <w:r>
              <w:rPr>
                <w:rFonts w:ascii="Arial" w:cs="Arial" w:eastAsia="Arial" w:hAnsi="Arial"/>
                <w:sz w:val="16"/>
                <w:szCs w:val="16"/>
                <w:color w:val="auto"/>
              </w:rPr>
              <w:t>Phase 3</w:t>
            </w:r>
          </w:p>
        </w:tc>
        <w:tc>
          <w:tcPr>
            <w:tcW w:w="2960" w:type="dxa"/>
            <w:vAlign w:val="bottom"/>
          </w:tcPr>
          <w:p>
            <w:pPr>
              <w:ind w:left="660"/>
              <w:spacing w:after="0"/>
              <w:rPr>
                <w:sz w:val="20"/>
                <w:szCs w:val="20"/>
                <w:color w:val="auto"/>
              </w:rPr>
            </w:pPr>
            <w:r>
              <w:rPr>
                <w:rFonts w:ascii="Arial" w:cs="Arial" w:eastAsia="Arial" w:hAnsi="Arial"/>
                <w:sz w:val="16"/>
                <w:szCs w:val="16"/>
                <w:color w:val="auto"/>
              </w:rPr>
              <w:t>1L HER2- PD-L1+ gastric</w:t>
            </w:r>
          </w:p>
        </w:tc>
        <w:tc>
          <w:tcPr>
            <w:tcW w:w="0" w:type="dxa"/>
            <w:vAlign w:val="bottom"/>
          </w:tcPr>
          <w:p>
            <w:pPr>
              <w:spacing w:after="0"/>
              <w:rPr>
                <w:sz w:val="1"/>
                <w:szCs w:val="1"/>
                <w:color w:val="auto"/>
              </w:rPr>
            </w:pPr>
          </w:p>
        </w:tc>
      </w:tr>
      <w:tr>
        <w:trPr>
          <w:trHeight w:val="175"/>
        </w:trPr>
        <w:tc>
          <w:tcPr>
            <w:tcW w:w="224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960" w:type="dxa"/>
            <w:vAlign w:val="bottom"/>
          </w:tcPr>
          <w:p>
            <w:pPr>
              <w:ind w:left="660"/>
              <w:spacing w:after="0" w:line="175" w:lineRule="exact"/>
              <w:rPr>
                <w:sz w:val="20"/>
                <w:szCs w:val="20"/>
                <w:color w:val="auto"/>
              </w:rPr>
            </w:pPr>
            <w:r>
              <w:rPr>
                <w:rFonts w:ascii="Arial" w:cs="Arial" w:eastAsia="Arial" w:hAnsi="Arial"/>
                <w:sz w:val="16"/>
                <w:szCs w:val="16"/>
                <w:color w:val="auto"/>
              </w:rPr>
              <w:t>cancer</w:t>
            </w:r>
          </w:p>
        </w:tc>
        <w:tc>
          <w:tcPr>
            <w:tcW w:w="0" w:type="dxa"/>
            <w:vAlign w:val="bottom"/>
          </w:tcPr>
          <w:p>
            <w:pPr>
              <w:spacing w:after="0"/>
              <w:rPr>
                <w:sz w:val="1"/>
                <w:szCs w:val="1"/>
                <w:color w:val="auto"/>
              </w:rPr>
            </w:pPr>
          </w:p>
        </w:tc>
      </w:tr>
      <w:tr>
        <w:trPr>
          <w:trHeight w:val="41"/>
        </w:trPr>
        <w:tc>
          <w:tcPr>
            <w:tcW w:w="22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Initiations</w:t>
            </w:r>
          </w:p>
        </w:tc>
        <w:tc>
          <w:tcPr>
            <w:tcW w:w="200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340" w:type="dxa"/>
            <w:vAlign w:val="bottom"/>
            <w:tcBorders>
              <w:bottom w:val="single" w:sz="8" w:color="A6A6A6"/>
            </w:tcBorders>
          </w:tcPr>
          <w:p>
            <w:pPr>
              <w:spacing w:after="0"/>
              <w:rPr>
                <w:sz w:val="3"/>
                <w:szCs w:val="3"/>
                <w:color w:val="auto"/>
              </w:rPr>
            </w:pPr>
          </w:p>
        </w:tc>
        <w:tc>
          <w:tcPr>
            <w:tcW w:w="296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24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Phase 3</w:t>
            </w:r>
          </w:p>
        </w:tc>
        <w:tc>
          <w:tcPr>
            <w:tcW w:w="2960" w:type="dxa"/>
            <w:vAlign w:val="bottom"/>
            <w:vMerge w:val="restart"/>
          </w:tcPr>
          <w:p>
            <w:pPr>
              <w:ind w:left="660"/>
              <w:spacing w:after="0"/>
              <w:rPr>
                <w:sz w:val="20"/>
                <w:szCs w:val="20"/>
                <w:color w:val="auto"/>
              </w:rPr>
            </w:pPr>
            <w:r>
              <w:rPr>
                <w:rFonts w:ascii="Arial" w:cs="Arial" w:eastAsia="Arial" w:hAnsi="Arial"/>
                <w:sz w:val="16"/>
                <w:szCs w:val="16"/>
                <w:color w:val="auto"/>
              </w:rPr>
              <w:t>1L HNSCC</w:t>
            </w:r>
          </w:p>
        </w:tc>
        <w:tc>
          <w:tcPr>
            <w:tcW w:w="0" w:type="dxa"/>
            <w:vAlign w:val="bottom"/>
          </w:tcPr>
          <w:p>
            <w:pPr>
              <w:spacing w:after="0"/>
              <w:rPr>
                <w:sz w:val="1"/>
                <w:szCs w:val="1"/>
                <w:color w:val="auto"/>
              </w:rPr>
            </w:pPr>
          </w:p>
        </w:tc>
      </w:tr>
      <w:tr>
        <w:trPr>
          <w:trHeight w:val="59"/>
        </w:trPr>
        <w:tc>
          <w:tcPr>
            <w:tcW w:w="22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2000" w:type="dxa"/>
            <w:vAlign w:val="bottom"/>
            <w:tcBorders>
              <w:bottom w:val="single" w:sz="8" w:color="A6A6A6"/>
            </w:tcBorders>
          </w:tcPr>
          <w:p>
            <w:pPr>
              <w:spacing w:after="0"/>
              <w:rPr>
                <w:sz w:val="2"/>
                <w:szCs w:val="2"/>
                <w:color w:val="auto"/>
              </w:rPr>
            </w:pPr>
          </w:p>
        </w:tc>
        <w:tc>
          <w:tcPr>
            <w:tcW w:w="2700" w:type="dxa"/>
            <w:vAlign w:val="bottom"/>
            <w:tcBorders>
              <w:bottom w:val="single" w:sz="8" w:color="A6A6A6"/>
            </w:tcBorders>
          </w:tcPr>
          <w:p>
            <w:pPr>
              <w:spacing w:after="0"/>
              <w:rPr>
                <w:sz w:val="2"/>
                <w:szCs w:val="2"/>
                <w:color w:val="auto"/>
              </w:rPr>
            </w:pPr>
          </w:p>
        </w:tc>
        <w:tc>
          <w:tcPr>
            <w:tcW w:w="1340" w:type="dxa"/>
            <w:vAlign w:val="bottom"/>
            <w:tcBorders>
              <w:bottom w:val="single" w:sz="8" w:color="A6A6A6"/>
            </w:tcBorders>
          </w:tcPr>
          <w:p>
            <w:pPr>
              <w:spacing w:after="0"/>
              <w:rPr>
                <w:sz w:val="2"/>
                <w:szCs w:val="2"/>
                <w:color w:val="auto"/>
              </w:rPr>
            </w:pPr>
          </w:p>
        </w:tc>
        <w:tc>
          <w:tcPr>
            <w:tcW w:w="296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2000" w:type="dxa"/>
            <w:vAlign w:val="bottom"/>
          </w:tcPr>
          <w:p>
            <w:pPr>
              <w:ind w:left="100"/>
              <w:spacing w:after="0"/>
              <w:rPr>
                <w:sz w:val="20"/>
                <w:szCs w:val="20"/>
                <w:color w:val="auto"/>
              </w:rPr>
            </w:pPr>
            <w:r>
              <w:rPr>
                <w:rFonts w:ascii="Arial" w:cs="Arial" w:eastAsia="Arial" w:hAnsi="Arial"/>
                <w:sz w:val="16"/>
                <w:szCs w:val="16"/>
                <w:b w:val="1"/>
                <w:bCs w:val="1"/>
                <w:color w:val="auto"/>
              </w:rPr>
              <w:t>BNT324 /DB-1311</w:t>
            </w:r>
          </w:p>
        </w:tc>
        <w:tc>
          <w:tcPr>
            <w:tcW w:w="2700" w:type="dxa"/>
            <w:vAlign w:val="bottom"/>
            <w:vMerge w:val="restart"/>
          </w:tcPr>
          <w:p>
            <w:pPr>
              <w:ind w:left="360"/>
              <w:spacing w:after="0"/>
              <w:rPr>
                <w:sz w:val="20"/>
                <w:szCs w:val="20"/>
                <w:color w:val="auto"/>
              </w:rPr>
            </w:pPr>
            <w:r>
              <w:rPr>
                <w:rFonts w:ascii="Arial" w:cs="Arial" w:eastAsia="Arial" w:hAnsi="Arial"/>
                <w:sz w:val="16"/>
                <w:szCs w:val="16"/>
                <w:color w:val="auto"/>
              </w:rPr>
              <w:t>ADC</w:t>
            </w: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Phase 3</w:t>
            </w:r>
          </w:p>
        </w:tc>
        <w:tc>
          <w:tcPr>
            <w:tcW w:w="2960" w:type="dxa"/>
            <w:vAlign w:val="bottom"/>
            <w:vMerge w:val="restart"/>
          </w:tcPr>
          <w:p>
            <w:pPr>
              <w:ind w:left="660"/>
              <w:spacing w:after="0"/>
              <w:rPr>
                <w:sz w:val="20"/>
                <w:szCs w:val="20"/>
                <w:color w:val="auto"/>
              </w:rPr>
            </w:pPr>
            <w:r>
              <w:rPr>
                <w:rFonts w:ascii="Arial" w:cs="Arial" w:eastAsia="Arial" w:hAnsi="Arial"/>
                <w:sz w:val="16"/>
                <w:szCs w:val="16"/>
                <w:color w:val="auto"/>
              </w:rPr>
              <w:t>1L mCRPC</w:t>
            </w: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20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(B7H3-ADC)</w:t>
            </w:r>
            <w:r>
              <w:rPr>
                <w:rFonts w:ascii="Arial" w:cs="Arial" w:eastAsia="Arial" w:hAnsi="Arial"/>
                <w:sz w:val="21"/>
                <w:szCs w:val="21"/>
                <w:b w:val="1"/>
                <w:bCs w:val="1"/>
                <w:color w:val="auto"/>
                <w:vertAlign w:val="superscript"/>
              </w:rPr>
              <w:t>4</w:t>
            </w:r>
          </w:p>
        </w:tc>
        <w:tc>
          <w:tcPr>
            <w:tcW w:w="27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240" w:type="dxa"/>
            <w:vAlign w:val="bottom"/>
            <w:tcBorders>
              <w:bottom w:val="single" w:sz="8" w:color="A6A6A6"/>
            </w:tcBorders>
          </w:tcPr>
          <w:p>
            <w:pPr>
              <w:spacing w:after="0"/>
              <w:rPr>
                <w:sz w:val="11"/>
                <w:szCs w:val="11"/>
                <w:color w:val="auto"/>
              </w:rPr>
            </w:pPr>
          </w:p>
        </w:tc>
        <w:tc>
          <w:tcPr>
            <w:tcW w:w="2000" w:type="dxa"/>
            <w:vAlign w:val="bottom"/>
            <w:tcBorders>
              <w:bottom w:val="single" w:sz="8" w:color="A6A6A6"/>
            </w:tcBorders>
            <w:vMerge w:val="continue"/>
          </w:tcPr>
          <w:p>
            <w:pPr>
              <w:spacing w:after="0"/>
              <w:rPr>
                <w:sz w:val="11"/>
                <w:szCs w:val="11"/>
                <w:color w:val="auto"/>
              </w:rPr>
            </w:pPr>
          </w:p>
        </w:tc>
        <w:tc>
          <w:tcPr>
            <w:tcW w:w="2700" w:type="dxa"/>
            <w:vAlign w:val="bottom"/>
            <w:tcBorders>
              <w:bottom w:val="single" w:sz="8" w:color="A6A6A6"/>
            </w:tcBorders>
          </w:tcPr>
          <w:p>
            <w:pPr>
              <w:spacing w:after="0"/>
              <w:rPr>
                <w:sz w:val="11"/>
                <w:szCs w:val="11"/>
                <w:color w:val="auto"/>
              </w:rPr>
            </w:pPr>
          </w:p>
        </w:tc>
        <w:tc>
          <w:tcPr>
            <w:tcW w:w="1340" w:type="dxa"/>
            <w:vAlign w:val="bottom"/>
            <w:tcBorders>
              <w:bottom w:val="single" w:sz="8" w:color="A6A6A6"/>
            </w:tcBorders>
          </w:tcPr>
          <w:p>
            <w:pPr>
              <w:spacing w:after="0"/>
              <w:rPr>
                <w:sz w:val="11"/>
                <w:szCs w:val="11"/>
                <w:color w:val="auto"/>
              </w:rPr>
            </w:pPr>
          </w:p>
        </w:tc>
        <w:tc>
          <w:tcPr>
            <w:tcW w:w="2960" w:type="dxa"/>
            <w:vAlign w:val="bottom"/>
            <w:tcBorders>
              <w:bottom w:val="single" w:sz="8" w:color="A6A6A6"/>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240" w:type="dxa"/>
            <w:vAlign w:val="bottom"/>
            <w:tcBorders>
              <w:bottom w:val="single" w:sz="8" w:color="A6A6A6"/>
            </w:tcBorders>
          </w:tcPr>
          <w:p>
            <w:pPr>
              <w:spacing w:after="0"/>
              <w:rPr>
                <w:sz w:val="20"/>
                <w:szCs w:val="20"/>
                <w:color w:val="auto"/>
              </w:rPr>
            </w:pPr>
          </w:p>
        </w:tc>
        <w:tc>
          <w:tcPr>
            <w:tcW w:w="2000" w:type="dxa"/>
            <w:vAlign w:val="bottom"/>
            <w:tcBorders>
              <w:bottom w:val="single" w:sz="8" w:color="A6A6A6"/>
            </w:tcBorders>
          </w:tcPr>
          <w:p>
            <w:pPr>
              <w:spacing w:after="0"/>
              <w:rPr>
                <w:sz w:val="20"/>
                <w:szCs w:val="20"/>
                <w:color w:val="auto"/>
              </w:rPr>
            </w:pPr>
          </w:p>
        </w:tc>
        <w:tc>
          <w:tcPr>
            <w:tcW w:w="2700" w:type="dxa"/>
            <w:vAlign w:val="bottom"/>
            <w:tcBorders>
              <w:bottom w:val="single" w:sz="8" w:color="A6A6A6"/>
            </w:tcBorders>
          </w:tcPr>
          <w:p>
            <w:pPr>
              <w:spacing w:after="0"/>
              <w:rPr>
                <w:sz w:val="20"/>
                <w:szCs w:val="20"/>
                <w:color w:val="auto"/>
              </w:rPr>
            </w:pPr>
          </w:p>
        </w:tc>
        <w:tc>
          <w:tcPr>
            <w:tcW w:w="1340" w:type="dxa"/>
            <w:vAlign w:val="bottom"/>
            <w:tcBorders>
              <w:bottom w:val="single" w:sz="8" w:color="A6A6A6"/>
            </w:tcBorders>
          </w:tcPr>
          <w:p>
            <w:pPr>
              <w:spacing w:after="0"/>
              <w:rPr>
                <w:sz w:val="20"/>
                <w:szCs w:val="20"/>
                <w:color w:val="auto"/>
              </w:rPr>
            </w:pPr>
          </w:p>
        </w:tc>
        <w:tc>
          <w:tcPr>
            <w:tcW w:w="2960" w:type="dxa"/>
            <w:vAlign w:val="bottom"/>
            <w:tcBorders>
              <w:bottom w:val="single" w:sz="8" w:color="A6A6A6"/>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BLA Submission</w:t>
            </w:r>
          </w:p>
        </w:tc>
        <w:tc>
          <w:tcPr>
            <w:tcW w:w="20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T-Pam (HER2-ADC)</w:t>
            </w:r>
            <w:r>
              <w:rPr>
                <w:rFonts w:ascii="Arial" w:cs="Arial" w:eastAsia="Arial" w:hAnsi="Arial"/>
                <w:sz w:val="21"/>
                <w:szCs w:val="21"/>
                <w:b w:val="1"/>
                <w:bCs w:val="1"/>
                <w:color w:val="auto"/>
                <w:vertAlign w:val="superscript"/>
              </w:rPr>
              <w:t>4</w:t>
            </w:r>
          </w:p>
        </w:tc>
        <w:tc>
          <w:tcPr>
            <w:tcW w:w="2700" w:type="dxa"/>
            <w:vAlign w:val="bottom"/>
            <w:vMerge w:val="restart"/>
          </w:tcPr>
          <w:p>
            <w:pPr>
              <w:ind w:left="360"/>
              <w:spacing w:after="0"/>
              <w:rPr>
                <w:sz w:val="20"/>
                <w:szCs w:val="20"/>
                <w:color w:val="auto"/>
              </w:rPr>
            </w:pPr>
            <w:r>
              <w:rPr>
                <w:rFonts w:ascii="Arial" w:cs="Arial" w:eastAsia="Arial" w:hAnsi="Arial"/>
                <w:sz w:val="16"/>
                <w:szCs w:val="16"/>
                <w:color w:val="auto"/>
              </w:rPr>
              <w:t>ADC</w:t>
            </w:r>
          </w:p>
        </w:tc>
        <w:tc>
          <w:tcPr>
            <w:tcW w:w="13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960" w:type="dxa"/>
            <w:vAlign w:val="bottom"/>
          </w:tcPr>
          <w:p>
            <w:pPr>
              <w:ind w:left="660"/>
              <w:spacing w:after="0"/>
              <w:rPr>
                <w:sz w:val="20"/>
                <w:szCs w:val="20"/>
                <w:color w:val="auto"/>
              </w:rPr>
            </w:pPr>
            <w:r>
              <w:rPr>
                <w:rFonts w:ascii="Arial" w:cs="Arial" w:eastAsia="Arial" w:hAnsi="Arial"/>
                <w:sz w:val="16"/>
                <w:szCs w:val="16"/>
                <w:color w:val="auto"/>
              </w:rPr>
              <w:t>2L+ HER2-expressing</w:t>
            </w:r>
          </w:p>
        </w:tc>
        <w:tc>
          <w:tcPr>
            <w:tcW w:w="0" w:type="dxa"/>
            <w:vAlign w:val="bottom"/>
          </w:tcPr>
          <w:p>
            <w:pPr>
              <w:spacing w:after="0"/>
              <w:rPr>
                <w:sz w:val="1"/>
                <w:szCs w:val="1"/>
                <w:color w:val="auto"/>
              </w:rPr>
            </w:pPr>
          </w:p>
        </w:tc>
      </w:tr>
      <w:tr>
        <w:trPr>
          <w:trHeight w:val="163"/>
        </w:trPr>
        <w:tc>
          <w:tcPr>
            <w:tcW w:w="224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960" w:type="dxa"/>
            <w:vAlign w:val="bottom"/>
            <w:vMerge w:val="restart"/>
          </w:tcPr>
          <w:p>
            <w:pPr>
              <w:ind w:left="660"/>
              <w:spacing w:after="0"/>
              <w:rPr>
                <w:sz w:val="20"/>
                <w:szCs w:val="20"/>
                <w:color w:val="auto"/>
              </w:rPr>
            </w:pPr>
            <w:r>
              <w:rPr>
                <w:rFonts w:ascii="Arial" w:cs="Arial" w:eastAsia="Arial" w:hAnsi="Arial"/>
                <w:sz w:val="16"/>
                <w:szCs w:val="16"/>
                <w:color w:val="auto"/>
              </w:rPr>
              <w:t>endometrial cancer</w:t>
            </w:r>
          </w:p>
        </w:tc>
        <w:tc>
          <w:tcPr>
            <w:tcW w:w="0" w:type="dxa"/>
            <w:vAlign w:val="bottom"/>
          </w:tcPr>
          <w:p>
            <w:pPr>
              <w:spacing w:after="0"/>
              <w:rPr>
                <w:sz w:val="1"/>
                <w:szCs w:val="1"/>
                <w:color w:val="auto"/>
              </w:rPr>
            </w:pPr>
          </w:p>
        </w:tc>
      </w:tr>
      <w:tr>
        <w:trPr>
          <w:trHeight w:val="52"/>
        </w:trPr>
        <w:tc>
          <w:tcPr>
            <w:tcW w:w="2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240" w:type="dxa"/>
            <w:vAlign w:val="bottom"/>
            <w:tcBorders>
              <w:bottom w:val="single" w:sz="8" w:color="A6A6A6"/>
            </w:tcBorders>
          </w:tcPr>
          <w:p>
            <w:pPr>
              <w:spacing w:after="0"/>
              <w:rPr>
                <w:sz w:val="2"/>
                <w:szCs w:val="2"/>
                <w:color w:val="auto"/>
              </w:rPr>
            </w:pPr>
          </w:p>
        </w:tc>
        <w:tc>
          <w:tcPr>
            <w:tcW w:w="2000" w:type="dxa"/>
            <w:vAlign w:val="bottom"/>
            <w:tcBorders>
              <w:bottom w:val="single" w:sz="8" w:color="A6A6A6"/>
            </w:tcBorders>
          </w:tcPr>
          <w:p>
            <w:pPr>
              <w:spacing w:after="0"/>
              <w:rPr>
                <w:sz w:val="2"/>
                <w:szCs w:val="2"/>
                <w:color w:val="auto"/>
              </w:rPr>
            </w:pPr>
          </w:p>
        </w:tc>
        <w:tc>
          <w:tcPr>
            <w:tcW w:w="2700" w:type="dxa"/>
            <w:vAlign w:val="bottom"/>
            <w:tcBorders>
              <w:bottom w:val="single" w:sz="8" w:color="A6A6A6"/>
            </w:tcBorders>
          </w:tcPr>
          <w:p>
            <w:pPr>
              <w:spacing w:after="0"/>
              <w:rPr>
                <w:sz w:val="2"/>
                <w:szCs w:val="2"/>
                <w:color w:val="auto"/>
              </w:rPr>
            </w:pPr>
          </w:p>
        </w:tc>
        <w:tc>
          <w:tcPr>
            <w:tcW w:w="1340" w:type="dxa"/>
            <w:vAlign w:val="bottom"/>
            <w:tcBorders>
              <w:bottom w:val="single" w:sz="8" w:color="A6A6A6"/>
            </w:tcBorders>
          </w:tcPr>
          <w:p>
            <w:pPr>
              <w:spacing w:after="0"/>
              <w:rPr>
                <w:sz w:val="2"/>
                <w:szCs w:val="2"/>
                <w:color w:val="auto"/>
              </w:rPr>
            </w:pPr>
          </w:p>
        </w:tc>
        <w:tc>
          <w:tcPr>
            <w:tcW w:w="296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Partnered with: 1. BMS; 2. OncoC4, Inc. (“OncoC4”); 3. Genentech, a member of the Roche Group; 4. Duality Biologics (Suzhou) Co. Ltd. ("DualityBio"); 5.</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MediLink Therapeutics (Suzhou) Co., Ltd. (“MediLink").</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Abbreviations: 1L = first line; 2L = second line; adj. = adjuvant; HER2 = human epidermal growth factor receptor 2; HR = hormone receptor; (sq) NSCLC = (squamous) non-small cell lung cancer; mCRPC = metastatic castration resistant prostate cancer; HPV16 = human papilloma virus 16; PD-L1 = programmed cell death protein ligand 1; HNSCC = head and neck squamous cell carcinoma; TNBC = triple-negative breast cancer; ctDNA = circulating tumor DNA; (MSS-)CRC = (microsatellite stable-) colorectal cancer; ES-SCLC = extensive-stage small cell lung cancer; HCC = hepatocellular carcinoma; EGFRm = mutated epidermal growth factor receptor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oncology data readouts expected by 2030+</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BioNTech expects at least 17 late-stage data readouts, including from pivotal trials, by 2030+. The respective trials are set to inform multiple launch opportunities for BioNTech to become a multi-product oncology company by 2030. Potential further data readouts will be added with the evolution and maturation of the clinical pipeline.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340" w:type="dxa"/>
            <w:vAlign w:val="bottom"/>
          </w:tcPr>
          <w:p>
            <w:pPr>
              <w:ind w:left="20"/>
              <w:spacing w:after="0"/>
              <w:rPr>
                <w:sz w:val="20"/>
                <w:szCs w:val="20"/>
                <w:color w:val="auto"/>
              </w:rPr>
            </w:pPr>
            <w:r>
              <w:rPr>
                <w:rFonts w:ascii="Arial" w:cs="Arial" w:eastAsia="Arial" w:hAnsi="Arial"/>
                <w:sz w:val="16"/>
                <w:szCs w:val="16"/>
                <w:b w:val="1"/>
                <w:bCs w:val="1"/>
                <w:color w:val="auto"/>
              </w:rPr>
              <w:t>Tumor Type</w:t>
            </w:r>
          </w:p>
        </w:tc>
        <w:tc>
          <w:tcPr>
            <w:tcW w:w="1220" w:type="dxa"/>
            <w:vAlign w:val="bottom"/>
          </w:tcPr>
          <w:p>
            <w:pPr>
              <w:spacing w:after="0"/>
              <w:rPr>
                <w:sz w:val="22"/>
                <w:szCs w:val="22"/>
                <w:color w:val="auto"/>
              </w:rPr>
            </w:pPr>
          </w:p>
        </w:tc>
        <w:tc>
          <w:tcPr>
            <w:tcW w:w="1120" w:type="dxa"/>
            <w:vAlign w:val="bottom"/>
          </w:tcPr>
          <w:p>
            <w:pPr>
              <w:ind w:left="80"/>
              <w:spacing w:after="0"/>
              <w:rPr>
                <w:sz w:val="20"/>
                <w:szCs w:val="20"/>
                <w:color w:val="auto"/>
              </w:rPr>
            </w:pPr>
            <w:r>
              <w:rPr>
                <w:rFonts w:ascii="Arial" w:cs="Arial" w:eastAsia="Arial" w:hAnsi="Arial"/>
                <w:sz w:val="16"/>
                <w:szCs w:val="16"/>
                <w:b w:val="1"/>
                <w:bCs w:val="1"/>
                <w:color w:val="auto"/>
              </w:rPr>
              <w:t>Incidence</w:t>
            </w:r>
            <w:r>
              <w:rPr>
                <w:rFonts w:ascii="Arial" w:cs="Arial" w:eastAsia="Arial" w:hAnsi="Arial"/>
                <w:sz w:val="21"/>
                <w:szCs w:val="21"/>
                <w:b w:val="1"/>
                <w:bCs w:val="1"/>
                <w:color w:val="auto"/>
                <w:vertAlign w:val="superscript"/>
              </w:rPr>
              <w:t>1</w:t>
            </w:r>
          </w:p>
        </w:tc>
        <w:tc>
          <w:tcPr>
            <w:tcW w:w="1100" w:type="dxa"/>
            <w:vAlign w:val="bottom"/>
          </w:tcPr>
          <w:p>
            <w:pPr>
              <w:ind w:left="80"/>
              <w:spacing w:after="0"/>
              <w:rPr>
                <w:sz w:val="20"/>
                <w:szCs w:val="20"/>
                <w:color w:val="auto"/>
              </w:rPr>
            </w:pPr>
            <w:r>
              <w:rPr>
                <w:rFonts w:ascii="Arial" w:cs="Arial" w:eastAsia="Arial" w:hAnsi="Arial"/>
                <w:sz w:val="16"/>
                <w:szCs w:val="16"/>
                <w:b w:val="1"/>
                <w:bCs w:val="1"/>
                <w:color w:val="auto"/>
              </w:rPr>
              <w:t>Assets</w:t>
            </w:r>
          </w:p>
        </w:tc>
        <w:tc>
          <w:tcPr>
            <w:tcW w:w="1900" w:type="dxa"/>
            <w:vAlign w:val="bottom"/>
          </w:tcPr>
          <w:p>
            <w:pPr>
              <w:ind w:left="100"/>
              <w:spacing w:after="0"/>
              <w:rPr>
                <w:sz w:val="20"/>
                <w:szCs w:val="20"/>
                <w:color w:val="auto"/>
              </w:rPr>
            </w:pPr>
            <w:r>
              <w:rPr>
                <w:rFonts w:ascii="Arial" w:cs="Arial" w:eastAsia="Arial" w:hAnsi="Arial"/>
                <w:sz w:val="16"/>
                <w:szCs w:val="16"/>
                <w:b w:val="1"/>
                <w:bCs w:val="1"/>
                <w:color w:val="auto"/>
              </w:rPr>
              <w:t>Late-Stage / Pivotal</w:t>
            </w:r>
          </w:p>
        </w:tc>
        <w:tc>
          <w:tcPr>
            <w:tcW w:w="2180" w:type="dxa"/>
            <w:vAlign w:val="bottom"/>
          </w:tcPr>
          <w:p>
            <w:pPr>
              <w:ind w:left="180"/>
              <w:spacing w:after="0"/>
              <w:rPr>
                <w:sz w:val="20"/>
                <w:szCs w:val="20"/>
                <w:color w:val="auto"/>
              </w:rPr>
            </w:pPr>
            <w:r>
              <w:rPr>
                <w:rFonts w:ascii="Arial" w:cs="Arial" w:eastAsia="Arial" w:hAnsi="Arial"/>
                <w:sz w:val="16"/>
                <w:szCs w:val="16"/>
                <w:b w:val="1"/>
                <w:bCs w:val="1"/>
                <w:color w:val="auto"/>
              </w:rPr>
              <w:t>Expected Data Readouts</w:t>
            </w:r>
            <w:r>
              <w:rPr>
                <w:rFonts w:ascii="Arial" w:cs="Arial" w:eastAsia="Arial" w:hAnsi="Arial"/>
                <w:sz w:val="21"/>
                <w:szCs w:val="21"/>
                <w:b w:val="1"/>
                <w:bCs w:val="1"/>
                <w:color w:val="auto"/>
                <w:vertAlign w:val="superscript"/>
              </w:rPr>
              <w:t>2</w:t>
            </w: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Trials</w:t>
            </w:r>
          </w:p>
        </w:tc>
        <w:tc>
          <w:tcPr>
            <w:tcW w:w="2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2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1L NSCLC</w:t>
            </w:r>
          </w:p>
        </w:tc>
        <w:tc>
          <w:tcPr>
            <w:tcW w:w="11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400k</w:t>
            </w: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Pumitamig</w:t>
            </w:r>
            <w:r>
              <w:rPr>
                <w:rFonts w:ascii="Arial" w:cs="Arial" w:eastAsia="Arial" w:hAnsi="Arial"/>
                <w:sz w:val="21"/>
                <w:szCs w:val="21"/>
                <w:color w:val="auto"/>
                <w:vertAlign w:val="superscript"/>
              </w:rPr>
              <w:t>3</w:t>
            </w:r>
          </w:p>
        </w:tc>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ROSETTA Lung-02</w:t>
            </w:r>
          </w:p>
        </w:tc>
        <w:tc>
          <w:tcPr>
            <w:tcW w:w="21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2029</w:t>
            </w: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1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Lung</w:t>
            </w:r>
          </w:p>
        </w:tc>
        <w:tc>
          <w:tcPr>
            <w:tcW w:w="12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100" w:type="dxa"/>
            <w:vAlign w:val="bottom"/>
            <w:vMerge w:val="restart"/>
          </w:tcPr>
          <w:p>
            <w:pPr>
              <w:ind w:left="80"/>
              <w:spacing w:after="0"/>
              <w:rPr>
                <w:sz w:val="20"/>
                <w:szCs w:val="20"/>
                <w:color w:val="auto"/>
              </w:rPr>
            </w:pPr>
            <w:r>
              <w:rPr>
                <w:rFonts w:ascii="Arial" w:cs="Arial" w:eastAsia="Arial" w:hAnsi="Arial"/>
                <w:sz w:val="16"/>
                <w:szCs w:val="16"/>
                <w:color w:val="auto"/>
              </w:rPr>
              <w:t>Gotistobart</w:t>
            </w:r>
            <w:r>
              <w:rPr>
                <w:rFonts w:ascii="Arial" w:cs="Arial" w:eastAsia="Arial" w:hAnsi="Arial"/>
                <w:sz w:val="21"/>
                <w:szCs w:val="21"/>
                <w:color w:val="auto"/>
                <w:vertAlign w:val="superscript"/>
              </w:rPr>
              <w:t>4</w:t>
            </w:r>
          </w:p>
        </w:tc>
        <w:tc>
          <w:tcPr>
            <w:tcW w:w="1900" w:type="dxa"/>
            <w:vAlign w:val="bottom"/>
            <w:vMerge w:val="restart"/>
          </w:tcPr>
          <w:p>
            <w:pPr>
              <w:ind w:left="100"/>
              <w:spacing w:after="0"/>
              <w:rPr>
                <w:sz w:val="20"/>
                <w:szCs w:val="20"/>
                <w:color w:val="auto"/>
              </w:rPr>
            </w:pPr>
            <w:r>
              <w:rPr>
                <w:rFonts w:ascii="Arial" w:cs="Arial" w:eastAsia="Arial" w:hAnsi="Arial"/>
                <w:sz w:val="16"/>
                <w:szCs w:val="16"/>
                <w:color w:val="auto"/>
              </w:rPr>
              <w:t>PRESERVE-003</w:t>
            </w:r>
          </w:p>
        </w:tc>
        <w:tc>
          <w:tcPr>
            <w:tcW w:w="2180" w:type="dxa"/>
            <w:vAlign w:val="bottom"/>
            <w:vMerge w:val="restart"/>
          </w:tcPr>
          <w:p>
            <w:pPr>
              <w:ind w:left="180"/>
              <w:spacing w:after="0"/>
              <w:rPr>
                <w:sz w:val="20"/>
                <w:szCs w:val="20"/>
                <w:color w:val="auto"/>
              </w:rPr>
            </w:pPr>
            <w:r>
              <w:rPr>
                <w:rFonts w:ascii="Arial" w:cs="Arial" w:eastAsia="Arial" w:hAnsi="Arial"/>
                <w:sz w:val="16"/>
                <w:szCs w:val="16"/>
                <w:color w:val="auto"/>
              </w:rPr>
              <w:t>2026</w:t>
            </w: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900" w:type="dxa"/>
            <w:vAlign w:val="bottom"/>
            <w:tcBorders>
              <w:bottom w:val="single" w:sz="8" w:color="auto"/>
            </w:tcBorders>
            <w:vMerge w:val="continue"/>
          </w:tcPr>
          <w:p>
            <w:pPr>
              <w:spacing w:after="0"/>
              <w:rPr>
                <w:sz w:val="13"/>
                <w:szCs w:val="13"/>
                <w:color w:val="auto"/>
              </w:rPr>
            </w:pPr>
          </w:p>
        </w:tc>
        <w:tc>
          <w:tcPr>
            <w:tcW w:w="2180" w:type="dxa"/>
            <w:vAlign w:val="bottom"/>
            <w:tcBorders>
              <w:bottom w:val="single" w:sz="8" w:color="auto"/>
            </w:tcBorders>
            <w:vMerge w:val="continue"/>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1L ES-SCLC</w:t>
            </w: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80k</w:t>
            </w: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Pumitamig</w:t>
            </w:r>
            <w:r>
              <w:rPr>
                <w:rFonts w:ascii="Arial" w:cs="Arial" w:eastAsia="Arial" w:hAnsi="Arial"/>
                <w:sz w:val="21"/>
                <w:szCs w:val="21"/>
                <w:color w:val="auto"/>
                <w:vertAlign w:val="superscript"/>
              </w:rPr>
              <w:t>3</w:t>
            </w:r>
          </w:p>
        </w:tc>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ROSETTA Lung-01</w:t>
            </w:r>
          </w:p>
        </w:tc>
        <w:tc>
          <w:tcPr>
            <w:tcW w:w="21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2028</w:t>
            </w: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1220" w:type="dxa"/>
            <w:vAlign w:val="bottom"/>
          </w:tcPr>
          <w:p>
            <w:pPr>
              <w:ind w:left="80"/>
              <w:spacing w:after="0"/>
              <w:rPr>
                <w:sz w:val="20"/>
                <w:szCs w:val="20"/>
                <w:color w:val="auto"/>
              </w:rPr>
            </w:pPr>
            <w:r>
              <w:rPr>
                <w:rFonts w:ascii="Arial" w:cs="Arial" w:eastAsia="Arial" w:hAnsi="Arial"/>
                <w:sz w:val="16"/>
                <w:szCs w:val="16"/>
                <w:b w:val="1"/>
                <w:bCs w:val="1"/>
                <w:color w:val="auto"/>
              </w:rPr>
              <w:t>1L TNBC -</w:t>
            </w:r>
          </w:p>
        </w:tc>
        <w:tc>
          <w:tcPr>
            <w:tcW w:w="1120" w:type="dxa"/>
            <w:vAlign w:val="bottom"/>
          </w:tcPr>
          <w:p>
            <w:pPr>
              <w:ind w:left="20"/>
              <w:spacing w:after="0"/>
              <w:rPr>
                <w:sz w:val="20"/>
                <w:szCs w:val="20"/>
                <w:color w:val="auto"/>
              </w:rPr>
            </w:pPr>
            <w:r>
              <w:rPr>
                <w:rFonts w:ascii="Arial" w:cs="Arial" w:eastAsia="Arial" w:hAnsi="Arial"/>
                <w:sz w:val="16"/>
                <w:szCs w:val="16"/>
                <w:b w:val="1"/>
                <w:bCs w:val="1"/>
                <w:color w:val="auto"/>
              </w:rPr>
              <w:t>25k</w:t>
            </w:r>
          </w:p>
        </w:tc>
        <w:tc>
          <w:tcPr>
            <w:tcW w:w="1100" w:type="dxa"/>
            <w:vAlign w:val="bottom"/>
          </w:tcPr>
          <w:p>
            <w:pPr>
              <w:ind w:left="80"/>
              <w:spacing w:after="0"/>
              <w:rPr>
                <w:sz w:val="20"/>
                <w:szCs w:val="20"/>
                <w:color w:val="auto"/>
              </w:rPr>
            </w:pPr>
            <w:r>
              <w:rPr>
                <w:rFonts w:ascii="Arial" w:cs="Arial" w:eastAsia="Arial" w:hAnsi="Arial"/>
                <w:sz w:val="16"/>
                <w:szCs w:val="16"/>
                <w:color w:val="auto"/>
              </w:rPr>
              <w:t>Pumitamig</w:t>
            </w:r>
            <w:r>
              <w:rPr>
                <w:rFonts w:ascii="Arial" w:cs="Arial" w:eastAsia="Arial" w:hAnsi="Arial"/>
                <w:sz w:val="21"/>
                <w:szCs w:val="21"/>
                <w:color w:val="auto"/>
                <w:vertAlign w:val="superscript"/>
              </w:rPr>
              <w:t>3</w:t>
            </w:r>
          </w:p>
        </w:tc>
        <w:tc>
          <w:tcPr>
            <w:tcW w:w="1900" w:type="dxa"/>
            <w:vAlign w:val="bottom"/>
          </w:tcPr>
          <w:p>
            <w:pPr>
              <w:ind w:left="100"/>
              <w:spacing w:after="0"/>
              <w:rPr>
                <w:sz w:val="20"/>
                <w:szCs w:val="20"/>
                <w:color w:val="auto"/>
              </w:rPr>
            </w:pPr>
            <w:r>
              <w:rPr>
                <w:rFonts w:ascii="Arial" w:cs="Arial" w:eastAsia="Arial" w:hAnsi="Arial"/>
                <w:sz w:val="16"/>
                <w:szCs w:val="16"/>
                <w:color w:val="auto"/>
              </w:rPr>
              <w:t>Phase 3 in China</w:t>
            </w:r>
          </w:p>
        </w:tc>
        <w:tc>
          <w:tcPr>
            <w:tcW w:w="2180" w:type="dxa"/>
            <w:vAlign w:val="bottom"/>
          </w:tcPr>
          <w:p>
            <w:pPr>
              <w:ind w:left="180"/>
              <w:spacing w:after="0"/>
              <w:rPr>
                <w:sz w:val="20"/>
                <w:szCs w:val="20"/>
                <w:color w:val="auto"/>
              </w:rPr>
            </w:pPr>
            <w:r>
              <w:rPr>
                <w:rFonts w:ascii="Arial" w:cs="Arial" w:eastAsia="Arial" w:hAnsi="Arial"/>
                <w:sz w:val="16"/>
                <w:szCs w:val="16"/>
                <w:color w:val="auto"/>
              </w:rPr>
              <w:t>2026</w:t>
            </w: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all comers</w:t>
            </w:r>
          </w:p>
        </w:tc>
        <w:tc>
          <w:tcPr>
            <w:tcW w:w="1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340" w:type="dxa"/>
            <w:vAlign w:val="bottom"/>
          </w:tcPr>
          <w:p>
            <w:pPr>
              <w:ind w:left="20"/>
              <w:spacing w:after="0"/>
              <w:rPr>
                <w:sz w:val="20"/>
                <w:szCs w:val="20"/>
                <w:color w:val="auto"/>
              </w:rPr>
            </w:pPr>
            <w:r>
              <w:rPr>
                <w:rFonts w:ascii="Arial" w:cs="Arial" w:eastAsia="Arial" w:hAnsi="Arial"/>
                <w:sz w:val="16"/>
                <w:szCs w:val="16"/>
                <w:b w:val="1"/>
                <w:bCs w:val="1"/>
                <w:color w:val="auto"/>
              </w:rPr>
              <w:t>Breast</w:t>
            </w:r>
          </w:p>
        </w:tc>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1L TNBC -</w:t>
            </w:r>
          </w:p>
        </w:tc>
        <w:tc>
          <w:tcPr>
            <w:tcW w:w="1120" w:type="dxa"/>
            <w:vAlign w:val="bottom"/>
          </w:tcPr>
          <w:p>
            <w:pPr>
              <w:ind w:left="60"/>
              <w:spacing w:after="0"/>
              <w:rPr>
                <w:sz w:val="20"/>
                <w:szCs w:val="20"/>
                <w:color w:val="auto"/>
              </w:rPr>
            </w:pPr>
            <w:r>
              <w:rPr>
                <w:rFonts w:ascii="Arial" w:cs="Arial" w:eastAsia="Arial" w:hAnsi="Arial"/>
                <w:sz w:val="16"/>
                <w:szCs w:val="16"/>
                <w:b w:val="1"/>
                <w:bCs w:val="1"/>
                <w:color w:val="auto"/>
              </w:rPr>
              <w:t>15k</w:t>
            </w:r>
          </w:p>
        </w:tc>
        <w:tc>
          <w:tcPr>
            <w:tcW w:w="1100" w:type="dxa"/>
            <w:vAlign w:val="bottom"/>
          </w:tcPr>
          <w:p>
            <w:pPr>
              <w:ind w:left="80"/>
              <w:spacing w:after="0"/>
              <w:rPr>
                <w:sz w:val="20"/>
                <w:szCs w:val="20"/>
                <w:color w:val="auto"/>
              </w:rPr>
            </w:pPr>
            <w:r>
              <w:rPr>
                <w:rFonts w:ascii="Arial" w:cs="Arial" w:eastAsia="Arial" w:hAnsi="Arial"/>
                <w:sz w:val="16"/>
                <w:szCs w:val="16"/>
                <w:color w:val="auto"/>
              </w:rPr>
              <w:t>Pumitamig</w:t>
            </w:r>
            <w:r>
              <w:rPr>
                <w:rFonts w:ascii="Arial" w:cs="Arial" w:eastAsia="Arial" w:hAnsi="Arial"/>
                <w:sz w:val="21"/>
                <w:szCs w:val="21"/>
                <w:color w:val="auto"/>
                <w:vertAlign w:val="superscript"/>
              </w:rPr>
              <w:t>3</w:t>
            </w:r>
          </w:p>
        </w:tc>
        <w:tc>
          <w:tcPr>
            <w:tcW w:w="1900" w:type="dxa"/>
            <w:vAlign w:val="bottom"/>
          </w:tcPr>
          <w:p>
            <w:pPr>
              <w:ind w:left="100"/>
              <w:spacing w:after="0"/>
              <w:rPr>
                <w:sz w:val="20"/>
                <w:szCs w:val="20"/>
                <w:color w:val="auto"/>
              </w:rPr>
            </w:pPr>
            <w:r>
              <w:rPr>
                <w:rFonts w:ascii="Arial" w:cs="Arial" w:eastAsia="Arial" w:hAnsi="Arial"/>
                <w:sz w:val="16"/>
                <w:szCs w:val="16"/>
                <w:color w:val="auto"/>
              </w:rPr>
              <w:t>ROSETTA Breast-01</w:t>
            </w:r>
          </w:p>
        </w:tc>
        <w:tc>
          <w:tcPr>
            <w:tcW w:w="2180" w:type="dxa"/>
            <w:vAlign w:val="bottom"/>
          </w:tcPr>
          <w:p>
            <w:pPr>
              <w:ind w:left="180"/>
              <w:spacing w:after="0"/>
              <w:rPr>
                <w:sz w:val="20"/>
                <w:szCs w:val="20"/>
                <w:color w:val="auto"/>
              </w:rPr>
            </w:pPr>
            <w:r>
              <w:rPr>
                <w:rFonts w:ascii="Arial" w:cs="Arial" w:eastAsia="Arial" w:hAnsi="Arial"/>
                <w:sz w:val="16"/>
                <w:szCs w:val="16"/>
                <w:color w:val="auto"/>
              </w:rPr>
              <w:t>2029</w:t>
            </w: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CPS &lt; 10</w:t>
            </w: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1220" w:type="dxa"/>
            <w:vAlign w:val="bottom"/>
          </w:tcPr>
          <w:p>
            <w:pPr>
              <w:ind w:left="80"/>
              <w:spacing w:after="0"/>
              <w:rPr>
                <w:sz w:val="20"/>
                <w:szCs w:val="20"/>
                <w:color w:val="auto"/>
              </w:rPr>
            </w:pPr>
            <w:r>
              <w:rPr>
                <w:rFonts w:ascii="Arial" w:cs="Arial" w:eastAsia="Arial" w:hAnsi="Arial"/>
                <w:sz w:val="16"/>
                <w:szCs w:val="16"/>
                <w:b w:val="1"/>
                <w:bCs w:val="1"/>
                <w:color w:val="auto"/>
              </w:rPr>
              <w:t>2L+ HR+ BC –</w:t>
            </w:r>
          </w:p>
        </w:tc>
        <w:tc>
          <w:tcPr>
            <w:tcW w:w="1120" w:type="dxa"/>
            <w:vAlign w:val="bottom"/>
          </w:tcPr>
          <w:p>
            <w:pPr>
              <w:ind w:left="80"/>
              <w:spacing w:after="0"/>
              <w:rPr>
                <w:sz w:val="20"/>
                <w:szCs w:val="20"/>
                <w:color w:val="auto"/>
              </w:rPr>
            </w:pPr>
            <w:r>
              <w:rPr>
                <w:rFonts w:ascii="Arial" w:cs="Arial" w:eastAsia="Arial" w:hAnsi="Arial"/>
                <w:sz w:val="16"/>
                <w:szCs w:val="16"/>
                <w:b w:val="1"/>
                <w:bCs w:val="1"/>
                <w:color w:val="auto"/>
              </w:rPr>
              <w:t>50k</w:t>
            </w:r>
          </w:p>
        </w:tc>
        <w:tc>
          <w:tcPr>
            <w:tcW w:w="1100" w:type="dxa"/>
            <w:vAlign w:val="bottom"/>
          </w:tcPr>
          <w:p>
            <w:pPr>
              <w:ind w:left="80"/>
              <w:spacing w:after="0"/>
              <w:rPr>
                <w:sz w:val="20"/>
                <w:szCs w:val="20"/>
                <w:color w:val="auto"/>
              </w:rPr>
            </w:pPr>
            <w:r>
              <w:rPr>
                <w:rFonts w:ascii="Arial" w:cs="Arial" w:eastAsia="Arial" w:hAnsi="Arial"/>
                <w:sz w:val="16"/>
                <w:szCs w:val="16"/>
                <w:color w:val="auto"/>
              </w:rPr>
              <w:t>T-Pam</w:t>
            </w:r>
            <w:r>
              <w:rPr>
                <w:rFonts w:ascii="Arial" w:cs="Arial" w:eastAsia="Arial" w:hAnsi="Arial"/>
                <w:sz w:val="21"/>
                <w:szCs w:val="21"/>
                <w:color w:val="auto"/>
                <w:vertAlign w:val="superscript"/>
              </w:rPr>
              <w:t>5</w:t>
            </w:r>
          </w:p>
        </w:tc>
        <w:tc>
          <w:tcPr>
            <w:tcW w:w="1900" w:type="dxa"/>
            <w:vAlign w:val="bottom"/>
          </w:tcPr>
          <w:p>
            <w:pPr>
              <w:ind w:left="100"/>
              <w:spacing w:after="0"/>
              <w:rPr>
                <w:sz w:val="20"/>
                <w:szCs w:val="20"/>
                <w:color w:val="auto"/>
              </w:rPr>
            </w:pPr>
            <w:r>
              <w:rPr>
                <w:rFonts w:ascii="Arial" w:cs="Arial" w:eastAsia="Arial" w:hAnsi="Arial"/>
                <w:sz w:val="16"/>
                <w:szCs w:val="16"/>
                <w:color w:val="auto"/>
              </w:rPr>
              <w:t>DYNASTY Breast-02</w:t>
            </w:r>
          </w:p>
        </w:tc>
        <w:tc>
          <w:tcPr>
            <w:tcW w:w="2180" w:type="dxa"/>
            <w:vAlign w:val="bottom"/>
          </w:tcPr>
          <w:p>
            <w:pPr>
              <w:ind w:left="180"/>
              <w:spacing w:after="0"/>
              <w:rPr>
                <w:sz w:val="20"/>
                <w:szCs w:val="20"/>
                <w:color w:val="auto"/>
              </w:rPr>
            </w:pPr>
            <w:r>
              <w:rPr>
                <w:rFonts w:ascii="Arial" w:cs="Arial" w:eastAsia="Arial" w:hAnsi="Arial"/>
                <w:sz w:val="16"/>
                <w:szCs w:val="16"/>
                <w:color w:val="auto"/>
              </w:rPr>
              <w:t>2026</w:t>
            </w: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HER2-low</w:t>
            </w:r>
          </w:p>
        </w:tc>
        <w:tc>
          <w:tcPr>
            <w:tcW w:w="1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1L RCC</w:t>
            </w: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25k</w:t>
            </w: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Pumitamig</w:t>
            </w:r>
            <w:r>
              <w:rPr>
                <w:rFonts w:ascii="Arial" w:cs="Arial" w:eastAsia="Arial" w:hAnsi="Arial"/>
                <w:sz w:val="21"/>
                <w:szCs w:val="21"/>
                <w:color w:val="auto"/>
                <w:vertAlign w:val="superscript"/>
              </w:rPr>
              <w:t>3</w:t>
            </w:r>
          </w:p>
        </w:tc>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ROSETTA RCC-208</w:t>
            </w:r>
            <w:r>
              <w:rPr>
                <w:rFonts w:ascii="Arial" w:cs="Arial" w:eastAsia="Arial" w:hAnsi="Arial"/>
                <w:sz w:val="21"/>
                <w:szCs w:val="21"/>
                <w:color w:val="auto"/>
                <w:vertAlign w:val="superscript"/>
              </w:rPr>
              <w:t>7</w:t>
            </w:r>
          </w:p>
        </w:tc>
        <w:tc>
          <w:tcPr>
            <w:tcW w:w="21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2030+</w:t>
            </w: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Genitourinary</w:t>
            </w:r>
          </w:p>
        </w:tc>
        <w:tc>
          <w:tcPr>
            <w:tcW w:w="12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1L CRPC</w:t>
            </w:r>
          </w:p>
        </w:tc>
        <w:tc>
          <w:tcPr>
            <w:tcW w:w="11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100k</w:t>
            </w:r>
          </w:p>
        </w:tc>
        <w:tc>
          <w:tcPr>
            <w:tcW w:w="1100" w:type="dxa"/>
            <w:vAlign w:val="bottom"/>
          </w:tcPr>
          <w:p>
            <w:pPr>
              <w:ind w:left="80"/>
              <w:spacing w:after="0"/>
              <w:rPr>
                <w:sz w:val="20"/>
                <w:szCs w:val="20"/>
                <w:color w:val="auto"/>
              </w:rPr>
            </w:pPr>
            <w:r>
              <w:rPr>
                <w:rFonts w:ascii="Arial" w:cs="Arial" w:eastAsia="Arial" w:hAnsi="Arial"/>
                <w:sz w:val="16"/>
                <w:szCs w:val="16"/>
                <w:color w:val="auto"/>
              </w:rPr>
              <w:t>BNT324/DB-</w:t>
            </w:r>
          </w:p>
        </w:tc>
        <w:tc>
          <w:tcPr>
            <w:tcW w:w="1900" w:type="dxa"/>
            <w:vAlign w:val="bottom"/>
            <w:vMerge w:val="restart"/>
          </w:tcPr>
          <w:p>
            <w:pPr>
              <w:ind w:left="100"/>
              <w:spacing w:after="0"/>
              <w:rPr>
                <w:sz w:val="20"/>
                <w:szCs w:val="20"/>
                <w:color w:val="auto"/>
              </w:rPr>
            </w:pPr>
            <w:r>
              <w:rPr>
                <w:rFonts w:ascii="Arial" w:cs="Arial" w:eastAsia="Arial" w:hAnsi="Arial"/>
                <w:sz w:val="16"/>
                <w:szCs w:val="16"/>
                <w:color w:val="auto"/>
              </w:rPr>
              <w:t>BNT324-03</w:t>
            </w:r>
          </w:p>
        </w:tc>
        <w:tc>
          <w:tcPr>
            <w:tcW w:w="2180" w:type="dxa"/>
            <w:vAlign w:val="bottom"/>
            <w:vMerge w:val="restart"/>
          </w:tcPr>
          <w:p>
            <w:pPr>
              <w:ind w:left="180"/>
              <w:spacing w:after="0"/>
              <w:rPr>
                <w:sz w:val="20"/>
                <w:szCs w:val="20"/>
                <w:color w:val="auto"/>
              </w:rPr>
            </w:pPr>
            <w:r>
              <w:rPr>
                <w:rFonts w:ascii="Arial" w:cs="Arial" w:eastAsia="Arial" w:hAnsi="Arial"/>
                <w:sz w:val="16"/>
                <w:szCs w:val="16"/>
                <w:color w:val="auto"/>
              </w:rPr>
              <w:t>2029</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3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vMerge w:val="restart"/>
          </w:tcPr>
          <w:p>
            <w:pPr>
              <w:ind w:left="80"/>
              <w:spacing w:after="0"/>
              <w:rPr>
                <w:sz w:val="20"/>
                <w:szCs w:val="20"/>
                <w:color w:val="auto"/>
              </w:rPr>
            </w:pPr>
            <w:r>
              <w:rPr>
                <w:rFonts w:ascii="Arial" w:cs="Arial" w:eastAsia="Arial" w:hAnsi="Arial"/>
                <w:sz w:val="16"/>
                <w:szCs w:val="16"/>
                <w:color w:val="auto"/>
              </w:rPr>
              <w:t>1311</w:t>
            </w:r>
            <w:r>
              <w:rPr>
                <w:rFonts w:ascii="Arial" w:cs="Arial" w:eastAsia="Arial" w:hAnsi="Arial"/>
                <w:sz w:val="21"/>
                <w:szCs w:val="21"/>
                <w:color w:val="auto"/>
                <w:vertAlign w:val="superscript"/>
              </w:rPr>
              <w:t>5</w:t>
            </w:r>
          </w:p>
        </w:tc>
        <w:tc>
          <w:tcPr>
            <w:tcW w:w="190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340" w:type="dxa"/>
            <w:vAlign w:val="bottom"/>
            <w:vMerge w:val="continue"/>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12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Adj. MIUC</w:t>
            </w:r>
          </w:p>
        </w:tc>
        <w:tc>
          <w:tcPr>
            <w:tcW w:w="11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50k</w:t>
            </w:r>
          </w:p>
        </w:tc>
        <w:tc>
          <w:tcPr>
            <w:tcW w:w="1100" w:type="dxa"/>
            <w:vAlign w:val="bottom"/>
          </w:tcPr>
          <w:p>
            <w:pPr>
              <w:ind w:left="80"/>
              <w:spacing w:after="0"/>
              <w:rPr>
                <w:sz w:val="20"/>
                <w:szCs w:val="20"/>
                <w:color w:val="auto"/>
              </w:rPr>
            </w:pPr>
            <w:r>
              <w:rPr>
                <w:rFonts w:ascii="Arial" w:cs="Arial" w:eastAsia="Arial" w:hAnsi="Arial"/>
                <w:sz w:val="16"/>
                <w:szCs w:val="16"/>
                <w:color w:val="auto"/>
              </w:rPr>
              <w:t>Autogene</w:t>
            </w:r>
          </w:p>
        </w:tc>
        <w:tc>
          <w:tcPr>
            <w:tcW w:w="1900" w:type="dxa"/>
            <w:vAlign w:val="bottom"/>
            <w:vMerge w:val="restart"/>
          </w:tcPr>
          <w:p>
            <w:pPr>
              <w:ind w:left="100"/>
              <w:spacing w:after="0"/>
              <w:rPr>
                <w:sz w:val="20"/>
                <w:szCs w:val="20"/>
                <w:color w:val="auto"/>
              </w:rPr>
            </w:pPr>
            <w:r>
              <w:rPr>
                <w:rFonts w:ascii="Arial" w:cs="Arial" w:eastAsia="Arial" w:hAnsi="Arial"/>
                <w:sz w:val="16"/>
                <w:szCs w:val="16"/>
                <w:color w:val="auto"/>
              </w:rPr>
              <w:t>IMCODE004</w:t>
            </w:r>
          </w:p>
        </w:tc>
        <w:tc>
          <w:tcPr>
            <w:tcW w:w="2180" w:type="dxa"/>
            <w:vAlign w:val="bottom"/>
            <w:vMerge w:val="restart"/>
          </w:tcPr>
          <w:p>
            <w:pPr>
              <w:ind w:left="180"/>
              <w:spacing w:after="0"/>
              <w:rPr>
                <w:sz w:val="20"/>
                <w:szCs w:val="20"/>
                <w:color w:val="auto"/>
              </w:rPr>
            </w:pPr>
            <w:r>
              <w:rPr>
                <w:rFonts w:ascii="Arial" w:cs="Arial" w:eastAsia="Arial" w:hAnsi="Arial"/>
                <w:sz w:val="16"/>
                <w:szCs w:val="16"/>
                <w:color w:val="auto"/>
              </w:rPr>
              <w:t>2029</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3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vMerge w:val="restart"/>
          </w:tcPr>
          <w:p>
            <w:pPr>
              <w:ind w:left="80"/>
              <w:spacing w:after="0"/>
              <w:rPr>
                <w:sz w:val="20"/>
                <w:szCs w:val="20"/>
                <w:color w:val="auto"/>
              </w:rPr>
            </w:pPr>
            <w:r>
              <w:rPr>
                <w:rFonts w:ascii="Arial" w:cs="Arial" w:eastAsia="Arial" w:hAnsi="Arial"/>
                <w:sz w:val="16"/>
                <w:szCs w:val="16"/>
                <w:color w:val="auto"/>
              </w:rPr>
              <w:t>cevumeran</w:t>
            </w:r>
            <w:r>
              <w:rPr>
                <w:rFonts w:ascii="Arial" w:cs="Arial" w:eastAsia="Arial" w:hAnsi="Arial"/>
                <w:sz w:val="21"/>
                <w:szCs w:val="21"/>
                <w:color w:val="auto"/>
                <w:vertAlign w:val="superscript"/>
              </w:rPr>
              <w:t>6</w:t>
            </w:r>
          </w:p>
        </w:tc>
        <w:tc>
          <w:tcPr>
            <w:tcW w:w="190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1L MSS-CRC</w:t>
            </w: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220k</w:t>
            </w: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Pumitamig</w:t>
            </w:r>
            <w:r>
              <w:rPr>
                <w:rFonts w:ascii="Arial" w:cs="Arial" w:eastAsia="Arial" w:hAnsi="Arial"/>
                <w:sz w:val="21"/>
                <w:szCs w:val="21"/>
                <w:color w:val="auto"/>
                <w:vertAlign w:val="superscript"/>
              </w:rPr>
              <w:t>3</w:t>
            </w:r>
          </w:p>
        </w:tc>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ROSETTA CRC-203</w:t>
            </w:r>
          </w:p>
        </w:tc>
        <w:tc>
          <w:tcPr>
            <w:tcW w:w="21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2030+</w:t>
            </w: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6"/>
                <w:szCs w:val="16"/>
                <w:b w:val="1"/>
                <w:bCs w:val="1"/>
                <w:color w:val="auto"/>
              </w:rPr>
              <w:t>1L Gastric –</w:t>
            </w: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220" w:type="dxa"/>
            <w:vAlign w:val="bottom"/>
          </w:tcPr>
          <w:p>
            <w:pPr>
              <w:ind w:left="80"/>
              <w:spacing w:after="0"/>
              <w:rPr>
                <w:sz w:val="20"/>
                <w:szCs w:val="20"/>
                <w:color w:val="auto"/>
              </w:rPr>
            </w:pPr>
            <w:r>
              <w:rPr>
                <w:rFonts w:ascii="Arial" w:cs="Arial" w:eastAsia="Arial" w:hAnsi="Arial"/>
                <w:sz w:val="16"/>
                <w:szCs w:val="16"/>
                <w:color w:val="auto"/>
              </w:rPr>
              <w:t>HER2-neg,</w:t>
            </w:r>
          </w:p>
        </w:tc>
        <w:tc>
          <w:tcPr>
            <w:tcW w:w="1120" w:type="dxa"/>
            <w:vAlign w:val="bottom"/>
          </w:tcPr>
          <w:p>
            <w:pPr>
              <w:ind w:left="80"/>
              <w:spacing w:after="0"/>
              <w:rPr>
                <w:sz w:val="20"/>
                <w:szCs w:val="20"/>
                <w:color w:val="auto"/>
              </w:rPr>
            </w:pPr>
            <w:r>
              <w:rPr>
                <w:rFonts w:ascii="Arial" w:cs="Arial" w:eastAsia="Arial" w:hAnsi="Arial"/>
                <w:sz w:val="16"/>
                <w:szCs w:val="16"/>
                <w:b w:val="1"/>
                <w:bCs w:val="1"/>
                <w:color w:val="auto"/>
              </w:rPr>
              <w:t>35k</w:t>
            </w:r>
          </w:p>
        </w:tc>
        <w:tc>
          <w:tcPr>
            <w:tcW w:w="1100" w:type="dxa"/>
            <w:vAlign w:val="bottom"/>
          </w:tcPr>
          <w:p>
            <w:pPr>
              <w:ind w:left="80"/>
              <w:spacing w:after="0" w:line="203" w:lineRule="exact"/>
              <w:rPr>
                <w:sz w:val="20"/>
                <w:szCs w:val="20"/>
                <w:color w:val="auto"/>
              </w:rPr>
            </w:pPr>
            <w:r>
              <w:rPr>
                <w:rFonts w:ascii="Arial" w:cs="Arial" w:eastAsia="Arial" w:hAnsi="Arial"/>
                <w:sz w:val="16"/>
                <w:szCs w:val="16"/>
                <w:color w:val="auto"/>
              </w:rPr>
              <w:t>Pumitamig</w:t>
            </w:r>
            <w:r>
              <w:rPr>
                <w:rFonts w:ascii="Arial" w:cs="Arial" w:eastAsia="Arial" w:hAnsi="Arial"/>
                <w:sz w:val="21"/>
                <w:szCs w:val="21"/>
                <w:color w:val="auto"/>
                <w:vertAlign w:val="superscript"/>
              </w:rPr>
              <w:t>3</w:t>
            </w:r>
          </w:p>
        </w:tc>
        <w:tc>
          <w:tcPr>
            <w:tcW w:w="1900" w:type="dxa"/>
            <w:vAlign w:val="bottom"/>
          </w:tcPr>
          <w:p>
            <w:pPr>
              <w:ind w:left="100"/>
              <w:spacing w:after="0"/>
              <w:rPr>
                <w:sz w:val="20"/>
                <w:szCs w:val="20"/>
                <w:color w:val="auto"/>
              </w:rPr>
            </w:pPr>
            <w:r>
              <w:rPr>
                <w:rFonts w:ascii="Arial" w:cs="Arial" w:eastAsia="Arial" w:hAnsi="Arial"/>
                <w:sz w:val="16"/>
                <w:szCs w:val="16"/>
                <w:color w:val="auto"/>
              </w:rPr>
              <w:t>ROSETTA Gastric-204</w:t>
            </w:r>
          </w:p>
        </w:tc>
        <w:tc>
          <w:tcPr>
            <w:tcW w:w="2180" w:type="dxa"/>
            <w:vAlign w:val="bottom"/>
          </w:tcPr>
          <w:p>
            <w:pPr>
              <w:ind w:left="180"/>
              <w:spacing w:after="0"/>
              <w:rPr>
                <w:sz w:val="20"/>
                <w:szCs w:val="20"/>
                <w:color w:val="auto"/>
              </w:rPr>
            </w:pPr>
            <w:r>
              <w:rPr>
                <w:rFonts w:ascii="Arial" w:cs="Arial" w:eastAsia="Arial" w:hAnsi="Arial"/>
                <w:sz w:val="16"/>
                <w:szCs w:val="16"/>
                <w:color w:val="auto"/>
              </w:rPr>
              <w:t>2030+</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34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6"/>
                <w:szCs w:val="16"/>
                <w:color w:val="auto"/>
              </w:rPr>
              <w:t>PD-L1+</w:t>
            </w: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Gastrointestinal</w:t>
            </w: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40" w:type="dxa"/>
            <w:vAlign w:val="bottom"/>
            <w:vMerge w:val="continue"/>
          </w:tcPr>
          <w:p>
            <w:pPr>
              <w:spacing w:after="0"/>
              <w:rPr>
                <w:sz w:val="21"/>
                <w:szCs w:val="21"/>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1L HCC</w:t>
            </w: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25k</w:t>
            </w: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Pumitamig</w:t>
            </w:r>
            <w:r>
              <w:rPr>
                <w:rFonts w:ascii="Arial" w:cs="Arial" w:eastAsia="Arial" w:hAnsi="Arial"/>
                <w:sz w:val="21"/>
                <w:szCs w:val="21"/>
                <w:color w:val="auto"/>
                <w:vertAlign w:val="superscript"/>
              </w:rPr>
              <w:t>3</w:t>
            </w:r>
          </w:p>
        </w:tc>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ROSETTA HCC-206</w:t>
            </w:r>
            <w:r>
              <w:rPr>
                <w:rFonts w:ascii="Arial" w:cs="Arial" w:eastAsia="Arial" w:hAnsi="Arial"/>
                <w:sz w:val="21"/>
                <w:szCs w:val="21"/>
                <w:color w:val="auto"/>
                <w:vertAlign w:val="superscript"/>
              </w:rPr>
              <w:t>7</w:t>
            </w:r>
          </w:p>
        </w:tc>
        <w:tc>
          <w:tcPr>
            <w:tcW w:w="21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2030+</w:t>
            </w: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6"/>
                <w:szCs w:val="16"/>
                <w:b w:val="1"/>
                <w:bCs w:val="1"/>
                <w:color w:val="auto"/>
              </w:rPr>
              <w:t xml:space="preserve">Adj. CRC </w:t>
            </w:r>
            <w:r>
              <w:rPr>
                <w:rFonts w:ascii="Arial" w:cs="Arial" w:eastAsia="Arial" w:hAnsi="Arial"/>
                <w:sz w:val="16"/>
                <w:szCs w:val="16"/>
                <w:color w:val="auto"/>
              </w:rPr>
              <w:t>–</w:t>
            </w:r>
          </w:p>
        </w:tc>
        <w:tc>
          <w:tcPr>
            <w:tcW w:w="11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70k</w:t>
            </w:r>
          </w:p>
        </w:tc>
        <w:tc>
          <w:tcPr>
            <w:tcW w:w="1100" w:type="dxa"/>
            <w:vAlign w:val="bottom"/>
          </w:tcPr>
          <w:p>
            <w:pPr>
              <w:ind w:left="80"/>
              <w:spacing w:after="0"/>
              <w:rPr>
                <w:sz w:val="20"/>
                <w:szCs w:val="20"/>
                <w:color w:val="auto"/>
              </w:rPr>
            </w:pPr>
            <w:r>
              <w:rPr>
                <w:rFonts w:ascii="Arial" w:cs="Arial" w:eastAsia="Arial" w:hAnsi="Arial"/>
                <w:sz w:val="16"/>
                <w:szCs w:val="16"/>
                <w:color w:val="auto"/>
              </w:rPr>
              <w:t>Autogene</w:t>
            </w:r>
          </w:p>
        </w:tc>
        <w:tc>
          <w:tcPr>
            <w:tcW w:w="1900" w:type="dxa"/>
            <w:vAlign w:val="bottom"/>
            <w:vMerge w:val="restart"/>
          </w:tcPr>
          <w:p>
            <w:pPr>
              <w:ind w:left="100"/>
              <w:spacing w:after="0"/>
              <w:rPr>
                <w:sz w:val="20"/>
                <w:szCs w:val="20"/>
                <w:color w:val="auto"/>
              </w:rPr>
            </w:pPr>
            <w:r>
              <w:rPr>
                <w:rFonts w:ascii="Arial" w:cs="Arial" w:eastAsia="Arial" w:hAnsi="Arial"/>
                <w:sz w:val="16"/>
                <w:szCs w:val="16"/>
                <w:color w:val="auto"/>
              </w:rPr>
              <w:t>BNT122-01</w:t>
            </w:r>
          </w:p>
        </w:tc>
        <w:tc>
          <w:tcPr>
            <w:tcW w:w="2180" w:type="dxa"/>
            <w:vAlign w:val="bottom"/>
            <w:vMerge w:val="restart"/>
          </w:tcPr>
          <w:p>
            <w:pPr>
              <w:ind w:left="180"/>
              <w:spacing w:after="0"/>
              <w:rPr>
                <w:sz w:val="20"/>
                <w:szCs w:val="20"/>
                <w:color w:val="auto"/>
              </w:rPr>
            </w:pPr>
            <w:r>
              <w:rPr>
                <w:rFonts w:ascii="Arial" w:cs="Arial" w:eastAsia="Arial" w:hAnsi="Arial"/>
                <w:sz w:val="16"/>
                <w:szCs w:val="16"/>
                <w:color w:val="auto"/>
              </w:rPr>
              <w:t>2026</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340" w:type="dxa"/>
            <w:vAlign w:val="bottom"/>
          </w:tcPr>
          <w:p>
            <w:pPr>
              <w:spacing w:after="0"/>
              <w:rPr>
                <w:sz w:val="9"/>
                <w:szCs w:val="9"/>
                <w:color w:val="auto"/>
              </w:rPr>
            </w:pPr>
          </w:p>
        </w:tc>
        <w:tc>
          <w:tcPr>
            <w:tcW w:w="1220" w:type="dxa"/>
            <w:vAlign w:val="bottom"/>
            <w:vMerge w:val="restart"/>
          </w:tcPr>
          <w:p>
            <w:pPr>
              <w:ind w:left="80"/>
              <w:spacing w:after="0"/>
              <w:rPr>
                <w:sz w:val="20"/>
                <w:szCs w:val="20"/>
                <w:color w:val="auto"/>
              </w:rPr>
            </w:pPr>
            <w:r>
              <w:rPr>
                <w:rFonts w:ascii="Arial" w:cs="Arial" w:eastAsia="Arial" w:hAnsi="Arial"/>
                <w:sz w:val="16"/>
                <w:szCs w:val="16"/>
                <w:color w:val="auto"/>
              </w:rPr>
              <w:t>ctDNA+</w:t>
            </w:r>
          </w:p>
        </w:tc>
        <w:tc>
          <w:tcPr>
            <w:tcW w:w="1120" w:type="dxa"/>
            <w:vAlign w:val="bottom"/>
            <w:vMerge w:val="continue"/>
          </w:tcPr>
          <w:p>
            <w:pPr>
              <w:spacing w:after="0"/>
              <w:rPr>
                <w:sz w:val="9"/>
                <w:szCs w:val="9"/>
                <w:color w:val="auto"/>
              </w:rPr>
            </w:pPr>
          </w:p>
        </w:tc>
        <w:tc>
          <w:tcPr>
            <w:tcW w:w="1100" w:type="dxa"/>
            <w:vAlign w:val="bottom"/>
            <w:vMerge w:val="restart"/>
          </w:tcPr>
          <w:p>
            <w:pPr>
              <w:ind w:left="80"/>
              <w:spacing w:after="0"/>
              <w:rPr>
                <w:sz w:val="20"/>
                <w:szCs w:val="20"/>
                <w:color w:val="auto"/>
              </w:rPr>
            </w:pPr>
            <w:r>
              <w:rPr>
                <w:rFonts w:ascii="Arial" w:cs="Arial" w:eastAsia="Arial" w:hAnsi="Arial"/>
                <w:sz w:val="16"/>
                <w:szCs w:val="16"/>
                <w:color w:val="auto"/>
              </w:rPr>
              <w:t>cevumeran</w:t>
            </w:r>
            <w:r>
              <w:rPr>
                <w:rFonts w:ascii="Arial" w:cs="Arial" w:eastAsia="Arial" w:hAnsi="Arial"/>
                <w:sz w:val="21"/>
                <w:szCs w:val="21"/>
                <w:color w:val="auto"/>
                <w:vertAlign w:val="superscript"/>
              </w:rPr>
              <w:t>6</w:t>
            </w:r>
          </w:p>
        </w:tc>
        <w:tc>
          <w:tcPr>
            <w:tcW w:w="190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12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Adj. PDAC</w:t>
            </w:r>
          </w:p>
        </w:tc>
        <w:tc>
          <w:tcPr>
            <w:tcW w:w="11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40k</w:t>
            </w:r>
          </w:p>
        </w:tc>
        <w:tc>
          <w:tcPr>
            <w:tcW w:w="1100" w:type="dxa"/>
            <w:vAlign w:val="bottom"/>
          </w:tcPr>
          <w:p>
            <w:pPr>
              <w:ind w:left="80"/>
              <w:spacing w:after="0"/>
              <w:rPr>
                <w:sz w:val="20"/>
                <w:szCs w:val="20"/>
                <w:color w:val="auto"/>
              </w:rPr>
            </w:pPr>
            <w:r>
              <w:rPr>
                <w:rFonts w:ascii="Arial" w:cs="Arial" w:eastAsia="Arial" w:hAnsi="Arial"/>
                <w:sz w:val="16"/>
                <w:szCs w:val="16"/>
                <w:color w:val="auto"/>
              </w:rPr>
              <w:t>Autogene</w:t>
            </w:r>
          </w:p>
        </w:tc>
        <w:tc>
          <w:tcPr>
            <w:tcW w:w="1900" w:type="dxa"/>
            <w:vAlign w:val="bottom"/>
            <w:vMerge w:val="restart"/>
          </w:tcPr>
          <w:p>
            <w:pPr>
              <w:ind w:left="100"/>
              <w:spacing w:after="0"/>
              <w:rPr>
                <w:sz w:val="20"/>
                <w:szCs w:val="20"/>
                <w:color w:val="auto"/>
              </w:rPr>
            </w:pPr>
            <w:r>
              <w:rPr>
                <w:rFonts w:ascii="Arial" w:cs="Arial" w:eastAsia="Arial" w:hAnsi="Arial"/>
                <w:sz w:val="16"/>
                <w:szCs w:val="16"/>
                <w:color w:val="auto"/>
              </w:rPr>
              <w:t>IMCODE003</w:t>
            </w:r>
          </w:p>
        </w:tc>
        <w:tc>
          <w:tcPr>
            <w:tcW w:w="2180" w:type="dxa"/>
            <w:vAlign w:val="bottom"/>
            <w:vMerge w:val="restart"/>
          </w:tcPr>
          <w:p>
            <w:pPr>
              <w:ind w:left="180"/>
              <w:spacing w:after="0"/>
              <w:rPr>
                <w:sz w:val="20"/>
                <w:szCs w:val="20"/>
                <w:color w:val="auto"/>
              </w:rPr>
            </w:pPr>
            <w:r>
              <w:rPr>
                <w:rFonts w:ascii="Arial" w:cs="Arial" w:eastAsia="Arial" w:hAnsi="Arial"/>
                <w:sz w:val="16"/>
                <w:szCs w:val="16"/>
                <w:color w:val="auto"/>
              </w:rPr>
              <w:t>2029</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3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vMerge w:val="restart"/>
          </w:tcPr>
          <w:p>
            <w:pPr>
              <w:ind w:left="80"/>
              <w:spacing w:after="0"/>
              <w:rPr>
                <w:sz w:val="20"/>
                <w:szCs w:val="20"/>
                <w:color w:val="auto"/>
              </w:rPr>
            </w:pPr>
            <w:r>
              <w:rPr>
                <w:rFonts w:ascii="Arial" w:cs="Arial" w:eastAsia="Arial" w:hAnsi="Arial"/>
                <w:sz w:val="16"/>
                <w:szCs w:val="16"/>
                <w:color w:val="auto"/>
              </w:rPr>
              <w:t>cevumeran</w:t>
            </w:r>
            <w:r>
              <w:rPr>
                <w:rFonts w:ascii="Arial" w:cs="Arial" w:eastAsia="Arial" w:hAnsi="Arial"/>
                <w:sz w:val="21"/>
                <w:szCs w:val="21"/>
                <w:color w:val="auto"/>
                <w:vertAlign w:val="superscript"/>
              </w:rPr>
              <w:t>6</w:t>
            </w:r>
          </w:p>
        </w:tc>
        <w:tc>
          <w:tcPr>
            <w:tcW w:w="190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4991735</wp:posOffset>
            </wp:positionH>
            <wp:positionV relativeFrom="page">
              <wp:posOffset>88900</wp:posOffset>
            </wp:positionV>
            <wp:extent cx="234886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48865" cy="257175"/>
                    </a:xfrm>
                    <a:prstGeom prst="rect">
                      <a:avLst/>
                    </a:prstGeom>
                    <a:noFill/>
                  </pic:spPr>
                </pic:pic>
              </a:graphicData>
            </a:graphic>
          </wp:anchor>
        </w:drawing>
        <w:drawing>
          <wp:anchor simplePos="0" relativeHeight="251657728" behindDoc="1" locked="0" layoutInCell="0" allowOverlap="1">
            <wp:simplePos x="0" y="0"/>
            <wp:positionH relativeFrom="page">
              <wp:posOffset>1048385</wp:posOffset>
            </wp:positionH>
            <wp:positionV relativeFrom="page">
              <wp:posOffset>929005</wp:posOffset>
            </wp:positionV>
            <wp:extent cx="4783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03"/>
        </w:trPr>
        <w:tc>
          <w:tcPr>
            <w:tcW w:w="1320" w:type="dxa"/>
            <w:vAlign w:val="bottom"/>
          </w:tcPr>
          <w:p>
            <w:pPr>
              <w:spacing w:after="0"/>
              <w:rPr>
                <w:sz w:val="17"/>
                <w:szCs w:val="17"/>
                <w:color w:val="auto"/>
              </w:rPr>
            </w:pPr>
          </w:p>
        </w:tc>
        <w:tc>
          <w:tcPr>
            <w:tcW w:w="1220" w:type="dxa"/>
            <w:vAlign w:val="bottom"/>
          </w:tcPr>
          <w:p>
            <w:pPr>
              <w:ind w:left="60"/>
              <w:spacing w:after="0"/>
              <w:rPr>
                <w:sz w:val="20"/>
                <w:szCs w:val="20"/>
                <w:color w:val="auto"/>
              </w:rPr>
            </w:pPr>
            <w:r>
              <w:rPr>
                <w:rFonts w:ascii="Arial" w:cs="Arial" w:eastAsia="Arial" w:hAnsi="Arial"/>
                <w:sz w:val="16"/>
                <w:szCs w:val="16"/>
                <w:b w:val="1"/>
                <w:bCs w:val="1"/>
                <w:color w:val="auto"/>
              </w:rPr>
              <w:t>2L+</w:t>
            </w:r>
          </w:p>
        </w:tc>
        <w:tc>
          <w:tcPr>
            <w:tcW w:w="1120" w:type="dxa"/>
            <w:vAlign w:val="bottom"/>
          </w:tcPr>
          <w:p>
            <w:pPr>
              <w:spacing w:after="0"/>
              <w:rPr>
                <w:sz w:val="17"/>
                <w:szCs w:val="17"/>
                <w:color w:val="auto"/>
              </w:rPr>
            </w:pPr>
          </w:p>
        </w:tc>
        <w:tc>
          <w:tcPr>
            <w:tcW w:w="1040" w:type="dxa"/>
            <w:vAlign w:val="bottom"/>
            <w:vMerge w:val="restart"/>
          </w:tcPr>
          <w:p>
            <w:pPr>
              <w:ind w:left="80"/>
              <w:spacing w:after="0"/>
              <w:rPr>
                <w:sz w:val="20"/>
                <w:szCs w:val="20"/>
                <w:color w:val="auto"/>
              </w:rPr>
            </w:pPr>
            <w:r>
              <w:rPr>
                <w:rFonts w:ascii="Arial" w:cs="Arial" w:eastAsia="Arial" w:hAnsi="Arial"/>
                <w:sz w:val="16"/>
                <w:szCs w:val="16"/>
                <w:color w:val="auto"/>
              </w:rPr>
              <w:t>T-Pam</w:t>
            </w:r>
            <w:r>
              <w:rPr>
                <w:rFonts w:ascii="Arial" w:cs="Arial" w:eastAsia="Arial" w:hAnsi="Arial"/>
                <w:sz w:val="21"/>
                <w:szCs w:val="21"/>
                <w:color w:val="auto"/>
                <w:vertAlign w:val="superscript"/>
              </w:rPr>
              <w:t>5</w:t>
            </w:r>
          </w:p>
        </w:tc>
        <w:tc>
          <w:tcPr>
            <w:tcW w:w="2000" w:type="dxa"/>
            <w:vAlign w:val="bottom"/>
            <w:vMerge w:val="restart"/>
          </w:tcPr>
          <w:p>
            <w:pPr>
              <w:ind w:left="160"/>
              <w:spacing w:after="0"/>
              <w:rPr>
                <w:sz w:val="20"/>
                <w:szCs w:val="20"/>
                <w:color w:val="auto"/>
              </w:rPr>
            </w:pPr>
            <w:r>
              <w:rPr>
                <w:rFonts w:ascii="Arial" w:cs="Arial" w:eastAsia="Arial" w:hAnsi="Arial"/>
                <w:sz w:val="16"/>
                <w:szCs w:val="16"/>
                <w:color w:val="auto"/>
              </w:rPr>
              <w:t>Single-arm Phase 2</w:t>
            </w:r>
          </w:p>
        </w:tc>
        <w:tc>
          <w:tcPr>
            <w:tcW w:w="2140" w:type="dxa"/>
            <w:vAlign w:val="bottom"/>
            <w:vMerge w:val="restart"/>
          </w:tcPr>
          <w:p>
            <w:pPr>
              <w:ind w:left="140"/>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57"/>
        </w:trPr>
        <w:tc>
          <w:tcPr>
            <w:tcW w:w="1320" w:type="dxa"/>
            <w:vAlign w:val="bottom"/>
          </w:tcPr>
          <w:p>
            <w:pPr>
              <w:spacing w:after="0"/>
              <w:rPr>
                <w:sz w:val="20"/>
                <w:szCs w:val="20"/>
                <w:color w:val="auto"/>
              </w:rPr>
            </w:pPr>
            <w:r>
              <w:rPr>
                <w:rFonts w:ascii="Arial" w:cs="Arial" w:eastAsia="Arial" w:hAnsi="Arial"/>
                <w:sz w:val="16"/>
                <w:szCs w:val="16"/>
                <w:b w:val="1"/>
                <w:bCs w:val="1"/>
                <w:color w:val="auto"/>
              </w:rPr>
              <w:t>Gynecologic</w:t>
            </w:r>
          </w:p>
        </w:tc>
        <w:tc>
          <w:tcPr>
            <w:tcW w:w="1220" w:type="dxa"/>
            <w:vAlign w:val="bottom"/>
          </w:tcPr>
          <w:p>
            <w:pPr>
              <w:ind w:left="60"/>
              <w:spacing w:after="0"/>
              <w:rPr>
                <w:sz w:val="20"/>
                <w:szCs w:val="20"/>
                <w:color w:val="auto"/>
              </w:rPr>
            </w:pPr>
            <w:r>
              <w:rPr>
                <w:rFonts w:ascii="Arial" w:cs="Arial" w:eastAsia="Arial" w:hAnsi="Arial"/>
                <w:sz w:val="16"/>
                <w:szCs w:val="16"/>
                <w:b w:val="1"/>
                <w:bCs w:val="1"/>
                <w:color w:val="auto"/>
              </w:rPr>
              <w:t>Endometrial –</w:t>
            </w:r>
          </w:p>
        </w:tc>
        <w:tc>
          <w:tcPr>
            <w:tcW w:w="1120" w:type="dxa"/>
            <w:vAlign w:val="bottom"/>
          </w:tcPr>
          <w:p>
            <w:pPr>
              <w:ind w:left="80"/>
              <w:spacing w:after="0"/>
              <w:rPr>
                <w:sz w:val="20"/>
                <w:szCs w:val="20"/>
                <w:color w:val="auto"/>
              </w:rPr>
            </w:pPr>
            <w:r>
              <w:rPr>
                <w:rFonts w:ascii="Arial" w:cs="Arial" w:eastAsia="Arial" w:hAnsi="Arial"/>
                <w:sz w:val="16"/>
                <w:szCs w:val="16"/>
                <w:b w:val="1"/>
                <w:bCs w:val="1"/>
                <w:color w:val="auto"/>
              </w:rPr>
              <w:t>30k</w:t>
            </w:r>
          </w:p>
        </w:tc>
        <w:tc>
          <w:tcPr>
            <w:tcW w:w="1040" w:type="dxa"/>
            <w:vAlign w:val="bottom"/>
            <w:vMerge w:val="continue"/>
          </w:tcPr>
          <w:p>
            <w:pPr>
              <w:spacing w:after="0"/>
              <w:rPr>
                <w:sz w:val="22"/>
                <w:szCs w:val="22"/>
                <w:color w:val="auto"/>
              </w:rPr>
            </w:pPr>
          </w:p>
        </w:tc>
        <w:tc>
          <w:tcPr>
            <w:tcW w:w="2000" w:type="dxa"/>
            <w:vAlign w:val="bottom"/>
            <w:vMerge w:val="continue"/>
          </w:tcPr>
          <w:p>
            <w:pPr>
              <w:spacing w:after="0"/>
              <w:rPr>
                <w:sz w:val="22"/>
                <w:szCs w:val="22"/>
                <w:color w:val="auto"/>
              </w:rPr>
            </w:pPr>
          </w:p>
        </w:tc>
        <w:tc>
          <w:tcPr>
            <w:tcW w:w="2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220" w:type="dxa"/>
            <w:vAlign w:val="bottom"/>
          </w:tcPr>
          <w:p>
            <w:pPr>
              <w:ind w:left="60"/>
              <w:spacing w:after="0" w:line="122" w:lineRule="exact"/>
              <w:rPr>
                <w:sz w:val="20"/>
                <w:szCs w:val="20"/>
                <w:color w:val="auto"/>
              </w:rPr>
            </w:pPr>
            <w:r>
              <w:rPr>
                <w:rFonts w:ascii="Arial" w:cs="Arial" w:eastAsia="Arial" w:hAnsi="Arial"/>
                <w:sz w:val="14"/>
                <w:szCs w:val="14"/>
                <w:color w:val="auto"/>
              </w:rPr>
              <w:t>HER2-</w:t>
            </w:r>
          </w:p>
        </w:tc>
        <w:tc>
          <w:tcPr>
            <w:tcW w:w="11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1"/>
                <w:szCs w:val="21"/>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expressing</w:t>
            </w:r>
          </w:p>
        </w:tc>
        <w:tc>
          <w:tcPr>
            <w:tcW w:w="1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T-Pam</w:t>
            </w:r>
            <w:r>
              <w:rPr>
                <w:rFonts w:ascii="Arial" w:cs="Arial" w:eastAsia="Arial" w:hAnsi="Arial"/>
                <w:sz w:val="21"/>
                <w:szCs w:val="21"/>
                <w:color w:val="auto"/>
                <w:vertAlign w:val="superscript"/>
              </w:rPr>
              <w:t>5</w:t>
            </w:r>
          </w:p>
        </w:tc>
        <w:tc>
          <w:tcPr>
            <w:tcW w:w="20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Fern-EC-01</w:t>
            </w:r>
          </w:p>
        </w:tc>
        <w:tc>
          <w:tcPr>
            <w:tcW w:w="21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1"/>
                <w:szCs w:val="21"/>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1L HNSCC</w:t>
            </w: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150k</w:t>
            </w: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Pumitamig</w:t>
            </w:r>
            <w:r>
              <w:rPr>
                <w:rFonts w:ascii="Arial" w:cs="Arial" w:eastAsia="Arial" w:hAnsi="Arial"/>
                <w:sz w:val="21"/>
                <w:szCs w:val="21"/>
                <w:color w:val="auto"/>
                <w:vertAlign w:val="superscript"/>
              </w:rPr>
              <w:t>3</w:t>
            </w:r>
          </w:p>
        </w:tc>
        <w:tc>
          <w:tcPr>
            <w:tcW w:w="20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ROSETTA HNSCC-205</w:t>
            </w:r>
          </w:p>
        </w:tc>
        <w:tc>
          <w:tcPr>
            <w:tcW w:w="21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6"/>
                <w:szCs w:val="16"/>
                <w:b w:val="1"/>
                <w:bCs w:val="1"/>
                <w:color w:val="auto"/>
              </w:rPr>
              <w:t>Additional</w:t>
            </w:r>
          </w:p>
        </w:tc>
        <w:tc>
          <w:tcPr>
            <w:tcW w:w="1220" w:type="dxa"/>
            <w:vAlign w:val="bottom"/>
          </w:tcPr>
          <w:p>
            <w:pPr>
              <w:ind w:left="60"/>
              <w:spacing w:after="0"/>
              <w:rPr>
                <w:sz w:val="20"/>
                <w:szCs w:val="20"/>
                <w:color w:val="auto"/>
              </w:rPr>
            </w:pPr>
            <w:r>
              <w:rPr>
                <w:rFonts w:ascii="Arial" w:cs="Arial" w:eastAsia="Arial" w:hAnsi="Arial"/>
                <w:sz w:val="16"/>
                <w:szCs w:val="16"/>
                <w:b w:val="1"/>
                <w:bCs w:val="1"/>
                <w:color w:val="auto"/>
              </w:rPr>
              <w:t>1L HNSCC –</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Arial" w:cs="Arial" w:eastAsia="Arial" w:hAnsi="Arial"/>
                <w:sz w:val="16"/>
                <w:szCs w:val="16"/>
                <w:b w:val="1"/>
                <w:bCs w:val="1"/>
                <w:color w:val="auto"/>
              </w:rPr>
              <w:t>Tumors</w:t>
            </w:r>
          </w:p>
        </w:tc>
        <w:tc>
          <w:tcPr>
            <w:tcW w:w="1220" w:type="dxa"/>
            <w:vAlign w:val="bottom"/>
          </w:tcPr>
          <w:p>
            <w:pPr>
              <w:ind w:left="60"/>
              <w:spacing w:after="0"/>
              <w:rPr>
                <w:sz w:val="20"/>
                <w:szCs w:val="20"/>
                <w:color w:val="auto"/>
              </w:rPr>
            </w:pPr>
            <w:r>
              <w:rPr>
                <w:rFonts w:ascii="Arial" w:cs="Arial" w:eastAsia="Arial" w:hAnsi="Arial"/>
                <w:sz w:val="16"/>
                <w:szCs w:val="16"/>
                <w:color w:val="auto"/>
              </w:rPr>
              <w:t>PDL1 CPS ≥ 1,</w:t>
            </w:r>
          </w:p>
        </w:tc>
        <w:tc>
          <w:tcPr>
            <w:tcW w:w="1120" w:type="dxa"/>
            <w:vAlign w:val="bottom"/>
          </w:tcPr>
          <w:p>
            <w:pPr>
              <w:ind w:left="80"/>
              <w:spacing w:after="0"/>
              <w:rPr>
                <w:sz w:val="20"/>
                <w:szCs w:val="20"/>
                <w:color w:val="auto"/>
              </w:rPr>
            </w:pPr>
            <w:r>
              <w:rPr>
                <w:rFonts w:ascii="Arial" w:cs="Arial" w:eastAsia="Arial" w:hAnsi="Arial"/>
                <w:sz w:val="16"/>
                <w:szCs w:val="16"/>
                <w:b w:val="1"/>
                <w:bCs w:val="1"/>
                <w:color w:val="auto"/>
              </w:rPr>
              <w:t>50k</w:t>
            </w:r>
          </w:p>
        </w:tc>
        <w:tc>
          <w:tcPr>
            <w:tcW w:w="1040" w:type="dxa"/>
            <w:vAlign w:val="bottom"/>
          </w:tcPr>
          <w:p>
            <w:pPr>
              <w:ind w:left="80"/>
              <w:spacing w:after="0"/>
              <w:rPr>
                <w:sz w:val="20"/>
                <w:szCs w:val="20"/>
                <w:color w:val="auto"/>
              </w:rPr>
            </w:pPr>
            <w:r>
              <w:rPr>
                <w:rFonts w:ascii="Arial" w:cs="Arial" w:eastAsia="Arial" w:hAnsi="Arial"/>
                <w:sz w:val="16"/>
                <w:szCs w:val="16"/>
                <w:color w:val="auto"/>
              </w:rPr>
              <w:t>BNT113</w:t>
            </w:r>
          </w:p>
        </w:tc>
        <w:tc>
          <w:tcPr>
            <w:tcW w:w="2000" w:type="dxa"/>
            <w:vAlign w:val="bottom"/>
          </w:tcPr>
          <w:p>
            <w:pPr>
              <w:ind w:left="160"/>
              <w:spacing w:after="0"/>
              <w:rPr>
                <w:sz w:val="20"/>
                <w:szCs w:val="20"/>
                <w:color w:val="auto"/>
              </w:rPr>
            </w:pPr>
            <w:r>
              <w:rPr>
                <w:rFonts w:ascii="Arial" w:cs="Arial" w:eastAsia="Arial" w:hAnsi="Arial"/>
                <w:sz w:val="16"/>
                <w:szCs w:val="16"/>
                <w:color w:val="auto"/>
              </w:rPr>
              <w:t>AHEAD-MERIT</w:t>
            </w:r>
          </w:p>
        </w:tc>
        <w:tc>
          <w:tcPr>
            <w:tcW w:w="2140" w:type="dxa"/>
            <w:vAlign w:val="bottom"/>
          </w:tcPr>
          <w:p>
            <w:pPr>
              <w:ind w:left="140"/>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bl>
    <w:p>
      <w:pPr>
        <w:ind w:left="1400"/>
        <w:spacing w:after="0"/>
        <w:rPr>
          <w:sz w:val="20"/>
          <w:szCs w:val="20"/>
          <w:color w:val="auto"/>
        </w:rPr>
      </w:pPr>
      <w:r>
        <w:rPr>
          <w:rFonts w:ascii="Arial" w:cs="Arial" w:eastAsia="Arial" w:hAnsi="Arial"/>
          <w:sz w:val="16"/>
          <w:szCs w:val="16"/>
          <w:color w:val="auto"/>
        </w:rPr>
        <w:t>HPV16+</w:t>
      </w:r>
    </w:p>
    <w:p>
      <w:pPr>
        <w:spacing w:after="0" w:line="300" w:lineRule="exact"/>
        <w:rPr>
          <w:sz w:val="20"/>
          <w:szCs w:val="20"/>
          <w:color w:val="auto"/>
        </w:rPr>
      </w:pPr>
    </w:p>
    <w:p>
      <w:pPr>
        <w:jc w:val="both"/>
        <w:ind w:right="20" w:firstLine="8"/>
        <w:spacing w:after="0" w:line="274" w:lineRule="auto"/>
        <w:tabs>
          <w:tab w:leader="none" w:pos="189"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Estimated 1L or adjuvant incidence (incidence + newly recurrent patients) in 2030 in the G7 markets derived from Oracle CancerMPact as of Dec 2025; incidence information is for informational purposes only and is not intended to indicate the potential market size or reach of BioNTech’s and its collaborators’ product candidates, if approved; 2. Expected data readouts may be from interim or final analyses, and in some cases may not translate into commercial launches; partnered with 3. BMS; 4. OncoC4; 5. DualityBio; 6. Genentech, a member of the Roche group; 7. These are Phase 1/2 trials. The anticipated pivotal trials evaluating pumitamig in these tumor types are expected to readout after 2030.</w:t>
      </w:r>
    </w:p>
    <w:p>
      <w:pPr>
        <w:spacing w:after="0" w:line="20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Abbreviations: CPS = combined positive score; BC = breast cancer; MIUC = muscle-invasive urothelial carcinoma; PDAC = pancreatic ductal adenocarcinoma.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and Outlook</w:t>
      </w:r>
    </w:p>
    <w:p>
      <w:pPr>
        <w:spacing w:after="0" w:line="4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BioNTech maintained a strong financial position throughout 2025, driven by its revenue-generating COVID-19 vaccine business and strategic partnership with BMS. BioNTech held approximately €17.2 billion in cash, cash equivalents and security investments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as of December 31, 2025. In November 2025, the Company increased its 2025 revenue guidance to a range of €2.6-2.8 billion, and lowered expense guidance ranges for R&amp;D, SG&amp;A and capital expenditures.</w:t>
      </w:r>
    </w:p>
    <w:p>
      <w:pPr>
        <w:spacing w:after="0" w:line="23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2026, BioNTech anticipates a modest decline in Comirnaty revenues compared to 2025, reflecting COVID-19 vaccine market dynamics, which are influenced by various factors, including but not limited to changing vaccine recommendations, specifically in the United States, and the continued transition from multi-year contracts to private markets in different geographies. BioNTech does not currently anticipate the recognition of revenues from the sale of any oncology products in 2026. Per the outlined partnership terms, revenues to BioNTech from the collaboration with BMS in 2026 are expected to be broadly in line with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Investor and Analyst Events</w:t>
      </w:r>
    </w:p>
    <w:p>
      <w:pPr>
        <w:spacing w:after="0" w:line="4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Full Year and Fourth Quarter 2025 Financial Results: March 10, 2026</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Annual General Meeting: May 15, 2026</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immunomodulators, targeted therapies such as antibody-drug conjugates (ADCs) and innovative chimeric antigen receptor (CAR) T cell therapies, and mRNA cancer immunotherapies.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Genmab, MediLink, OncoC4, Pfizer and Regeneron.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645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36"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3"/>
          <w:szCs w:val="23"/>
          <w:color w:val="auto"/>
          <w:vertAlign w:val="superscript"/>
        </w:rPr>
      </w:pPr>
      <w:r>
        <w:rPr>
          <w:rFonts w:ascii="Arial" w:cs="Arial" w:eastAsia="Arial" w:hAnsi="Arial"/>
          <w:sz w:val="16"/>
          <w:szCs w:val="16"/>
          <w:color w:val="auto"/>
        </w:rPr>
        <w:t>Preliminary, unaudited figure; consists of cash, cash equivalents and security investments, as of December 31, 2025.</w:t>
      </w:r>
    </w:p>
    <w:p>
      <w:pPr>
        <w:sectPr>
          <w:pgSz w:w="11900" w:h="16838" w:orient="portrait"/>
          <w:cols w:equalWidth="0" w:num="1">
            <w:col w:w="11240"/>
          </w:cols>
          <w:pgMar w:left="320" w:top="1440" w:right="339" w:bottom="1440" w:gutter="0" w:footer="0" w:header="0"/>
        </w:sectPr>
      </w:pPr>
    </w:p>
    <w:bookmarkStart w:id="8" w:name="page9"/>
    <w:bookmarkEnd w:id="8"/>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4991735</wp:posOffset>
            </wp:positionH>
            <wp:positionV relativeFrom="page">
              <wp:posOffset>88900</wp:posOffset>
            </wp:positionV>
            <wp:extent cx="234886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348865" cy="2571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limited to, statements concerning: BioNTech’s collaborations, including its collaboration with Bristol Myers Squibb (BMS); BioNTech and its collaborators’ ability to successfully co-develop and co-commercialize their candidates, if approved; the rate and degree of market acceptance of BioNTech and its collaborators’ product candidates, if approved; the initiation, timing, progress, and results of BioNTech’s research and development programs, including BioNTech’s current and future clinical trials, including statements regarding the expected timing of initiation, enrollment, and completion of trials and related preparatory work and the availability of results, and the timing and outcome of applications for regulatory approvals and marketing authorizations, including expectations regarding the potential indications in which product candidates may be approved, if at all; the targeted timing and number of additional potentially registrational trials, and the registrational potential of any trial BioNTech may initiate; and discussions with regulatory agencies.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the impact of tariffs and escalations in trade policy; competition related to BioNTech’s product candidates; the timing of and BioNTech’s ability to obtain and maintain regulatory approval for its product candidates;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in the United States and other countries and regions; BioNTech’s ability to effectively scale its production capabilities and manufacture its products and product candidates; and other factors not known to BioNTech at this time.</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September 30,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Douglas Maffei, PhD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ectPr>
          <w:pgSz w:w="11900" w:h="16838" w:orient="portrait"/>
          <w:cols w:equalWidth="0" w:num="1">
            <w:col w:w="11240"/>
          </w:cols>
          <w:pgMar w:left="320" w:top="1440" w:right="339" w:bottom="1440" w:gutter="0" w:footer="0" w:header="0"/>
        </w:sectPr>
      </w:pPr>
    </w:p>
    <w:bookmarkStart w:id="9" w:name="page10"/>
    <w:bookmarkEnd w:id="9"/>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4991735</wp:posOffset>
            </wp:positionH>
            <wp:positionV relativeFrom="page">
              <wp:posOffset>88900</wp:posOffset>
            </wp:positionV>
            <wp:extent cx="234886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348865" cy="2571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Media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2026-01-12T06:00:27Z</dcterms:created>
  <dcterms:modified xsi:type="dcterms:W3CDTF">2026-01-12T06:00:27Z</dcterms:modified>
</cp:coreProperties>
</file>