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MARCH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On March 24, 2026, BioNTech SE announced that it will present data from its diversified portfolio in the field of lung cancer at the European Lung Cancer Congress (ELCC) held in Copenhagen, Denmark, from March 25-28, 2026. The press release is attached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March 24, 2026</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74"/>
        <w:gridCol w:w="2741"/>
        <w:gridCol w:w="387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260324_bntxxelcccurtai.htm">
              <w:r>
                <w:rPr>
                  <w:rStyle w:val="InternetLink"/>
                  <w:rFonts w:ascii="Times New Roman;serif" w:hAnsi="Times New Roman;serif"/>
                  <w:b w:val="false"/>
                  <w:color w:val="0000FF"/>
                  <w:sz w:val="24"/>
                  <w:u w:val="single"/>
                </w:rPr>
                <w:t>BioNTech Clinical Data at ELCC 2026 Highlight Potential of Differentiated Late-Stage Portfolio in Lung Cancer</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238125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2667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center"/>
        <w:rPr/>
      </w:pPr>
      <w:r>
        <w:rPr>
          <w:rFonts w:ascii="Arial;sans-serif" w:hAnsi="Arial;sans-serif"/>
          <w:b/>
          <w:color w:val="000000"/>
          <w:sz w:val="28"/>
          <w:shd w:fill="FFFFFF" w:val="clear"/>
        </w:rPr>
        <w:t>BioNTech Clinical Data at ELCC 2026 Highlight Potential of</w:t>
        <w:br/>
      </w:r>
      <w:r>
        <w:rPr>
          <w:rFonts w:ascii="Arial;sans-serif" w:hAnsi="Arial;sans-serif"/>
          <w:b/>
          <w:color w:val="000000"/>
          <w:sz w:val="28"/>
        </w:rPr>
        <w:t xml:space="preserve">Differentiated Late-Stage </w:t>
      </w:r>
      <w:r>
        <w:rPr>
          <w:rFonts w:ascii="Arial;sans-serif" w:hAnsi="Arial;sans-serif"/>
          <w:b/>
          <w:color w:val="000000"/>
          <w:sz w:val="28"/>
          <w:shd w:fill="FFFFFF" w:val="clear"/>
        </w:rPr>
        <w:t>Portfolio</w:t>
      </w:r>
      <w:r>
        <w:rPr>
          <w:color w:val="000000"/>
        </w:rPr>
        <w:t xml:space="preserve"> </w:t>
      </w:r>
      <w:r>
        <w:rPr>
          <w:rFonts w:ascii="Arial;sans-serif" w:hAnsi="Arial;sans-serif"/>
          <w:b/>
          <w:color w:val="000000"/>
          <w:sz w:val="28"/>
        </w:rPr>
        <w:t>in Lung Cancer</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Presentations showcase progress in BioNTech’s late-stage lung cancer programs, reinforcing the potential of the Company’s differentiated portfolio spanning immunomodulators, antibody-drug conjugates, mRNA cancer immunotherapies, and their combinations</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Data updates for pumitamig, a PD-L1xVEGF-A bispecific immunomodulator, from three clinical trials conducted in China further strengthen the evidence supporting its previously observed efficacy and safety profile in lung cancer</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 xml:space="preserve">Results of stage 1 from the global Phase 3 PRESERVE-003 clinical trial of gotistobart showed clinically meaningful survival outcomes and antitumor activity compared to the current standard of care in second-line or later therapy of squamous non-small cell lung cancer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MAINZ, Germany, March 24, 2026</w:t>
      </w:r>
      <w:r>
        <w:rPr>
          <w:color w:val="000000"/>
        </w:rPr>
        <w:t> – </w:t>
      </w:r>
      <w:r>
        <w:rPr>
          <w:rFonts w:ascii="Arial;sans-serif" w:hAnsi="Arial;sans-serif"/>
          <w:b w:val="false"/>
          <w:color w:val="000000"/>
          <w:sz w:val="20"/>
        </w:rPr>
        <w:t>BioNTech SE (Nasdaq: BNTX, “BioNTech” or “the Company”) will present data from its diversified portfolio in the field of lung cancer at the European Lung Cancer Congress (“ELCC”) held in Copenhagen, Denmark,</w:t>
      </w:r>
      <w:r>
        <w:rPr>
          <w:color w:val="000000"/>
        </w:rPr>
        <w:t xml:space="preserve"> </w:t>
      </w:r>
      <w:r>
        <w:rPr>
          <w:rFonts w:ascii="Arial;sans-serif" w:hAnsi="Arial;sans-serif"/>
          <w:b w:val="false"/>
          <w:color w:val="000000"/>
          <w:sz w:val="20"/>
        </w:rPr>
        <w:t>from March 25-28, 2026. The data updates covered in both oral and poster presentations highlight progress across late-stage immunomodulator candidates pumitamig and gotistobart, as well as antibody-drug conjugate (“ADC”) programs, across various lung cancer subtypes and lines of treatment. BioNTech’s clinical portfolio encompasses both monotherapies and combinations with standard of care treatments, as well as novel-novel combination regimens aimed at delivering differentiated therapeutic profiles for the treatment of patients with lung cancer across all stages of the disease.</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Arial;sans-serif" w:hAnsi="Arial;sans-serif"/>
          <w:b w:val="false"/>
          <w:color w:val="000000"/>
          <w:sz w:val="20"/>
        </w:rPr>
        <w:t xml:space="preserve">The data we will present at this year’s ELCC further define the potential of our late-stage portfolio in lung cancer. With updates on pumitamig and gotistobart, as well as first clinical data for our HER3-targeted ADC, we continue to advance differentiated treatment approaches across lung cancer settings while building the clinical evidence to guide their further development,” said </w:t>
      </w:r>
      <w:r>
        <w:rPr>
          <w:rFonts w:ascii="Arial;sans-serif" w:hAnsi="Arial;sans-serif"/>
          <w:b/>
          <w:color w:val="000000"/>
          <w:sz w:val="20"/>
        </w:rPr>
        <w:t>Prof. Özlem Türeci, M.D., Co-Founder and Chief Medical Officer at BioNTech</w:t>
      </w:r>
      <w:r>
        <w:rPr>
          <w:rFonts w:ascii="Arial;sans-serif" w:hAnsi="Arial;sans-serif"/>
          <w:b w:val="false"/>
          <w:color w:val="000000"/>
          <w:sz w:val="20"/>
        </w:rPr>
        <w:t>. “Our aim is to offer patients with lung cancer transformative treatment options that help provide meaningful long-term benefit across all stages of the disease.”</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Highlights of BioNTech’s lung cancer programs to be presented at ELCC 2026:</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i/>
          <w:color w:val="000000"/>
          <w:sz w:val="20"/>
        </w:rPr>
      </w:pPr>
      <w:r>
        <w:rPr>
          <w:rFonts w:ascii="Arial;sans-serif" w:hAnsi="Arial;sans-serif"/>
          <w:b w:val="false"/>
          <w:i/>
          <w:color w:val="000000"/>
          <w:sz w:val="20"/>
        </w:rPr>
        <w:t>Pumitamig (BNT327/BMS986545) – a bispecific immunomodulator candidate combining PD-L1 checkpoint inhibition and VEGF-A neutralization, developed in collaboration with Bristol Myers Squibb Company (“BMS”):</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color w:val="000000"/>
          <w:sz w:val="20"/>
        </w:rPr>
        <w:t>1L ES-SCLC:</w:t>
      </w:r>
      <w:r>
        <w:rPr>
          <w:color w:val="000000"/>
        </w:rPr>
        <w:t xml:space="preserve"> </w:t>
      </w:r>
      <w:r>
        <w:rPr>
          <w:rFonts w:ascii="Arial;sans-serif" w:hAnsi="Arial;sans-serif"/>
          <w:b w:val="false"/>
          <w:color w:val="000000"/>
          <w:sz w:val="20"/>
        </w:rPr>
        <w:t>Updated follow-up data from a single-arm Phase 2 clinical trial (NCT05844150) conducted in China continued to show encouraging preliminary antitumor activity and survival outcomes, together with a manageable tolerability profile for pumitamig plus chemotherapy as first-line therapy in patients with extensive-stage small cell lung cancer (“ES-SCLC”), an aggressive subtype of lung cancer. The data support the ongoing pivotal global Phase 3 ROSETTA Lung-01 clinical trial (NCT06712355) in first-line ES-SCLC.</w:t>
      </w:r>
    </w:p>
    <w:p>
      <w:pPr>
        <w:pStyle w:val="TextBody"/>
        <w:bidi w:val="0"/>
        <w:spacing w:before="0" w:after="0"/>
        <w:jc w:val="both"/>
        <w:rPr/>
      </w:pPr>
      <w:r>
        <w:rPr/>
      </w:r>
    </w:p>
    <w:p>
      <w:pPr>
        <w:pStyle w:val="TextBody"/>
        <w:bidi w:val="0"/>
        <w:spacing w:lineRule="auto" w:line="300"/>
        <w:ind w:left="0" w:right="0" w:hanging="360"/>
        <w:jc w:val="both"/>
        <w:rPr/>
      </w:pPr>
      <w:r>
        <w:rPr>
          <w:color w:val="000000"/>
        </w:rPr>
        <w:t>•</w:t>
      </w:r>
      <w:r>
        <w:rPr>
          <w:rFonts w:ascii="Arial;sans-serif" w:hAnsi="Arial;sans-serif"/>
          <w:b/>
          <w:color w:val="000000"/>
          <w:sz w:val="20"/>
        </w:rPr>
        <w:t>1L NSCLC:</w:t>
      </w:r>
      <w:r>
        <w:rPr>
          <w:color w:val="000000"/>
        </w:rPr>
        <w:t xml:space="preserve"> </w:t>
      </w:r>
      <w:r>
        <w:rPr>
          <w:rFonts w:ascii="Arial;sans-serif" w:hAnsi="Arial;sans-serif"/>
          <w:b w:val="false"/>
          <w:color w:val="000000"/>
          <w:sz w:val="20"/>
        </w:rPr>
        <w:t xml:space="preserve">New findings from a Phase 1b/2a clinical trial (NCT05918445) conducted in China showed preliminary antitumor activity irrespective of PD-L1 expression levels and a manageable safety profile for pumitamig as first-line monotherapy in both squamous and non-squamous advanced non-small cell lung cancer (“NSCLC”). The results complement the ongoing global Phase 2/3 </w:t>
      </w:r>
    </w:p>
    <w:p>
      <w:pPr>
        <w:pStyle w:val="TextBody"/>
        <w:bidi w:val="0"/>
        <w:spacing w:before="0" w:after="0"/>
        <w:jc w:val="left"/>
        <w:rPr/>
      </w:pPr>
      <w:r>
        <w:rPr/>
        <w:drawing>
          <wp:inline distT="0" distB="0" distL="0" distR="0">
            <wp:extent cx="2381250" cy="266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ROSETTA Lung-02 clinical trial (NCT06712316) evaluating the combination of pumitamig with chemotherapy in first-line NSCLC.</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color w:val="000000"/>
          <w:sz w:val="20"/>
        </w:rPr>
        <w:t>EGFR-mutant NSCLC:</w:t>
      </w:r>
      <w:r>
        <w:rPr>
          <w:color w:val="000000"/>
        </w:rPr>
        <w:t xml:space="preserve"> </w:t>
      </w:r>
      <w:r>
        <w:rPr>
          <w:rFonts w:ascii="Arial;sans-serif" w:hAnsi="Arial;sans-serif"/>
          <w:b w:val="false"/>
          <w:color w:val="000000"/>
          <w:sz w:val="20"/>
        </w:rPr>
        <w:t>Data from a Phase 2 clinical trial (NCT05756972) conducted in China showed clinically meaningful survival outcomes and a manageable safety and tolerability profile for pumitamig combined with chemotherapy in patients with EGFR-mutant advanced or metastatic NSCLC, regardless of PD-L1 expression level. These data highlight its potential in patients progressing on EGFR tyrosine kinase inhibitors.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i/>
          <w:color w:val="000000"/>
          <w:sz w:val="20"/>
        </w:rPr>
      </w:pPr>
      <w:r>
        <w:rPr>
          <w:rFonts w:ascii="Arial;sans-serif" w:hAnsi="Arial;sans-serif"/>
          <w:b w:val="false"/>
          <w:i/>
          <w:color w:val="000000"/>
          <w:sz w:val="20"/>
        </w:rPr>
        <w:t>Gotistobart (BNT316/ONC-392) – a tumor microenvironment-selective regulatory T cell depletion candidate targeting CTLA-4 and developed in collaboration with OncoC4, Inc. (“OncoC4”):</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color w:val="000000"/>
          <w:sz w:val="20"/>
        </w:rPr>
        <w:t>2L+ squamous NSCLC:</w:t>
      </w:r>
      <w:r>
        <w:rPr>
          <w:color w:val="000000"/>
        </w:rPr>
        <w:t xml:space="preserve"> </w:t>
      </w:r>
      <w:r>
        <w:rPr>
          <w:rFonts w:ascii="Arial;sans-serif" w:hAnsi="Arial;sans-serif"/>
          <w:b w:val="false"/>
          <w:color w:val="000000"/>
          <w:sz w:val="20"/>
        </w:rPr>
        <w:t>Data from the non-pivotal, dose-confirmation stage 1 portion of the global Phase 3 PRESERVE-003 clinical trial (NCT05671510) showed clinically meaningful antitumor activity, an overall survival benefit with a 54% reduction in the risk of death compared with standard of care chemotherapy, and a manageable safety profile for gotistobart in patients with squamous NSCLC who have progressed on prior immunotherapy plus chemotherapy. The pivotal stage of the Phase 3 clinical trial is ongoing.</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i/>
          <w:color w:val="000000"/>
          <w:sz w:val="20"/>
        </w:rPr>
      </w:pPr>
      <w:r>
        <w:rPr>
          <w:rFonts w:ascii="Arial;sans-serif" w:hAnsi="Arial;sans-serif"/>
          <w:b w:val="false"/>
          <w:i/>
          <w:color w:val="000000"/>
          <w:sz w:val="20"/>
        </w:rPr>
        <w:t>BNT326/YL202 – a HER3-targeted ADC candidate developed in collaboration with MediLink Therapeutics (Suzhou) Co., Ltd. (“MediLink”):</w:t>
      </w:r>
    </w:p>
    <w:p>
      <w:pPr>
        <w:pStyle w:val="TextBody"/>
        <w:bidi w:val="0"/>
        <w:spacing w:before="0" w:after="0"/>
        <w:jc w:val="both"/>
        <w:rPr/>
      </w:pPr>
      <w:r>
        <w:rPr/>
      </w:r>
    </w:p>
    <w:p>
      <w:pPr>
        <w:pStyle w:val="TextBody"/>
        <w:bidi w:val="0"/>
        <w:spacing w:lineRule="auto" w:line="300" w:before="0" w:after="0"/>
        <w:ind w:left="0" w:right="0" w:hanging="360"/>
        <w:jc w:val="both"/>
        <w:rPr/>
      </w:pPr>
      <w:r>
        <w:rPr>
          <w:color w:val="000000"/>
        </w:rPr>
        <w:t>•</w:t>
      </w:r>
      <w:r>
        <w:rPr>
          <w:rFonts w:ascii="Arial;sans-serif" w:hAnsi="Arial;sans-serif"/>
          <w:b/>
          <w:color w:val="000000"/>
          <w:sz w:val="20"/>
        </w:rPr>
        <w:t>NSCLC:</w:t>
      </w:r>
      <w:r>
        <w:rPr>
          <w:color w:val="000000"/>
        </w:rPr>
        <w:t xml:space="preserve"> </w:t>
      </w:r>
      <w:r>
        <w:rPr>
          <w:rFonts w:ascii="Arial;sans-serif" w:hAnsi="Arial;sans-serif"/>
          <w:b w:val="false"/>
          <w:color w:val="000000"/>
          <w:sz w:val="20"/>
        </w:rPr>
        <w:t>First clinical data from the NSCLC cohort of a Phase 2 clinical trial with BNT326/YL202 (NCT06107686) conducted in China showed antitumor activity and a favorable safety profile in patients with advanced or metastatic NSCLC who progressed after standard of care therapy. The findings support the ongoing Phase 1b/2 clinical trial (NCT07070232) evaluating the novel combination of pumitamig and BNT326/YL202.</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Lung cancer is among BioNTech’s tumor focus areas, as the Company aims to address the significant unmet medical needs in the treatment of patients with lung cancer. BioNTech is advancing a diversified and robust clinical development approach in lung cancer spanning investigational next-generation immunomodulators, antibody-drug conjugates, mRNA cancer immunotherapies, and their combinations. With 16 ongoing clinical trials across various lung cancer subtypes and lines of treatment, including four ongoing pivotal Phase 3 clinical trials and five ongoing novel-novel combination trials, BioNTech is focused on developing innovative approaches to address the challenges of lung cancer treatment from early to late-stage conditions.</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The abstracts are available on the ELCC Congress website. Click here for further information on BioNTech’s lung cancer portfolio.</w:t>
      </w:r>
    </w:p>
    <w:p>
      <w:pPr>
        <w:pStyle w:val="TextBody"/>
        <w:bidi w:val="0"/>
        <w:jc w:val="both"/>
        <w:rPr/>
      </w:pPr>
      <w:r>
        <w:rPr/>
      </w:r>
    </w:p>
    <w:p>
      <w:pPr>
        <w:pStyle w:val="TextBody"/>
        <w:bidi w:val="0"/>
        <w:spacing w:before="0" w:after="0"/>
        <w:jc w:val="left"/>
        <w:rPr/>
      </w:pPr>
      <w:r>
        <w:rPr/>
        <w:drawing>
          <wp:inline distT="0" distB="0" distL="0" distR="0">
            <wp:extent cx="2381250"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9"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color w:val="000000"/>
          <w:sz w:val="20"/>
          <w:u w:val="single"/>
        </w:rPr>
      </w:pPr>
      <w:r>
        <w:rPr>
          <w:rFonts w:ascii="Arial;sans-serif" w:hAnsi="Arial;sans-serif"/>
          <w:b/>
          <w:color w:val="000000"/>
          <w:sz w:val="20"/>
          <w:u w:val="single"/>
        </w:rPr>
        <w:t>Full presentation details: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6"/>
        <w:gridCol w:w="392"/>
        <w:gridCol w:w="396"/>
        <w:gridCol w:w="2685"/>
        <w:gridCol w:w="2173"/>
        <w:gridCol w:w="2174"/>
        <w:gridCol w:w="567"/>
        <w:gridCol w:w="567"/>
        <w:gridCol w:w="805"/>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both"/>
              <w:rPr>
                <w:rFonts w:ascii="Arial;sans-serif" w:hAnsi="Arial;sans-serif"/>
                <w:b/>
                <w:color w:val="000000"/>
                <w:sz w:val="20"/>
              </w:rPr>
            </w:pPr>
            <w:r>
              <w:rPr>
                <w:rFonts w:ascii="Arial;sans-serif" w:hAnsi="Arial;sans-serif"/>
                <w:b/>
                <w:color w:val="000000"/>
                <w:sz w:val="20"/>
              </w:rPr>
              <w:t>Medicine</w:t>
            </w:r>
          </w:p>
        </w:tc>
        <w:tc>
          <w:tcPr>
            <w:tcW w:w="70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color w:val="000000"/>
                <w:sz w:val="20"/>
              </w:rPr>
            </w:pPr>
            <w:r>
              <w:rPr>
                <w:rFonts w:ascii="Arial;sans-serif" w:hAnsi="Arial;sans-serif"/>
                <w:b/>
                <w:color w:val="000000"/>
                <w:sz w:val="20"/>
              </w:rPr>
              <w:t>Abstract Title</w:t>
            </w:r>
          </w:p>
        </w:tc>
        <w:tc>
          <w:tcPr>
            <w:tcW w:w="19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Abstract Number/Presentation Details</w:t>
            </w:r>
          </w:p>
        </w:tc>
      </w:tr>
      <w:tr>
        <w:trPr/>
        <w:tc>
          <w:tcPr>
            <w:tcW w:w="1234"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300" w:before="0" w:after="0"/>
              <w:jc w:val="left"/>
              <w:rPr>
                <w:rFonts w:ascii="Arial;sans-serif" w:hAnsi="Arial;sans-serif"/>
                <w:b/>
                <w:color w:val="000000"/>
                <w:sz w:val="20"/>
              </w:rPr>
            </w:pPr>
            <w:r>
              <w:rPr>
                <w:rFonts w:ascii="Arial;sans-serif" w:hAnsi="Arial;sans-serif"/>
                <w:b/>
                <w:color w:val="000000"/>
                <w:sz w:val="20"/>
              </w:rPr>
              <w:t>Pumitamig</w:t>
            </w:r>
          </w:p>
        </w:tc>
        <w:tc>
          <w:tcPr>
            <w:tcW w:w="70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First-Line Pumitamig (PD-L1 × VEGF-A bsAb) Monotherapy in PD-L1+ Non-Squamous and Squamous Non-Small Cell Lung Cancer: Data from a Phase 1b/2a Trial in China</w:t>
            </w:r>
          </w:p>
        </w:tc>
        <w:tc>
          <w:tcPr>
            <w:tcW w:w="19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#69P</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Poster</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March 27, 2026; 1:00 – 2:00pm CET</w:t>
            </w:r>
          </w:p>
        </w:tc>
      </w:tr>
      <w:tr>
        <w:trPr/>
        <w:tc>
          <w:tcPr>
            <w:tcW w:w="1234"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70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Progression-Free Survival and Overall Survival with Pumitamig (PD-L1 × VEGF-A bsAb) Plus Chemotherapy in Patients With EGFR-Mutated Advanced Non-Small Cell Lung Cancer Following Progression with EGFR TKI in China: Phase 2 Study Results</w:t>
            </w:r>
          </w:p>
        </w:tc>
        <w:tc>
          <w:tcPr>
            <w:tcW w:w="19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#21P</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Poster</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March 27, 2026; 1:00 – 2:00pm CET</w:t>
            </w:r>
          </w:p>
        </w:tc>
      </w:tr>
      <w:tr>
        <w:trPr/>
        <w:tc>
          <w:tcPr>
            <w:tcW w:w="1234"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70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Phase 2 Study of First-Line Pumitamig (PD-L1 × VEGF-A bsAb) Plus Chemotherapy for Extensive-Stage Small-Cell Lung Cancer (ES-SCLC): Updated Efficacy and Safety Results</w:t>
            </w:r>
          </w:p>
        </w:tc>
        <w:tc>
          <w:tcPr>
            <w:tcW w:w="19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#426P</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Poster</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March 26, 2026; 1:00 – 2:00pm CET</w:t>
            </w:r>
          </w:p>
        </w:tc>
      </w:tr>
      <w:tr>
        <w:trPr/>
        <w:tc>
          <w:tcPr>
            <w:tcW w:w="1234"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70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ROSETTA Lung-01: A Phase 3, Two-Stage Trial of Pumitamig, a PD-L1 × VEGF-A Bispecific Antibody, Plus Chemotherapy Versus Atezolizumab + Chemotherapy as First-Line Treatment in Patients with Extensive-Stage Small Cell Lung Cancer</w:t>
            </w:r>
          </w:p>
        </w:tc>
        <w:tc>
          <w:tcPr>
            <w:tcW w:w="19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#439TiP</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Poster</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March 26, 2026; 1:00 – 2:00pm CET</w:t>
            </w:r>
          </w:p>
        </w:tc>
      </w:tr>
      <w:tr>
        <w:trPr/>
        <w:tc>
          <w:tcPr>
            <w:tcW w:w="1234"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70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ROSETTA Lung-02: A Global Phase 2/3, Randomized, Open-Label Trial of Pumitamig, a PD-L1 × VEGF-A Bispecific Antibody, in Combination with Chemotherapy in Patients (pts) With First-Line Non-Small Cell Lung Cancer</w:t>
            </w:r>
          </w:p>
        </w:tc>
        <w:tc>
          <w:tcPr>
            <w:tcW w:w="19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#149TiP</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Poster</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March 27, 2026; 1:00 – 2:00pm CET</w:t>
            </w:r>
          </w:p>
        </w:tc>
      </w:tr>
      <w:tr>
        <w:trPr/>
        <w:tc>
          <w:tcPr>
            <w:tcW w:w="12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both"/>
              <w:rPr>
                <w:rFonts w:ascii="Arial;sans-serif" w:hAnsi="Arial;sans-serif"/>
                <w:b/>
                <w:color w:val="000000"/>
                <w:sz w:val="20"/>
              </w:rPr>
            </w:pPr>
            <w:r>
              <w:rPr>
                <w:rFonts w:ascii="Arial;sans-serif" w:hAnsi="Arial;sans-serif"/>
                <w:b/>
                <w:color w:val="000000"/>
                <w:sz w:val="20"/>
              </w:rPr>
              <w:t>Gotistobart</w:t>
            </w:r>
          </w:p>
        </w:tc>
        <w:tc>
          <w:tcPr>
            <w:tcW w:w="70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Anti-Tumor Activity of Gotistobart Compared to Docetaxel in Patients with Metastatic Squamous Non-Small Cell Lung Cancer (sqNSCLC) Progressing on PD-(L)1 Inhibitors: Stage 1 PRESERVE-003 Phase 3 Trial</w:t>
            </w:r>
          </w:p>
        </w:tc>
        <w:tc>
          <w:tcPr>
            <w:tcW w:w="19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#3O</w:t>
            </w:r>
          </w:p>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 xml:space="preserve">Proffered paper session </w:t>
            </w:r>
          </w:p>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March 27, 2026; 3:35 – 3:45pm CET</w:t>
            </w:r>
          </w:p>
        </w:tc>
      </w:tr>
      <w:tr>
        <w:trPr/>
        <w:tc>
          <w:tcPr>
            <w:tcW w:w="1234"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300" w:before="0" w:after="0"/>
              <w:jc w:val="both"/>
              <w:rPr>
                <w:rFonts w:ascii="Arial;sans-serif" w:hAnsi="Arial;sans-serif"/>
                <w:b/>
                <w:color w:val="000000"/>
                <w:sz w:val="20"/>
              </w:rPr>
            </w:pPr>
            <w:r>
              <w:rPr>
                <w:rFonts w:ascii="Arial;sans-serif" w:hAnsi="Arial;sans-serif"/>
                <w:b/>
                <w:color w:val="000000"/>
                <w:sz w:val="20"/>
              </w:rPr>
              <w:t>BNT326/YL202</w:t>
            </w:r>
          </w:p>
        </w:tc>
        <w:tc>
          <w:tcPr>
            <w:tcW w:w="70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First Disclosure of Efficacy and Safety Data for YL202/BNT326 (HER3 ADC) From a Phase 2 Trial in Patients (pts) with Non-Small Cell Lung Cancer (NSCLC)</w:t>
            </w:r>
          </w:p>
        </w:tc>
        <w:tc>
          <w:tcPr>
            <w:tcW w:w="193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#11MO</w:t>
            </w:r>
          </w:p>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Mini oral session</w:t>
            </w:r>
          </w:p>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March 27, 2026; 09:15 – 09:20am CET</w:t>
            </w:r>
          </w:p>
        </w:tc>
      </w:tr>
      <w:tr>
        <w:trPr/>
        <w:tc>
          <w:tcPr>
            <w:tcW w:w="123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703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BNT326-02: A Phase 1b/2 Trial of BNT326/YL202 (HER3 ADC) with Pumitamig (PD-L1 × VEGF-A bsAb) in Non-Small Cell Lung Cancer (NSCLC)</w:t>
            </w:r>
          </w:p>
        </w:tc>
        <w:tc>
          <w:tcPr>
            <w:tcW w:w="193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Abstract #6147TiP</w:t>
            </w:r>
          </w:p>
          <w:p>
            <w:pPr>
              <w:pStyle w:val="TableContents"/>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Poster</w:t>
            </w:r>
          </w:p>
          <w:p>
            <w:pPr>
              <w:pStyle w:val="TableContents"/>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March 27, 2026; 1:00 – 2:00pm CET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jc w:val="left"/>
        <w:rPr>
          <w:rFonts w:ascii="Arial;sans-serif" w:hAnsi="Arial;sans-serif"/>
          <w:b/>
          <w:color w:val="000000"/>
          <w:sz w:val="20"/>
          <w:shd w:fill="FFFFFF" w:val="clear"/>
        </w:rPr>
      </w:pPr>
      <w:r>
        <w:rPr>
          <w:rFonts w:ascii="Arial;sans-serif" w:hAnsi="Arial;sans-serif"/>
          <w:b/>
          <w:color w:val="000000"/>
          <w:sz w:val="20"/>
          <w:shd w:fill="FFFFFF" w:val="clear"/>
        </w:rPr>
        <w:t>About BioNTech</w:t>
      </w:r>
    </w:p>
    <w:p>
      <w:pPr>
        <w:pStyle w:val="TextBody"/>
        <w:bidi w:val="0"/>
        <w:spacing w:before="0" w:after="0"/>
        <w:jc w:val="left"/>
        <w:rPr/>
      </w:pPr>
      <w:r>
        <w:rPr/>
        <w:drawing>
          <wp:inline distT="0" distB="0" distL="0" distR="0">
            <wp:extent cx="238125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1"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Genentech, a member of the Roche Group, Genmab, MediLink, OncoC4, Pfizer and Regeneron.</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For more information, please visit</w:t>
      </w:r>
      <w:r>
        <w:rPr>
          <w:color w:val="181010"/>
        </w:rPr>
        <w:t xml:space="preserve"> </w:t>
      </w:r>
      <w:r>
        <w:rPr>
          <w:rFonts w:ascii="Arial;sans-serif" w:hAnsi="Arial;sans-serif"/>
          <w:b w:val="false"/>
          <w:color w:val="000000"/>
          <w:sz w:val="20"/>
        </w:rPr>
        <w:t>www.BioNTech.com</w:t>
      </w:r>
      <w:r>
        <w:rPr>
          <w:rFonts w:ascii="Arial;sans-serif" w:hAnsi="Arial;sans-serif"/>
          <w:b w:val="false"/>
          <w:color w:val="181010"/>
          <w:sz w:val="20"/>
        </w:rPr>
        <w:t>.</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BioNTech Forward-Looking Statements</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as amended, including, but not limited to, statements concerning: the initiation, timing, progress and results of BioNTech’s research and development programs in oncology, including the targeted timing and number of additional potentially registrational trials; BioNTech’s and its collaborators’ current and future preclinical and clinical trials in oncology, including the bispecific immunomodulator candidate pumitamig (BNT327/BMS986545) in multiple indications, the investigational anti-CTLA-4 antibody gotistobart (BNT316/ONC-392) in multiple indications, and the HER3-targeted ADC candidate BNT326/YL202 as monotherapy and in combination with pumitamig in NSCLC;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and potential commercialization with respect to BioNTech’s product candidates; the ability of BioNTech’s mRNA technology to demonstrate clinical efficacy outside of BioNTech’s infectious disease platform; and the potential safety and efficacy of BioNTech’s product candidates.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before="0" w:after="0"/>
        <w:jc w:val="both"/>
        <w:rPr/>
      </w:pPr>
      <w:r>
        <w:rPr/>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 xml:space="preserve">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trials; BioNTech’s and its counterparties’ ability to manage and source necessary energy resources; the impact of tariffs and </w:t>
      </w:r>
    </w:p>
    <w:p>
      <w:pPr>
        <w:pStyle w:val="TextBody"/>
        <w:bidi w:val="0"/>
        <w:spacing w:before="0" w:after="0"/>
        <w:jc w:val="left"/>
        <w:rPr/>
      </w:pPr>
      <w:r>
        <w:rPr/>
        <w:drawing>
          <wp:inline distT="0" distB="0" distL="0" distR="0">
            <wp:extent cx="238125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pPr>
      <w:r>
        <w:rPr>
          <w:rFonts w:ascii="Arial;sans-serif" w:hAnsi="Arial;sans-serif"/>
          <w:b w:val="false"/>
          <w:color w:val="000000"/>
          <w:sz w:val="20"/>
        </w:rPr>
        <w:t xml:space="preserve">escalations in trade policy; </w:t>
      </w:r>
      <w:r>
        <w:rPr>
          <w:rFonts w:ascii="Arial;sans-serif" w:hAnsi="Arial;sans-serif"/>
          <w:b w:val="false"/>
          <w:color w:val="000000"/>
          <w:sz w:val="20"/>
          <w:shd w:fill="FFFFFF" w:val="clear"/>
        </w:rPr>
        <w:t xml:space="preserve">BioNTech’s ability to identify research opportunities and discover and develop investigational medicines; the ability and willingness of BioNTech’s third-party collaborators to continue research and </w:t>
      </w:r>
      <w:r>
        <w:rPr>
          <w:rFonts w:ascii="Arial;sans-serif" w:hAnsi="Arial;sans-serif"/>
          <w:b w:val="false"/>
          <w:color w:val="000000"/>
          <w:sz w:val="20"/>
        </w:rPr>
        <w:t>development activities relating to BioNTech's development candidates and investigational medicines;</w:t>
      </w:r>
      <w:r>
        <w:rPr>
          <w:color w:val="000000"/>
          <w:shd w:fill="FFFFFF" w:val="clear"/>
        </w:rPr>
        <w:t xml:space="preserve"> </w:t>
      </w:r>
      <w:r>
        <w:rPr>
          <w:rFonts w:ascii="Arial;sans-serif" w:hAnsi="Arial;sans-serif"/>
          <w:b w:val="false"/>
          <w:color w:val="000000"/>
          <w:sz w:val="20"/>
          <w:shd w:fill="FFFFFF" w:val="clear"/>
        </w:rPr>
        <w:t xml:space="preserve">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BioNTech’s ability to effectively scale its production capabilities and manufacture its products and product candidates; risks relating to the global financial system and markets; and other factors not known to BioNTech at this time. </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shd w:fill="FFFFFF" w:val="clear"/>
        </w:rPr>
        <w:t xml:space="preserve">You should review the risks and uncertainties described under the heading “Risk Factors” in BioNTech’s Annual Report on Form 20-F for the period ended </w:t>
      </w:r>
      <w:r>
        <w:rPr>
          <w:rFonts w:ascii="Arial;sans-serif" w:hAnsi="Arial;sans-serif"/>
          <w:b w:val="false"/>
          <w:color w:val="000000"/>
          <w:sz w:val="20"/>
        </w:rPr>
        <w:t>December 31, 2025</w:t>
      </w:r>
      <w:r>
        <w:rPr>
          <w:color w:val="000000"/>
          <w:shd w:fill="FFFFFF" w:val="clear"/>
        </w:rPr>
        <w:t xml:space="preserve"> </w:t>
      </w:r>
      <w:r>
        <w:rPr>
          <w:rFonts w:ascii="Arial;sans-serif" w:hAnsi="Arial;sans-serif"/>
          <w:b w:val="false"/>
          <w:color w:val="000000"/>
          <w:sz w:val="20"/>
          <w:shd w:fill="FFFFFF" w:val="clear"/>
        </w:rPr>
        <w:t>and in subsequent filings made by BioNTech with the SEC, which are available on the SEC’s website at </w:t>
      </w:r>
      <w:r>
        <w:rPr>
          <w:rFonts w:ascii="Arial;sans-serif" w:hAnsi="Arial;sans-serif"/>
          <w:b w:val="false"/>
          <w:color w:val="000000"/>
          <w:sz w:val="20"/>
          <w:u w:val="single"/>
          <w:shd w:fill="FFFFFF" w:val="clear"/>
        </w:rPr>
        <w:t>www.sec.gov</w:t>
      </w:r>
      <w:r>
        <w:rPr>
          <w:rFonts w:ascii="Arial;sans-serif" w:hAnsi="Arial;sans-serif"/>
          <w:b w:val="false"/>
          <w:color w:val="000000"/>
          <w:sz w:val="20"/>
          <w:shd w:fill="FFFFFF" w:val="clear"/>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0"/>
          <w:shd w:fill="FFFFFF" w:val="clear"/>
        </w:rPr>
      </w:pPr>
      <w:r>
        <w:rPr>
          <w:rFonts w:ascii="Arial;sans-serif" w:hAnsi="Arial;sans-serif"/>
          <w:b/>
          <w:color w:val="000000"/>
          <w:sz w:val="20"/>
          <w:shd w:fill="FFFFFF" w:val="clear"/>
        </w:rPr>
        <w:t>Media Relations</w:t>
      </w:r>
    </w:p>
    <w:p>
      <w:pPr>
        <w:pStyle w:val="TextBody"/>
        <w:bidi w:val="0"/>
        <w:spacing w:lineRule="auto" w:line="300"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Jasmina Alatovic</w:t>
      </w:r>
    </w:p>
    <w:p>
      <w:pPr>
        <w:pStyle w:val="TextBody"/>
        <w:bidi w:val="0"/>
        <w:spacing w:lineRule="auto" w:line="300" w:before="0" w:after="0"/>
        <w:jc w:val="left"/>
        <w:rPr>
          <w:rFonts w:ascii="Arial;sans-serif" w:hAnsi="Arial;sans-serif"/>
          <w:b w:val="false"/>
          <w:color w:val="0000FF"/>
          <w:sz w:val="20"/>
          <w:u w:val="single"/>
          <w:shd w:fill="FFFFFF" w:val="clear"/>
        </w:rPr>
      </w:pPr>
      <w:r>
        <w:rPr>
          <w:rFonts w:ascii="Arial;sans-serif" w:hAnsi="Arial;sans-serif"/>
          <w:b w:val="false"/>
          <w:color w:val="0000FF"/>
          <w:sz w:val="20"/>
          <w:u w:val="single"/>
          <w:shd w:fill="FFFFFF" w:val="clear"/>
        </w:rPr>
        <w:t>Media@biontech.de</w: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0"/>
          <w:shd w:fill="FFFFFF" w:val="clear"/>
        </w:rPr>
      </w:pPr>
      <w:r>
        <w:rPr>
          <w:rFonts w:ascii="Arial;sans-serif" w:hAnsi="Arial;sans-serif"/>
          <w:b/>
          <w:color w:val="000000"/>
          <w:sz w:val="20"/>
          <w:shd w:fill="FFFFFF" w:val="clear"/>
        </w:rPr>
        <w:t>Investor Relations</w:t>
      </w:r>
    </w:p>
    <w:p>
      <w:pPr>
        <w:pStyle w:val="TextBody"/>
        <w:bidi w:val="0"/>
        <w:spacing w:lineRule="auto" w:line="300"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Douglas Maffei, PhD </w:t>
      </w:r>
    </w:p>
    <w:p>
      <w:pPr>
        <w:pStyle w:val="TextBody"/>
        <w:bidi w:val="0"/>
        <w:spacing w:lineRule="auto" w:line="300"/>
        <w:jc w:val="left"/>
        <w:rPr/>
      </w:pPr>
      <w:r>
        <w:rPr>
          <w:rFonts w:ascii="Arial;sans-serif" w:hAnsi="Arial;sans-serif"/>
          <w:b w:val="false"/>
          <w:color w:val="0000FF"/>
          <w:sz w:val="20"/>
          <w:u w:val="single"/>
          <w:shd w:fill="FFFFFF" w:val="clear"/>
        </w:rPr>
        <w:t>Investors@biontech.de</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2259</Words>
  <Characters>14004</Characters>
  <CharactersWithSpaces>16182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