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2"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0" w:lineRule="exact"/>
        <w:rPr>
          <w:sz w:val="24"/>
          <w:szCs w:val="24"/>
          <w:color w:val="auto"/>
        </w:rPr>
      </w:pPr>
    </w:p>
    <w:p>
      <w:pPr>
        <w:spacing w:after="0" w:line="224"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24"/>
          <w:szCs w:val="24"/>
          <w:b w:val="1"/>
          <w:bCs w:val="1"/>
          <w:color w:val="auto"/>
        </w:rPr>
        <w:t>FORM 6-K</w:t>
      </w:r>
    </w:p>
    <w:p>
      <w:pPr>
        <w:spacing w:after="0" w:line="293" w:lineRule="exact"/>
        <w:rPr>
          <w:sz w:val="24"/>
          <w:szCs w:val="24"/>
          <w:color w:val="auto"/>
        </w:rPr>
      </w:pPr>
    </w:p>
    <w:p>
      <w:pPr>
        <w:jc w:val="center"/>
        <w:ind w:right="-1120"/>
        <w:spacing w:after="0" w:line="150" w:lineRule="exact"/>
        <w:rPr>
          <w:sz w:val="20"/>
          <w:szCs w:val="20"/>
          <w:color w:val="auto"/>
        </w:rPr>
      </w:pPr>
      <w:r>
        <w:rPr>
          <w:rFonts w:ascii="Times New Roman" w:cs="Times New Roman" w:eastAsia="Times New Roman" w:hAnsi="Times New Roman"/>
          <w:sz w:val="13"/>
          <w:szCs w:val="13"/>
          <w:b w:val="1"/>
          <w:bCs w:val="1"/>
          <w:color w:val="auto"/>
        </w:rPr>
        <w:t>REPORT OF FOREIGN PRIVATE ISSUER PURSUANT TO RULE 13a</w:t>
      </w:r>
      <w:r>
        <w:rPr>
          <w:rFonts w:ascii="MS PGothic" w:cs="MS PGothic" w:eastAsia="MS PGothic" w:hAnsi="MS PGothic"/>
          <w:sz w:val="13"/>
          <w:szCs w:val="13"/>
          <w:color w:val="auto"/>
          <w:strike w:val="1"/>
        </w:rPr>
        <w:t>‑</w:t>
      </w:r>
      <w:r>
        <w:rPr>
          <w:rFonts w:ascii="Times New Roman" w:cs="Times New Roman" w:eastAsia="Times New Roman" w:hAnsi="Times New Roman"/>
          <w:sz w:val="13"/>
          <w:szCs w:val="13"/>
          <w:b w:val="1"/>
          <w:bCs w:val="1"/>
          <w:color w:val="auto"/>
        </w:rPr>
        <w:t>16 OR 15d</w:t>
      </w:r>
      <w:r>
        <w:rPr>
          <w:rFonts w:ascii="MS PGothic" w:cs="MS PGothic" w:eastAsia="MS PGothic" w:hAnsi="MS PGothic"/>
          <w:sz w:val="13"/>
          <w:szCs w:val="13"/>
          <w:color w:val="auto"/>
          <w:strike w:val="1"/>
        </w:rPr>
        <w:t>‑</w:t>
      </w:r>
      <w:r>
        <w:rPr>
          <w:rFonts w:ascii="Times New Roman" w:cs="Times New Roman" w:eastAsia="Times New Roman" w:hAnsi="Times New Roman"/>
          <w:sz w:val="13"/>
          <w:szCs w:val="13"/>
          <w:b w:val="1"/>
          <w:bCs w:val="1"/>
          <w:color w:val="auto"/>
        </w:rPr>
        <w:t>16</w:t>
      </w:r>
    </w:p>
    <w:p>
      <w:pPr>
        <w:spacing w:after="0" w:line="4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UNDER THE SECURITIES EXCHANGE ACT OF 1934</w:t>
      </w:r>
    </w:p>
    <w:p>
      <w:pPr>
        <w:spacing w:after="0" w:line="14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3"/>
          <w:szCs w:val="13"/>
          <w:b w:val="1"/>
          <w:bCs w:val="1"/>
          <w:color w:val="auto"/>
        </w:rPr>
        <w:t>FOR THE MONTH OF NOVEMBER 2024</w:t>
      </w:r>
    </w:p>
    <w:p>
      <w:pPr>
        <w:spacing w:after="0" w:line="3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COMMISSION FILE NUMBER 001-39081</w:t>
      </w:r>
    </w:p>
    <w:p>
      <w:pPr>
        <w:spacing w:after="0" w:line="1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BioNTech SE</w:t>
      </w:r>
    </w:p>
    <w:p>
      <w:pPr>
        <w:spacing w:after="0" w:line="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333333"/>
        </w:rPr>
        <w:t>(Translation of registrant’s name into English)</w:t>
      </w:r>
    </w:p>
    <w:p>
      <w:pPr>
        <w:spacing w:after="0" w:line="132"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3"/>
          <w:szCs w:val="13"/>
          <w:b w:val="1"/>
          <w:bCs w:val="1"/>
          <w:color w:val="auto"/>
        </w:rPr>
        <w:t>An der Goldgrube 12</w:t>
      </w:r>
    </w:p>
    <w:p>
      <w:pPr>
        <w:spacing w:after="0" w:line="24"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3"/>
          <w:szCs w:val="13"/>
          <w:b w:val="1"/>
          <w:bCs w:val="1"/>
          <w:color w:val="auto"/>
        </w:rPr>
        <w:t>D-55131 Mainz</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Germany</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+49 6131-9084-0</w:t>
      </w:r>
    </w:p>
    <w:p>
      <w:pPr>
        <w:spacing w:after="0" w:line="1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2"/>
          <w:szCs w:val="12"/>
          <w:color w:val="333333"/>
        </w:rPr>
        <w:t>(Address of principal executive offices)</w:t>
      </w:r>
    </w:p>
    <w:p>
      <w:pPr>
        <w:spacing w:after="0" w:line="27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whether the registrant files or will file annual reports under cover Form 20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 or Form 40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 Form 20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F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Form 40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F </w:t>
      </w:r>
      <w:r>
        <w:rPr>
          <w:rFonts w:ascii="MS PGothic" w:cs="MS PGothic" w:eastAsia="MS PGothic" w:hAnsi="MS PGothic"/>
          <w:sz w:val="14"/>
          <w:szCs w:val="14"/>
          <w:color w:val="auto"/>
        </w:rPr>
        <w:t>☐</w:t>
      </w:r>
    </w:p>
    <w:p>
      <w:pPr>
        <w:spacing w:after="0" w:line="16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if the registrant is submitting the Form 6</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in paper as permitted by Regulation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T Rule 101(b)(1): </w:t>
      </w:r>
      <w:r>
        <w:rPr>
          <w:rFonts w:ascii="MS PGothic" w:cs="MS PGothic" w:eastAsia="MS PGothic" w:hAnsi="MS PGothic"/>
          <w:sz w:val="14"/>
          <w:szCs w:val="14"/>
          <w:color w:val="auto"/>
        </w:rPr>
        <w:t>☐</w:t>
      </w:r>
    </w:p>
    <w:p>
      <w:pPr>
        <w:spacing w:after="0" w:line="15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if the registrant is submitting the Form 6</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in paper as permitted by Regulation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T Rule 101(b)(7): </w:t>
      </w:r>
      <w:r>
        <w:rPr>
          <w:rFonts w:ascii="MS PGothic" w:cs="MS PGothic" w:eastAsia="MS PGothic" w:hAnsi="MS PGothic"/>
          <w:sz w:val="14"/>
          <w:szCs w:val="14"/>
          <w:color w:val="auto"/>
        </w:rPr>
        <w:t>☐</w:t>
      </w:r>
    </w:p>
    <w:p>
      <w:pPr>
        <w:sectPr>
          <w:pgSz w:w="11900" w:h="16838" w:orient="portrait"/>
          <w:cols w:equalWidth="0" w:num="1">
            <w:col w:w="10159"/>
          </w:cols>
          <w:pgMar w:left="300" w:top="1001"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INCLUDED AS PART OF THIS FORM 6-K</w:t>
      </w:r>
    </w:p>
    <w:p>
      <w:pPr>
        <w:spacing w:after="0" w:line="17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4"/>
          <w:szCs w:val="14"/>
          <w:color w:val="auto"/>
        </w:rPr>
        <w:t>On November 4, 2024, BioNTech SE (the “Company”) issued a press release announcing its third quarter 2024 financial results and corporate update and details of a conference call to be held at 8:00 am EST on November 4, 2024 to discuss the results. The press release and the conference call presentation are attached as Exhibits 99.1 and 99.2, respectively, and incorporated by reference herein.</w:t>
      </w:r>
    </w:p>
    <w:p>
      <w:pPr>
        <w:spacing w:after="0" w:line="99"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The information contained in Exhibits 99.1 and 99.2 shall not be deemed “filed” for purposes of Section 18 of the Securities Exchange Act of 1934, as amended (the “Exchange Act”), or incorporated by reference in any filing under the Securities Act of 1933, as amended, or the Exchange Act, unless expressly set forth by specific reference in such a filing.</w:t>
      </w:r>
    </w:p>
    <w:p>
      <w:pPr>
        <w:sectPr>
          <w:pgSz w:w="11900" w:h="16838" w:orient="portrait"/>
          <w:cols w:equalWidth="0" w:num="1">
            <w:col w:w="11300"/>
          </w:cols>
          <w:pgMar w:left="300" w:top="776" w:right="299" w:bottom="1440" w:gutter="0" w:footer="0" w:header="0"/>
        </w:sectPr>
      </w:pPr>
    </w:p>
    <w:bookmarkStart w:id="2" w:name="page3"/>
    <w:bookmarkEnd w:id="2"/>
    <w:p>
      <w:pPr>
        <w:ind w:left="52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Pursuant to the requirements of the Exchange Act, the registrant has duly caused this report to be signed on its behalf by the undersigned, thereunto duly authorized.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BioNTech SE</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Jens Holstein</w:t>
            </w:r>
          </w:p>
        </w:tc>
        <w:tc>
          <w:tcPr>
            <w:tcW w:w="10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By:</w:t>
            </w:r>
          </w:p>
        </w:tc>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Dr. Sierk Poetting</w:t>
            </w:r>
          </w:p>
        </w:tc>
      </w:tr>
      <w:tr>
        <w:trPr>
          <w:trHeight w:val="195"/>
        </w:trPr>
        <w:tc>
          <w:tcPr>
            <w:tcW w:w="520" w:type="dxa"/>
            <w:vAlign w:val="bottom"/>
          </w:tcPr>
          <w:p>
            <w:pPr>
              <w:spacing w:after="0"/>
              <w:rPr>
                <w:sz w:val="17"/>
                <w:szCs w:val="17"/>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 Jens Holstein</w:t>
            </w:r>
          </w:p>
        </w:tc>
        <w:tc>
          <w:tcPr>
            <w:tcW w:w="1080" w:type="dxa"/>
            <w:vAlign w:val="bottom"/>
          </w:tcPr>
          <w:p>
            <w:pPr>
              <w:spacing w:after="0"/>
              <w:rPr>
                <w:sz w:val="17"/>
                <w:szCs w:val="17"/>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 Dr. Sierk Poetting</w:t>
            </w:r>
          </w:p>
        </w:tc>
      </w:tr>
      <w:tr>
        <w:trPr>
          <w:trHeight w:val="216"/>
        </w:trPr>
        <w:tc>
          <w:tcPr>
            <w:tcW w:w="520" w:type="dxa"/>
            <w:vAlign w:val="bottom"/>
          </w:tcPr>
          <w:p>
            <w:pPr>
              <w:spacing w:after="0"/>
              <w:rPr>
                <w:sz w:val="18"/>
                <w:szCs w:val="18"/>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Chief Financial Officer</w:t>
            </w:r>
          </w:p>
        </w:tc>
        <w:tc>
          <w:tcPr>
            <w:tcW w:w="1080" w:type="dxa"/>
            <w:vAlign w:val="bottom"/>
          </w:tcPr>
          <w:p>
            <w:pPr>
              <w:spacing w:after="0"/>
              <w:rPr>
                <w:sz w:val="18"/>
                <w:szCs w:val="18"/>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Chief Operating Officer</w:t>
            </w: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November 4, 2024</w:t>
      </w:r>
    </w:p>
    <w:p>
      <w:pPr>
        <w:sectPr>
          <w:pgSz w:w="11900" w:h="16838" w:orient="portrait"/>
          <w:cols w:equalWidth="0" w:num="1">
            <w:col w:w="10900"/>
          </w:cols>
          <w:pgMar w:left="300" w:top="776" w:right="6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0"/>
        </w:trPr>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469"/>
        </w:trPr>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Exhibit</w:t>
            </w:r>
          </w:p>
        </w:tc>
        <w:tc>
          <w:tcPr>
            <w:tcW w:w="820" w:type="dxa"/>
            <w:vAlign w:val="bottom"/>
          </w:tcPr>
          <w:p>
            <w:pPr>
              <w:spacing w:after="0"/>
              <w:rPr>
                <w:sz w:val="24"/>
                <w:szCs w:val="24"/>
                <w:color w:val="auto"/>
              </w:rPr>
            </w:pPr>
          </w:p>
        </w:tc>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Description of Exhibit</w:t>
            </w:r>
          </w:p>
        </w:tc>
        <w:tc>
          <w:tcPr>
            <w:tcW w:w="3660" w:type="dxa"/>
            <w:vAlign w:val="bottom"/>
            <w:gridSpan w:val="3"/>
          </w:tcPr>
          <w:p>
            <w:pPr>
              <w:spacing w:after="0"/>
              <w:rPr>
                <w:sz w:val="24"/>
                <w:szCs w:val="24"/>
                <w:color w:val="auto"/>
              </w:rPr>
            </w:pPr>
          </w:p>
        </w:tc>
      </w:tr>
      <w:tr>
        <w:trPr>
          <w:trHeight w:val="349"/>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99.1</w:t>
            </w:r>
          </w:p>
        </w:tc>
        <w:tc>
          <w:tcPr>
            <w:tcW w:w="820" w:type="dxa"/>
            <w:vAlign w:val="bottom"/>
          </w:tcPr>
          <w:p>
            <w:pPr>
              <w:spacing w:after="0"/>
              <w:rPr>
                <w:sz w:val="24"/>
                <w:szCs w:val="24"/>
                <w:color w:val="auto"/>
              </w:rPr>
            </w:pPr>
          </w:p>
        </w:tc>
        <w:tc>
          <w:tcPr>
            <w:tcW w:w="47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BioNTech Announces Third Quarter 2024 Financial Results and Corporate Update</w:t>
            </w:r>
          </w:p>
        </w:tc>
        <w:tc>
          <w:tcPr>
            <w:tcW w:w="180" w:type="dxa"/>
            <w:vAlign w:val="bottom"/>
          </w:tcPr>
          <w:p>
            <w:pPr>
              <w:spacing w:after="0"/>
              <w:rPr>
                <w:sz w:val="24"/>
                <w:szCs w:val="24"/>
                <w:color w:val="auto"/>
              </w:rPr>
            </w:pPr>
          </w:p>
        </w:tc>
      </w:tr>
      <w:tr>
        <w:trPr>
          <w:trHeight w:val="376"/>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99.2</w:t>
            </w:r>
          </w:p>
        </w:tc>
        <w:tc>
          <w:tcPr>
            <w:tcW w:w="820" w:type="dxa"/>
            <w:vAlign w:val="bottom"/>
          </w:tcPr>
          <w:p>
            <w:pPr>
              <w:spacing w:after="0"/>
              <w:rPr>
                <w:sz w:val="24"/>
                <w:szCs w:val="24"/>
                <w:color w:val="auto"/>
              </w:rPr>
            </w:pPr>
          </w:p>
        </w:tc>
        <w:tc>
          <w:tcPr>
            <w:tcW w:w="49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Third Quarter 2024: Corporate Update and Financial Results</w:t>
            </w:r>
          </w:p>
        </w:tc>
      </w:tr>
      <w:tr>
        <w:trPr>
          <w:trHeight w:val="20"/>
        </w:trPr>
        <w:tc>
          <w:tcPr>
            <w:tcW w:w="44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ectPr>
          <w:pgSz w:w="11900" w:h="16838" w:orient="portrait"/>
          <w:cols w:equalWidth="0" w:num="1">
            <w:col w:w="10159"/>
          </w:cols>
          <w:pgMar w:left="300" w:top="776"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142875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875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7"/>
        <w:spacing w:after="0"/>
        <w:rPr>
          <w:sz w:val="20"/>
          <w:szCs w:val="20"/>
          <w:color w:val="auto"/>
        </w:rPr>
      </w:pPr>
      <w:r>
        <w:rPr>
          <w:rFonts w:ascii="Arial" w:cs="Arial" w:eastAsia="Arial" w:hAnsi="Arial"/>
          <w:sz w:val="17"/>
          <w:szCs w:val="17"/>
          <w:b w:val="1"/>
          <w:bCs w:val="1"/>
          <w:color w:val="auto"/>
        </w:rPr>
        <w:t>BioNTech Announces Third Quarter 2024 Financial Results and Corporate Update</w:t>
      </w:r>
    </w:p>
    <w:p>
      <w:pPr>
        <w:spacing w:after="0" w:line="169" w:lineRule="exact"/>
        <w:rPr>
          <w:sz w:val="20"/>
          <w:szCs w:val="20"/>
          <w:color w:val="auto"/>
        </w:rPr>
      </w:pPr>
    </w:p>
    <w:p>
      <w:pPr>
        <w:ind w:left="208" w:hanging="208"/>
        <w:spacing w:after="0"/>
        <w:tabs>
          <w:tab w:leader="none" w:pos="208" w:val="left"/>
        </w:tabs>
        <w:numPr>
          <w:ilvl w:val="0"/>
          <w:numId w:val="1"/>
        </w:numPr>
        <w:rPr>
          <w:rFonts w:ascii="Arial" w:cs="Arial" w:eastAsia="Arial" w:hAnsi="Arial"/>
          <w:sz w:val="12"/>
          <w:szCs w:val="12"/>
          <w:i w:val="1"/>
          <w:iCs w:val="1"/>
          <w:color w:val="auto"/>
        </w:rPr>
      </w:pPr>
      <w:r>
        <w:rPr>
          <w:rFonts w:ascii="Arial" w:cs="Arial" w:eastAsia="Arial" w:hAnsi="Arial"/>
          <w:sz w:val="12"/>
          <w:szCs w:val="12"/>
          <w:i w:val="1"/>
          <w:iCs w:val="1"/>
          <w:color w:val="auto"/>
        </w:rPr>
        <w:t>Presented clinical data for multiple assets across modalities, including bispecific antibody candidate BNT327/PM8002 and mRNA cancer vaccine candidate BNT113 based on BioNTech’s FixVac platform</w:t>
      </w:r>
    </w:p>
    <w:p>
      <w:pPr>
        <w:spacing w:after="0" w:line="18" w:lineRule="exact"/>
        <w:rPr>
          <w:rFonts w:ascii="Arial" w:cs="Arial" w:eastAsia="Arial" w:hAnsi="Arial"/>
          <w:sz w:val="12"/>
          <w:szCs w:val="12"/>
          <w:i w:val="1"/>
          <w:iCs w:val="1"/>
          <w:color w:val="auto"/>
        </w:rPr>
      </w:pPr>
    </w:p>
    <w:p>
      <w:pPr>
        <w:ind w:left="208" w:hanging="208"/>
        <w:spacing w:after="0"/>
        <w:tabs>
          <w:tab w:leader="none" w:pos="208" w:val="left"/>
        </w:tabs>
        <w:numPr>
          <w:ilvl w:val="0"/>
          <w:numId w:val="1"/>
        </w:numPr>
        <w:rPr>
          <w:rFonts w:ascii="Arial" w:cs="Arial" w:eastAsia="Arial" w:hAnsi="Arial"/>
          <w:sz w:val="12"/>
          <w:szCs w:val="12"/>
          <w:i w:val="1"/>
          <w:iCs w:val="1"/>
          <w:color w:val="auto"/>
        </w:rPr>
      </w:pPr>
      <w:r>
        <w:rPr>
          <w:rFonts w:ascii="Arial" w:cs="Arial" w:eastAsia="Arial" w:hAnsi="Arial"/>
          <w:sz w:val="12"/>
          <w:szCs w:val="12"/>
          <w:i w:val="1"/>
          <w:iCs w:val="1"/>
          <w:color w:val="auto"/>
        </w:rPr>
        <w:t>Initiated two Phase 2 dose optimization trials with BNT327/PM8002 in small-cell lung cancer and in triple-negative breast cancer to inform planned pivotal Phase 3 trials</w:t>
      </w:r>
    </w:p>
    <w:p>
      <w:pPr>
        <w:spacing w:after="0" w:line="15" w:lineRule="exact"/>
        <w:rPr>
          <w:rFonts w:ascii="Arial" w:cs="Arial" w:eastAsia="Arial" w:hAnsi="Arial"/>
          <w:sz w:val="12"/>
          <w:szCs w:val="12"/>
          <w:i w:val="1"/>
          <w:iCs w:val="1"/>
          <w:color w:val="auto"/>
        </w:rPr>
      </w:pPr>
    </w:p>
    <w:p>
      <w:pPr>
        <w:ind w:left="208" w:hanging="208"/>
        <w:spacing w:after="0" w:line="258" w:lineRule="auto"/>
        <w:tabs>
          <w:tab w:leader="none" w:pos="205" w:val="left"/>
        </w:tabs>
        <w:numPr>
          <w:ilvl w:val="0"/>
          <w:numId w:val="1"/>
        </w:numPr>
        <w:rPr>
          <w:rFonts w:ascii="Arial" w:cs="Arial" w:eastAsia="Arial" w:hAnsi="Arial"/>
          <w:sz w:val="12"/>
          <w:szCs w:val="12"/>
          <w:i w:val="1"/>
          <w:iCs w:val="1"/>
          <w:color w:val="auto"/>
        </w:rPr>
      </w:pPr>
      <w:r>
        <w:rPr>
          <w:rFonts w:ascii="Arial" w:cs="Arial" w:eastAsia="Arial" w:hAnsi="Arial"/>
          <w:sz w:val="12"/>
          <w:szCs w:val="12"/>
          <w:i w:val="1"/>
          <w:iCs w:val="1"/>
          <w:color w:val="auto"/>
        </w:rPr>
        <w:t>Phase 2 clinical trial on track to evaluate mRNA-based individualized cancer vaccine candidate autogene cevumeran (BNT122/RO7198457) as an adjuvant treatment in patients with high-risk muscle-invasive urothelial cancer</w:t>
      </w:r>
    </w:p>
    <w:p>
      <w:pPr>
        <w:ind w:left="208" w:hanging="208"/>
        <w:spacing w:after="0"/>
        <w:tabs>
          <w:tab w:leader="none" w:pos="208" w:val="left"/>
        </w:tabs>
        <w:numPr>
          <w:ilvl w:val="0"/>
          <w:numId w:val="1"/>
        </w:numPr>
        <w:rPr>
          <w:rFonts w:ascii="Arial" w:cs="Arial" w:eastAsia="Arial" w:hAnsi="Arial"/>
          <w:sz w:val="12"/>
          <w:szCs w:val="12"/>
          <w:i w:val="1"/>
          <w:iCs w:val="1"/>
          <w:color w:val="auto"/>
        </w:rPr>
      </w:pPr>
      <w:r>
        <w:rPr>
          <w:rFonts w:ascii="Arial" w:cs="Arial" w:eastAsia="Arial" w:hAnsi="Arial"/>
          <w:sz w:val="12"/>
          <w:szCs w:val="12"/>
          <w:i w:val="1"/>
          <w:iCs w:val="1"/>
          <w:color w:val="auto"/>
        </w:rPr>
        <w:t>Successfully launched variant-adapted COVID-19 vaccines for the 2024/2025 vaccination season in multiple regions</w:t>
      </w:r>
    </w:p>
    <w:p>
      <w:pPr>
        <w:spacing w:after="0" w:line="12" w:lineRule="exact"/>
        <w:rPr>
          <w:rFonts w:ascii="Arial" w:cs="Arial" w:eastAsia="Arial" w:hAnsi="Arial"/>
          <w:sz w:val="12"/>
          <w:szCs w:val="12"/>
          <w:i w:val="1"/>
          <w:iCs w:val="1"/>
          <w:color w:val="auto"/>
        </w:rPr>
      </w:pPr>
    </w:p>
    <w:p>
      <w:pPr>
        <w:ind w:left="208" w:hanging="208"/>
        <w:spacing w:after="0" w:line="212" w:lineRule="auto"/>
        <w:tabs>
          <w:tab w:leader="none" w:pos="208" w:val="left"/>
        </w:tabs>
        <w:numPr>
          <w:ilvl w:val="0"/>
          <w:numId w:val="1"/>
        </w:numPr>
        <w:rPr>
          <w:rFonts w:ascii="Arial" w:cs="Arial" w:eastAsia="Arial" w:hAnsi="Arial"/>
          <w:sz w:val="12"/>
          <w:szCs w:val="12"/>
          <w:i w:val="1"/>
          <w:iCs w:val="1"/>
          <w:color w:val="auto"/>
        </w:rPr>
      </w:pPr>
      <w:r>
        <w:rPr>
          <w:rFonts w:ascii="Arial" w:cs="Arial" w:eastAsia="Arial" w:hAnsi="Arial"/>
          <w:sz w:val="12"/>
          <w:szCs w:val="12"/>
          <w:i w:val="1"/>
          <w:iCs w:val="1"/>
          <w:color w:val="auto"/>
        </w:rPr>
        <w:t>Reports third quarter 2024 revenues of €1.2 billion, net profit of €198.1 million and diluted earnings per share of €0.81 ($0.89)</w:t>
      </w:r>
      <w:r>
        <w:rPr>
          <w:rFonts w:ascii="Arial" w:cs="Arial" w:eastAsia="Arial" w:hAnsi="Arial"/>
          <w:sz w:val="15"/>
          <w:szCs w:val="15"/>
          <w:i w:val="1"/>
          <w:iCs w:val="1"/>
          <w:color w:val="auto"/>
          <w:vertAlign w:val="superscript"/>
        </w:rPr>
        <w:t>1</w:t>
      </w:r>
    </w:p>
    <w:p>
      <w:pPr>
        <w:ind w:left="208" w:hanging="208"/>
        <w:spacing w:after="0"/>
        <w:tabs>
          <w:tab w:leader="none" w:pos="208" w:val="left"/>
        </w:tabs>
        <w:numPr>
          <w:ilvl w:val="0"/>
          <w:numId w:val="1"/>
        </w:numPr>
        <w:rPr>
          <w:rFonts w:ascii="Arial" w:cs="Arial" w:eastAsia="Arial" w:hAnsi="Arial"/>
          <w:sz w:val="12"/>
          <w:szCs w:val="12"/>
          <w:i w:val="1"/>
          <w:iCs w:val="1"/>
          <w:color w:val="auto"/>
        </w:rPr>
      </w:pPr>
      <w:r>
        <w:rPr>
          <w:rFonts w:ascii="Arial" w:cs="Arial" w:eastAsia="Arial" w:hAnsi="Arial"/>
          <w:sz w:val="12"/>
          <w:szCs w:val="12"/>
          <w:i w:val="1"/>
          <w:iCs w:val="1"/>
          <w:color w:val="auto"/>
        </w:rPr>
        <w:t>Ended the third quarter of 2024 with €17.8 billion in cash and cash equivalents plus security investments</w:t>
      </w:r>
    </w:p>
    <w:p>
      <w:pPr>
        <w:spacing w:after="0" w:line="8" w:lineRule="exact"/>
        <w:rPr>
          <w:rFonts w:ascii="Arial" w:cs="Arial" w:eastAsia="Arial" w:hAnsi="Arial"/>
          <w:sz w:val="12"/>
          <w:szCs w:val="12"/>
          <w:i w:val="1"/>
          <w:iCs w:val="1"/>
          <w:color w:val="auto"/>
        </w:rPr>
      </w:pPr>
    </w:p>
    <w:p>
      <w:pPr>
        <w:ind w:left="208" w:hanging="208"/>
        <w:spacing w:after="0"/>
        <w:tabs>
          <w:tab w:leader="none" w:pos="208" w:val="left"/>
        </w:tabs>
        <w:numPr>
          <w:ilvl w:val="0"/>
          <w:numId w:val="1"/>
        </w:numPr>
        <w:rPr>
          <w:rFonts w:ascii="Arial" w:cs="Arial" w:eastAsia="Arial" w:hAnsi="Arial"/>
          <w:sz w:val="12"/>
          <w:szCs w:val="12"/>
          <w:i w:val="1"/>
          <w:iCs w:val="1"/>
          <w:color w:val="auto"/>
        </w:rPr>
      </w:pPr>
      <w:r>
        <w:rPr>
          <w:rFonts w:ascii="Arial" w:cs="Arial" w:eastAsia="Arial" w:hAnsi="Arial"/>
          <w:sz w:val="12"/>
          <w:szCs w:val="12"/>
          <w:i w:val="1"/>
          <w:iCs w:val="1"/>
          <w:color w:val="auto"/>
        </w:rPr>
        <w:t>Expects to be at low end of full year 2024 revenue guidance range (€2.5-3.1 billion)</w:t>
      </w:r>
    </w:p>
    <w:p>
      <w:pPr>
        <w:spacing w:after="0" w:line="12" w:lineRule="exact"/>
        <w:rPr>
          <w:rFonts w:ascii="Arial" w:cs="Arial" w:eastAsia="Arial" w:hAnsi="Arial"/>
          <w:sz w:val="12"/>
          <w:szCs w:val="12"/>
          <w:i w:val="1"/>
          <w:iCs w:val="1"/>
          <w:color w:val="auto"/>
        </w:rPr>
      </w:pPr>
    </w:p>
    <w:p>
      <w:pPr>
        <w:ind w:left="208" w:hanging="208"/>
        <w:spacing w:after="0" w:line="281" w:lineRule="auto"/>
        <w:tabs>
          <w:tab w:leader="none" w:pos="205" w:val="left"/>
        </w:tabs>
        <w:numPr>
          <w:ilvl w:val="0"/>
          <w:numId w:val="1"/>
        </w:numPr>
        <w:rPr>
          <w:rFonts w:ascii="Arial" w:cs="Arial" w:eastAsia="Arial" w:hAnsi="Arial"/>
          <w:sz w:val="12"/>
          <w:szCs w:val="12"/>
          <w:i w:val="1"/>
          <w:iCs w:val="1"/>
          <w:color w:val="auto"/>
        </w:rPr>
      </w:pPr>
      <w:r>
        <w:rPr>
          <w:rFonts w:ascii="Arial" w:cs="Arial" w:eastAsia="Arial" w:hAnsi="Arial"/>
          <w:sz w:val="12"/>
          <w:szCs w:val="12"/>
          <w:i w:val="1"/>
          <w:iCs w:val="1"/>
          <w:color w:val="auto"/>
        </w:rPr>
        <w:t>Re-confirms guidance of planned full year 2024 R&amp;D expenses of €2.4-2.6 billion and reduced guidance range for SG&amp;A expenses to €600-700 million and for capital expenditures for operating activities to €300-400 million</w:t>
      </w:r>
    </w:p>
    <w:p>
      <w:pPr>
        <w:spacing w:after="0" w:line="13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Conference call and webcast scheduled for November 4, 2024, at 8:00 a.m. EST</w:t>
      </w:r>
    </w:p>
    <w:p>
      <w:pPr>
        <w:spacing w:after="0" w:line="1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(2:00 p.m. CET)</w:t>
      </w:r>
    </w:p>
    <w:p>
      <w:pPr>
        <w:spacing w:after="0" w:line="165" w:lineRule="exact"/>
        <w:rPr>
          <w:sz w:val="20"/>
          <w:szCs w:val="20"/>
          <w:color w:val="auto"/>
        </w:rPr>
      </w:pPr>
    </w:p>
    <w:p>
      <w:pPr>
        <w:jc w:val="both"/>
        <w:ind w:left="8"/>
        <w:spacing w:after="0" w:line="301" w:lineRule="auto"/>
        <w:rPr>
          <w:sz w:val="20"/>
          <w:szCs w:val="20"/>
          <w:color w:val="auto"/>
        </w:rPr>
      </w:pPr>
      <w:r>
        <w:rPr>
          <w:rFonts w:ascii="Arial" w:cs="Arial" w:eastAsia="Arial" w:hAnsi="Arial"/>
          <w:sz w:val="12"/>
          <w:szCs w:val="12"/>
          <w:b w:val="1"/>
          <w:bCs w:val="1"/>
          <w:color w:val="auto"/>
        </w:rPr>
        <w:t xml:space="preserve">MAINZ, Germany, November 4, 2024 (GLOBE NEWSWIRE) </w:t>
      </w:r>
      <w:r>
        <w:rPr>
          <w:rFonts w:ascii="Arial" w:cs="Arial" w:eastAsia="Arial" w:hAnsi="Arial"/>
          <w:sz w:val="12"/>
          <w:szCs w:val="12"/>
          <w:color w:val="auto"/>
        </w:rPr>
        <w:t>-- BioNTech SE (Nasdaq: BNTX, “BioNTech” or “the Company”) today reported financial results for the three and nine months ended September 30,</w:t>
      </w:r>
      <w:r>
        <w:rPr>
          <w:rFonts w:ascii="Arial" w:cs="Arial" w:eastAsia="Arial" w:hAnsi="Arial"/>
          <w:sz w:val="12"/>
          <w:szCs w:val="12"/>
          <w:b w:val="1"/>
          <w:bCs w:val="1"/>
          <w:color w:val="auto"/>
        </w:rPr>
        <w:t xml:space="preserve"> </w:t>
      </w:r>
      <w:r>
        <w:rPr>
          <w:rFonts w:ascii="Arial" w:cs="Arial" w:eastAsia="Arial" w:hAnsi="Arial"/>
          <w:sz w:val="12"/>
          <w:szCs w:val="12"/>
          <w:color w:val="auto"/>
        </w:rPr>
        <w:t>2024 and provided an update on its corporate progress.</w:t>
      </w:r>
    </w:p>
    <w:p>
      <w:pPr>
        <w:spacing w:after="0" w:line="113" w:lineRule="exact"/>
        <w:rPr>
          <w:sz w:val="20"/>
          <w:szCs w:val="20"/>
          <w:color w:val="auto"/>
        </w:rPr>
      </w:pPr>
    </w:p>
    <w:p>
      <w:pPr>
        <w:jc w:val="both"/>
        <w:ind w:left="8"/>
        <w:spacing w:after="0" w:line="272" w:lineRule="auto"/>
        <w:rPr>
          <w:sz w:val="20"/>
          <w:szCs w:val="20"/>
          <w:color w:val="auto"/>
        </w:rPr>
      </w:pPr>
      <w:r>
        <w:rPr>
          <w:rFonts w:ascii="Arial" w:cs="Arial" w:eastAsia="Arial" w:hAnsi="Arial"/>
          <w:sz w:val="12"/>
          <w:szCs w:val="12"/>
          <w:color w:val="auto"/>
        </w:rPr>
        <w:t xml:space="preserve">“BioNTech’s achievements during the period were the successful launch of our variant-adapted COVID-19 vaccines and the progress across our oncology pipeline. In particular, we initiated later-stage trials and shared important updates for our PD-L1 x VEGF-A bispecific antibody candidate BNT327/PM8002 and for our mRNA cancer vaccine portfolio. These successes reinforce the potential of our multi-platform technology approach and inform our strategy to pursue novel proprietary combinations,” </w:t>
      </w:r>
      <w:r>
        <w:rPr>
          <w:rFonts w:ascii="Arial" w:cs="Arial" w:eastAsia="Arial" w:hAnsi="Arial"/>
          <w:sz w:val="12"/>
          <w:szCs w:val="12"/>
          <w:b w:val="1"/>
          <w:bCs w:val="1"/>
          <w:color w:val="auto"/>
        </w:rPr>
        <w:t>said Prof. Ugur Sahin, M.D., CEO and Co-Founder of BioNTech</w:t>
      </w:r>
      <w:r>
        <w:rPr>
          <w:rFonts w:ascii="Arial" w:cs="Arial" w:eastAsia="Arial" w:hAnsi="Arial"/>
          <w:sz w:val="12"/>
          <w:szCs w:val="12"/>
          <w:color w:val="auto"/>
        </w:rPr>
        <w:t>. “We remain focused on advancing our late-stage oncology product candidates towards potential registration. We believe our pipeline and capabilities uniquely position us to execute on our vision of becoming a global multiproduct immunotherapy company.”</w:t>
      </w:r>
    </w:p>
    <w:p>
      <w:pPr>
        <w:spacing w:after="0" w:line="13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Financial Review for Third Quarter and Nine Months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17804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348" w:lineRule="exact"/>
        <w:rPr>
          <w:sz w:val="20"/>
          <w:szCs w:val="20"/>
          <w:color w:val="auto"/>
        </w:rPr>
      </w:pPr>
    </w:p>
    <w:tbl>
      <w:tblPr>
        <w:tblLayout w:type="fixed"/>
        <w:tblInd w:w="8" w:type="dxa"/>
        <w:tblCellMar>
          <w:top w:w="0" w:type="dxa"/>
          <w:left w:w="0" w:type="dxa"/>
          <w:bottom w:w="0" w:type="dxa"/>
          <w:right w:w="0" w:type="dxa"/>
        </w:tblCellMar>
      </w:tblPr>
      <w:tr>
        <w:trPr>
          <w:trHeight w:val="149"/>
        </w:trPr>
        <w:tc>
          <w:tcPr>
            <w:tcW w:w="3180" w:type="dxa"/>
            <w:vAlign w:val="bottom"/>
            <w:tcBorders>
              <w:right w:val="single" w:sz="8" w:color="BECD32"/>
            </w:tcBorders>
            <w:gridSpan w:val="2"/>
            <w:vMerge w:val="restart"/>
          </w:tcPr>
          <w:p>
            <w:pPr>
              <w:spacing w:after="0"/>
              <w:rPr>
                <w:sz w:val="20"/>
                <w:szCs w:val="20"/>
                <w:color w:val="auto"/>
              </w:rPr>
            </w:pPr>
            <w:r>
              <w:rPr>
                <w:rFonts w:ascii="Arial" w:cs="Arial" w:eastAsia="Arial" w:hAnsi="Arial"/>
                <w:sz w:val="12"/>
                <w:szCs w:val="12"/>
                <w:i w:val="1"/>
                <w:iCs w:val="1"/>
                <w:color w:val="005A64"/>
              </w:rPr>
              <w:t>in millions €, except per share data</w:t>
            </w:r>
          </w:p>
        </w:tc>
        <w:tc>
          <w:tcPr>
            <w:tcW w:w="80" w:type="dxa"/>
            <w:vAlign w:val="bottom"/>
            <w:tcBorders>
              <w:top w:val="single" w:sz="8" w:color="BECD32"/>
            </w:tcBorders>
          </w:tcPr>
          <w:p>
            <w:pPr>
              <w:spacing w:after="0"/>
              <w:rPr>
                <w:sz w:val="12"/>
                <w:szCs w:val="12"/>
                <w:color w:val="auto"/>
              </w:rPr>
            </w:pPr>
          </w:p>
        </w:tc>
        <w:tc>
          <w:tcPr>
            <w:tcW w:w="1980" w:type="dxa"/>
            <w:vAlign w:val="bottom"/>
            <w:tcBorders>
              <w:top w:val="single" w:sz="8" w:color="BECD32"/>
              <w:right w:val="single" w:sz="8" w:color="BECD32"/>
            </w:tcBorders>
            <w:gridSpan w:val="2"/>
            <w:vMerge w:val="restart"/>
          </w:tcPr>
          <w:p>
            <w:pPr>
              <w:ind w:left="760"/>
              <w:spacing w:after="0"/>
              <w:rPr>
                <w:sz w:val="20"/>
                <w:szCs w:val="20"/>
                <w:color w:val="auto"/>
              </w:rPr>
            </w:pPr>
            <w:r>
              <w:rPr>
                <w:rFonts w:ascii="Arial" w:cs="Arial" w:eastAsia="Arial" w:hAnsi="Arial"/>
                <w:sz w:val="12"/>
                <w:szCs w:val="12"/>
                <w:b w:val="1"/>
                <w:bCs w:val="1"/>
                <w:color w:val="005A64"/>
              </w:rPr>
              <w:t>Third Quarter 2024</w:t>
            </w:r>
          </w:p>
        </w:tc>
        <w:tc>
          <w:tcPr>
            <w:tcW w:w="80" w:type="dxa"/>
            <w:vAlign w:val="bottom"/>
          </w:tcPr>
          <w:p>
            <w:pPr>
              <w:spacing w:after="0"/>
              <w:rPr>
                <w:sz w:val="12"/>
                <w:szCs w:val="12"/>
                <w:color w:val="auto"/>
              </w:rPr>
            </w:pPr>
          </w:p>
        </w:tc>
        <w:tc>
          <w:tcPr>
            <w:tcW w:w="1980" w:type="dxa"/>
            <w:vAlign w:val="bottom"/>
            <w:tcBorders>
              <w:right w:val="single" w:sz="8" w:color="BECD32"/>
            </w:tcBorders>
            <w:gridSpan w:val="2"/>
            <w:vMerge w:val="restart"/>
          </w:tcPr>
          <w:p>
            <w:pPr>
              <w:ind w:left="760"/>
              <w:spacing w:after="0"/>
              <w:rPr>
                <w:sz w:val="20"/>
                <w:szCs w:val="20"/>
                <w:color w:val="auto"/>
              </w:rPr>
            </w:pPr>
            <w:r>
              <w:rPr>
                <w:rFonts w:ascii="Arial" w:cs="Arial" w:eastAsia="Arial" w:hAnsi="Arial"/>
                <w:sz w:val="12"/>
                <w:szCs w:val="12"/>
                <w:b w:val="1"/>
                <w:bCs w:val="1"/>
                <w:color w:val="005A64"/>
              </w:rPr>
              <w:t>Third Quarter 2023</w:t>
            </w:r>
          </w:p>
        </w:tc>
        <w:tc>
          <w:tcPr>
            <w:tcW w:w="80" w:type="dxa"/>
            <w:vAlign w:val="bottom"/>
            <w:tcBorders>
              <w:top w:val="single" w:sz="8" w:color="BECD32"/>
            </w:tcBorders>
          </w:tcPr>
          <w:p>
            <w:pPr>
              <w:spacing w:after="0"/>
              <w:rPr>
                <w:sz w:val="12"/>
                <w:szCs w:val="12"/>
                <w:color w:val="auto"/>
              </w:rPr>
            </w:pPr>
          </w:p>
        </w:tc>
        <w:tc>
          <w:tcPr>
            <w:tcW w:w="1980" w:type="dxa"/>
            <w:vAlign w:val="bottom"/>
            <w:tcBorders>
              <w:top w:val="single" w:sz="8" w:color="BECD32"/>
              <w:right w:val="single" w:sz="8" w:color="BECD32"/>
            </w:tcBorders>
            <w:gridSpan w:val="2"/>
          </w:tcPr>
          <w:p>
            <w:pPr>
              <w:ind w:left="1120"/>
              <w:spacing w:after="0"/>
              <w:rPr>
                <w:sz w:val="20"/>
                <w:szCs w:val="20"/>
                <w:color w:val="auto"/>
              </w:rPr>
            </w:pPr>
            <w:r>
              <w:rPr>
                <w:rFonts w:ascii="Arial" w:cs="Arial" w:eastAsia="Arial" w:hAnsi="Arial"/>
                <w:sz w:val="12"/>
                <w:szCs w:val="12"/>
                <w:b w:val="1"/>
                <w:bCs w:val="1"/>
                <w:color w:val="005A64"/>
              </w:rPr>
              <w:t>Nine Months</w:t>
            </w:r>
          </w:p>
        </w:tc>
        <w:tc>
          <w:tcPr>
            <w:tcW w:w="100" w:type="dxa"/>
            <w:vAlign w:val="bottom"/>
          </w:tcPr>
          <w:p>
            <w:pPr>
              <w:spacing w:after="0"/>
              <w:rPr>
                <w:sz w:val="12"/>
                <w:szCs w:val="12"/>
                <w:color w:val="auto"/>
              </w:rPr>
            </w:pPr>
          </w:p>
        </w:tc>
        <w:tc>
          <w:tcPr>
            <w:tcW w:w="1840" w:type="dxa"/>
            <w:vAlign w:val="bottom"/>
          </w:tcPr>
          <w:p>
            <w:pPr>
              <w:jc w:val="right"/>
              <w:spacing w:after="0"/>
              <w:rPr>
                <w:sz w:val="20"/>
                <w:szCs w:val="20"/>
                <w:color w:val="auto"/>
              </w:rPr>
            </w:pPr>
            <w:r>
              <w:rPr>
                <w:rFonts w:ascii="Arial" w:cs="Arial" w:eastAsia="Arial" w:hAnsi="Arial"/>
                <w:sz w:val="12"/>
                <w:szCs w:val="12"/>
                <w:b w:val="1"/>
                <w:bCs w:val="1"/>
                <w:color w:val="005A64"/>
              </w:rPr>
              <w:t>Nine Months</w:t>
            </w:r>
          </w:p>
        </w:tc>
        <w:tc>
          <w:tcPr>
            <w:tcW w:w="0" w:type="dxa"/>
            <w:vAlign w:val="bottom"/>
          </w:tcPr>
          <w:p>
            <w:pPr>
              <w:spacing w:after="0"/>
              <w:rPr>
                <w:sz w:val="1"/>
                <w:szCs w:val="1"/>
                <w:color w:val="auto"/>
              </w:rPr>
            </w:pPr>
          </w:p>
        </w:tc>
      </w:tr>
      <w:tr>
        <w:trPr>
          <w:trHeight w:val="102"/>
        </w:trPr>
        <w:tc>
          <w:tcPr>
            <w:tcW w:w="3180" w:type="dxa"/>
            <w:vAlign w:val="bottom"/>
            <w:tcBorders>
              <w:right w:val="single" w:sz="8" w:color="BECD32"/>
            </w:tcBorders>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980" w:type="dxa"/>
            <w:vAlign w:val="bottom"/>
            <w:tcBorders>
              <w:right w:val="single" w:sz="8" w:color="BECD32"/>
            </w:tcBorders>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980" w:type="dxa"/>
            <w:vAlign w:val="bottom"/>
            <w:tcBorders>
              <w:right w:val="single" w:sz="8" w:color="BECD32"/>
            </w:tcBorders>
            <w:gridSpan w:val="2"/>
            <w:vMerge w:val="continue"/>
          </w:tcPr>
          <w:p>
            <w:pPr>
              <w:spacing w:after="0"/>
              <w:rPr>
                <w:sz w:val="8"/>
                <w:szCs w:val="8"/>
                <w:color w:val="auto"/>
              </w:rPr>
            </w:pPr>
          </w:p>
        </w:tc>
        <w:tc>
          <w:tcPr>
            <w:tcW w:w="80" w:type="dxa"/>
            <w:vAlign w:val="bottom"/>
            <w:vMerge w:val="restart"/>
          </w:tcPr>
          <w:p>
            <w:pPr>
              <w:spacing w:after="0"/>
              <w:rPr>
                <w:sz w:val="8"/>
                <w:szCs w:val="8"/>
                <w:color w:val="auto"/>
              </w:rPr>
            </w:pPr>
          </w:p>
        </w:tc>
        <w:tc>
          <w:tcPr>
            <w:tcW w:w="1840" w:type="dxa"/>
            <w:vAlign w:val="bottom"/>
            <w:vMerge w:val="restart"/>
          </w:tcPr>
          <w:p>
            <w:pPr>
              <w:jc w:val="right"/>
              <w:spacing w:after="0"/>
              <w:rPr>
                <w:sz w:val="20"/>
                <w:szCs w:val="20"/>
                <w:color w:val="auto"/>
              </w:rPr>
            </w:pPr>
            <w:r>
              <w:rPr>
                <w:rFonts w:ascii="Arial" w:cs="Arial" w:eastAsia="Arial" w:hAnsi="Arial"/>
                <w:sz w:val="12"/>
                <w:szCs w:val="12"/>
                <w:b w:val="1"/>
                <w:bCs w:val="1"/>
                <w:color w:val="005A64"/>
              </w:rPr>
              <w:t>2024</w:t>
            </w:r>
          </w:p>
        </w:tc>
        <w:tc>
          <w:tcPr>
            <w:tcW w:w="140" w:type="dxa"/>
            <w:vAlign w:val="bottom"/>
            <w:tcBorders>
              <w:right w:val="single" w:sz="8" w:color="BECD32"/>
            </w:tcBorders>
          </w:tcPr>
          <w:p>
            <w:pPr>
              <w:spacing w:after="0"/>
              <w:rPr>
                <w:sz w:val="8"/>
                <w:szCs w:val="8"/>
                <w:color w:val="auto"/>
              </w:rPr>
            </w:pPr>
          </w:p>
        </w:tc>
        <w:tc>
          <w:tcPr>
            <w:tcW w:w="100" w:type="dxa"/>
            <w:vAlign w:val="bottom"/>
          </w:tcPr>
          <w:p>
            <w:pPr>
              <w:spacing w:after="0"/>
              <w:rPr>
                <w:sz w:val="8"/>
                <w:szCs w:val="8"/>
                <w:color w:val="auto"/>
              </w:rPr>
            </w:pPr>
          </w:p>
        </w:tc>
        <w:tc>
          <w:tcPr>
            <w:tcW w:w="1840" w:type="dxa"/>
            <w:vAlign w:val="bottom"/>
            <w:vMerge w:val="restart"/>
          </w:tcPr>
          <w:p>
            <w:pPr>
              <w:jc w:val="right"/>
              <w:spacing w:after="0"/>
              <w:rPr>
                <w:sz w:val="20"/>
                <w:szCs w:val="20"/>
                <w:color w:val="auto"/>
              </w:rPr>
            </w:pPr>
            <w:r>
              <w:rPr>
                <w:rFonts w:ascii="Arial" w:cs="Arial" w:eastAsia="Arial" w:hAnsi="Arial"/>
                <w:sz w:val="12"/>
                <w:szCs w:val="12"/>
                <w:b w:val="1"/>
                <w:bCs w:val="1"/>
                <w:color w:val="005A64"/>
              </w:rPr>
              <w:t>2023</w:t>
            </w:r>
          </w:p>
        </w:tc>
        <w:tc>
          <w:tcPr>
            <w:tcW w:w="0" w:type="dxa"/>
            <w:vAlign w:val="bottom"/>
          </w:tcPr>
          <w:p>
            <w:pPr>
              <w:spacing w:after="0"/>
              <w:rPr>
                <w:sz w:val="1"/>
                <w:szCs w:val="1"/>
                <w:color w:val="auto"/>
              </w:rPr>
            </w:pPr>
          </w:p>
        </w:tc>
      </w:tr>
      <w:tr>
        <w:trPr>
          <w:trHeight w:val="82"/>
        </w:trPr>
        <w:tc>
          <w:tcPr>
            <w:tcW w:w="3040" w:type="dxa"/>
            <w:vAlign w:val="bottom"/>
            <w:tcBorders>
              <w:bottom w:val="single" w:sz="8" w:color="005A64"/>
            </w:tcBorders>
          </w:tcPr>
          <w:p>
            <w:pPr>
              <w:spacing w:after="0"/>
              <w:rPr>
                <w:sz w:val="7"/>
                <w:szCs w:val="7"/>
                <w:color w:val="auto"/>
              </w:rPr>
            </w:pPr>
          </w:p>
        </w:tc>
        <w:tc>
          <w:tcPr>
            <w:tcW w:w="140" w:type="dxa"/>
            <w:vAlign w:val="bottom"/>
            <w:tcBorders>
              <w:right w:val="single" w:sz="8" w:color="BECD32"/>
            </w:tcBorders>
          </w:tcPr>
          <w:p>
            <w:pPr>
              <w:spacing w:after="0"/>
              <w:rPr>
                <w:sz w:val="7"/>
                <w:szCs w:val="7"/>
                <w:color w:val="auto"/>
              </w:rPr>
            </w:pPr>
          </w:p>
        </w:tc>
        <w:tc>
          <w:tcPr>
            <w:tcW w:w="80" w:type="dxa"/>
            <w:vAlign w:val="bottom"/>
          </w:tcPr>
          <w:p>
            <w:pPr>
              <w:spacing w:after="0"/>
              <w:rPr>
                <w:sz w:val="7"/>
                <w:szCs w:val="7"/>
                <w:color w:val="auto"/>
              </w:rPr>
            </w:pPr>
          </w:p>
        </w:tc>
        <w:tc>
          <w:tcPr>
            <w:tcW w:w="1840" w:type="dxa"/>
            <w:vAlign w:val="bottom"/>
            <w:tcBorders>
              <w:bottom w:val="single" w:sz="8" w:color="005A64"/>
            </w:tcBorders>
          </w:tcPr>
          <w:p>
            <w:pPr>
              <w:spacing w:after="0"/>
              <w:rPr>
                <w:sz w:val="7"/>
                <w:szCs w:val="7"/>
                <w:color w:val="auto"/>
              </w:rPr>
            </w:pPr>
          </w:p>
        </w:tc>
        <w:tc>
          <w:tcPr>
            <w:tcW w:w="140" w:type="dxa"/>
            <w:vAlign w:val="bottom"/>
            <w:tcBorders>
              <w:right w:val="single" w:sz="8" w:color="BECD32"/>
            </w:tcBorders>
          </w:tcPr>
          <w:p>
            <w:pPr>
              <w:spacing w:after="0"/>
              <w:rPr>
                <w:sz w:val="7"/>
                <w:szCs w:val="7"/>
                <w:color w:val="auto"/>
              </w:rPr>
            </w:pPr>
          </w:p>
        </w:tc>
        <w:tc>
          <w:tcPr>
            <w:tcW w:w="80" w:type="dxa"/>
            <w:vAlign w:val="bottom"/>
          </w:tcPr>
          <w:p>
            <w:pPr>
              <w:spacing w:after="0"/>
              <w:rPr>
                <w:sz w:val="7"/>
                <w:szCs w:val="7"/>
                <w:color w:val="auto"/>
              </w:rPr>
            </w:pPr>
          </w:p>
        </w:tc>
        <w:tc>
          <w:tcPr>
            <w:tcW w:w="1840" w:type="dxa"/>
            <w:vAlign w:val="bottom"/>
            <w:tcBorders>
              <w:bottom w:val="single" w:sz="8" w:color="005A64"/>
            </w:tcBorders>
          </w:tcPr>
          <w:p>
            <w:pPr>
              <w:spacing w:after="0"/>
              <w:rPr>
                <w:sz w:val="7"/>
                <w:szCs w:val="7"/>
                <w:color w:val="auto"/>
              </w:rPr>
            </w:pPr>
          </w:p>
        </w:tc>
        <w:tc>
          <w:tcPr>
            <w:tcW w:w="140" w:type="dxa"/>
            <w:vAlign w:val="bottom"/>
            <w:tcBorders>
              <w:right w:val="single" w:sz="8" w:color="BECD32"/>
            </w:tcBorders>
          </w:tcPr>
          <w:p>
            <w:pPr>
              <w:spacing w:after="0"/>
              <w:rPr>
                <w:sz w:val="7"/>
                <w:szCs w:val="7"/>
                <w:color w:val="auto"/>
              </w:rPr>
            </w:pPr>
          </w:p>
        </w:tc>
        <w:tc>
          <w:tcPr>
            <w:tcW w:w="80" w:type="dxa"/>
            <w:vAlign w:val="bottom"/>
            <w:vMerge w:val="continue"/>
          </w:tcPr>
          <w:p>
            <w:pPr>
              <w:spacing w:after="0"/>
              <w:rPr>
                <w:sz w:val="7"/>
                <w:szCs w:val="7"/>
                <w:color w:val="auto"/>
              </w:rPr>
            </w:pPr>
          </w:p>
        </w:tc>
        <w:tc>
          <w:tcPr>
            <w:tcW w:w="1840" w:type="dxa"/>
            <w:vAlign w:val="bottom"/>
            <w:tcBorders>
              <w:bottom w:val="single" w:sz="8" w:color="005A64"/>
            </w:tcBorders>
            <w:vMerge w:val="continue"/>
          </w:tcPr>
          <w:p>
            <w:pPr>
              <w:spacing w:after="0"/>
              <w:rPr>
                <w:sz w:val="7"/>
                <w:szCs w:val="7"/>
                <w:color w:val="auto"/>
              </w:rPr>
            </w:pPr>
          </w:p>
        </w:tc>
        <w:tc>
          <w:tcPr>
            <w:tcW w:w="140" w:type="dxa"/>
            <w:vAlign w:val="bottom"/>
            <w:tcBorders>
              <w:right w:val="single" w:sz="8" w:color="BECD32"/>
            </w:tcBorders>
          </w:tcPr>
          <w:p>
            <w:pPr>
              <w:spacing w:after="0"/>
              <w:rPr>
                <w:sz w:val="7"/>
                <w:szCs w:val="7"/>
                <w:color w:val="auto"/>
              </w:rPr>
            </w:pPr>
          </w:p>
        </w:tc>
        <w:tc>
          <w:tcPr>
            <w:tcW w:w="100" w:type="dxa"/>
            <w:vAlign w:val="bottom"/>
          </w:tcPr>
          <w:p>
            <w:pPr>
              <w:spacing w:after="0"/>
              <w:rPr>
                <w:sz w:val="7"/>
                <w:szCs w:val="7"/>
                <w:color w:val="auto"/>
              </w:rPr>
            </w:pPr>
          </w:p>
        </w:tc>
        <w:tc>
          <w:tcPr>
            <w:tcW w:w="1840" w:type="dxa"/>
            <w:vAlign w:val="bottom"/>
            <w:tcBorders>
              <w:bottom w:val="single" w:sz="8" w:color="005A64"/>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3180" w:type="dxa"/>
            <w:vAlign w:val="bottom"/>
            <w:tcBorders>
              <w:right w:val="single" w:sz="8" w:color="BECD32"/>
            </w:tcBorders>
            <w:gridSpan w:val="2"/>
          </w:tcPr>
          <w:p>
            <w:pPr>
              <w:spacing w:after="0"/>
              <w:rPr>
                <w:sz w:val="20"/>
                <w:szCs w:val="20"/>
                <w:color w:val="auto"/>
              </w:rPr>
            </w:pPr>
            <w:r>
              <w:rPr>
                <w:rFonts w:ascii="Arial" w:cs="Arial" w:eastAsia="Arial" w:hAnsi="Arial"/>
                <w:sz w:val="12"/>
                <w:szCs w:val="12"/>
                <w:color w:val="005A64"/>
              </w:rPr>
              <w:t>Revenues</w:t>
            </w:r>
          </w:p>
        </w:tc>
        <w:tc>
          <w:tcPr>
            <w:tcW w:w="1920" w:type="dxa"/>
            <w:vAlign w:val="bottom"/>
            <w:gridSpan w:val="2"/>
          </w:tcPr>
          <w:p>
            <w:pPr>
              <w:jc w:val="right"/>
              <w:spacing w:after="0"/>
              <w:rPr>
                <w:sz w:val="20"/>
                <w:szCs w:val="20"/>
                <w:color w:val="auto"/>
              </w:rPr>
            </w:pPr>
            <w:r>
              <w:rPr>
                <w:rFonts w:ascii="Arial" w:cs="Arial" w:eastAsia="Arial" w:hAnsi="Arial"/>
                <w:sz w:val="12"/>
                <w:szCs w:val="12"/>
                <w:color w:val="005A64"/>
              </w:rPr>
              <w:t>1,244.8</w:t>
            </w:r>
          </w:p>
        </w:tc>
        <w:tc>
          <w:tcPr>
            <w:tcW w:w="140" w:type="dxa"/>
            <w:vAlign w:val="bottom"/>
            <w:tcBorders>
              <w:right w:val="single" w:sz="8" w:color="BECD32"/>
            </w:tcBorders>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2"/>
                <w:szCs w:val="12"/>
                <w:color w:val="005A64"/>
              </w:rPr>
              <w:t>895.3</w:t>
            </w:r>
          </w:p>
        </w:tc>
        <w:tc>
          <w:tcPr>
            <w:tcW w:w="140" w:type="dxa"/>
            <w:vAlign w:val="bottom"/>
            <w:tcBorders>
              <w:right w:val="single" w:sz="8" w:color="BECD32"/>
            </w:tcBorders>
          </w:tcPr>
          <w:p>
            <w:pPr>
              <w:spacing w:after="0"/>
              <w:rPr>
                <w:sz w:val="14"/>
                <w:szCs w:val="14"/>
                <w:color w:val="auto"/>
              </w:rPr>
            </w:pPr>
          </w:p>
        </w:tc>
        <w:tc>
          <w:tcPr>
            <w:tcW w:w="1920" w:type="dxa"/>
            <w:vAlign w:val="bottom"/>
            <w:gridSpan w:val="2"/>
          </w:tcPr>
          <w:p>
            <w:pPr>
              <w:jc w:val="right"/>
              <w:spacing w:after="0"/>
              <w:rPr>
                <w:sz w:val="20"/>
                <w:szCs w:val="20"/>
                <w:color w:val="auto"/>
              </w:rPr>
            </w:pPr>
            <w:r>
              <w:rPr>
                <w:rFonts w:ascii="Arial" w:cs="Arial" w:eastAsia="Arial" w:hAnsi="Arial"/>
                <w:sz w:val="12"/>
                <w:szCs w:val="12"/>
                <w:color w:val="005A64"/>
              </w:rPr>
              <w:t>1,561.1</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2"/>
                <w:szCs w:val="12"/>
                <w:color w:val="005A64"/>
              </w:rPr>
              <w:t>2,340.0</w:t>
            </w:r>
          </w:p>
        </w:tc>
        <w:tc>
          <w:tcPr>
            <w:tcW w:w="0" w:type="dxa"/>
            <w:vAlign w:val="bottom"/>
          </w:tcPr>
          <w:p>
            <w:pPr>
              <w:spacing w:after="0"/>
              <w:rPr>
                <w:sz w:val="1"/>
                <w:szCs w:val="1"/>
                <w:color w:val="auto"/>
              </w:rPr>
            </w:pPr>
          </w:p>
        </w:tc>
      </w:tr>
      <w:tr>
        <w:trPr>
          <w:trHeight w:val="25"/>
        </w:trPr>
        <w:tc>
          <w:tcPr>
            <w:tcW w:w="304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3180" w:type="dxa"/>
            <w:vAlign w:val="bottom"/>
            <w:tcBorders>
              <w:right w:val="single" w:sz="8" w:color="BECD32"/>
            </w:tcBorders>
            <w:gridSpan w:val="2"/>
          </w:tcPr>
          <w:p>
            <w:pPr>
              <w:spacing w:after="0"/>
              <w:rPr>
                <w:sz w:val="20"/>
                <w:szCs w:val="20"/>
                <w:color w:val="auto"/>
              </w:rPr>
            </w:pPr>
            <w:r>
              <w:rPr>
                <w:rFonts w:ascii="Arial" w:cs="Arial" w:eastAsia="Arial" w:hAnsi="Arial"/>
                <w:sz w:val="12"/>
                <w:szCs w:val="12"/>
                <w:color w:val="005A64"/>
              </w:rPr>
              <w:t>Net profit / (loss)</w:t>
            </w:r>
          </w:p>
        </w:tc>
        <w:tc>
          <w:tcPr>
            <w:tcW w:w="1920" w:type="dxa"/>
            <w:vAlign w:val="bottom"/>
            <w:gridSpan w:val="2"/>
          </w:tcPr>
          <w:p>
            <w:pPr>
              <w:jc w:val="right"/>
              <w:spacing w:after="0"/>
              <w:rPr>
                <w:sz w:val="20"/>
                <w:szCs w:val="20"/>
                <w:color w:val="auto"/>
              </w:rPr>
            </w:pPr>
            <w:r>
              <w:rPr>
                <w:rFonts w:ascii="Arial" w:cs="Arial" w:eastAsia="Arial" w:hAnsi="Arial"/>
                <w:sz w:val="12"/>
                <w:szCs w:val="12"/>
                <w:color w:val="005A64"/>
              </w:rPr>
              <w:t>198.1</w:t>
            </w:r>
          </w:p>
        </w:tc>
        <w:tc>
          <w:tcPr>
            <w:tcW w:w="140" w:type="dxa"/>
            <w:vAlign w:val="bottom"/>
            <w:tcBorders>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Arial" w:cs="Arial" w:eastAsia="Arial" w:hAnsi="Arial"/>
                <w:sz w:val="12"/>
                <w:szCs w:val="12"/>
                <w:color w:val="005A64"/>
              </w:rPr>
              <w:t>160.6</w:t>
            </w:r>
          </w:p>
        </w:tc>
        <w:tc>
          <w:tcPr>
            <w:tcW w:w="140" w:type="dxa"/>
            <w:vAlign w:val="bottom"/>
            <w:tcBorders>
              <w:right w:val="single" w:sz="8" w:color="BECD32"/>
            </w:tcBorders>
          </w:tcPr>
          <w:p>
            <w:pPr>
              <w:spacing w:after="0"/>
              <w:rPr>
                <w:sz w:val="13"/>
                <w:szCs w:val="13"/>
                <w:color w:val="auto"/>
              </w:rPr>
            </w:pPr>
          </w:p>
        </w:tc>
        <w:tc>
          <w:tcPr>
            <w:tcW w:w="1920" w:type="dxa"/>
            <w:vAlign w:val="bottom"/>
            <w:gridSpan w:val="2"/>
          </w:tcPr>
          <w:p>
            <w:pPr>
              <w:jc w:val="right"/>
              <w:spacing w:after="0"/>
              <w:rPr>
                <w:sz w:val="20"/>
                <w:szCs w:val="20"/>
                <w:color w:val="auto"/>
              </w:rPr>
            </w:pPr>
            <w:r>
              <w:rPr>
                <w:rFonts w:ascii="Arial" w:cs="Arial" w:eastAsia="Arial" w:hAnsi="Arial"/>
                <w:sz w:val="12"/>
                <w:szCs w:val="12"/>
                <w:color w:val="005A64"/>
              </w:rPr>
              <w:t>(924.8)</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Arial" w:cs="Arial" w:eastAsia="Arial" w:hAnsi="Arial"/>
                <w:sz w:val="12"/>
                <w:szCs w:val="12"/>
                <w:color w:val="005A64"/>
              </w:rPr>
              <w:t>472.4</w:t>
            </w:r>
          </w:p>
        </w:tc>
        <w:tc>
          <w:tcPr>
            <w:tcW w:w="0" w:type="dxa"/>
            <w:vAlign w:val="bottom"/>
          </w:tcPr>
          <w:p>
            <w:pPr>
              <w:spacing w:after="0"/>
              <w:rPr>
                <w:sz w:val="1"/>
                <w:szCs w:val="1"/>
                <w:color w:val="auto"/>
              </w:rPr>
            </w:pPr>
          </w:p>
        </w:tc>
      </w:tr>
      <w:tr>
        <w:trPr>
          <w:trHeight w:val="25"/>
        </w:trPr>
        <w:tc>
          <w:tcPr>
            <w:tcW w:w="304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3180" w:type="dxa"/>
            <w:vAlign w:val="bottom"/>
            <w:tcBorders>
              <w:right w:val="single" w:sz="8" w:color="BECD32"/>
            </w:tcBorders>
            <w:gridSpan w:val="2"/>
          </w:tcPr>
          <w:p>
            <w:pPr>
              <w:spacing w:after="0"/>
              <w:rPr>
                <w:sz w:val="20"/>
                <w:szCs w:val="20"/>
                <w:color w:val="auto"/>
              </w:rPr>
            </w:pPr>
            <w:r>
              <w:rPr>
                <w:rFonts w:ascii="Arial" w:cs="Arial" w:eastAsia="Arial" w:hAnsi="Arial"/>
                <w:sz w:val="12"/>
                <w:szCs w:val="12"/>
                <w:color w:val="005A64"/>
              </w:rPr>
              <w:t>Diluted earnings / (loss) per share</w:t>
            </w:r>
          </w:p>
        </w:tc>
        <w:tc>
          <w:tcPr>
            <w:tcW w:w="1920" w:type="dxa"/>
            <w:vAlign w:val="bottom"/>
            <w:gridSpan w:val="2"/>
          </w:tcPr>
          <w:p>
            <w:pPr>
              <w:jc w:val="right"/>
              <w:spacing w:after="0"/>
              <w:rPr>
                <w:sz w:val="20"/>
                <w:szCs w:val="20"/>
                <w:color w:val="auto"/>
              </w:rPr>
            </w:pPr>
            <w:r>
              <w:rPr>
                <w:rFonts w:ascii="Arial" w:cs="Arial" w:eastAsia="Arial" w:hAnsi="Arial"/>
                <w:sz w:val="12"/>
                <w:szCs w:val="12"/>
                <w:color w:val="005A64"/>
              </w:rPr>
              <w:t>0.81</w:t>
            </w:r>
          </w:p>
        </w:tc>
        <w:tc>
          <w:tcPr>
            <w:tcW w:w="140" w:type="dxa"/>
            <w:vAlign w:val="bottom"/>
            <w:tcBorders>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Arial" w:cs="Arial" w:eastAsia="Arial" w:hAnsi="Arial"/>
                <w:sz w:val="12"/>
                <w:szCs w:val="12"/>
                <w:color w:val="005A64"/>
              </w:rPr>
              <w:t>0.66</w:t>
            </w:r>
          </w:p>
        </w:tc>
        <w:tc>
          <w:tcPr>
            <w:tcW w:w="140" w:type="dxa"/>
            <w:vAlign w:val="bottom"/>
            <w:tcBorders>
              <w:right w:val="single" w:sz="8" w:color="BECD32"/>
            </w:tcBorders>
          </w:tcPr>
          <w:p>
            <w:pPr>
              <w:spacing w:after="0"/>
              <w:rPr>
                <w:sz w:val="13"/>
                <w:szCs w:val="13"/>
                <w:color w:val="auto"/>
              </w:rPr>
            </w:pPr>
          </w:p>
        </w:tc>
        <w:tc>
          <w:tcPr>
            <w:tcW w:w="1920" w:type="dxa"/>
            <w:vAlign w:val="bottom"/>
            <w:gridSpan w:val="2"/>
          </w:tcPr>
          <w:p>
            <w:pPr>
              <w:jc w:val="right"/>
              <w:spacing w:after="0"/>
              <w:rPr>
                <w:sz w:val="20"/>
                <w:szCs w:val="20"/>
                <w:color w:val="auto"/>
              </w:rPr>
            </w:pPr>
            <w:r>
              <w:rPr>
                <w:rFonts w:ascii="Arial" w:cs="Arial" w:eastAsia="Arial" w:hAnsi="Arial"/>
                <w:sz w:val="12"/>
                <w:szCs w:val="12"/>
                <w:color w:val="005A64"/>
              </w:rPr>
              <w:t>(3.83)</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Arial" w:cs="Arial" w:eastAsia="Arial" w:hAnsi="Arial"/>
                <w:sz w:val="12"/>
                <w:szCs w:val="12"/>
                <w:color w:val="005A64"/>
              </w:rPr>
              <w:t>1.94</w:t>
            </w:r>
          </w:p>
        </w:tc>
        <w:tc>
          <w:tcPr>
            <w:tcW w:w="0" w:type="dxa"/>
            <w:vAlign w:val="bottom"/>
          </w:tcPr>
          <w:p>
            <w:pPr>
              <w:spacing w:after="0"/>
              <w:rPr>
                <w:sz w:val="1"/>
                <w:szCs w:val="1"/>
                <w:color w:val="auto"/>
              </w:rPr>
            </w:pPr>
          </w:p>
        </w:tc>
      </w:tr>
      <w:tr>
        <w:trPr>
          <w:trHeight w:val="25"/>
        </w:trPr>
        <w:tc>
          <w:tcPr>
            <w:tcW w:w="304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Borders>
              <w:bottom w:val="single" w:sz="8" w:color="BECD32"/>
            </w:tcBorders>
          </w:tcPr>
          <w:p>
            <w:pPr>
              <w:spacing w:after="0"/>
              <w:rPr>
                <w:sz w:val="2"/>
                <w:szCs w:val="2"/>
                <w:color w:val="auto"/>
              </w:rPr>
            </w:pPr>
          </w:p>
        </w:tc>
        <w:tc>
          <w:tcPr>
            <w:tcW w:w="1840" w:type="dxa"/>
            <w:vAlign w:val="bottom"/>
            <w:tcBorders>
              <w:bottom w:val="single" w:sz="8" w:color="BECD32"/>
            </w:tcBorders>
          </w:tcPr>
          <w:p>
            <w:pPr>
              <w:spacing w:after="0"/>
              <w:rPr>
                <w:sz w:val="2"/>
                <w:szCs w:val="2"/>
                <w:color w:val="auto"/>
              </w:rPr>
            </w:pPr>
          </w:p>
        </w:tc>
        <w:tc>
          <w:tcPr>
            <w:tcW w:w="140" w:type="dxa"/>
            <w:vAlign w:val="bottom"/>
            <w:tcBorders>
              <w:bottom w:val="single" w:sz="8" w:color="BECD32"/>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Borders>
              <w:bottom w:val="single" w:sz="8" w:color="BECD32"/>
            </w:tcBorders>
          </w:tcPr>
          <w:p>
            <w:pPr>
              <w:spacing w:after="0"/>
              <w:rPr>
                <w:sz w:val="2"/>
                <w:szCs w:val="2"/>
                <w:color w:val="auto"/>
              </w:rPr>
            </w:pPr>
          </w:p>
        </w:tc>
        <w:tc>
          <w:tcPr>
            <w:tcW w:w="1840" w:type="dxa"/>
            <w:vAlign w:val="bottom"/>
            <w:tcBorders>
              <w:bottom w:val="single" w:sz="8" w:color="BECD32"/>
            </w:tcBorders>
          </w:tcPr>
          <w:p>
            <w:pPr>
              <w:spacing w:after="0"/>
              <w:rPr>
                <w:sz w:val="2"/>
                <w:szCs w:val="2"/>
                <w:color w:val="auto"/>
              </w:rPr>
            </w:pPr>
          </w:p>
        </w:tc>
        <w:tc>
          <w:tcPr>
            <w:tcW w:w="140" w:type="dxa"/>
            <w:vAlign w:val="bottom"/>
            <w:tcBorders>
              <w:bottom w:val="single" w:sz="8" w:color="BECD32"/>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jc w:val="both"/>
        <w:ind w:left="8" w:right="20"/>
        <w:spacing w:after="0" w:line="301" w:lineRule="auto"/>
        <w:rPr>
          <w:sz w:val="20"/>
          <w:szCs w:val="20"/>
          <w:color w:val="auto"/>
        </w:rPr>
      </w:pPr>
      <w:r>
        <w:rPr>
          <w:rFonts w:ascii="Arial" w:cs="Arial" w:eastAsia="Arial" w:hAnsi="Arial"/>
          <w:sz w:val="12"/>
          <w:szCs w:val="12"/>
          <w:b w:val="1"/>
          <w:bCs w:val="1"/>
          <w:color w:val="auto"/>
        </w:rPr>
        <w:t xml:space="preserve">Revenues </w:t>
      </w:r>
      <w:r>
        <w:rPr>
          <w:rFonts w:ascii="Arial" w:cs="Arial" w:eastAsia="Arial" w:hAnsi="Arial"/>
          <w:sz w:val="12"/>
          <w:szCs w:val="12"/>
          <w:color w:val="auto"/>
        </w:rPr>
        <w:t>reported were €1,244.8 million for the three months ended September 30, 2024, compared to €895.3 million for the comparative prior year period. For the nine months ended September 30, 2024,</w:t>
      </w:r>
      <w:r>
        <w:rPr>
          <w:rFonts w:ascii="Arial" w:cs="Arial" w:eastAsia="Arial" w:hAnsi="Arial"/>
          <w:sz w:val="12"/>
          <w:szCs w:val="12"/>
          <w:b w:val="1"/>
          <w:bCs w:val="1"/>
          <w:color w:val="auto"/>
        </w:rPr>
        <w:t xml:space="preserve"> </w:t>
      </w:r>
      <w:r>
        <w:rPr>
          <w:rFonts w:ascii="Arial" w:cs="Arial" w:eastAsia="Arial" w:hAnsi="Arial"/>
          <w:sz w:val="12"/>
          <w:szCs w:val="12"/>
          <w:color w:val="auto"/>
        </w:rPr>
        <w:t>revenues were €1,561.1 million, compared to €2,340.0 million for the comparative prior year</w:t>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308"/>
          </w:cols>
          <w:pgMar w:left="292" w:top="163" w:right="299" w:bottom="1440" w:gutter="0" w:footer="0" w:header="0"/>
        </w:sectPr>
      </w:pPr>
    </w:p>
    <w:bookmarkStart w:id="5" w:name="page6"/>
    <w:bookmarkEnd w:id="5"/>
    <w:p>
      <w:pPr>
        <w:jc w:val="both"/>
        <w:ind w:right="20"/>
        <w:spacing w:after="0" w:line="30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875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428750" cy="154305"/>
                    </a:xfrm>
                    <a:prstGeom prst="rect">
                      <a:avLst/>
                    </a:prstGeom>
                    <a:noFill/>
                  </pic:spPr>
                </pic:pic>
              </a:graphicData>
            </a:graphic>
          </wp:anchor>
        </w:drawing>
        <w:t>period. The higher revenues in the third quarter of 2024 as compared to the comparative prior year period can be largely attributed to the earlier approvals received for its variant-adapted COVID-19 vaccines as compared to last year.</w:t>
      </w:r>
    </w:p>
    <w:p>
      <w:pPr>
        <w:spacing w:after="0" w:line="113" w:lineRule="exact"/>
        <w:rPr>
          <w:sz w:val="20"/>
          <w:szCs w:val="20"/>
          <w:color w:val="auto"/>
        </w:rPr>
      </w:pPr>
    </w:p>
    <w:p>
      <w:pPr>
        <w:jc w:val="both"/>
        <w:spacing w:after="0" w:line="301" w:lineRule="auto"/>
        <w:rPr>
          <w:sz w:val="20"/>
          <w:szCs w:val="20"/>
          <w:color w:val="auto"/>
        </w:rPr>
      </w:pPr>
      <w:r>
        <w:rPr>
          <w:rFonts w:ascii="Arial" w:cs="Arial" w:eastAsia="Arial" w:hAnsi="Arial"/>
          <w:sz w:val="12"/>
          <w:szCs w:val="12"/>
          <w:b w:val="1"/>
          <w:bCs w:val="1"/>
          <w:color w:val="auto"/>
        </w:rPr>
        <w:t xml:space="preserve">Cost of sales </w:t>
      </w:r>
      <w:r>
        <w:rPr>
          <w:rFonts w:ascii="Arial" w:cs="Arial" w:eastAsia="Arial" w:hAnsi="Arial"/>
          <w:sz w:val="12"/>
          <w:szCs w:val="12"/>
          <w:color w:val="auto"/>
        </w:rPr>
        <w:t>were €178.9 million for the three months ended September 30, 2024, compared to €161.8 million for the comparative prior year period. For the nine months ended September 30, 2024, cost of sales</w:t>
      </w:r>
      <w:r>
        <w:rPr>
          <w:rFonts w:ascii="Arial" w:cs="Arial" w:eastAsia="Arial" w:hAnsi="Arial"/>
          <w:sz w:val="12"/>
          <w:szCs w:val="12"/>
          <w:b w:val="1"/>
          <w:bCs w:val="1"/>
          <w:color w:val="auto"/>
        </w:rPr>
        <w:t xml:space="preserve"> </w:t>
      </w:r>
      <w:r>
        <w:rPr>
          <w:rFonts w:ascii="Arial" w:cs="Arial" w:eastAsia="Arial" w:hAnsi="Arial"/>
          <w:sz w:val="12"/>
          <w:szCs w:val="12"/>
          <w:color w:val="auto"/>
        </w:rPr>
        <w:t>were €297.8 million, compared to €420.7 million for the comparative prior year period.</w:t>
      </w:r>
    </w:p>
    <w:p>
      <w:pPr>
        <w:spacing w:after="0" w:line="12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color w:val="auto"/>
        </w:rPr>
        <w:t xml:space="preserve">Research and development </w:t>
      </w:r>
      <w:r>
        <w:rPr>
          <w:rFonts w:ascii="Arial" w:cs="Arial" w:eastAsia="Arial" w:hAnsi="Arial"/>
          <w:sz w:val="12"/>
          <w:szCs w:val="12"/>
          <w:color w:val="auto"/>
        </w:rPr>
        <w:t>(“R&amp;D”) expenses were €550.3 million for the three months ended September 30, 2024, compared to €497.9 million for the comparative prior year period. For the nine months ended</w:t>
      </w:r>
      <w:r>
        <w:rPr>
          <w:rFonts w:ascii="Arial" w:cs="Arial" w:eastAsia="Arial" w:hAnsi="Arial"/>
          <w:sz w:val="12"/>
          <w:szCs w:val="12"/>
          <w:b w:val="1"/>
          <w:bCs w:val="1"/>
          <w:color w:val="auto"/>
        </w:rPr>
        <w:t xml:space="preserve"> </w:t>
      </w:r>
      <w:r>
        <w:rPr>
          <w:rFonts w:ascii="Arial" w:cs="Arial" w:eastAsia="Arial" w:hAnsi="Arial"/>
          <w:sz w:val="12"/>
          <w:szCs w:val="12"/>
          <w:color w:val="auto"/>
        </w:rPr>
        <w:t>September 30, 2024, R&amp;D expenses were €1,642.4 million, compared to €1,205.3 million for the comparative prior year period. R&amp;D expenses were mainly influenced by progressing clinical studies for the Company’s late-stage oncology pipeline candidates.</w:t>
      </w:r>
    </w:p>
    <w:p>
      <w:pPr>
        <w:spacing w:after="0" w:line="127" w:lineRule="exact"/>
        <w:rPr>
          <w:sz w:val="20"/>
          <w:szCs w:val="20"/>
          <w:color w:val="auto"/>
        </w:rPr>
      </w:pPr>
    </w:p>
    <w:p>
      <w:pPr>
        <w:jc w:val="both"/>
        <w:spacing w:after="0" w:line="252" w:lineRule="auto"/>
        <w:rPr>
          <w:sz w:val="20"/>
          <w:szCs w:val="20"/>
          <w:color w:val="auto"/>
        </w:rPr>
      </w:pPr>
      <w:r>
        <w:rPr>
          <w:rFonts w:ascii="Arial" w:cs="Arial" w:eastAsia="Arial" w:hAnsi="Arial"/>
          <w:sz w:val="12"/>
          <w:szCs w:val="12"/>
          <w:b w:val="1"/>
          <w:bCs w:val="1"/>
          <w:color w:val="auto"/>
        </w:rPr>
        <w:t xml:space="preserve">Sales, general and administrative </w:t>
      </w:r>
      <w:r>
        <w:rPr>
          <w:rFonts w:ascii="Arial" w:cs="Arial" w:eastAsia="Arial" w:hAnsi="Arial"/>
          <w:sz w:val="12"/>
          <w:szCs w:val="12"/>
          <w:color w:val="auto"/>
        </w:rPr>
        <w:t>(“SG&amp;A”) expenses</w:t>
      </w:r>
      <w:r>
        <w:rPr>
          <w:rFonts w:ascii="Arial" w:cs="Arial" w:eastAsia="Arial" w:hAnsi="Arial"/>
          <w:sz w:val="15"/>
          <w:szCs w:val="15"/>
          <w:color w:val="auto"/>
          <w:vertAlign w:val="superscript"/>
        </w:rPr>
        <w:t>2</w:t>
      </w:r>
      <w:r>
        <w:rPr>
          <w:rFonts w:ascii="Arial" w:cs="Arial" w:eastAsia="Arial" w:hAnsi="Arial"/>
          <w:sz w:val="12"/>
          <w:szCs w:val="12"/>
          <w:color w:val="auto"/>
        </w:rPr>
        <w:t>, in total, amounted to €150.5 million for the three months ended September 30, 2024, compared to €153.5 million for the comparative prior year period. For</w:t>
      </w:r>
      <w:r>
        <w:rPr>
          <w:rFonts w:ascii="Arial" w:cs="Arial" w:eastAsia="Arial" w:hAnsi="Arial"/>
          <w:sz w:val="12"/>
          <w:szCs w:val="12"/>
          <w:b w:val="1"/>
          <w:bCs w:val="1"/>
          <w:color w:val="auto"/>
        </w:rPr>
        <w:t xml:space="preserve"> </w:t>
      </w:r>
      <w:r>
        <w:rPr>
          <w:rFonts w:ascii="Arial" w:cs="Arial" w:eastAsia="Arial" w:hAnsi="Arial"/>
          <w:sz w:val="12"/>
          <w:szCs w:val="12"/>
          <w:color w:val="auto"/>
        </w:rPr>
        <w:t>the nine months ended September 30, 2024, SG&amp;A expenses were €466.9 million, compared to €415.4 million for the comparative prior year period. SG&amp;A expenses were mainly influenced by personnel expenses.</w:t>
      </w:r>
    </w:p>
    <w:p>
      <w:pPr>
        <w:spacing w:after="0" w:line="141" w:lineRule="exact"/>
        <w:rPr>
          <w:sz w:val="20"/>
          <w:szCs w:val="20"/>
          <w:color w:val="auto"/>
        </w:rPr>
      </w:pPr>
    </w:p>
    <w:p>
      <w:pPr>
        <w:jc w:val="both"/>
        <w:spacing w:after="0" w:line="284" w:lineRule="auto"/>
        <w:rPr>
          <w:sz w:val="20"/>
          <w:szCs w:val="20"/>
          <w:color w:val="auto"/>
        </w:rPr>
      </w:pPr>
      <w:r>
        <w:rPr>
          <w:rFonts w:ascii="Arial" w:cs="Arial" w:eastAsia="Arial" w:hAnsi="Arial"/>
          <w:sz w:val="12"/>
          <w:szCs w:val="12"/>
          <w:b w:val="1"/>
          <w:bCs w:val="1"/>
          <w:color w:val="auto"/>
        </w:rPr>
        <w:t xml:space="preserve">Other operating result </w:t>
      </w:r>
      <w:r>
        <w:rPr>
          <w:rFonts w:ascii="Arial" w:cs="Arial" w:eastAsia="Arial" w:hAnsi="Arial"/>
          <w:sz w:val="12"/>
          <w:szCs w:val="12"/>
          <w:color w:val="auto"/>
        </w:rPr>
        <w:t>amounted to negative €354.6 million during the three months ended September 30, 2024, compared to negative €9.0 million for the comparative prior year period. For the nine months</w:t>
      </w:r>
      <w:r>
        <w:rPr>
          <w:rFonts w:ascii="Arial" w:cs="Arial" w:eastAsia="Arial" w:hAnsi="Arial"/>
          <w:sz w:val="12"/>
          <w:szCs w:val="12"/>
          <w:b w:val="1"/>
          <w:bCs w:val="1"/>
          <w:color w:val="auto"/>
        </w:rPr>
        <w:t xml:space="preserve"> </w:t>
      </w:r>
      <w:r>
        <w:rPr>
          <w:rFonts w:ascii="Arial" w:cs="Arial" w:eastAsia="Arial" w:hAnsi="Arial"/>
          <w:sz w:val="12"/>
          <w:szCs w:val="12"/>
          <w:color w:val="auto"/>
        </w:rPr>
        <w:t>ended September 30, 2024, other operating result amounted to negative €616.9 million compared to negative €134.4 million for the prior year period. Other operating result was primarily influenced by provisions for contractual disputes.</w:t>
      </w:r>
    </w:p>
    <w:p>
      <w:pPr>
        <w:spacing w:after="0" w:line="122" w:lineRule="exact"/>
        <w:rPr>
          <w:sz w:val="20"/>
          <w:szCs w:val="20"/>
          <w:color w:val="auto"/>
        </w:rPr>
      </w:pPr>
    </w:p>
    <w:p>
      <w:pPr>
        <w:jc w:val="both"/>
        <w:spacing w:after="0" w:line="284" w:lineRule="auto"/>
        <w:rPr>
          <w:sz w:val="20"/>
          <w:szCs w:val="20"/>
          <w:color w:val="auto"/>
        </w:rPr>
      </w:pPr>
      <w:r>
        <w:rPr>
          <w:rFonts w:ascii="Arial" w:cs="Arial" w:eastAsia="Arial" w:hAnsi="Arial"/>
          <w:sz w:val="12"/>
          <w:szCs w:val="12"/>
          <w:b w:val="1"/>
          <w:bCs w:val="1"/>
          <w:color w:val="auto"/>
        </w:rPr>
        <w:t xml:space="preserve">Income taxes </w:t>
      </w:r>
      <w:r>
        <w:rPr>
          <w:rFonts w:ascii="Arial" w:cs="Arial" w:eastAsia="Arial" w:hAnsi="Arial"/>
          <w:sz w:val="12"/>
          <w:szCs w:val="12"/>
          <w:color w:val="auto"/>
        </w:rPr>
        <w:t>were realized with an amount of €39.4 million in tax income for the three months ended September 30, 2024, compared to €66.8 million in accrued tax expenses for the comparative prior year period.</w:t>
      </w:r>
      <w:r>
        <w:rPr>
          <w:rFonts w:ascii="Arial" w:cs="Arial" w:eastAsia="Arial" w:hAnsi="Arial"/>
          <w:sz w:val="12"/>
          <w:szCs w:val="12"/>
          <w:b w:val="1"/>
          <w:bCs w:val="1"/>
          <w:color w:val="auto"/>
        </w:rPr>
        <w:t xml:space="preserve"> </w:t>
      </w:r>
      <w:r>
        <w:rPr>
          <w:rFonts w:ascii="Arial" w:cs="Arial" w:eastAsia="Arial" w:hAnsi="Arial"/>
          <w:sz w:val="12"/>
          <w:szCs w:val="12"/>
          <w:color w:val="auto"/>
        </w:rPr>
        <w:t>For the nine months ended September 30, 2024, income taxes were realized with an amount of €54.1 million in tax income for the nine months ended September 30, 2024, compared to €50.5 million of accrued tax expenses for the comparative prior year period.</w:t>
      </w:r>
    </w:p>
    <w:p>
      <w:pPr>
        <w:spacing w:after="0" w:line="122" w:lineRule="exact"/>
        <w:rPr>
          <w:sz w:val="20"/>
          <w:szCs w:val="20"/>
          <w:color w:val="auto"/>
        </w:rPr>
      </w:pPr>
    </w:p>
    <w:p>
      <w:pPr>
        <w:jc w:val="both"/>
        <w:spacing w:after="0" w:line="301" w:lineRule="auto"/>
        <w:rPr>
          <w:sz w:val="20"/>
          <w:szCs w:val="20"/>
          <w:color w:val="auto"/>
        </w:rPr>
      </w:pPr>
      <w:r>
        <w:rPr>
          <w:rFonts w:ascii="Arial" w:cs="Arial" w:eastAsia="Arial" w:hAnsi="Arial"/>
          <w:sz w:val="12"/>
          <w:szCs w:val="12"/>
          <w:b w:val="1"/>
          <w:bCs w:val="1"/>
          <w:color w:val="auto"/>
        </w:rPr>
        <w:t xml:space="preserve">Net profit </w:t>
      </w:r>
      <w:r>
        <w:rPr>
          <w:rFonts w:ascii="Arial" w:cs="Arial" w:eastAsia="Arial" w:hAnsi="Arial"/>
          <w:sz w:val="12"/>
          <w:szCs w:val="12"/>
          <w:color w:val="auto"/>
        </w:rPr>
        <w:t>was €198.1 million for the three months ended September 30, 2024, compared to €160.6 million net profit for the comparative prior year period. For the nine months ended September 30, 2024, net loss</w:t>
      </w:r>
      <w:r>
        <w:rPr>
          <w:rFonts w:ascii="Arial" w:cs="Arial" w:eastAsia="Arial" w:hAnsi="Arial"/>
          <w:sz w:val="12"/>
          <w:szCs w:val="12"/>
          <w:b w:val="1"/>
          <w:bCs w:val="1"/>
          <w:color w:val="auto"/>
        </w:rPr>
        <w:t xml:space="preserve"> </w:t>
      </w:r>
      <w:r>
        <w:rPr>
          <w:rFonts w:ascii="Arial" w:cs="Arial" w:eastAsia="Arial" w:hAnsi="Arial"/>
          <w:sz w:val="12"/>
          <w:szCs w:val="12"/>
          <w:color w:val="auto"/>
        </w:rPr>
        <w:t>was €924.8 million, compared to a net profit of €472.4 million for the comparative prior year period.</w:t>
      </w:r>
    </w:p>
    <w:p>
      <w:pPr>
        <w:spacing w:after="0" w:line="122"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color w:val="auto"/>
        </w:rPr>
        <w:t xml:space="preserve">Cash and cash equivalents plus security investments </w:t>
      </w:r>
      <w:r>
        <w:rPr>
          <w:rFonts w:ascii="Arial" w:cs="Arial" w:eastAsia="Arial" w:hAnsi="Arial"/>
          <w:sz w:val="12"/>
          <w:szCs w:val="12"/>
          <w:color w:val="auto"/>
        </w:rPr>
        <w:t>as of September 30, 2024, reached €17,839.8 million, comprising €9,624.6 million in cash and cash equivalents, €7,078.0 million in current security</w:t>
      </w:r>
      <w:r>
        <w:rPr>
          <w:rFonts w:ascii="Arial" w:cs="Arial" w:eastAsia="Arial" w:hAnsi="Arial"/>
          <w:sz w:val="12"/>
          <w:szCs w:val="12"/>
          <w:b w:val="1"/>
          <w:bCs w:val="1"/>
          <w:color w:val="auto"/>
        </w:rPr>
        <w:t xml:space="preserve"> </w:t>
      </w:r>
      <w:r>
        <w:rPr>
          <w:rFonts w:ascii="Arial" w:cs="Arial" w:eastAsia="Arial" w:hAnsi="Arial"/>
          <w:sz w:val="12"/>
          <w:szCs w:val="12"/>
          <w:color w:val="auto"/>
        </w:rPr>
        <w:t>investments and €1,137.2 million in non-current security investments.</w:t>
      </w:r>
    </w:p>
    <w:p>
      <w:pPr>
        <w:spacing w:after="0" w:line="130" w:lineRule="exact"/>
        <w:rPr>
          <w:sz w:val="20"/>
          <w:szCs w:val="20"/>
          <w:color w:val="auto"/>
        </w:rPr>
      </w:pPr>
    </w:p>
    <w:p>
      <w:pPr>
        <w:jc w:val="both"/>
        <w:ind w:right="20"/>
        <w:spacing w:after="0" w:line="301" w:lineRule="auto"/>
        <w:rPr>
          <w:sz w:val="20"/>
          <w:szCs w:val="20"/>
          <w:color w:val="auto"/>
        </w:rPr>
      </w:pPr>
      <w:r>
        <w:rPr>
          <w:rFonts w:ascii="Arial" w:cs="Arial" w:eastAsia="Arial" w:hAnsi="Arial"/>
          <w:sz w:val="12"/>
          <w:szCs w:val="12"/>
          <w:b w:val="1"/>
          <w:bCs w:val="1"/>
          <w:color w:val="auto"/>
        </w:rPr>
        <w:t xml:space="preserve">Diluted earnings per share </w:t>
      </w:r>
      <w:r>
        <w:rPr>
          <w:rFonts w:ascii="Arial" w:cs="Arial" w:eastAsia="Arial" w:hAnsi="Arial"/>
          <w:sz w:val="12"/>
          <w:szCs w:val="12"/>
          <w:color w:val="auto"/>
        </w:rPr>
        <w:t>was €0.81 for the three months ended September 30, 2024, compared to €0.66 for the comparative prior year period. For the nine months ended September 30, 2024, loss per share</w:t>
      </w:r>
      <w:r>
        <w:rPr>
          <w:rFonts w:ascii="Arial" w:cs="Arial" w:eastAsia="Arial" w:hAnsi="Arial"/>
          <w:sz w:val="12"/>
          <w:szCs w:val="12"/>
          <w:b w:val="1"/>
          <w:bCs w:val="1"/>
          <w:color w:val="auto"/>
        </w:rPr>
        <w:t xml:space="preserve"> </w:t>
      </w:r>
      <w:r>
        <w:rPr>
          <w:rFonts w:ascii="Arial" w:cs="Arial" w:eastAsia="Arial" w:hAnsi="Arial"/>
          <w:sz w:val="12"/>
          <w:szCs w:val="12"/>
          <w:color w:val="auto"/>
        </w:rPr>
        <w:t>was €3.83, compared to diluted earnings per share of €1.94 for the comparative prior year period.</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Shares outstanding </w:t>
      </w:r>
      <w:r>
        <w:rPr>
          <w:rFonts w:ascii="Arial" w:cs="Arial" w:eastAsia="Arial" w:hAnsi="Arial"/>
          <w:sz w:val="12"/>
          <w:szCs w:val="12"/>
          <w:color w:val="auto"/>
        </w:rPr>
        <w:t>as of September 30, 2024, were 239,739,752, excluding 8,812,448 shares held in treasury.</w:t>
      </w:r>
    </w:p>
    <w:p>
      <w:pPr>
        <w:spacing w:after="0" w:line="177" w:lineRule="exact"/>
        <w:rPr>
          <w:sz w:val="20"/>
          <w:szCs w:val="20"/>
          <w:color w:val="auto"/>
        </w:rPr>
      </w:pPr>
    </w:p>
    <w:p>
      <w:pPr>
        <w:jc w:val="both"/>
        <w:ind w:right="20"/>
        <w:spacing w:after="0" w:line="312" w:lineRule="auto"/>
        <w:rPr>
          <w:sz w:val="20"/>
          <w:szCs w:val="20"/>
          <w:color w:val="auto"/>
        </w:rPr>
      </w:pPr>
      <w:r>
        <w:rPr>
          <w:rFonts w:ascii="Arial" w:cs="Arial" w:eastAsia="Arial" w:hAnsi="Arial"/>
          <w:sz w:val="12"/>
          <w:szCs w:val="12"/>
          <w:color w:val="auto"/>
        </w:rPr>
        <w:t xml:space="preserve">“We successfully launched our variant-adapted COVID-19 vaccines upon receipt of earlier approvals as compared to last year. This drove our strong revenues in the third quarter,” </w:t>
      </w:r>
      <w:r>
        <w:rPr>
          <w:rFonts w:ascii="Arial" w:cs="Arial" w:eastAsia="Arial" w:hAnsi="Arial"/>
          <w:sz w:val="12"/>
          <w:szCs w:val="12"/>
          <w:b w:val="1"/>
          <w:bCs w:val="1"/>
          <w:color w:val="auto"/>
        </w:rPr>
        <w:t>said Jens Holstein, CFO of</w:t>
      </w:r>
      <w:r>
        <w:rPr>
          <w:rFonts w:ascii="Arial" w:cs="Arial" w:eastAsia="Arial" w:hAnsi="Arial"/>
          <w:sz w:val="12"/>
          <w:szCs w:val="12"/>
          <w:color w:val="auto"/>
        </w:rPr>
        <w:t xml:space="preserve"> </w:t>
      </w:r>
      <w:r>
        <w:rPr>
          <w:rFonts w:ascii="Arial" w:cs="Arial" w:eastAsia="Arial" w:hAnsi="Arial"/>
          <w:sz w:val="12"/>
          <w:szCs w:val="12"/>
          <w:b w:val="1"/>
          <w:bCs w:val="1"/>
          <w:color w:val="auto"/>
        </w:rPr>
        <w:t>BioNTech</w:t>
      </w:r>
      <w:r>
        <w:rPr>
          <w:rFonts w:ascii="Arial" w:cs="Arial" w:eastAsia="Arial" w:hAnsi="Arial"/>
          <w:sz w:val="12"/>
          <w:szCs w:val="12"/>
          <w:color w:val="auto"/>
        </w:rPr>
        <w:t>. “Our cost discipline in combination with our financial position allow us to continue</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300"/>
          </w:cols>
          <w:pgMar w:left="300" w:top="1234" w:right="299" w:bottom="1440" w:gutter="0" w:footer="0" w:header="0"/>
        </w:sectPr>
      </w:pPr>
    </w:p>
    <w:bookmarkStart w:id="6" w:name="page7"/>
    <w:bookmarkEnd w:id="6"/>
    <w:p>
      <w:pPr>
        <w:ind w:left="8"/>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8750"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428750" cy="154305"/>
                    </a:xfrm>
                    <a:prstGeom prst="rect">
                      <a:avLst/>
                    </a:prstGeom>
                    <a:noFill/>
                  </pic:spPr>
                </pic:pic>
              </a:graphicData>
            </a:graphic>
          </wp:anchor>
        </w:drawing>
        <w:t>to focus on those assets that we believe offer a fast path to market and the highest potential to generate value for patients and shareholders.”</w:t>
      </w:r>
    </w:p>
    <w:p>
      <w:pPr>
        <w:spacing w:after="0" w:line="17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2024 Financial Year Guidance</w:t>
      </w:r>
      <w:r>
        <w:rPr>
          <w:rFonts w:ascii="Arial" w:cs="Arial" w:eastAsia="Arial" w:hAnsi="Arial"/>
          <w:sz w:val="15"/>
          <w:szCs w:val="15"/>
          <w:b w:val="1"/>
          <w:bCs w:val="1"/>
          <w:color w:val="auto"/>
          <w:vertAlign w:val="superscript"/>
        </w:rPr>
        <w:t>3</w:t>
      </w:r>
    </w:p>
    <w:p>
      <w:pPr>
        <w:spacing w:after="0" w:line="136"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Company expects its revenues for the full 2024 financial year to be at the low end of the guidance range provided in its outlook:</w:t>
      </w:r>
    </w:p>
    <w:p>
      <w:pPr>
        <w:spacing w:after="0" w:line="188" w:lineRule="exact"/>
        <w:rPr>
          <w:sz w:val="20"/>
          <w:szCs w:val="20"/>
          <w:color w:val="auto"/>
        </w:rPr>
      </w:pPr>
    </w:p>
    <w:tbl>
      <w:tblPr>
        <w:tblLayout w:type="fixed"/>
        <w:tblInd w:w="8" w:type="dxa"/>
        <w:tblCellMar>
          <w:top w:w="0" w:type="dxa"/>
          <w:left w:w="0" w:type="dxa"/>
          <w:bottom w:w="0" w:type="dxa"/>
          <w:right w:w="0" w:type="dxa"/>
        </w:tblCellMar>
      </w:tblPr>
      <w:tr>
        <w:trPr>
          <w:trHeight w:val="188"/>
        </w:trPr>
        <w:tc>
          <w:tcPr>
            <w:tcW w:w="6880" w:type="dxa"/>
            <w:vAlign w:val="bottom"/>
            <w:tcBorders>
              <w:top w:val="single" w:sz="8" w:color="005A64"/>
              <w:bottom w:val="single" w:sz="8" w:color="005A64"/>
            </w:tcBorders>
          </w:tcPr>
          <w:p>
            <w:pPr>
              <w:spacing w:after="0"/>
              <w:rPr>
                <w:sz w:val="20"/>
                <w:szCs w:val="20"/>
                <w:color w:val="auto"/>
              </w:rPr>
            </w:pPr>
            <w:r>
              <w:rPr>
                <w:rFonts w:ascii="Arial" w:cs="Arial" w:eastAsia="Arial" w:hAnsi="Arial"/>
                <w:sz w:val="12"/>
                <w:szCs w:val="12"/>
                <w:b w:val="1"/>
                <w:bCs w:val="1"/>
                <w:color w:val="005A64"/>
              </w:rPr>
              <w:t>Total revenues for the 2024 financial year</w:t>
            </w:r>
          </w:p>
        </w:tc>
        <w:tc>
          <w:tcPr>
            <w:tcW w:w="100" w:type="dxa"/>
            <w:vAlign w:val="bottom"/>
            <w:tcBorders>
              <w:right w:val="single" w:sz="8" w:color="BECE33"/>
            </w:tcBorders>
          </w:tcPr>
          <w:p>
            <w:pPr>
              <w:spacing w:after="0"/>
              <w:rPr>
                <w:sz w:val="16"/>
                <w:szCs w:val="16"/>
                <w:color w:val="auto"/>
              </w:rPr>
            </w:pPr>
          </w:p>
        </w:tc>
        <w:tc>
          <w:tcPr>
            <w:tcW w:w="4320" w:type="dxa"/>
            <w:vAlign w:val="bottom"/>
            <w:tcBorders>
              <w:top w:val="single" w:sz="8" w:color="BECE33"/>
              <w:bottom w:val="single" w:sz="8" w:color="BECE33"/>
              <w:right w:val="single" w:sz="8" w:color="BECE33"/>
            </w:tcBorders>
          </w:tcPr>
          <w:p>
            <w:pPr>
              <w:ind w:left="2320"/>
              <w:spacing w:after="0"/>
              <w:rPr>
                <w:sz w:val="20"/>
                <w:szCs w:val="20"/>
                <w:color w:val="auto"/>
              </w:rPr>
            </w:pPr>
            <w:r>
              <w:rPr>
                <w:rFonts w:ascii="Arial" w:cs="Arial" w:eastAsia="Arial" w:hAnsi="Arial"/>
                <w:sz w:val="12"/>
                <w:szCs w:val="12"/>
                <w:b w:val="1"/>
                <w:bCs w:val="1"/>
                <w:color w:val="005A64"/>
                <w:w w:val="99"/>
              </w:rPr>
              <w:t>low end of €2.5 billion - €3.1 billion</w:t>
            </w:r>
          </w:p>
        </w:tc>
      </w:tr>
    </w:tbl>
    <w:p>
      <w:pPr>
        <w:spacing w:after="0" w:line="212" w:lineRule="exact"/>
        <w:rPr>
          <w:sz w:val="20"/>
          <w:szCs w:val="20"/>
          <w:color w:val="auto"/>
        </w:rPr>
      </w:pPr>
    </w:p>
    <w:p>
      <w:pPr>
        <w:jc w:val="both"/>
        <w:ind w:left="8" w:right="20"/>
        <w:spacing w:after="0" w:line="267" w:lineRule="auto"/>
        <w:rPr>
          <w:sz w:val="20"/>
          <w:szCs w:val="20"/>
          <w:color w:val="auto"/>
        </w:rPr>
      </w:pPr>
      <w:r>
        <w:rPr>
          <w:rFonts w:ascii="Arial" w:cs="Arial" w:eastAsia="Arial" w:hAnsi="Arial"/>
          <w:sz w:val="12"/>
          <w:szCs w:val="12"/>
          <w:color w:val="auto"/>
        </w:rPr>
        <w:t>The range reflects certain assumptions and expectations, including, but not limited to: COVID-19 vaccine uptake and price levels, including seasonal variations; inventory write-downs and other charges by BioNTech’s collaboration partner Pfizer Inc. (“Pfizer”) that negatively influence BioNTech’s revenues; anticipated revenues from a pandemic preparedness contract with the German government; and revenues from the BioNTech Group service businesses, namely InstaDeep Ltd (“InstaDeep”), JPT Peptide Technologies GmbH, and BioNTech Innovative Manufacturing Services GmbH. Generally, the Company continues to remain largely dependent on revenues generated in its collaboration partner’s territories in 2024.</w:t>
      </w:r>
    </w:p>
    <w:p>
      <w:pPr>
        <w:spacing w:after="0" w:line="14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2024 Financial Year Expenses and Capex</w:t>
      </w:r>
    </w:p>
    <w:p>
      <w:pPr>
        <w:spacing w:after="0" w:line="177"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Company has reduced its previous guidance for expected SG&amp;A expenses and capital expenditures for operating activities for the 2024 financial year:</w:t>
      </w:r>
    </w:p>
    <w:p>
      <w:pPr>
        <w:sectPr>
          <w:pgSz w:w="11900" w:h="16838" w:orient="portrait"/>
          <w:cols w:equalWidth="0" w:num="1">
            <w:col w:w="11308"/>
          </w:cols>
          <w:pgMar w:left="292" w:top="1234" w:right="29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05A64"/>
        </w:rPr>
        <w:t>R&amp;D expenses</w:t>
      </w:r>
      <w:r>
        <w:rPr>
          <w:rFonts w:ascii="Arial" w:cs="Arial" w:eastAsia="Arial" w:hAnsi="Arial"/>
          <w:sz w:val="15"/>
          <w:szCs w:val="15"/>
          <w:b w:val="1"/>
          <w:bCs w:val="1"/>
          <w:color w:val="005A64"/>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222313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2313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-118110</wp:posOffset>
            </wp:positionV>
            <wp:extent cx="222313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23135" cy="5715"/>
                    </a:xfrm>
                    <a:prstGeom prst="rect">
                      <a:avLst/>
                    </a:prstGeom>
                    <a:noFill/>
                  </pic:spPr>
                </pic:pic>
              </a:graphicData>
            </a:graphic>
          </wp:anchor>
        </w:drawing>
      </w:r>
    </w:p>
    <w:p>
      <w:pPr>
        <w:spacing w:after="0" w:line="1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05A64"/>
        </w:rPr>
        <w:t>SG&amp;A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222313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23135" cy="5715"/>
                    </a:xfrm>
                    <a:prstGeom prst="rect">
                      <a:avLst/>
                    </a:prstGeom>
                    <a:noFill/>
                  </pic:spPr>
                </pic:pic>
              </a:graphicData>
            </a:graphic>
          </wp:anchor>
        </w:drawing>
      </w:r>
    </w:p>
    <w:p>
      <w:pPr>
        <w:spacing w:after="0" w:line="28"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005A64"/>
        </w:rPr>
        <w:t>Capital expenditures for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222313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2313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88"/>
        </w:trPr>
        <w:tc>
          <w:tcPr>
            <w:tcW w:w="80" w:type="dxa"/>
            <w:vAlign w:val="bottom"/>
            <w:tcBorders>
              <w:top w:val="single" w:sz="8" w:color="BECE33"/>
              <w:left w:val="single" w:sz="8" w:color="BECD32"/>
              <w:bottom w:val="single" w:sz="8" w:color="BECD32"/>
            </w:tcBorders>
          </w:tcPr>
          <w:p>
            <w:pPr>
              <w:spacing w:after="0"/>
              <w:rPr>
                <w:sz w:val="16"/>
                <w:szCs w:val="16"/>
                <w:color w:val="auto"/>
              </w:rPr>
            </w:pPr>
          </w:p>
        </w:tc>
        <w:tc>
          <w:tcPr>
            <w:tcW w:w="4820" w:type="dxa"/>
            <w:vAlign w:val="bottom"/>
            <w:tcBorders>
              <w:top w:val="single" w:sz="8" w:color="BECD32"/>
              <w:bottom w:val="single" w:sz="8" w:color="BECD32"/>
            </w:tcBorders>
          </w:tcPr>
          <w:p>
            <w:pPr>
              <w:jc w:val="right"/>
              <w:ind w:right="960"/>
              <w:spacing w:after="0"/>
              <w:rPr>
                <w:sz w:val="20"/>
                <w:szCs w:val="20"/>
                <w:color w:val="auto"/>
              </w:rPr>
            </w:pPr>
            <w:r>
              <w:rPr>
                <w:rFonts w:ascii="Arial" w:cs="Arial" w:eastAsia="Arial" w:hAnsi="Arial"/>
                <w:sz w:val="12"/>
                <w:szCs w:val="12"/>
                <w:b w:val="1"/>
                <w:bCs w:val="1"/>
                <w:color w:val="005A64"/>
              </w:rPr>
              <w:t>Guidance March 2024</w:t>
            </w:r>
          </w:p>
        </w:tc>
        <w:tc>
          <w:tcPr>
            <w:tcW w:w="2720" w:type="dxa"/>
            <w:vAlign w:val="bottom"/>
            <w:tcBorders>
              <w:top w:val="single" w:sz="8" w:color="BECD32"/>
              <w:bottom w:val="single" w:sz="8" w:color="BECD32"/>
            </w:tcBorders>
          </w:tcPr>
          <w:p>
            <w:pPr>
              <w:jc w:val="right"/>
              <w:spacing w:after="0"/>
              <w:rPr>
                <w:sz w:val="20"/>
                <w:szCs w:val="20"/>
                <w:color w:val="auto"/>
              </w:rPr>
            </w:pPr>
            <w:r>
              <w:rPr>
                <w:rFonts w:ascii="Arial" w:cs="Arial" w:eastAsia="Arial" w:hAnsi="Arial"/>
                <w:sz w:val="12"/>
                <w:szCs w:val="12"/>
                <w:b w:val="1"/>
                <w:bCs w:val="1"/>
                <w:color w:val="005A64"/>
              </w:rPr>
              <w:t>Guidance November 2024</w:t>
            </w:r>
          </w:p>
        </w:tc>
        <w:tc>
          <w:tcPr>
            <w:tcW w:w="100" w:type="dxa"/>
            <w:vAlign w:val="bottom"/>
            <w:tcBorders>
              <w:top w:val="single" w:sz="8" w:color="BECE33"/>
              <w:bottom w:val="single" w:sz="8" w:color="BECD32"/>
              <w:right w:val="single" w:sz="8" w:color="BECD32"/>
            </w:tcBorders>
          </w:tcPr>
          <w:p>
            <w:pPr>
              <w:spacing w:after="0"/>
              <w:rPr>
                <w:sz w:val="16"/>
                <w:szCs w:val="16"/>
                <w:color w:val="auto"/>
              </w:rPr>
            </w:pPr>
          </w:p>
        </w:tc>
      </w:tr>
      <w:tr>
        <w:trPr>
          <w:trHeight w:val="178"/>
        </w:trPr>
        <w:tc>
          <w:tcPr>
            <w:tcW w:w="80" w:type="dxa"/>
            <w:vAlign w:val="bottom"/>
            <w:tcBorders>
              <w:left w:val="single" w:sz="8" w:color="BECE33"/>
            </w:tcBorders>
          </w:tcPr>
          <w:p>
            <w:pPr>
              <w:spacing w:after="0"/>
              <w:rPr>
                <w:sz w:val="15"/>
                <w:szCs w:val="15"/>
                <w:color w:val="auto"/>
              </w:rPr>
            </w:pPr>
          </w:p>
        </w:tc>
        <w:tc>
          <w:tcPr>
            <w:tcW w:w="4820" w:type="dxa"/>
            <w:vAlign w:val="bottom"/>
            <w:tcBorders>
              <w:bottom w:val="single" w:sz="8" w:color="7FACB1"/>
            </w:tcBorders>
          </w:tcPr>
          <w:p>
            <w:pPr>
              <w:jc w:val="right"/>
              <w:ind w:right="960"/>
              <w:spacing w:after="0"/>
              <w:rPr>
                <w:sz w:val="20"/>
                <w:szCs w:val="20"/>
                <w:color w:val="auto"/>
              </w:rPr>
            </w:pPr>
            <w:r>
              <w:rPr>
                <w:rFonts w:ascii="Arial" w:cs="Arial" w:eastAsia="Arial" w:hAnsi="Arial"/>
                <w:sz w:val="12"/>
                <w:szCs w:val="12"/>
                <w:b w:val="1"/>
                <w:bCs w:val="1"/>
                <w:color w:val="005A64"/>
              </w:rPr>
              <w:t>€2,400 million - €2,600 million</w:t>
            </w:r>
          </w:p>
        </w:tc>
        <w:tc>
          <w:tcPr>
            <w:tcW w:w="2720" w:type="dxa"/>
            <w:vAlign w:val="bottom"/>
            <w:tcBorders>
              <w:bottom w:val="single" w:sz="8" w:color="7FACB1"/>
            </w:tcBorders>
          </w:tcPr>
          <w:p>
            <w:pPr>
              <w:jc w:val="right"/>
              <w:spacing w:after="0"/>
              <w:rPr>
                <w:sz w:val="20"/>
                <w:szCs w:val="20"/>
                <w:color w:val="auto"/>
              </w:rPr>
            </w:pPr>
            <w:r>
              <w:rPr>
                <w:rFonts w:ascii="Arial" w:cs="Arial" w:eastAsia="Arial" w:hAnsi="Arial"/>
                <w:sz w:val="12"/>
                <w:szCs w:val="12"/>
                <w:b w:val="1"/>
                <w:bCs w:val="1"/>
                <w:color w:val="005A64"/>
              </w:rPr>
              <w:t>€2,400 million - €2,600 million</w:t>
            </w:r>
          </w:p>
        </w:tc>
        <w:tc>
          <w:tcPr>
            <w:tcW w:w="100" w:type="dxa"/>
            <w:vAlign w:val="bottom"/>
            <w:tcBorders>
              <w:right w:val="single" w:sz="8" w:color="BECD32"/>
            </w:tcBorders>
          </w:tcPr>
          <w:p>
            <w:pPr>
              <w:spacing w:after="0"/>
              <w:rPr>
                <w:sz w:val="15"/>
                <w:szCs w:val="15"/>
                <w:color w:val="auto"/>
              </w:rPr>
            </w:pPr>
          </w:p>
        </w:tc>
      </w:tr>
      <w:tr>
        <w:trPr>
          <w:trHeight w:val="178"/>
        </w:trPr>
        <w:tc>
          <w:tcPr>
            <w:tcW w:w="80" w:type="dxa"/>
            <w:vAlign w:val="bottom"/>
            <w:tcBorders>
              <w:left w:val="single" w:sz="8" w:color="BECE33"/>
            </w:tcBorders>
          </w:tcPr>
          <w:p>
            <w:pPr>
              <w:spacing w:after="0"/>
              <w:rPr>
                <w:sz w:val="15"/>
                <w:szCs w:val="15"/>
                <w:color w:val="auto"/>
              </w:rPr>
            </w:pPr>
          </w:p>
        </w:tc>
        <w:tc>
          <w:tcPr>
            <w:tcW w:w="4820" w:type="dxa"/>
            <w:vAlign w:val="bottom"/>
            <w:tcBorders>
              <w:bottom w:val="single" w:sz="8" w:color="7FACB1"/>
            </w:tcBorders>
          </w:tcPr>
          <w:p>
            <w:pPr>
              <w:jc w:val="right"/>
              <w:ind w:right="960"/>
              <w:spacing w:after="0"/>
              <w:rPr>
                <w:sz w:val="20"/>
                <w:szCs w:val="20"/>
                <w:color w:val="auto"/>
              </w:rPr>
            </w:pPr>
            <w:r>
              <w:rPr>
                <w:rFonts w:ascii="Arial" w:cs="Arial" w:eastAsia="Arial" w:hAnsi="Arial"/>
                <w:sz w:val="12"/>
                <w:szCs w:val="12"/>
                <w:b w:val="1"/>
                <w:bCs w:val="1"/>
                <w:color w:val="005A64"/>
              </w:rPr>
              <w:t>€700 million - €800 million</w:t>
            </w:r>
          </w:p>
        </w:tc>
        <w:tc>
          <w:tcPr>
            <w:tcW w:w="2720" w:type="dxa"/>
            <w:vAlign w:val="bottom"/>
            <w:tcBorders>
              <w:bottom w:val="single" w:sz="8" w:color="7FACB1"/>
            </w:tcBorders>
          </w:tcPr>
          <w:p>
            <w:pPr>
              <w:jc w:val="right"/>
              <w:spacing w:after="0"/>
              <w:rPr>
                <w:sz w:val="20"/>
                <w:szCs w:val="20"/>
                <w:color w:val="auto"/>
              </w:rPr>
            </w:pPr>
            <w:r>
              <w:rPr>
                <w:rFonts w:ascii="Arial" w:cs="Arial" w:eastAsia="Arial" w:hAnsi="Arial"/>
                <w:sz w:val="12"/>
                <w:szCs w:val="12"/>
                <w:b w:val="1"/>
                <w:bCs w:val="1"/>
                <w:color w:val="005A64"/>
              </w:rPr>
              <w:t>€600 million - €700 million</w:t>
            </w:r>
          </w:p>
        </w:tc>
        <w:tc>
          <w:tcPr>
            <w:tcW w:w="100" w:type="dxa"/>
            <w:vAlign w:val="bottom"/>
            <w:tcBorders>
              <w:right w:val="single" w:sz="8" w:color="BECD32"/>
            </w:tcBorders>
          </w:tcPr>
          <w:p>
            <w:pPr>
              <w:spacing w:after="0"/>
              <w:rPr>
                <w:sz w:val="15"/>
                <w:szCs w:val="15"/>
                <w:color w:val="auto"/>
              </w:rPr>
            </w:pPr>
          </w:p>
        </w:tc>
      </w:tr>
      <w:tr>
        <w:trPr>
          <w:trHeight w:val="178"/>
        </w:trPr>
        <w:tc>
          <w:tcPr>
            <w:tcW w:w="80" w:type="dxa"/>
            <w:vAlign w:val="bottom"/>
            <w:tcBorders>
              <w:left w:val="single" w:sz="8" w:color="BECE33"/>
              <w:bottom w:val="single" w:sz="8" w:color="BECE33"/>
            </w:tcBorders>
          </w:tcPr>
          <w:p>
            <w:pPr>
              <w:spacing w:after="0"/>
              <w:rPr>
                <w:sz w:val="15"/>
                <w:szCs w:val="15"/>
                <w:color w:val="auto"/>
              </w:rPr>
            </w:pPr>
          </w:p>
        </w:tc>
        <w:tc>
          <w:tcPr>
            <w:tcW w:w="4820" w:type="dxa"/>
            <w:vAlign w:val="bottom"/>
            <w:tcBorders>
              <w:bottom w:val="single" w:sz="8" w:color="BECE33"/>
            </w:tcBorders>
          </w:tcPr>
          <w:p>
            <w:pPr>
              <w:jc w:val="right"/>
              <w:ind w:right="960"/>
              <w:spacing w:after="0"/>
              <w:rPr>
                <w:sz w:val="20"/>
                <w:szCs w:val="20"/>
                <w:color w:val="auto"/>
              </w:rPr>
            </w:pPr>
            <w:r>
              <w:rPr>
                <w:rFonts w:ascii="Arial" w:cs="Arial" w:eastAsia="Arial" w:hAnsi="Arial"/>
                <w:sz w:val="12"/>
                <w:szCs w:val="12"/>
                <w:b w:val="1"/>
                <w:bCs w:val="1"/>
                <w:color w:val="005A64"/>
              </w:rPr>
              <w:t>€400 million - €500 million</w:t>
            </w:r>
          </w:p>
        </w:tc>
        <w:tc>
          <w:tcPr>
            <w:tcW w:w="2820" w:type="dxa"/>
            <w:vAlign w:val="bottom"/>
            <w:tcBorders>
              <w:bottom w:val="single" w:sz="8" w:color="BECE33"/>
              <w:right w:val="single" w:sz="8" w:color="BECD32"/>
            </w:tcBorders>
            <w:gridSpan w:val="2"/>
          </w:tcPr>
          <w:p>
            <w:pPr>
              <w:jc w:val="right"/>
              <w:ind w:right="120"/>
              <w:spacing w:after="0"/>
              <w:rPr>
                <w:sz w:val="20"/>
                <w:szCs w:val="20"/>
                <w:color w:val="auto"/>
              </w:rPr>
            </w:pPr>
            <w:r>
              <w:rPr>
                <w:rFonts w:ascii="Arial" w:cs="Arial" w:eastAsia="Arial" w:hAnsi="Arial"/>
                <w:sz w:val="12"/>
                <w:szCs w:val="12"/>
                <w:b w:val="1"/>
                <w:bCs w:val="1"/>
                <w:color w:val="005A64"/>
              </w:rPr>
              <w:t>€300 million - €400 million</w:t>
            </w:r>
          </w:p>
        </w:tc>
      </w:tr>
    </w:tbl>
    <w:p>
      <w:pPr>
        <w:spacing w:after="0" w:line="200" w:lineRule="exact"/>
        <w:rPr>
          <w:sz w:val="20"/>
          <w:szCs w:val="20"/>
          <w:color w:val="auto"/>
        </w:rPr>
      </w:pPr>
    </w:p>
    <w:p>
      <w:pPr>
        <w:sectPr>
          <w:pgSz w:w="11900" w:h="16838" w:orient="portrait"/>
          <w:cols w:equalWidth="0" w:num="2">
            <w:col w:w="2868" w:space="720"/>
            <w:col w:w="7720"/>
          </w:cols>
          <w:pgMar w:left="292" w:top="1234" w:right="299" w:bottom="1440" w:gutter="0" w:footer="0" w:header="0"/>
          <w:type w:val="continuous"/>
        </w:sectPr>
      </w:pPr>
    </w:p>
    <w:p>
      <w:pPr>
        <w:spacing w:after="0" w:line="12" w:lineRule="exact"/>
        <w:rPr>
          <w:sz w:val="20"/>
          <w:szCs w:val="20"/>
          <w:color w:val="auto"/>
        </w:rPr>
      </w:pPr>
    </w:p>
    <w:p>
      <w:pPr>
        <w:ind w:left="8" w:right="20"/>
        <w:spacing w:after="0" w:line="301" w:lineRule="auto"/>
        <w:rPr>
          <w:sz w:val="20"/>
          <w:szCs w:val="20"/>
          <w:color w:val="auto"/>
        </w:rPr>
      </w:pPr>
      <w:r>
        <w:rPr>
          <w:rFonts w:ascii="Arial" w:cs="Arial" w:eastAsia="Arial" w:hAnsi="Arial"/>
          <w:sz w:val="12"/>
          <w:szCs w:val="12"/>
          <w:color w:val="auto"/>
        </w:rPr>
        <w:t xml:space="preserve">The full interim unaudited condensed consolidated financial statements can be found in BioNTech’s Report on Form 6-K for the period ended September 30, 2024, filed today with the United States Securities and Exchange Commission (“SEC”) and available at </w:t>
      </w:r>
      <w:r>
        <w:rPr>
          <w:rFonts w:ascii="Arial" w:cs="Arial" w:eastAsia="Arial" w:hAnsi="Arial"/>
          <w:sz w:val="12"/>
          <w:szCs w:val="12"/>
          <w:u w:val="single" w:color="auto"/>
          <w:color w:val="auto"/>
        </w:rPr>
        <w:t>https://www.sec.gov/</w:t>
      </w:r>
      <w:r>
        <w:rPr>
          <w:rFonts w:ascii="Arial" w:cs="Arial" w:eastAsia="Arial" w:hAnsi="Arial"/>
          <w:sz w:val="12"/>
          <w:szCs w:val="12"/>
          <w:color w:val="auto"/>
          <w:highlight w:val="white"/>
        </w:rPr>
        <w:t>.</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Endnotes</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4"/>
          <w:szCs w:val="14"/>
          <w:color w:val="auto"/>
          <w:vertAlign w:val="superscript"/>
        </w:rPr>
        <w:t>1</w:t>
      </w:r>
      <w:r>
        <w:rPr>
          <w:rFonts w:ascii="Arial" w:cs="Arial" w:eastAsia="Arial" w:hAnsi="Arial"/>
          <w:sz w:val="11"/>
          <w:szCs w:val="11"/>
          <w:color w:val="auto"/>
        </w:rPr>
        <w:t>Calculated applying the average foreign exchange rate for the nine months ended September 30, 2024, as published by the German Central Bank (Deutsche Bundesbank).</w:t>
      </w:r>
    </w:p>
    <w:p>
      <w:pPr>
        <w:spacing w:after="0" w:line="109" w:lineRule="exact"/>
        <w:rPr>
          <w:sz w:val="20"/>
          <w:szCs w:val="20"/>
          <w:color w:val="auto"/>
        </w:rPr>
      </w:pPr>
    </w:p>
    <w:p>
      <w:pPr>
        <w:ind w:left="108" w:hanging="108"/>
        <w:spacing w:after="0"/>
        <w:tabs>
          <w:tab w:leader="none" w:pos="108" w:val="left"/>
        </w:tabs>
        <w:numPr>
          <w:ilvl w:val="0"/>
          <w:numId w:val="2"/>
        </w:numPr>
        <w:rPr>
          <w:rFonts w:ascii="Arial" w:cs="Arial" w:eastAsia="Arial" w:hAnsi="Arial"/>
          <w:sz w:val="14"/>
          <w:szCs w:val="14"/>
          <w:color w:val="auto"/>
          <w:vertAlign w:val="superscript"/>
        </w:rPr>
      </w:pPr>
      <w:r>
        <w:rPr>
          <w:rFonts w:ascii="Arial" w:cs="Arial" w:eastAsia="Arial" w:hAnsi="Arial"/>
          <w:sz w:val="11"/>
          <w:szCs w:val="11"/>
          <w:color w:val="auto"/>
        </w:rPr>
        <w:t>SG&amp;A expenses include sales and marketing expenses as well as general and administrative expenses.</w:t>
      </w:r>
    </w:p>
    <w:p>
      <w:pPr>
        <w:spacing w:after="0" w:line="155" w:lineRule="exact"/>
        <w:rPr>
          <w:sz w:val="20"/>
          <w:szCs w:val="20"/>
          <w:color w:val="auto"/>
        </w:rPr>
      </w:pPr>
    </w:p>
    <w:p>
      <w:pPr>
        <w:ind w:left="48" w:right="60" w:hanging="53"/>
        <w:spacing w:after="0" w:line="231" w:lineRule="auto"/>
        <w:rPr>
          <w:sz w:val="20"/>
          <w:szCs w:val="20"/>
          <w:color w:val="auto"/>
        </w:rPr>
      </w:pPr>
      <w:r>
        <w:rPr>
          <w:rFonts w:ascii="Arial" w:cs="Arial" w:eastAsia="Arial" w:hAnsi="Arial"/>
          <w:sz w:val="14"/>
          <w:szCs w:val="14"/>
          <w:color w:val="auto"/>
          <w:vertAlign w:val="superscript"/>
        </w:rPr>
        <w:t>3</w:t>
      </w:r>
      <w:r>
        <w:rPr>
          <w:rFonts w:ascii="Arial" w:cs="Arial" w:eastAsia="Arial" w:hAnsi="Arial"/>
          <w:sz w:val="11"/>
          <w:szCs w:val="11"/>
          <w:color w:val="auto"/>
        </w:rPr>
        <w:t>Guidance excludes external risks that are not yet known and/or quantifiable. It does not include potential payments resulting from the outcomes of ongoing and/or future legal disputes or related activity, such as judgements or settlements, or other extraordinary items, all of which may have a material effect on the Company’s results of operations and/or cash flows. BioNTech continues to expect to report a loss for the 2024 financial year.</w:t>
      </w:r>
    </w:p>
    <w:p>
      <w:pPr>
        <w:spacing w:after="0" w:line="155" w:lineRule="exact"/>
        <w:rPr>
          <w:sz w:val="20"/>
          <w:szCs w:val="20"/>
          <w:color w:val="auto"/>
        </w:rPr>
      </w:pPr>
    </w:p>
    <w:p>
      <w:pPr>
        <w:ind w:left="48" w:right="60" w:hanging="48"/>
        <w:spacing w:after="0" w:line="231" w:lineRule="auto"/>
        <w:tabs>
          <w:tab w:leader="none" w:pos="129" w:val="left"/>
        </w:tabs>
        <w:numPr>
          <w:ilvl w:val="0"/>
          <w:numId w:val="3"/>
        </w:numPr>
        <w:rPr>
          <w:rFonts w:ascii="Arial" w:cs="Arial" w:eastAsia="Arial" w:hAnsi="Arial"/>
          <w:sz w:val="14"/>
          <w:szCs w:val="14"/>
          <w:color w:val="auto"/>
          <w:vertAlign w:val="superscript"/>
        </w:rPr>
      </w:pPr>
      <w:r>
        <w:rPr>
          <w:rFonts w:ascii="Arial" w:cs="Arial" w:eastAsia="Arial" w:hAnsi="Arial"/>
          <w:sz w:val="11"/>
          <w:szCs w:val="11"/>
          <w:color w:val="auto"/>
        </w:rPr>
        <w:t>Guidance for R&amp;D expenses reflects the expected impact of collaborations and potential M&amp;A transactions, in each case to the extent disclosed, and which are subject to change based on future developments. Guidance does not otherwise reflect M&amp;A, collaboration or licensing transactions that the Company may enter into in the future.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8"/>
          </w:cols>
          <w:pgMar w:left="292" w:top="1234" w:right="29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875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28750" cy="154305"/>
                    </a:xfrm>
                    <a:prstGeom prst="rect">
                      <a:avLst/>
                    </a:prstGeom>
                    <a:noFill/>
                  </pic:spPr>
                </pic:pic>
              </a:graphicData>
            </a:graphic>
          </wp:anchor>
        </w:drawing>
        <w:t>Operational Review of the Third Quarter 2024, Key Post Period-End Events and Outlook</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Variant-adapted COVID-19 Vaccines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In the third quarter of 2024, BioNTech and Pfizer executed the commercial launch of their variant-adapted COVID-19 vaccines for the 2024/2025 vaccination season.</w:t>
      </w:r>
    </w:p>
    <w:p>
      <w:pPr>
        <w:spacing w:after="0" w:line="21" w:lineRule="exact"/>
        <w:rPr>
          <w:sz w:val="20"/>
          <w:szCs w:val="20"/>
          <w:color w:val="auto"/>
        </w:rPr>
      </w:pPr>
    </w:p>
    <w:p>
      <w:pPr>
        <w:jc w:val="both"/>
        <w:ind w:left="420" w:hanging="212"/>
        <w:spacing w:after="0" w:line="261" w:lineRule="auto"/>
        <w:tabs>
          <w:tab w:leader="none" w:pos="417" w:val="left"/>
        </w:tabs>
        <w:numPr>
          <w:ilvl w:val="0"/>
          <w:numId w:val="4"/>
        </w:numPr>
        <w:rPr>
          <w:rFonts w:ascii="Arial" w:cs="Arial" w:eastAsia="Arial" w:hAnsi="Arial"/>
          <w:sz w:val="12"/>
          <w:szCs w:val="12"/>
          <w:color w:val="auto"/>
        </w:rPr>
      </w:pPr>
      <w:r>
        <w:rPr>
          <w:rFonts w:ascii="Arial" w:cs="Arial" w:eastAsia="Arial" w:hAnsi="Arial"/>
          <w:sz w:val="12"/>
          <w:szCs w:val="12"/>
          <w:color w:val="auto"/>
        </w:rPr>
        <w:t>On July 3, 2024, BioNTech and Pfizer’s Omicron JN.1-adapted COVID-19 vaccine was approved by the European Commission (“EC”). Shortly following approval, the updated vaccines were made available to European Union (“EU”) member states. The EC approved the co-administration of the companies’ COVID-19 vaccine with approved seasonal influenza vaccines in individuals 12 years of age and older and also authorized glass pre-filled syringes, a new presentation of the vaccine that allows for refrigerated storage conditions. On September 24, 2024, the EC approved BioNTech and Pfizer’s Omicron KP.2-adapted COVID-19 vaccine. The companies began shipments of their KP.2-adapted COVID-19 vaccine to EU member states that ordered this formulation.</w:t>
      </w:r>
    </w:p>
    <w:p>
      <w:pPr>
        <w:ind w:left="420" w:hanging="212"/>
        <w:spacing w:after="0" w:line="260" w:lineRule="auto"/>
        <w:tabs>
          <w:tab w:leader="none" w:pos="417" w:val="left"/>
        </w:tabs>
        <w:numPr>
          <w:ilvl w:val="0"/>
          <w:numId w:val="4"/>
        </w:numPr>
        <w:rPr>
          <w:rFonts w:ascii="Arial" w:cs="Arial" w:eastAsia="Arial" w:hAnsi="Arial"/>
          <w:sz w:val="12"/>
          <w:szCs w:val="12"/>
          <w:color w:val="auto"/>
        </w:rPr>
      </w:pPr>
      <w:r>
        <w:rPr>
          <w:rFonts w:ascii="Arial" w:cs="Arial" w:eastAsia="Arial" w:hAnsi="Arial"/>
          <w:sz w:val="12"/>
          <w:szCs w:val="12"/>
          <w:color w:val="auto"/>
        </w:rPr>
        <w:t>On August 22, 2024, the U.S. Food and Drug Administration (“FDA”) approved the companies’ KP.2-adapted COVID-19 vaccine. The vaccines were shipped immediately following approval and made available in pharmacies, hospitals, and clinics across the U.S.</w:t>
      </w:r>
    </w:p>
    <w:p>
      <w:pPr>
        <w:ind w:left="420" w:right="20" w:hanging="212"/>
        <w:spacing w:after="0" w:line="258" w:lineRule="auto"/>
        <w:tabs>
          <w:tab w:leader="none" w:pos="417" w:val="left"/>
        </w:tabs>
        <w:numPr>
          <w:ilvl w:val="0"/>
          <w:numId w:val="4"/>
        </w:numPr>
        <w:rPr>
          <w:rFonts w:ascii="Arial" w:cs="Arial" w:eastAsia="Arial" w:hAnsi="Arial"/>
          <w:sz w:val="12"/>
          <w:szCs w:val="12"/>
          <w:color w:val="auto"/>
        </w:rPr>
      </w:pPr>
      <w:r>
        <w:rPr>
          <w:rFonts w:ascii="Arial" w:cs="Arial" w:eastAsia="Arial" w:hAnsi="Arial"/>
          <w:sz w:val="12"/>
          <w:szCs w:val="12"/>
          <w:color w:val="auto"/>
        </w:rPr>
        <w:t>On July 24, 2024, the United Kingdom’s Medicines and Healthcare Products Regulatory Agency (“MHRA”) approved the companies’ JN.1-adapted vaccine and post period, on October 10, 2024, approved the companies’ KP.2-adapted COVID-19 vaccine.</w:t>
      </w: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BioNTech and Pfizer will continue to monitor the evolving epidemiology of COVID-19 and remain prepared to develop modified vaccine formulas as the data support and as regulatory agencies recommend.</w:t>
      </w:r>
    </w:p>
    <w:p>
      <w:pPr>
        <w:spacing w:after="0" w:line="1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COVID-19 – Influenza Combination Vaccine Program</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An mRNA-based combination vaccine candidate (</w:t>
      </w:r>
      <w:r>
        <w:rPr>
          <w:rFonts w:ascii="Arial" w:cs="Arial" w:eastAsia="Arial" w:hAnsi="Arial"/>
          <w:sz w:val="12"/>
          <w:szCs w:val="12"/>
          <w:b w:val="1"/>
          <w:bCs w:val="1"/>
          <w:color w:val="auto"/>
        </w:rPr>
        <w:t>BNT162b2 + BNT161</w:t>
      </w:r>
      <w:r>
        <w:rPr>
          <w:rFonts w:ascii="Arial" w:cs="Arial" w:eastAsia="Arial" w:hAnsi="Arial"/>
          <w:sz w:val="12"/>
          <w:szCs w:val="12"/>
          <w:color w:val="auto"/>
        </w:rPr>
        <w:t>) against COVID-19 and influenza is in development in collaboration with Pfizer.</w:t>
      </w:r>
    </w:p>
    <w:p>
      <w:pPr>
        <w:spacing w:after="0" w:line="27" w:lineRule="exact"/>
        <w:rPr>
          <w:sz w:val="20"/>
          <w:szCs w:val="20"/>
          <w:color w:val="auto"/>
        </w:rPr>
      </w:pPr>
    </w:p>
    <w:p>
      <w:pPr>
        <w:jc w:val="both"/>
        <w:ind w:left="420" w:hanging="212"/>
        <w:spacing w:after="0" w:line="262"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auto"/>
        </w:rPr>
        <w:t>In August 2024, BioNTech and Pfizer provided topline results from the Phase 3 trial (</w:t>
      </w:r>
      <w:r>
        <w:rPr>
          <w:rFonts w:ascii="Arial" w:cs="Arial" w:eastAsia="Arial" w:hAnsi="Arial"/>
          <w:sz w:val="12"/>
          <w:szCs w:val="12"/>
          <w:u w:val="single" w:color="auto"/>
          <w:color w:val="auto"/>
        </w:rPr>
        <w:t>NCT06178991</w:t>
      </w:r>
      <w:r>
        <w:rPr>
          <w:rFonts w:ascii="Arial" w:cs="Arial" w:eastAsia="Arial" w:hAnsi="Arial"/>
          <w:sz w:val="12"/>
          <w:szCs w:val="12"/>
          <w:color w:val="auto"/>
        </w:rPr>
        <w:t>) evaluating the companies’ mRNA combination vaccine candidate in healthy individuals 18-64 years of age. The vaccine candidate was compared to the co-administration of a licensed influenza vaccine with the companies’ licensed COVID-19 vaccine. The primary immunogenicity objectives were non-inferiority of the antibody responses to influenza (hemagglutination inhibition) and to SARS-CoV-2 (neutralizing titer) elicited by the combination vaccine candidate as compared to standard of care. The trial showed higher influenza A responses and comparable COVID-19 responses versus the comparator vaccines but did not meet one of its primary immunogenicity objectives of non-inferiority against the influenza B strain. No safety signals with the combination vaccine candidate have been identified in an ongoing safety data review. BioNTech and Pfizer are evaluating adjustments to the candidate and will discuss next steps with health authorities.</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Select Oncology Pipeline Updates</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Next-Generation Immune Checkpoint Immunomodulator Programs</w:t>
      </w:r>
    </w:p>
    <w:p>
      <w:pPr>
        <w:spacing w:after="0" w:line="166" w:lineRule="exact"/>
        <w:rPr>
          <w:sz w:val="20"/>
          <w:szCs w:val="20"/>
          <w:color w:val="auto"/>
        </w:rPr>
      </w:pPr>
    </w:p>
    <w:p>
      <w:pPr>
        <w:ind w:right="20"/>
        <w:spacing w:after="0" w:line="270" w:lineRule="auto"/>
        <w:rPr>
          <w:sz w:val="20"/>
          <w:szCs w:val="20"/>
          <w:color w:val="auto"/>
        </w:rPr>
      </w:pPr>
      <w:r>
        <w:rPr>
          <w:rFonts w:ascii="Arial" w:cs="Arial" w:eastAsia="Arial" w:hAnsi="Arial"/>
          <w:sz w:val="12"/>
          <w:szCs w:val="12"/>
          <w:b w:val="1"/>
          <w:bCs w:val="1"/>
          <w:color w:val="auto"/>
        </w:rPr>
        <w:t xml:space="preserve">BNT327/PM8002 </w:t>
      </w:r>
      <w:r>
        <w:rPr>
          <w:rFonts w:ascii="Arial" w:cs="Arial" w:eastAsia="Arial" w:hAnsi="Arial"/>
          <w:sz w:val="12"/>
          <w:szCs w:val="12"/>
          <w:color w:val="auto"/>
        </w:rPr>
        <w:t>is a bispecific antibody candidate combining Programmed Cell Death Ligand-1 (“PD-L1”) checkpoint inhibition with Vascular Endothelial Growth Factor A (“VEGF-A”) neutralization and is being</w:t>
      </w:r>
      <w:r>
        <w:rPr>
          <w:rFonts w:ascii="Arial" w:cs="Arial" w:eastAsia="Arial" w:hAnsi="Arial"/>
          <w:sz w:val="12"/>
          <w:szCs w:val="12"/>
          <w:b w:val="1"/>
          <w:bCs w:val="1"/>
          <w:color w:val="auto"/>
        </w:rPr>
        <w:t xml:space="preserve"> </w:t>
      </w:r>
      <w:r>
        <w:rPr>
          <w:rFonts w:ascii="Arial" w:cs="Arial" w:eastAsia="Arial" w:hAnsi="Arial"/>
          <w:sz w:val="12"/>
          <w:szCs w:val="12"/>
          <w:color w:val="auto"/>
        </w:rPr>
        <w:t>developed in collaboration with Biotheus Inc. (“Biotheus”).</w:t>
      </w:r>
    </w:p>
    <w:p>
      <w:pPr>
        <w:spacing w:after="0" w:line="1" w:lineRule="exact"/>
        <w:rPr>
          <w:sz w:val="20"/>
          <w:szCs w:val="20"/>
          <w:color w:val="auto"/>
        </w:rPr>
      </w:pPr>
    </w:p>
    <w:p>
      <w:pPr>
        <w:ind w:left="420" w:hanging="212"/>
        <w:spacing w:after="0" w:line="276" w:lineRule="auto"/>
        <w:tabs>
          <w:tab w:leader="none" w:pos="417" w:val="left"/>
        </w:tabs>
        <w:numPr>
          <w:ilvl w:val="0"/>
          <w:numId w:val="6"/>
        </w:numPr>
        <w:rPr>
          <w:rFonts w:ascii="Arial" w:cs="Arial" w:eastAsia="Arial" w:hAnsi="Arial"/>
          <w:sz w:val="12"/>
          <w:szCs w:val="12"/>
          <w:color w:val="auto"/>
        </w:rPr>
      </w:pPr>
      <w:r>
        <w:rPr>
          <w:rFonts w:ascii="Arial" w:cs="Arial" w:eastAsia="Arial" w:hAnsi="Arial"/>
          <w:sz w:val="12"/>
          <w:szCs w:val="12"/>
          <w:color w:val="auto"/>
        </w:rPr>
        <w:t>In October 2024, the first patient was dosed in a multi-site, open-label Phase 2 clinical trial (</w:t>
      </w:r>
      <w:r>
        <w:rPr>
          <w:rFonts w:ascii="Arial" w:cs="Arial" w:eastAsia="Arial" w:hAnsi="Arial"/>
          <w:sz w:val="12"/>
          <w:szCs w:val="12"/>
          <w:u w:val="single" w:color="auto"/>
          <w:color w:val="auto"/>
        </w:rPr>
        <w:t>NCT06449222</w:t>
      </w:r>
      <w:r>
        <w:rPr>
          <w:rFonts w:ascii="Arial" w:cs="Arial" w:eastAsia="Arial" w:hAnsi="Arial"/>
          <w:sz w:val="12"/>
          <w:szCs w:val="12"/>
          <w:color w:val="auto"/>
        </w:rPr>
        <w:t>) to evaluate the safety, efficacy, and pharmacokinetics of BNT327/PM8002 at two dose levels in combination with chemotherapy in the first- and second-line treatment of</w:t>
      </w: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300"/>
          </w:cols>
          <w:pgMar w:left="300" w:top="1234" w:right="299" w:bottom="1440" w:gutter="0" w:footer="0" w:header="0"/>
        </w:sectPr>
      </w:pPr>
    </w:p>
    <w:bookmarkStart w:id="8" w:name="page9"/>
    <w:bookmarkEnd w:id="8"/>
    <w:p>
      <w:pPr>
        <w:ind w:left="4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875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28750" cy="154305"/>
                    </a:xfrm>
                    <a:prstGeom prst="rect">
                      <a:avLst/>
                    </a:prstGeom>
                    <a:noFill/>
                  </pic:spPr>
                </pic:pic>
              </a:graphicData>
            </a:graphic>
          </wp:anchor>
        </w:drawing>
        <w:t>patients with locally advanced/metastatic triple negative breast cancer (“TNBC”). These data will inform a Phase 3 clinical trial in first-line TNBC that is expected to start in 2025.</w:t>
      </w:r>
    </w:p>
    <w:p>
      <w:pPr>
        <w:spacing w:after="0" w:line="21" w:lineRule="exact"/>
        <w:rPr>
          <w:sz w:val="20"/>
          <w:szCs w:val="20"/>
          <w:color w:val="auto"/>
        </w:rPr>
      </w:pPr>
    </w:p>
    <w:p>
      <w:pPr>
        <w:jc w:val="both"/>
        <w:ind w:left="420" w:hanging="212"/>
        <w:spacing w:after="0" w:line="260" w:lineRule="auto"/>
        <w:tabs>
          <w:tab w:leader="none" w:pos="417" w:val="left"/>
        </w:tabs>
        <w:numPr>
          <w:ilvl w:val="0"/>
          <w:numId w:val="7"/>
        </w:numPr>
        <w:rPr>
          <w:rFonts w:ascii="Arial" w:cs="Arial" w:eastAsia="Arial" w:hAnsi="Arial"/>
          <w:sz w:val="12"/>
          <w:szCs w:val="12"/>
          <w:color w:val="auto"/>
        </w:rPr>
      </w:pPr>
      <w:r>
        <w:rPr>
          <w:rFonts w:ascii="Arial" w:cs="Arial" w:eastAsia="Arial" w:hAnsi="Arial"/>
          <w:sz w:val="12"/>
          <w:szCs w:val="12"/>
          <w:color w:val="auto"/>
        </w:rPr>
        <w:t>In September 2024, the first patient was dosed in a multi-site, open-label Phase 2 clinical trial (</w:t>
      </w:r>
      <w:r>
        <w:rPr>
          <w:rFonts w:ascii="Arial" w:cs="Arial" w:eastAsia="Arial" w:hAnsi="Arial"/>
          <w:sz w:val="12"/>
          <w:szCs w:val="12"/>
          <w:u w:val="single" w:color="auto"/>
          <w:color w:val="auto"/>
        </w:rPr>
        <w:t>NCT06449209</w:t>
      </w:r>
      <w:r>
        <w:rPr>
          <w:rFonts w:ascii="Arial" w:cs="Arial" w:eastAsia="Arial" w:hAnsi="Arial"/>
          <w:sz w:val="12"/>
          <w:szCs w:val="12"/>
          <w:color w:val="auto"/>
        </w:rPr>
        <w:t>) to evaluate BNT327/PM8002 in combination with chemotherapy in patients with untreated extensive-stage small-cell lung cancer (“ES-SCLC”), and in patients with SCLC that progressed after first- or second-line treatment. These data will inform a Phase 3 clinical trial in first-line SCLC that is expected to start in 2024.</w:t>
      </w:r>
    </w:p>
    <w:p>
      <w:pPr>
        <w:spacing w:after="0" w:line="1" w:lineRule="exact"/>
        <w:rPr>
          <w:rFonts w:ascii="Arial" w:cs="Arial" w:eastAsia="Arial" w:hAnsi="Arial"/>
          <w:sz w:val="12"/>
          <w:szCs w:val="12"/>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A Phase 2/3 clinical trial in first-line non-small cell lung cancer (“NSCLC”) is expected to start in 2024.</w:t>
      </w:r>
    </w:p>
    <w:p>
      <w:pPr>
        <w:spacing w:after="0" w:line="12" w:lineRule="exact"/>
        <w:rPr>
          <w:rFonts w:ascii="Arial" w:cs="Arial" w:eastAsia="Arial" w:hAnsi="Arial"/>
          <w:sz w:val="12"/>
          <w:szCs w:val="12"/>
          <w:color w:val="auto"/>
        </w:rPr>
      </w:pPr>
    </w:p>
    <w:p>
      <w:pPr>
        <w:jc w:val="both"/>
        <w:ind w:left="420" w:hanging="212"/>
        <w:spacing w:after="0" w:line="257" w:lineRule="auto"/>
        <w:tabs>
          <w:tab w:leader="none" w:pos="417" w:val="left"/>
        </w:tabs>
        <w:numPr>
          <w:ilvl w:val="0"/>
          <w:numId w:val="7"/>
        </w:numPr>
        <w:rPr>
          <w:rFonts w:ascii="Arial" w:cs="Arial" w:eastAsia="Arial" w:hAnsi="Arial"/>
          <w:sz w:val="12"/>
          <w:szCs w:val="12"/>
          <w:color w:val="auto"/>
        </w:rPr>
      </w:pPr>
      <w:r>
        <w:rPr>
          <w:rFonts w:ascii="Arial" w:cs="Arial" w:eastAsia="Arial" w:hAnsi="Arial"/>
          <w:sz w:val="12"/>
          <w:szCs w:val="12"/>
          <w:color w:val="auto"/>
        </w:rPr>
        <w:t>In June 2024, evaluation of BNT327/PM8002 in combination with BNT325/DB-1305, a Trophoblast Cell-Surface Antigen 2 (“TROP2”)-targeted antibody-drug conjugate (“ADC”) candidate, was initiated as part of an ongoing Phase 1/2 clinical trial (</w:t>
      </w:r>
      <w:r>
        <w:rPr>
          <w:rFonts w:ascii="Arial" w:cs="Arial" w:eastAsia="Arial" w:hAnsi="Arial"/>
          <w:sz w:val="12"/>
          <w:szCs w:val="12"/>
          <w:u w:val="single" w:color="auto"/>
          <w:color w:val="auto"/>
        </w:rPr>
        <w:t>NCT05438329</w:t>
      </w:r>
      <w:r>
        <w:rPr>
          <w:rFonts w:ascii="Arial" w:cs="Arial" w:eastAsia="Arial" w:hAnsi="Arial"/>
          <w:sz w:val="12"/>
          <w:szCs w:val="12"/>
          <w:color w:val="auto"/>
        </w:rPr>
        <w:t>). The clinical trial evaluates the safety and tolerability of BNT325/DB-1305 alone and in combination with BNT327/PM8002 in various solid tumor indications. Additional trials of novel BNT327/PM8002 combinations with proprietary ADCs are planned to start in 2024.</w:t>
      </w:r>
    </w:p>
    <w:p>
      <w:pPr>
        <w:ind w:left="420" w:hanging="212"/>
        <w:spacing w:after="0" w:line="263" w:lineRule="auto"/>
        <w:tabs>
          <w:tab w:leader="none" w:pos="417" w:val="left"/>
        </w:tabs>
        <w:numPr>
          <w:ilvl w:val="0"/>
          <w:numId w:val="7"/>
        </w:numPr>
        <w:rPr>
          <w:rFonts w:ascii="Arial" w:cs="Arial" w:eastAsia="Arial" w:hAnsi="Arial"/>
          <w:sz w:val="12"/>
          <w:szCs w:val="12"/>
          <w:color w:val="auto"/>
        </w:rPr>
      </w:pPr>
      <w:r>
        <w:rPr>
          <w:rFonts w:ascii="Arial" w:cs="Arial" w:eastAsia="Arial" w:hAnsi="Arial"/>
          <w:sz w:val="12"/>
          <w:szCs w:val="12"/>
          <w:color w:val="auto"/>
        </w:rPr>
        <w:t>In September 2024, data were presented from three clinical trials evaluating BNT327/PM8002 in patients with advanced TNBC, Epidermal Growth Factor Receptor (“EGFR”)-mutated NSCLC and renal cell carcinoma (“RCC”) at the 2024 Congress of the European Society for Medical Oncology (“ESMO”):</w:t>
      </w:r>
    </w:p>
    <w:p>
      <w:pPr>
        <w:jc w:val="both"/>
        <w:ind w:left="860" w:hanging="220"/>
        <w:spacing w:after="0" w:line="260" w:lineRule="auto"/>
        <w:tabs>
          <w:tab w:leader="none" w:pos="857" w:val="left"/>
        </w:tabs>
        <w:numPr>
          <w:ilvl w:val="1"/>
          <w:numId w:val="7"/>
        </w:numPr>
        <w:rPr>
          <w:rFonts w:ascii="Arial" w:cs="Arial" w:eastAsia="Arial" w:hAnsi="Arial"/>
          <w:sz w:val="12"/>
          <w:szCs w:val="12"/>
          <w:color w:val="auto"/>
        </w:rPr>
      </w:pPr>
      <w:r>
        <w:rPr>
          <w:rFonts w:ascii="Arial" w:cs="Arial" w:eastAsia="Arial" w:hAnsi="Arial"/>
          <w:sz w:val="12"/>
          <w:szCs w:val="12"/>
          <w:color w:val="auto"/>
        </w:rPr>
        <w:t>Data from an ongoing open-label, single-arm Phase 1/2 clinical trial (</w:t>
      </w:r>
      <w:r>
        <w:rPr>
          <w:rFonts w:ascii="Arial" w:cs="Arial" w:eastAsia="Arial" w:hAnsi="Arial"/>
          <w:sz w:val="12"/>
          <w:szCs w:val="12"/>
          <w:u w:val="single" w:color="auto"/>
          <w:color w:val="auto"/>
        </w:rPr>
        <w:t>NCT05918133</w:t>
      </w:r>
      <w:r>
        <w:rPr>
          <w:rFonts w:ascii="Arial" w:cs="Arial" w:eastAsia="Arial" w:hAnsi="Arial"/>
          <w:sz w:val="12"/>
          <w:szCs w:val="12"/>
          <w:color w:val="auto"/>
        </w:rPr>
        <w:t>) evaluating BNT327/PM8002 in combination with chemotherapy as first-line treatment in patients with advanced or metastatic TNBC showed clinically meaningful anti-tumor activity regardless of PD-L1 status and a manageable safety profile with no new safety signals observed beyond those typically described for anti-PD-(L)1 therapies, anti-VEGF therapies, and chemotherapy.</w:t>
      </w:r>
    </w:p>
    <w:p>
      <w:pPr>
        <w:spacing w:after="0" w:line="1" w:lineRule="exact"/>
        <w:rPr>
          <w:rFonts w:ascii="Arial" w:cs="Arial" w:eastAsia="Arial" w:hAnsi="Arial"/>
          <w:sz w:val="12"/>
          <w:szCs w:val="12"/>
          <w:color w:val="auto"/>
        </w:rPr>
      </w:pPr>
    </w:p>
    <w:p>
      <w:pPr>
        <w:ind w:left="860" w:hanging="220"/>
        <w:spacing w:after="0" w:line="260" w:lineRule="auto"/>
        <w:tabs>
          <w:tab w:leader="none" w:pos="866" w:val="left"/>
        </w:tabs>
        <w:numPr>
          <w:ilvl w:val="1"/>
          <w:numId w:val="7"/>
        </w:numPr>
        <w:rPr>
          <w:rFonts w:ascii="Arial" w:cs="Arial" w:eastAsia="Arial" w:hAnsi="Arial"/>
          <w:sz w:val="12"/>
          <w:szCs w:val="12"/>
          <w:color w:val="auto"/>
        </w:rPr>
      </w:pPr>
      <w:r>
        <w:rPr>
          <w:rFonts w:ascii="Arial" w:cs="Arial" w:eastAsia="Arial" w:hAnsi="Arial"/>
          <w:sz w:val="12"/>
          <w:szCs w:val="12"/>
          <w:color w:val="auto"/>
        </w:rPr>
        <w:t>Data from a Phase 2 clinical trial (</w:t>
      </w:r>
      <w:r>
        <w:rPr>
          <w:rFonts w:ascii="Arial" w:cs="Arial" w:eastAsia="Arial" w:hAnsi="Arial"/>
          <w:sz w:val="12"/>
          <w:szCs w:val="12"/>
          <w:u w:val="single" w:color="auto"/>
          <w:color w:val="auto"/>
        </w:rPr>
        <w:t>NCT05756972</w:t>
      </w:r>
      <w:r>
        <w:rPr>
          <w:rFonts w:ascii="Arial" w:cs="Arial" w:eastAsia="Arial" w:hAnsi="Arial"/>
          <w:sz w:val="12"/>
          <w:szCs w:val="12"/>
          <w:color w:val="auto"/>
        </w:rPr>
        <w:t>) evaluating BNT327/PM8002 in combination with chemotherapy in patients with advanced EGFR-mutated NSCLC who progressed after EGFR-tyrosine kinase inhibitor treatment showed encouraging anti-tumor activity regardless of PD-L1 status and a generally manageable safety profile.</w:t>
      </w:r>
    </w:p>
    <w:p>
      <w:pPr>
        <w:ind w:left="860" w:right="20" w:hanging="220"/>
        <w:spacing w:after="0" w:line="258" w:lineRule="auto"/>
        <w:tabs>
          <w:tab w:leader="none" w:pos="857" w:val="left"/>
        </w:tabs>
        <w:numPr>
          <w:ilvl w:val="1"/>
          <w:numId w:val="7"/>
        </w:numPr>
        <w:rPr>
          <w:rFonts w:ascii="Arial" w:cs="Arial" w:eastAsia="Arial" w:hAnsi="Arial"/>
          <w:sz w:val="12"/>
          <w:szCs w:val="12"/>
          <w:color w:val="auto"/>
        </w:rPr>
      </w:pPr>
      <w:r>
        <w:rPr>
          <w:rFonts w:ascii="Arial" w:cs="Arial" w:eastAsia="Arial" w:hAnsi="Arial"/>
          <w:sz w:val="12"/>
          <w:szCs w:val="12"/>
          <w:color w:val="auto"/>
        </w:rPr>
        <w:t>Data from an open-label multi-cohort Phase 1/2 clinical trial (</w:t>
      </w:r>
      <w:r>
        <w:rPr>
          <w:rFonts w:ascii="Arial" w:cs="Arial" w:eastAsia="Arial" w:hAnsi="Arial"/>
          <w:sz w:val="12"/>
          <w:szCs w:val="12"/>
          <w:u w:val="single" w:color="auto"/>
          <w:color w:val="auto"/>
        </w:rPr>
        <w:t>NCT05918445</w:t>
      </w:r>
      <w:r>
        <w:rPr>
          <w:rFonts w:ascii="Arial" w:cs="Arial" w:eastAsia="Arial" w:hAnsi="Arial"/>
          <w:sz w:val="12"/>
          <w:szCs w:val="12"/>
          <w:color w:val="auto"/>
        </w:rPr>
        <w:t>) evaluating BNT327/PM8002 monotherapy showed encouraging anti-tumor activity and a manageable safety profile in patients with previously untreated advanced non clear cell RCC or treated advanced clear cell RCC.</w:t>
      </w:r>
    </w:p>
    <w:p>
      <w:pPr>
        <w:ind w:left="420" w:right="20" w:hanging="212"/>
        <w:spacing w:after="0" w:line="292" w:lineRule="auto"/>
        <w:tabs>
          <w:tab w:leader="none" w:pos="417" w:val="left"/>
        </w:tabs>
        <w:numPr>
          <w:ilvl w:val="0"/>
          <w:numId w:val="7"/>
        </w:numPr>
        <w:rPr>
          <w:rFonts w:ascii="Arial" w:cs="Arial" w:eastAsia="Arial" w:hAnsi="Arial"/>
          <w:sz w:val="12"/>
          <w:szCs w:val="12"/>
          <w:color w:val="auto"/>
        </w:rPr>
      </w:pPr>
      <w:r>
        <w:rPr>
          <w:rFonts w:ascii="Arial" w:cs="Arial" w:eastAsia="Arial" w:hAnsi="Arial"/>
          <w:sz w:val="12"/>
          <w:szCs w:val="12"/>
          <w:color w:val="auto"/>
        </w:rPr>
        <w:t>Data in first-line TNBC are planned to be presented at the San Antonio Breast Cancer Symposium, taking place from December 10 to December 13 in San Antonio, Texas, U.S. Additional data are expected to be presented in 2025.</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BNT316/ONC-392 (gotistobart) </w:t>
      </w:r>
      <w:r>
        <w:rPr>
          <w:rFonts w:ascii="Arial" w:cs="Arial" w:eastAsia="Arial" w:hAnsi="Arial"/>
          <w:sz w:val="12"/>
          <w:szCs w:val="12"/>
          <w:color w:val="auto"/>
        </w:rPr>
        <w:t>is an anti-cytotoxic T-lymphocyte Associated Protein 4 (“CTLA-4”) monoclonal antibody candidate being developed in collaboration with OncoC4, Inc. (“OncoC4”).</w:t>
      </w:r>
    </w:p>
    <w:p>
      <w:pPr>
        <w:spacing w:after="0" w:line="27" w:lineRule="exact"/>
        <w:rPr>
          <w:sz w:val="20"/>
          <w:szCs w:val="20"/>
          <w:color w:val="auto"/>
        </w:rPr>
      </w:pPr>
    </w:p>
    <w:p>
      <w:pPr>
        <w:jc w:val="both"/>
        <w:ind w:left="680" w:hanging="263"/>
        <w:spacing w:after="0" w:line="257" w:lineRule="auto"/>
        <w:tabs>
          <w:tab w:leader="none" w:pos="674" w:val="left"/>
        </w:tabs>
        <w:numPr>
          <w:ilvl w:val="0"/>
          <w:numId w:val="8"/>
        </w:numPr>
        <w:rPr>
          <w:rFonts w:ascii="Arial" w:cs="Arial" w:eastAsia="Arial" w:hAnsi="Arial"/>
          <w:sz w:val="12"/>
          <w:szCs w:val="12"/>
          <w:color w:val="auto"/>
        </w:rPr>
      </w:pPr>
      <w:r>
        <w:rPr>
          <w:rFonts w:ascii="Arial" w:cs="Arial" w:eastAsia="Arial" w:hAnsi="Arial"/>
          <w:sz w:val="12"/>
          <w:szCs w:val="12"/>
          <w:color w:val="auto"/>
        </w:rPr>
        <w:t xml:space="preserve">In October 2024, the FDA placed a partial clinical hold on the Phase 3 trial (PRESERVE-003; </w:t>
      </w:r>
      <w:r>
        <w:rPr>
          <w:rFonts w:ascii="Arial" w:cs="Arial" w:eastAsia="Arial" w:hAnsi="Arial"/>
          <w:sz w:val="12"/>
          <w:szCs w:val="12"/>
          <w:u w:val="single" w:color="auto"/>
          <w:color w:val="auto"/>
        </w:rPr>
        <w:t>NCT05671510</w:t>
      </w:r>
      <w:r>
        <w:rPr>
          <w:rFonts w:ascii="Arial" w:cs="Arial" w:eastAsia="Arial" w:hAnsi="Arial"/>
          <w:sz w:val="12"/>
          <w:szCs w:val="12"/>
          <w:color w:val="auto"/>
        </w:rPr>
        <w:t>) due to varying results between patient populations. The trial assesses the efficacy and safety of BNT316/ONC-392 as monotherapy in patients with metastatic NSCLC that progressed under previous PD-(L)1-inhibitor treatment. Enrollment of new patients has been paused while patients already enrolled in the trial will continue to receive treatment. Trials evaluating BNT316/ONC-392 in other indications remain unaffected.</w:t>
      </w:r>
    </w:p>
    <w:p>
      <w:pPr>
        <w:jc w:val="both"/>
        <w:ind w:left="680" w:hanging="263"/>
        <w:spacing w:after="0" w:line="271" w:lineRule="auto"/>
        <w:tabs>
          <w:tab w:leader="none" w:pos="674" w:val="left"/>
        </w:tabs>
        <w:numPr>
          <w:ilvl w:val="0"/>
          <w:numId w:val="8"/>
        </w:numPr>
        <w:rPr>
          <w:rFonts w:ascii="Arial" w:cs="Arial" w:eastAsia="Arial" w:hAnsi="Arial"/>
          <w:sz w:val="12"/>
          <w:szCs w:val="12"/>
          <w:color w:val="auto"/>
        </w:rPr>
      </w:pPr>
      <w:r>
        <w:rPr>
          <w:rFonts w:ascii="Arial" w:cs="Arial" w:eastAsia="Arial" w:hAnsi="Arial"/>
          <w:sz w:val="12"/>
          <w:szCs w:val="12"/>
          <w:color w:val="auto"/>
        </w:rPr>
        <w:t xml:space="preserve">In September 2024, preliminary data from the Phase 2 (PRESERVE-004; </w:t>
      </w:r>
      <w:r>
        <w:rPr>
          <w:rFonts w:ascii="Arial" w:cs="Arial" w:eastAsia="Arial" w:hAnsi="Arial"/>
          <w:sz w:val="12"/>
          <w:szCs w:val="12"/>
          <w:u w:val="single" w:color="auto"/>
          <w:color w:val="auto"/>
        </w:rPr>
        <w:t>NCT05446298</w:t>
      </w:r>
      <w:r>
        <w:rPr>
          <w:rFonts w:ascii="Arial" w:cs="Arial" w:eastAsia="Arial" w:hAnsi="Arial"/>
          <w:sz w:val="12"/>
          <w:szCs w:val="12"/>
          <w:color w:val="auto"/>
        </w:rPr>
        <w:t>) clinical trial evaluating BNT316/ONC-392 in combination with pembrolizumab in patients with platinum-resistant ovarian cancer were presented at ESMO. The data suggest encouraging preliminary clinical activity and a manageable tolerability profile with no new safety signals detected for the combination.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300"/>
          </w:cols>
          <w:pgMar w:left="300" w:top="1234" w:right="299" w:bottom="1440" w:gutter="0" w:footer="0" w:header="0"/>
        </w:sectPr>
      </w:pPr>
    </w:p>
    <w:bookmarkStart w:id="9" w:name="page10"/>
    <w:bookmarkEnd w:id="9"/>
    <w:p>
      <w:pPr>
        <w:spacing w:after="0"/>
        <w:rPr>
          <w:sz w:val="20"/>
          <w:szCs w:val="20"/>
          <w:color w:val="auto"/>
        </w:rPr>
      </w:pPr>
      <w:r>
        <w:rPr>
          <w:rFonts w:ascii="Arial" w:cs="Arial" w:eastAsia="Arial" w:hAnsi="Arial"/>
          <w:sz w:val="12"/>
          <w:szCs w:val="12"/>
          <w:i w:val="1"/>
          <w:i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875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28750" cy="154305"/>
                    </a:xfrm>
                    <a:prstGeom prst="rect">
                      <a:avLst/>
                    </a:prstGeom>
                    <a:noFill/>
                  </pic:spPr>
                </pic:pic>
              </a:graphicData>
            </a:graphic>
          </wp:anchor>
        </w:drawing>
        <w:t>mRNA Cancer Vaccine Programs</w:t>
      </w: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color w:val="auto"/>
        </w:rPr>
        <w:t>BNT111, BNT113 and autogene cevumeran (BNT122/RO7198457</w:t>
      </w:r>
      <w:r>
        <w:rPr>
          <w:rFonts w:ascii="Arial" w:cs="Arial" w:eastAsia="Arial" w:hAnsi="Arial"/>
          <w:sz w:val="12"/>
          <w:szCs w:val="12"/>
          <w:i w:val="1"/>
          <w:iCs w:val="1"/>
          <w:color w:val="auto"/>
        </w:rPr>
        <w:t>)</w:t>
      </w:r>
      <w:r>
        <w:rPr>
          <w:rFonts w:ascii="Arial" w:cs="Arial" w:eastAsia="Arial" w:hAnsi="Arial"/>
          <w:sz w:val="12"/>
          <w:szCs w:val="12"/>
          <w:color w:val="auto"/>
        </w:rPr>
        <w:t xml:space="preserve"> are investigational vaccines for the treatment of cancer based on BioNTech’s systemically administered uridine mRNA-lipoplex technology.</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BNT111 </w:t>
      </w:r>
      <w:r>
        <w:rPr>
          <w:rFonts w:ascii="Arial" w:cs="Arial" w:eastAsia="Arial" w:hAnsi="Arial"/>
          <w:sz w:val="12"/>
          <w:szCs w:val="12"/>
          <w:color w:val="auto"/>
        </w:rPr>
        <w:t>is based on BioNTech’s wholly owned, off-the-shelf FixVac platform, and encodes shared melanoma associated antigens.</w:t>
      </w:r>
    </w:p>
    <w:p>
      <w:pPr>
        <w:spacing w:after="0" w:line="27" w:lineRule="exact"/>
        <w:rPr>
          <w:sz w:val="20"/>
          <w:szCs w:val="20"/>
          <w:color w:val="auto"/>
        </w:rPr>
      </w:pPr>
    </w:p>
    <w:p>
      <w:pPr>
        <w:ind w:left="420" w:hanging="212"/>
        <w:spacing w:after="0" w:line="258" w:lineRule="auto"/>
        <w:tabs>
          <w:tab w:leader="none" w:pos="417" w:val="left"/>
        </w:tabs>
        <w:numPr>
          <w:ilvl w:val="0"/>
          <w:numId w:val="9"/>
        </w:numPr>
        <w:rPr>
          <w:rFonts w:ascii="Arial" w:cs="Arial" w:eastAsia="Arial" w:hAnsi="Arial"/>
          <w:sz w:val="12"/>
          <w:szCs w:val="12"/>
          <w:color w:val="auto"/>
        </w:rPr>
      </w:pPr>
      <w:r>
        <w:rPr>
          <w:rFonts w:ascii="Arial" w:cs="Arial" w:eastAsia="Arial" w:hAnsi="Arial"/>
          <w:sz w:val="12"/>
          <w:szCs w:val="12"/>
          <w:color w:val="auto"/>
        </w:rPr>
        <w:t xml:space="preserve">A randomized Phase 2 clinical trial (BNT111-01; </w:t>
      </w:r>
      <w:r>
        <w:rPr>
          <w:rFonts w:ascii="Arial" w:cs="Arial" w:eastAsia="Arial" w:hAnsi="Arial"/>
          <w:sz w:val="12"/>
          <w:szCs w:val="12"/>
          <w:u w:val="single" w:color="auto"/>
          <w:color w:val="auto"/>
        </w:rPr>
        <w:t>NCT04526899</w:t>
      </w:r>
      <w:r>
        <w:rPr>
          <w:rFonts w:ascii="Arial" w:cs="Arial" w:eastAsia="Arial" w:hAnsi="Arial"/>
          <w:sz w:val="12"/>
          <w:szCs w:val="12"/>
          <w:color w:val="auto"/>
        </w:rPr>
        <w:t>) is being conducted in collaboration with Regeneron Pharmaceuticals Inc. (“Regeneron”) to evaluate BNT111 in combination with cemiplimab in patients with anti-PD-(L)1 refractory/relapsed, unresectable stage III or IV melanoma.</w:t>
      </w:r>
    </w:p>
    <w:p>
      <w:pPr>
        <w:jc w:val="both"/>
        <w:ind w:left="420" w:hanging="212"/>
        <w:spacing w:after="0" w:line="259" w:lineRule="auto"/>
        <w:tabs>
          <w:tab w:leader="none" w:pos="417" w:val="left"/>
        </w:tabs>
        <w:numPr>
          <w:ilvl w:val="0"/>
          <w:numId w:val="9"/>
        </w:numPr>
        <w:rPr>
          <w:rFonts w:ascii="Arial" w:cs="Arial" w:eastAsia="Arial" w:hAnsi="Arial"/>
          <w:sz w:val="12"/>
          <w:szCs w:val="12"/>
          <w:color w:val="auto"/>
        </w:rPr>
      </w:pPr>
      <w:r>
        <w:rPr>
          <w:rFonts w:ascii="Arial" w:cs="Arial" w:eastAsia="Arial" w:hAnsi="Arial"/>
          <w:sz w:val="12"/>
          <w:szCs w:val="12"/>
          <w:color w:val="auto"/>
        </w:rPr>
        <w:t>In July 2024, BioNTech announced that the trial met its primary efficacy outcome measure, demonstrating a statistically significant improvement in overall response rate (“ORR”) in patients treated with BNT111 in combination with cemiplimab, as compared to an historical control in this indication and treatment setting. The ORR in the cemiplimab monotherapy arm was in line with the historical control of anti-PD-(L)1 or anti-CTLA-4 treatments in this patient group. The treatment was generally well tolerated and the safety profile of BNT111 in combination with cemiplimab in this trial was consistent with previous clinical trials assessing BNT111 in combination with anti-PD-(L)1-containing treatments. The Phase 2 trial will continue as planned to further assess the secondary endpoints which were not mature at the time of the primary analysis.</w:t>
      </w:r>
    </w:p>
    <w:p>
      <w:pPr>
        <w:spacing w:after="0" w:line="2" w:lineRule="exact"/>
        <w:rPr>
          <w:rFonts w:ascii="Arial" w:cs="Arial" w:eastAsia="Arial" w:hAnsi="Arial"/>
          <w:sz w:val="12"/>
          <w:szCs w:val="12"/>
          <w:color w:val="auto"/>
        </w:rPr>
      </w:pPr>
    </w:p>
    <w:p>
      <w:pPr>
        <w:ind w:left="420" w:hanging="212"/>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BioNTech plans to present data from this trial at an upcoming medical conference in 2025.</w:t>
      </w:r>
    </w:p>
    <w:p>
      <w:pPr>
        <w:spacing w:after="0" w:line="1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BNT113 </w:t>
      </w:r>
      <w:r>
        <w:rPr>
          <w:rFonts w:ascii="Arial" w:cs="Arial" w:eastAsia="Arial" w:hAnsi="Arial"/>
          <w:sz w:val="12"/>
          <w:szCs w:val="12"/>
          <w:color w:val="auto"/>
        </w:rPr>
        <w:t>is based on BioNTech’s FixVac platform encoding Human Papilloma Virus 16 (“HPV16”) antigens.</w:t>
      </w:r>
    </w:p>
    <w:p>
      <w:pPr>
        <w:spacing w:after="0" w:line="27" w:lineRule="exact"/>
        <w:rPr>
          <w:sz w:val="20"/>
          <w:szCs w:val="20"/>
          <w:color w:val="auto"/>
        </w:rPr>
      </w:pPr>
    </w:p>
    <w:p>
      <w:pPr>
        <w:ind w:left="420" w:right="20" w:hanging="212"/>
        <w:spacing w:after="0" w:line="253" w:lineRule="auto"/>
        <w:tabs>
          <w:tab w:leader="none" w:pos="417" w:val="left"/>
        </w:tabs>
        <w:numPr>
          <w:ilvl w:val="0"/>
          <w:numId w:val="10"/>
        </w:numPr>
        <w:rPr>
          <w:rFonts w:ascii="Arial" w:cs="Arial" w:eastAsia="Arial" w:hAnsi="Arial"/>
          <w:sz w:val="12"/>
          <w:szCs w:val="12"/>
          <w:color w:val="auto"/>
        </w:rPr>
      </w:pPr>
      <w:r>
        <w:rPr>
          <w:rFonts w:ascii="Arial" w:cs="Arial" w:eastAsia="Arial" w:hAnsi="Arial"/>
          <w:sz w:val="12"/>
          <w:szCs w:val="12"/>
          <w:color w:val="auto"/>
        </w:rPr>
        <w:t xml:space="preserve">A global, randomized Phase 2 clinical trial (AHEAD-MERIT; </w:t>
      </w:r>
      <w:r>
        <w:rPr>
          <w:rFonts w:ascii="Arial" w:cs="Arial" w:eastAsia="Arial" w:hAnsi="Arial"/>
          <w:sz w:val="12"/>
          <w:szCs w:val="12"/>
          <w:u w:val="single" w:color="auto"/>
          <w:color w:val="auto"/>
        </w:rPr>
        <w:t>NCT04534205</w:t>
      </w:r>
      <w:r>
        <w:rPr>
          <w:rFonts w:ascii="Arial" w:cs="Arial" w:eastAsia="Arial" w:hAnsi="Arial"/>
          <w:sz w:val="12"/>
          <w:szCs w:val="12"/>
          <w:color w:val="auto"/>
        </w:rPr>
        <w:t>) is being conducted to evaluate BNT113 in combination with pembrolizumab versus pembrolizumab monotherapy as a first-line treatment in patients with unresectable, recurrent or metastatic, PD-L1+, HPV16+ head and neck squamous cell carcinoma.</w:t>
      </w:r>
    </w:p>
    <w:p>
      <w:pPr>
        <w:ind w:left="420" w:right="20" w:hanging="212"/>
        <w:spacing w:after="0" w:line="263" w:lineRule="auto"/>
        <w:tabs>
          <w:tab w:leader="none" w:pos="417" w:val="left"/>
        </w:tabs>
        <w:numPr>
          <w:ilvl w:val="0"/>
          <w:numId w:val="10"/>
        </w:numPr>
        <w:rPr>
          <w:rFonts w:ascii="Arial" w:cs="Arial" w:eastAsia="Arial" w:hAnsi="Arial"/>
          <w:sz w:val="12"/>
          <w:szCs w:val="12"/>
          <w:color w:val="auto"/>
        </w:rPr>
      </w:pPr>
      <w:r>
        <w:rPr>
          <w:rFonts w:ascii="Arial" w:cs="Arial" w:eastAsia="Arial" w:hAnsi="Arial"/>
          <w:sz w:val="12"/>
          <w:szCs w:val="12"/>
          <w:color w:val="auto"/>
        </w:rPr>
        <w:t xml:space="preserve">In September 2024, an exploratory analysis of antitumor activity (15 patients) and immunogenicity (3 patients) from the safety run-in of AHEAD-MERIT was presented at ESMO. The data support the tolerability of BNT113 and clinical activity in combination with pembrolizumab was observed. In addition, BNT113 was found to induce </w:t>
      </w:r>
      <w:r>
        <w:rPr>
          <w:rFonts w:ascii="Arial" w:cs="Arial" w:eastAsia="Arial" w:hAnsi="Arial"/>
          <w:sz w:val="12"/>
          <w:szCs w:val="12"/>
          <w:i w:val="1"/>
          <w:iCs w:val="1"/>
          <w:color w:val="auto"/>
        </w:rPr>
        <w:t>de novo</w:t>
      </w:r>
      <w:r>
        <w:rPr>
          <w:rFonts w:ascii="Arial" w:cs="Arial" w:eastAsia="Arial" w:hAnsi="Arial"/>
          <w:sz w:val="12"/>
          <w:szCs w:val="12"/>
          <w:color w:val="auto"/>
        </w:rPr>
        <w:t xml:space="preserve"> T-cell responses against HPV16 antigens.</w:t>
      </w:r>
    </w:p>
    <w:p>
      <w:pPr>
        <w:jc w:val="both"/>
        <w:ind w:left="420" w:hanging="212"/>
        <w:spacing w:after="0" w:line="273" w:lineRule="auto"/>
        <w:tabs>
          <w:tab w:leader="none" w:pos="417" w:val="left"/>
        </w:tabs>
        <w:numPr>
          <w:ilvl w:val="0"/>
          <w:numId w:val="10"/>
        </w:numPr>
        <w:rPr>
          <w:rFonts w:ascii="Arial" w:cs="Arial" w:eastAsia="Arial" w:hAnsi="Arial"/>
          <w:sz w:val="12"/>
          <w:szCs w:val="12"/>
          <w:color w:val="auto"/>
        </w:rPr>
      </w:pPr>
      <w:r>
        <w:rPr>
          <w:rFonts w:ascii="Arial" w:cs="Arial" w:eastAsia="Arial" w:hAnsi="Arial"/>
          <w:sz w:val="12"/>
          <w:szCs w:val="12"/>
          <w:color w:val="auto"/>
        </w:rPr>
        <w:t xml:space="preserve">Also at ESMO, results were presented from an investigator-sponsored Phase 1/2 dose escalation clinical trial (HARE-40; </w:t>
      </w:r>
      <w:r>
        <w:rPr>
          <w:rFonts w:ascii="Arial" w:cs="Arial" w:eastAsia="Arial" w:hAnsi="Arial"/>
          <w:sz w:val="12"/>
          <w:szCs w:val="12"/>
          <w:u w:val="single" w:color="auto"/>
          <w:color w:val="auto"/>
        </w:rPr>
        <w:t>NCT03418480</w:t>
      </w:r>
      <w:r>
        <w:rPr>
          <w:rFonts w:ascii="Arial" w:cs="Arial" w:eastAsia="Arial" w:hAnsi="Arial"/>
          <w:sz w:val="12"/>
          <w:szCs w:val="12"/>
          <w:color w:val="auto"/>
        </w:rPr>
        <w:t>) evaluating BNT113 alone in the post-adjuvant and metastatic settings in patients with HPV16+ head and neck and other cancers. BNT113 was shown to induce immune responses in patients in the adjuvant and end-stage clinical settings and to be overall well tolerated with a manageable safety profile.</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Autogene cevumeran (BNT122/RO7198457) </w:t>
      </w:r>
      <w:r>
        <w:rPr>
          <w:rFonts w:ascii="Arial" w:cs="Arial" w:eastAsia="Arial" w:hAnsi="Arial"/>
          <w:sz w:val="12"/>
          <w:szCs w:val="12"/>
          <w:color w:val="auto"/>
        </w:rPr>
        <w:t>is an mRNA cancer vaccine candidate for individualized neoantigen-specific immunotherapy (“iNeST”) being developed in collaboration with Genentech, Inc.</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(“Genentech”), a member of the Roche Group (“Roche”).</w:t>
      </w:r>
    </w:p>
    <w:p>
      <w:pPr>
        <w:spacing w:after="0" w:line="9" w:lineRule="exact"/>
        <w:rPr>
          <w:sz w:val="20"/>
          <w:szCs w:val="20"/>
          <w:color w:val="auto"/>
        </w:rPr>
      </w:pPr>
    </w:p>
    <w:p>
      <w:pPr>
        <w:jc w:val="both"/>
        <w:ind w:left="420" w:hanging="212"/>
        <w:spacing w:after="0" w:line="271" w:lineRule="auto"/>
        <w:tabs>
          <w:tab w:leader="none" w:pos="417" w:val="left"/>
        </w:tabs>
        <w:numPr>
          <w:ilvl w:val="0"/>
          <w:numId w:val="11"/>
        </w:numPr>
        <w:rPr>
          <w:rFonts w:ascii="Arial" w:cs="Arial" w:eastAsia="Arial" w:hAnsi="Arial"/>
          <w:sz w:val="12"/>
          <w:szCs w:val="12"/>
          <w:color w:val="auto"/>
        </w:rPr>
      </w:pPr>
      <w:r>
        <w:rPr>
          <w:rFonts w:ascii="Arial" w:cs="Arial" w:eastAsia="Arial" w:hAnsi="Arial"/>
          <w:sz w:val="12"/>
          <w:szCs w:val="12"/>
          <w:color w:val="auto"/>
        </w:rPr>
        <w:t xml:space="preserve">A randomized, double-blind, multi-site Phase 2 clinical trial (IMCODE-004; </w:t>
      </w:r>
      <w:r>
        <w:rPr>
          <w:rFonts w:ascii="Arial" w:cs="Arial" w:eastAsia="Arial" w:hAnsi="Arial"/>
          <w:sz w:val="12"/>
          <w:szCs w:val="12"/>
          <w:u w:val="single" w:color="auto"/>
          <w:color w:val="auto"/>
        </w:rPr>
        <w:t>NCT06534983</w:t>
      </w:r>
      <w:r>
        <w:rPr>
          <w:rFonts w:ascii="Arial" w:cs="Arial" w:eastAsia="Arial" w:hAnsi="Arial"/>
          <w:sz w:val="12"/>
          <w:szCs w:val="12"/>
          <w:color w:val="auto"/>
        </w:rPr>
        <w:t>) evaluating autogene cevumeran as an adjuvant treatment with nivolumab in patients with high-risk muscle-invasive urothelial cancer (“MIUC”) is enrolling patients. The trial aims to evaluate the efficacy of autogene cevumeran in combination with nivolumab compared to nivolumab alone in approximately 360 patients. The primary endpoint for the study is investigator-assessed disease-free survival (“DFS”). Secondary objectives include overall survival (“OS”) and safety.</w:t>
      </w: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300"/>
          </w:cols>
          <w:pgMar w:left="300" w:top="1236" w:right="299" w:bottom="1440" w:gutter="0" w:footer="0" w:header="0"/>
        </w:sectPr>
      </w:pPr>
    </w:p>
    <w:bookmarkStart w:id="10" w:name="page11"/>
    <w:bookmarkEnd w:id="10"/>
    <w:p>
      <w:pPr>
        <w:ind w:left="420" w:hanging="212"/>
        <w:spacing w:after="0" w:line="268" w:lineRule="auto"/>
        <w:tabs>
          <w:tab w:leader="none" w:pos="417" w:val="left"/>
        </w:tabs>
        <w:numPr>
          <w:ilvl w:val="0"/>
          <w:numId w:val="12"/>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875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28750" cy="154305"/>
                    </a:xfrm>
                    <a:prstGeom prst="rect">
                      <a:avLst/>
                    </a:prstGeom>
                    <a:noFill/>
                  </pic:spPr>
                </pic:pic>
              </a:graphicData>
            </a:graphic>
          </wp:anchor>
        </w:drawing>
        <w:t>Autogene cevumeran is also being evaluated in ongoing Phase 2 trials in adjuvant resected pancreatic ductal adenocarcinoma (“PDAC”) (</w:t>
      </w:r>
      <w:r>
        <w:rPr>
          <w:rFonts w:ascii="Arial" w:cs="Arial" w:eastAsia="Arial" w:hAnsi="Arial"/>
          <w:sz w:val="12"/>
          <w:szCs w:val="12"/>
          <w:u w:val="single" w:color="auto"/>
          <w:color w:val="auto"/>
        </w:rPr>
        <w:t>NCT05968326</w:t>
      </w:r>
      <w:r>
        <w:rPr>
          <w:rFonts w:ascii="Arial" w:cs="Arial" w:eastAsia="Arial" w:hAnsi="Arial"/>
          <w:sz w:val="12"/>
          <w:szCs w:val="12"/>
          <w:color w:val="auto"/>
        </w:rPr>
        <w:t>), adjuvant colorectal cancer (“CRC”) (</w:t>
      </w:r>
      <w:r>
        <w:rPr>
          <w:rFonts w:ascii="Arial" w:cs="Arial" w:eastAsia="Arial" w:hAnsi="Arial"/>
          <w:sz w:val="12"/>
          <w:szCs w:val="12"/>
          <w:u w:val="single" w:color="auto"/>
          <w:color w:val="auto"/>
        </w:rPr>
        <w:t>NCT04486378</w:t>
      </w:r>
      <w:r>
        <w:rPr>
          <w:rFonts w:ascii="Arial" w:cs="Arial" w:eastAsia="Arial" w:hAnsi="Arial"/>
          <w:sz w:val="12"/>
          <w:szCs w:val="12"/>
          <w:color w:val="auto"/>
        </w:rPr>
        <w:t>) and first-line advanced melanoma (</w:t>
      </w:r>
      <w:r>
        <w:rPr>
          <w:rFonts w:ascii="Arial" w:cs="Arial" w:eastAsia="Arial" w:hAnsi="Arial"/>
          <w:sz w:val="12"/>
          <w:szCs w:val="12"/>
          <w:u w:val="single" w:color="auto"/>
          <w:color w:val="auto"/>
        </w:rPr>
        <w:t>NCT03815058</w:t>
      </w:r>
      <w:r>
        <w:rPr>
          <w:rFonts w:ascii="Arial" w:cs="Arial" w:eastAsia="Arial" w:hAnsi="Arial"/>
          <w:sz w:val="12"/>
          <w:szCs w:val="12"/>
          <w:color w:val="auto"/>
        </w:rPr>
        <w:t>).</w:t>
      </w:r>
    </w:p>
    <w:p>
      <w:pPr>
        <w:ind w:left="420" w:hanging="212"/>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BioNTech plans to disclose interim data from the Phase 2 clinical trial (</w:t>
      </w:r>
      <w:r>
        <w:rPr>
          <w:rFonts w:ascii="Arial" w:cs="Arial" w:eastAsia="Arial" w:hAnsi="Arial"/>
          <w:sz w:val="12"/>
          <w:szCs w:val="12"/>
          <w:u w:val="single" w:color="auto"/>
          <w:color w:val="auto"/>
        </w:rPr>
        <w:t>NCT04486378</w:t>
      </w:r>
      <w:r>
        <w:rPr>
          <w:rFonts w:ascii="Arial" w:cs="Arial" w:eastAsia="Arial" w:hAnsi="Arial"/>
          <w:sz w:val="12"/>
          <w:szCs w:val="12"/>
          <w:color w:val="auto"/>
        </w:rPr>
        <w:t>) in stage II (high-risk) and III circulating tumor DNA+ (“ctDNA”) adjuvant CRC, which is projected for late 2025 or 2026.</w:t>
      </w:r>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ADC Programs</w:t>
      </w: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BNT323/DB-1303 (trastuzumab pamirtecan) </w:t>
      </w:r>
      <w:r>
        <w:rPr>
          <w:rFonts w:ascii="Arial" w:cs="Arial" w:eastAsia="Arial" w:hAnsi="Arial"/>
          <w:sz w:val="12"/>
          <w:szCs w:val="12"/>
          <w:color w:val="auto"/>
        </w:rPr>
        <w:t>is an ADC candidate targeting Human Epidermal Growth Factor 2 (“HER2”) that is being developed in collaboration with Duality Biologics (Suzhou) Co. Ltd.</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(“DualityBio”).</w:t>
      </w:r>
    </w:p>
    <w:p>
      <w:pPr>
        <w:spacing w:after="0" w:line="9" w:lineRule="exact"/>
        <w:rPr>
          <w:sz w:val="20"/>
          <w:szCs w:val="20"/>
          <w:color w:val="auto"/>
        </w:rPr>
      </w:pPr>
    </w:p>
    <w:p>
      <w:pPr>
        <w:ind w:left="420" w:hanging="212"/>
        <w:spacing w:after="0" w:line="258" w:lineRule="auto"/>
        <w:tabs>
          <w:tab w:leader="none" w:pos="417" w:val="left"/>
        </w:tabs>
        <w:numPr>
          <w:ilvl w:val="0"/>
          <w:numId w:val="13"/>
        </w:numPr>
        <w:rPr>
          <w:rFonts w:ascii="Arial" w:cs="Arial" w:eastAsia="Arial" w:hAnsi="Arial"/>
          <w:sz w:val="12"/>
          <w:szCs w:val="12"/>
          <w:b w:val="1"/>
          <w:bCs w:val="1"/>
          <w:i w:val="1"/>
          <w:iCs w:val="1"/>
          <w:color w:val="auto"/>
        </w:rPr>
      </w:pPr>
      <w:r>
        <w:rPr>
          <w:rFonts w:ascii="Arial" w:cs="Arial" w:eastAsia="Arial" w:hAnsi="Arial"/>
          <w:sz w:val="12"/>
          <w:szCs w:val="12"/>
          <w:color w:val="auto"/>
        </w:rPr>
        <w:t>BNT323/DB-1303 is being evaluated in a Phase 1/2 clinical trial (</w:t>
      </w:r>
      <w:r>
        <w:rPr>
          <w:rFonts w:ascii="Arial" w:cs="Arial" w:eastAsia="Arial" w:hAnsi="Arial"/>
          <w:sz w:val="12"/>
          <w:szCs w:val="12"/>
          <w:u w:val="single" w:color="auto"/>
          <w:color w:val="auto"/>
        </w:rPr>
        <w:t>NCT05150691</w:t>
      </w:r>
      <w:r>
        <w:rPr>
          <w:rFonts w:ascii="Arial" w:cs="Arial" w:eastAsia="Arial" w:hAnsi="Arial"/>
          <w:sz w:val="12"/>
          <w:szCs w:val="12"/>
          <w:color w:val="auto"/>
        </w:rPr>
        <w:t>) in patients with advanced/unresectable, recurrent or metastatic HER2-expressing solid tumors. A potentially registrational cohort of patients with HER2-expressing (IHC3+, 2+, 1+ or ISH-positive) advanced/recurrent endometrial carcinoma has completed enrollment. Data from this cohort are expected in 2025.</w:t>
      </w: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 confirmatory Phase 3 trial (</w:t>
      </w:r>
      <w:r>
        <w:rPr>
          <w:rFonts w:ascii="Arial" w:cs="Arial" w:eastAsia="Arial" w:hAnsi="Arial"/>
          <w:sz w:val="12"/>
          <w:szCs w:val="12"/>
          <w:u w:val="single" w:color="auto"/>
          <w:color w:val="auto"/>
        </w:rPr>
        <w:t>NCT06340568</w:t>
      </w:r>
      <w:r>
        <w:rPr>
          <w:rFonts w:ascii="Arial" w:cs="Arial" w:eastAsia="Arial" w:hAnsi="Arial"/>
          <w:sz w:val="12"/>
          <w:szCs w:val="12"/>
          <w:color w:val="auto"/>
        </w:rPr>
        <w:t>) in patients with advanced endometrial cancer is in planning.</w:t>
      </w:r>
    </w:p>
    <w:p>
      <w:pPr>
        <w:spacing w:after="0" w:line="15" w:lineRule="exact"/>
        <w:rPr>
          <w:rFonts w:ascii="Arial" w:cs="Arial" w:eastAsia="Arial" w:hAnsi="Arial"/>
          <w:sz w:val="12"/>
          <w:szCs w:val="12"/>
          <w:color w:val="auto"/>
        </w:rPr>
      </w:pPr>
    </w:p>
    <w:p>
      <w:pPr>
        <w:ind w:left="420" w:hanging="212"/>
        <w:spacing w:after="0" w:line="258" w:lineRule="auto"/>
        <w:tabs>
          <w:tab w:leader="none" w:pos="417" w:val="left"/>
        </w:tabs>
        <w:numPr>
          <w:ilvl w:val="0"/>
          <w:numId w:val="13"/>
        </w:numPr>
        <w:rPr>
          <w:rFonts w:ascii="Arial" w:cs="Arial" w:eastAsia="Arial" w:hAnsi="Arial"/>
          <w:sz w:val="12"/>
          <w:szCs w:val="12"/>
          <w:color w:val="auto"/>
        </w:rPr>
      </w:pPr>
      <w:r>
        <w:rPr>
          <w:rFonts w:ascii="Arial" w:cs="Arial" w:eastAsia="Arial" w:hAnsi="Arial"/>
          <w:sz w:val="12"/>
          <w:szCs w:val="12"/>
          <w:color w:val="auto"/>
        </w:rPr>
        <w:t xml:space="preserve">A pivotal Phase 3 trial (DYNASTY-Breast02; </w:t>
      </w:r>
      <w:r>
        <w:rPr>
          <w:rFonts w:ascii="Arial" w:cs="Arial" w:eastAsia="Arial" w:hAnsi="Arial"/>
          <w:sz w:val="12"/>
          <w:szCs w:val="12"/>
          <w:u w:val="single" w:color="auto"/>
          <w:color w:val="auto"/>
        </w:rPr>
        <w:t>NCT06018337</w:t>
      </w:r>
      <w:r>
        <w:rPr>
          <w:rFonts w:ascii="Arial" w:cs="Arial" w:eastAsia="Arial" w:hAnsi="Arial"/>
          <w:sz w:val="12"/>
          <w:szCs w:val="12"/>
          <w:color w:val="auto"/>
        </w:rPr>
        <w:t>) is being conducted in patients with Hormone Receptor-positive (“HR+”) and HER2-low metastatic breast cancer that progressed on hormone therapy and/or Cyclin-Dependent Kinase 4/6 (“CDK4/6”) inhibition. In September 2024, a Trial-in-Progress poster was presented at ESMO.</w:t>
      </w:r>
    </w:p>
    <w:p>
      <w:pPr>
        <w:ind w:left="420" w:hanging="212"/>
        <w:spacing w:after="0"/>
        <w:tabs>
          <w:tab w:leader="none" w:pos="420" w:val="left"/>
        </w:tabs>
        <w:numPr>
          <w:ilvl w:val="0"/>
          <w:numId w:val="13"/>
        </w:numPr>
        <w:rPr>
          <w:rFonts w:ascii="Arial" w:cs="Arial" w:eastAsia="Arial" w:hAnsi="Arial"/>
          <w:sz w:val="12"/>
          <w:szCs w:val="12"/>
          <w:b w:val="1"/>
          <w:bCs w:val="1"/>
          <w:i w:val="1"/>
          <w:iCs w:val="1"/>
          <w:color w:val="auto"/>
        </w:rPr>
      </w:pPr>
      <w:r>
        <w:rPr>
          <w:rFonts w:ascii="Arial" w:cs="Arial" w:eastAsia="Arial" w:hAnsi="Arial"/>
          <w:sz w:val="12"/>
          <w:szCs w:val="12"/>
          <w:color w:val="auto"/>
        </w:rPr>
        <w:t>Topline data from the ongoing Phase 3 trial in HR+ and HER2-low metastatic breast cancer that have progressed on hormone therapy and/or CDK4/6 inhibition are expected in 2026.</w:t>
      </w:r>
    </w:p>
    <w:p>
      <w:pPr>
        <w:spacing w:after="0" w:line="1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BNT324/DB-1311 </w:t>
      </w:r>
      <w:r>
        <w:rPr>
          <w:rFonts w:ascii="Arial" w:cs="Arial" w:eastAsia="Arial" w:hAnsi="Arial"/>
          <w:sz w:val="12"/>
          <w:szCs w:val="12"/>
          <w:color w:val="auto"/>
        </w:rPr>
        <w:t>is an ADC candidate targeting B7H3 that is being developed in collaboration with DualityBio.</w:t>
      </w:r>
    </w:p>
    <w:p>
      <w:pPr>
        <w:spacing w:after="0" w:line="18" w:lineRule="exact"/>
        <w:rPr>
          <w:sz w:val="20"/>
          <w:szCs w:val="20"/>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 first-in-human, open-label Phase 1/2 clinical trial (</w:t>
      </w:r>
      <w:r>
        <w:rPr>
          <w:rFonts w:ascii="Arial" w:cs="Arial" w:eastAsia="Arial" w:hAnsi="Arial"/>
          <w:sz w:val="12"/>
          <w:szCs w:val="12"/>
          <w:u w:val="single" w:color="auto"/>
          <w:color w:val="auto"/>
        </w:rPr>
        <w:t>NCT05914116</w:t>
      </w:r>
      <w:r>
        <w:rPr>
          <w:rFonts w:ascii="Arial" w:cs="Arial" w:eastAsia="Arial" w:hAnsi="Arial"/>
          <w:sz w:val="12"/>
          <w:szCs w:val="12"/>
          <w:color w:val="auto"/>
        </w:rPr>
        <w:t>) in patients with advanced solid tumors is ongoing.</w:t>
      </w:r>
    </w:p>
    <w:p>
      <w:pPr>
        <w:spacing w:after="0" w:line="8"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In July 2024, the FDA granted Orphan Drug designation to BNT324/DB-1311 for the treatment of advanced or metastatic esophageal squamous cell carcinoma.</w:t>
      </w:r>
    </w:p>
    <w:p>
      <w:pPr>
        <w:spacing w:after="0" w:line="15"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first preliminary data update from this trial is expected to be presented at the ESMO Asia Congress (December 6-8, 2024 in Singapore).</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BNT326/YL202 </w:t>
      </w:r>
      <w:r>
        <w:rPr>
          <w:rFonts w:ascii="Arial" w:cs="Arial" w:eastAsia="Arial" w:hAnsi="Arial"/>
          <w:sz w:val="12"/>
          <w:szCs w:val="12"/>
          <w:color w:val="auto"/>
        </w:rPr>
        <w:t>is an ADC candidate targeting Human Epidermal Growth Factor 3 (“HER3”) that is being developed in collaboration with MediLink Therapeutics (Suzhou) Co., Ltd. (“MediLink”).</w:t>
      </w:r>
    </w:p>
    <w:p>
      <w:pPr>
        <w:spacing w:after="0" w:line="27" w:lineRule="exact"/>
        <w:rPr>
          <w:sz w:val="20"/>
          <w:szCs w:val="20"/>
          <w:color w:val="auto"/>
        </w:rPr>
      </w:pPr>
    </w:p>
    <w:p>
      <w:pPr>
        <w:jc w:val="both"/>
        <w:ind w:left="420" w:hanging="212"/>
        <w:spacing w:after="0" w:line="266" w:lineRule="auto"/>
        <w:tabs>
          <w:tab w:leader="none" w:pos="417" w:val="left"/>
        </w:tabs>
        <w:numPr>
          <w:ilvl w:val="0"/>
          <w:numId w:val="15"/>
        </w:numPr>
        <w:rPr>
          <w:rFonts w:ascii="Arial" w:cs="Arial" w:eastAsia="Arial" w:hAnsi="Arial"/>
          <w:sz w:val="12"/>
          <w:szCs w:val="12"/>
          <w:color w:val="auto"/>
        </w:rPr>
      </w:pPr>
      <w:r>
        <w:rPr>
          <w:rFonts w:ascii="Arial" w:cs="Arial" w:eastAsia="Arial" w:hAnsi="Arial"/>
          <w:sz w:val="12"/>
          <w:szCs w:val="12"/>
          <w:color w:val="auto"/>
        </w:rPr>
        <w:t>A multi-site, international, open-label, first-in-human Phase 1 clinical trial (</w:t>
      </w:r>
      <w:r>
        <w:rPr>
          <w:rFonts w:ascii="Arial" w:cs="Arial" w:eastAsia="Arial" w:hAnsi="Arial"/>
          <w:sz w:val="12"/>
          <w:szCs w:val="12"/>
          <w:u w:val="single" w:color="auto"/>
          <w:color w:val="auto"/>
        </w:rPr>
        <w:t>NCT05653752</w:t>
      </w:r>
      <w:r>
        <w:rPr>
          <w:rFonts w:ascii="Arial" w:cs="Arial" w:eastAsia="Arial" w:hAnsi="Arial"/>
          <w:sz w:val="12"/>
          <w:szCs w:val="12"/>
          <w:color w:val="auto"/>
        </w:rPr>
        <w:t>) sponsored by MediLink evaluating BNT326/YL202 as a later-line treatment in patients with locally advanced or metastatic EGFR-mutated NSCLC or HR+/HER2-negative breast cancer is ongoing. On August 15, 2024, the FDA lifted the partial clinical hold that was placed on this trial, initially announced on June 17, 2024. Trial recruitment has been reinitiated with a focus on dose levels no higher than 3 mg/kg, where the safety profile was manageable and encouraging clinical activity was observed.</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Cell Therapy Programs</w:t>
      </w:r>
    </w:p>
    <w:p>
      <w:pPr>
        <w:spacing w:after="0" w:line="175"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b w:val="1"/>
          <w:bCs w:val="1"/>
          <w:color w:val="auto"/>
        </w:rPr>
        <w:t xml:space="preserve">BNT211 </w:t>
      </w:r>
      <w:r>
        <w:rPr>
          <w:rFonts w:ascii="Arial" w:cs="Arial" w:eastAsia="Arial" w:hAnsi="Arial"/>
          <w:sz w:val="12"/>
          <w:szCs w:val="12"/>
          <w:color w:val="auto"/>
        </w:rPr>
        <w:t>consists of a chimeric antigen receptor (“CAR”)-T cell product candidate targeting Claudin-6 (“CLDN6”)-positive solid tumors in combination with a CAR-T cell-amplifying RNA vaccine (“CARVac”) encoding</w:t>
      </w:r>
      <w:r>
        <w:rPr>
          <w:rFonts w:ascii="Arial" w:cs="Arial" w:eastAsia="Arial" w:hAnsi="Arial"/>
          <w:sz w:val="12"/>
          <w:szCs w:val="12"/>
          <w:b w:val="1"/>
          <w:bCs w:val="1"/>
          <w:color w:val="auto"/>
        </w:rPr>
        <w:t xml:space="preserve"> </w:t>
      </w:r>
      <w:r>
        <w:rPr>
          <w:rFonts w:ascii="Arial" w:cs="Arial" w:eastAsia="Arial" w:hAnsi="Arial"/>
          <w:sz w:val="12"/>
          <w:szCs w:val="12"/>
          <w:color w:val="auto"/>
        </w:rPr>
        <w:t>CLDN6.</w:t>
      </w:r>
    </w:p>
    <w:p>
      <w:pPr>
        <w:ind w:left="420" w:right="20" w:hanging="212"/>
        <w:spacing w:after="0" w:line="292" w:lineRule="auto"/>
        <w:tabs>
          <w:tab w:leader="none" w:pos="417" w:val="left"/>
        </w:tabs>
        <w:numPr>
          <w:ilvl w:val="0"/>
          <w:numId w:val="16"/>
        </w:numPr>
        <w:rPr>
          <w:rFonts w:ascii="Arial" w:cs="Arial" w:eastAsia="Arial" w:hAnsi="Arial"/>
          <w:sz w:val="12"/>
          <w:szCs w:val="12"/>
          <w:color w:val="auto"/>
        </w:rPr>
      </w:pPr>
      <w:r>
        <w:rPr>
          <w:rFonts w:ascii="Arial" w:cs="Arial" w:eastAsia="Arial" w:hAnsi="Arial"/>
          <w:sz w:val="12"/>
          <w:szCs w:val="12"/>
          <w:color w:val="auto"/>
        </w:rPr>
        <w:t>A first-in-human, open-label, multi-site Phase 1 dose escalation and dose expansion basket trial (</w:t>
      </w:r>
      <w:r>
        <w:rPr>
          <w:rFonts w:ascii="Arial" w:cs="Arial" w:eastAsia="Arial" w:hAnsi="Arial"/>
          <w:sz w:val="12"/>
          <w:szCs w:val="12"/>
          <w:u w:val="single" w:color="auto"/>
          <w:color w:val="auto"/>
        </w:rPr>
        <w:t>NCT04503278</w:t>
      </w:r>
      <w:r>
        <w:rPr>
          <w:rFonts w:ascii="Arial" w:cs="Arial" w:eastAsia="Arial" w:hAnsi="Arial"/>
          <w:sz w:val="12"/>
          <w:szCs w:val="12"/>
          <w:color w:val="auto"/>
        </w:rPr>
        <w:t>) is being conducted to evaluate BNT211 in patients with CLDN6-positive relapsed or refractory solid tumors, including ovarian cancers and testicular germ cell tumors.</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300"/>
          </w:cols>
          <w:pgMar w:left="300" w:top="1234" w:right="299" w:bottom="1440" w:gutter="0" w:footer="0" w:header="0"/>
        </w:sectPr>
      </w:pPr>
    </w:p>
    <w:bookmarkStart w:id="11" w:name="page12"/>
    <w:bookmarkEnd w:id="11"/>
    <w:p>
      <w:pPr>
        <w:jc w:val="both"/>
        <w:ind w:left="420" w:hanging="212"/>
        <w:spacing w:after="0" w:line="264" w:lineRule="auto"/>
        <w:tabs>
          <w:tab w:leader="none" w:pos="417" w:val="left"/>
        </w:tabs>
        <w:numPr>
          <w:ilvl w:val="0"/>
          <w:numId w:val="17"/>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875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28750" cy="154305"/>
                    </a:xfrm>
                    <a:prstGeom prst="rect">
                      <a:avLst/>
                    </a:prstGeom>
                    <a:noFill/>
                  </pic:spPr>
                </pic:pic>
              </a:graphicData>
            </a:graphic>
          </wp:anchor>
        </w:drawing>
        <w:t>In September 2024, data from the ongoing trial presented at ESMO showed signs of antitumor activity across indications. CARVac was shown to improve CAR-T persistence in some patients. The data also suggested that the safety profile of CLDN6 CAR T cells with and without CARVac is consistent with the previously published effects of CAR T therapies and that repeated CARVac administration does not significantly increase toxicity.</w:t>
      </w: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 pivotal Phase 2 trial in patients with testicular germ cell tumors is expected to start in 2025 based on encouraging activity observed in this patient group.</w:t>
      </w:r>
    </w:p>
    <w:p>
      <w:pPr>
        <w:spacing w:after="0" w:line="1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Corporate Update for the Third Quarter 2024 and Key Post Period-End Events</w:t>
      </w:r>
    </w:p>
    <w:p>
      <w:pPr>
        <w:spacing w:after="0" w:line="18" w:lineRule="exact"/>
        <w:rPr>
          <w:sz w:val="20"/>
          <w:szCs w:val="20"/>
          <w:color w:val="auto"/>
        </w:rPr>
      </w:pPr>
    </w:p>
    <w:p>
      <w:pPr>
        <w:jc w:val="both"/>
        <w:ind w:left="420" w:right="20" w:hanging="212"/>
        <w:spacing w:after="0" w:line="265" w:lineRule="auto"/>
        <w:tabs>
          <w:tab w:leader="none" w:pos="417" w:val="left"/>
        </w:tabs>
        <w:numPr>
          <w:ilvl w:val="0"/>
          <w:numId w:val="18"/>
        </w:numPr>
        <w:rPr>
          <w:rFonts w:ascii="Arial" w:cs="Arial" w:eastAsia="Arial" w:hAnsi="Arial"/>
          <w:sz w:val="12"/>
          <w:szCs w:val="12"/>
          <w:color w:val="auto"/>
        </w:rPr>
      </w:pPr>
      <w:r>
        <w:rPr>
          <w:rFonts w:ascii="Arial" w:cs="Arial" w:eastAsia="Arial" w:hAnsi="Arial"/>
          <w:sz w:val="12"/>
          <w:szCs w:val="12"/>
          <w:color w:val="auto"/>
        </w:rPr>
        <w:t>On October 1, 2024, BioNTech, alongside its artificial intelligence (“AI</w:t>
      </w:r>
      <w:r>
        <w:rPr>
          <w:rFonts w:ascii="Arial" w:cs="Arial" w:eastAsia="Arial" w:hAnsi="Arial"/>
          <w:sz w:val="12"/>
          <w:szCs w:val="12"/>
          <w:i w:val="1"/>
          <w:iCs w:val="1"/>
          <w:color w:val="auto"/>
        </w:rPr>
        <w:t>”)</w:t>
      </w:r>
      <w:r>
        <w:rPr>
          <w:rFonts w:ascii="Arial" w:cs="Arial" w:eastAsia="Arial" w:hAnsi="Arial"/>
          <w:sz w:val="12"/>
          <w:szCs w:val="12"/>
          <w:color w:val="auto"/>
        </w:rPr>
        <w:t xml:space="preserve"> subsidiary InstaDeep, presented an overview of its AI approach during an edition of the Company’s Innovation Series called AI Day. As part of the event, BioNTech showcased the Company’s approach to AI capability scaling and deployment across its pipeline. These updates covered the introduction of a new near exascale supercomputer, the launch of a novel Bayesian Flow Network (“BFN”) generative model, and multiple updates on the deployment of AI across BioNTech’s preclinical and clinical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Upcoming Investor and Analyst Events</w:t>
      </w:r>
    </w:p>
    <w:p>
      <w:pPr>
        <w:spacing w:after="0" w:line="27" w:lineRule="exact"/>
        <w:rPr>
          <w:sz w:val="20"/>
          <w:szCs w:val="20"/>
          <w:color w:val="auto"/>
        </w:rPr>
      </w:pPr>
    </w:p>
    <w:p>
      <w:pPr>
        <w:ind w:left="200" w:hanging="154"/>
        <w:spacing w:after="0"/>
        <w:tabs>
          <w:tab w:leader="none" w:pos="2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Innovation Series R&amp;D Day: November 14, 2024</w:t>
      </w:r>
    </w:p>
    <w:p>
      <w:pPr>
        <w:spacing w:after="0" w:line="6" w:lineRule="exact"/>
        <w:rPr>
          <w:rFonts w:ascii="Arial" w:cs="Arial" w:eastAsia="Arial" w:hAnsi="Arial"/>
          <w:sz w:val="12"/>
          <w:szCs w:val="12"/>
          <w:color w:val="auto"/>
        </w:rPr>
      </w:pPr>
    </w:p>
    <w:p>
      <w:pPr>
        <w:ind w:left="200" w:hanging="154"/>
        <w:spacing w:after="0"/>
        <w:tabs>
          <w:tab w:leader="none" w:pos="2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Fourth Quarter and Full Year 2024 Financial Results and Corporate Update: March 10, 2025</w:t>
      </w:r>
    </w:p>
    <w:p>
      <w:pPr>
        <w:spacing w:after="0" w:line="1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Conference Call and Webcast Information</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BioNTech invites investors and the general public to join a conference call and webcast with investment analysts today, November 4, 2024, at 8:00 a.m. EST (2:00 p.m. CET) to report its financial results and provide a corporate update for the third quarter of 2024.</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To access the live conference call via telephone, please register </w:t>
      </w:r>
      <w:r>
        <w:rPr>
          <w:rFonts w:ascii="Arial" w:cs="Arial" w:eastAsia="Arial" w:hAnsi="Arial"/>
          <w:sz w:val="12"/>
          <w:szCs w:val="12"/>
          <w:u w:val="single" w:color="auto"/>
          <w:color w:val="auto"/>
        </w:rPr>
        <w:t>via this link</w:t>
      </w:r>
      <w:r>
        <w:rPr>
          <w:rFonts w:ascii="Arial" w:cs="Arial" w:eastAsia="Arial" w:hAnsi="Arial"/>
          <w:sz w:val="12"/>
          <w:szCs w:val="12"/>
          <w:color w:val="auto"/>
        </w:rPr>
        <w:t>. Once registered, dial-in numbers and a PIN number will be provided.</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The slide presentation and audio of the webcast will be available </w:t>
      </w:r>
      <w:r>
        <w:rPr>
          <w:rFonts w:ascii="Arial" w:cs="Arial" w:eastAsia="Arial" w:hAnsi="Arial"/>
          <w:sz w:val="12"/>
          <w:szCs w:val="12"/>
          <w:u w:val="single" w:color="auto"/>
          <w:color w:val="auto"/>
        </w:rPr>
        <w:t>via this link</w:t>
      </w:r>
      <w:r>
        <w:rPr>
          <w:rFonts w:ascii="Arial" w:cs="Arial" w:eastAsia="Arial" w:hAnsi="Arial"/>
          <w:sz w:val="12"/>
          <w:szCs w:val="12"/>
          <w:color w:val="auto"/>
        </w:rPr>
        <w:t>.</w:t>
      </w:r>
    </w:p>
    <w:p>
      <w:pPr>
        <w:spacing w:after="0" w:line="168" w:lineRule="exact"/>
        <w:rPr>
          <w:sz w:val="20"/>
          <w:szCs w:val="20"/>
          <w:color w:val="auto"/>
        </w:rPr>
      </w:pPr>
    </w:p>
    <w:p>
      <w:pPr>
        <w:jc w:val="both"/>
        <w:spacing w:after="0" w:line="301" w:lineRule="auto"/>
        <w:rPr>
          <w:sz w:val="20"/>
          <w:szCs w:val="20"/>
          <w:color w:val="auto"/>
        </w:rPr>
      </w:pPr>
      <w:r>
        <w:rPr>
          <w:rFonts w:ascii="Arial" w:cs="Arial" w:eastAsia="Arial" w:hAnsi="Arial"/>
          <w:sz w:val="12"/>
          <w:szCs w:val="12"/>
          <w:color w:val="auto"/>
        </w:rPr>
        <w:t xml:space="preserve">Participants may also access the slides and the webcast of the conference call via the “Events &amp; Presentations” page of the Investors' section of the Company’s website at </w:t>
      </w:r>
      <w:r>
        <w:rPr>
          <w:rFonts w:ascii="Arial" w:cs="Arial" w:eastAsia="Arial" w:hAnsi="Arial"/>
          <w:sz w:val="12"/>
          <w:szCs w:val="12"/>
          <w:u w:val="single" w:color="auto"/>
          <w:color w:val="auto"/>
        </w:rPr>
        <w:t>www.BioNTech.com</w:t>
      </w:r>
      <w:r>
        <w:rPr>
          <w:rFonts w:ascii="Arial" w:cs="Arial" w:eastAsia="Arial" w:hAnsi="Arial"/>
          <w:sz w:val="12"/>
          <w:szCs w:val="12"/>
          <w:color w:val="auto"/>
        </w:rPr>
        <w:t>. A replay of the webcast will be available shortly after the conclusion of the call and archived on the Company’s website for 30 days following the call.</w:t>
      </w:r>
    </w:p>
    <w:p>
      <w:pPr>
        <w:spacing w:after="0" w:line="2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BioNTech</w:t>
      </w:r>
    </w:p>
    <w:p>
      <w:pPr>
        <w:spacing w:after="0" w:line="18" w:lineRule="exact"/>
        <w:rPr>
          <w:sz w:val="20"/>
          <w:szCs w:val="20"/>
          <w:color w:val="auto"/>
        </w:rPr>
      </w:pPr>
    </w:p>
    <w:p>
      <w:pPr>
        <w:jc w:val="both"/>
        <w:ind w:right="20"/>
        <w:spacing w:after="0" w:line="265" w:lineRule="auto"/>
        <w:rPr>
          <w:sz w:val="20"/>
          <w:szCs w:val="20"/>
          <w:color w:val="auto"/>
        </w:rPr>
      </w:pPr>
      <w:r>
        <w:rPr>
          <w:rFonts w:ascii="Arial" w:cs="Arial" w:eastAsia="Arial" w:hAnsi="Arial"/>
          <w:sz w:val="12"/>
          <w:szCs w:val="12"/>
          <w:color w:val="auto"/>
        </w:rPr>
        <w:t>Biopharmaceutical New Technologies (BioNTech) is a global next generation immunotherapy company pioneering novel therapies for cancer and other serious diseases. BioNTech exploits a wide array of computational discovery and therapeutic drug platforms for the rapid development of novel biopharmaceuticals. Its broad portfolio of oncology product candidates includes individualized and off-the-shelf mRNA-based therapies, innovative chimeric antigen receptor (CAR) T cells, several protein-based therapeutics, including bispecific immune checkpoint modulators, targeted cancer antibodies and antibody-drug conjugate (ADC) therapeutics, as well as small molecules. Based on its deep expertise in mRNA vaccine development and in-house manufacturing capabilities, BioNTech and its collaborators are developing multiple mRNA vaccine candidates for a range of infectious diseases alongside its diverse oncology pipeline. BioNTech has established a broad set of relationships with multiple global and specialized pharmaceutical collaborators, including Biotheus, DualityBio, Fosun Pharma, Genentech, a member of the Roche Group, Genevant, Genmab, MediLink, OncoC4, Pfizer and Regeneron.</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For more information, please visit </w:t>
      </w:r>
      <w:r>
        <w:rPr>
          <w:rFonts w:ascii="Arial" w:cs="Arial" w:eastAsia="Arial" w:hAnsi="Arial"/>
          <w:sz w:val="12"/>
          <w:szCs w:val="12"/>
          <w:u w:val="single" w:color="auto"/>
          <w:color w:val="auto"/>
        </w:rPr>
        <w:t>www.BioNTech.com</w:t>
      </w:r>
      <w:r>
        <w:rPr>
          <w:rFonts w:ascii="Arial" w:cs="Arial" w:eastAsia="Arial" w:hAnsi="Arial"/>
          <w:sz w:val="12"/>
          <w:szCs w:val="12"/>
          <w:color w:val="auto"/>
        </w:rPr>
        <w:t>.</w:t>
      </w: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300"/>
          </w:cols>
          <w:pgMar w:left="300" w:top="1234" w:right="299" w:bottom="1440" w:gutter="0" w:footer="0" w:header="0"/>
        </w:sectPr>
      </w:pPr>
    </w:p>
    <w:bookmarkStart w:id="12" w:name="page13"/>
    <w:bookmarkEnd w:id="12"/>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875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28750" cy="154305"/>
                    </a:xfrm>
                    <a:prstGeom prst="rect">
                      <a:avLst/>
                    </a:prstGeom>
                    <a:noFill/>
                  </pic:spPr>
                </pic:pic>
              </a:graphicData>
            </a:graphic>
          </wp:anchor>
        </w:drawing>
        <w:t>Forward-Looking Statements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This press release contains forward-looking statements within the meaning of the Private Securities Litigation Reform Act of 1995, as amended, including, but not limited to, statements concerning: BioNTech’s expected revenues related to sales of BioNTech’s COVID-19 vaccine, referred to as COMIRNATY where approved for use under full or conditional marketing authorization, in territories controlled by BioNTech’s collaboration partners, particularly for those figures that are derived from preliminary estimates provided by BioNTech’s partners; the rate and degree of market acceptance of BioNTech’s COVID-19 vaccine and, if approved, BioNTech’s investigational medicines; expectations regarding anticipated changes in COVID-19 vaccine demand, including changes to the ordering environment and expected regulatory recommendations to adapt vaccines to address new variants or sublineages; the initiation, timing, progress, results, and cost of BioNTech’s research and development programs, including BioNTech’s current and future preclinical studies and clinical trials, including statements regarding the expected timing of initiation, enrollment, and completion of studies or trials and related preparatory work and the availability of results, and the timing and outcome of applications for regulatory approvals and marketing authorizations; BioNTech’s expectations regarding potential future commercialization in oncology, including goals regarding timing and indications; the targeted timing and number of additional potentially registrational trials, and the registrational potential of any trial BioNTech may initiate; discussions with regulatory agencies; BioNTech’s expectations with respect to intellectual property; the impact of BioNTech’s collaboration and licensing agreements; the development, nature and feasibility of sustainable vaccine production and supply solutions; the deployment of AI across BioNTech’s preclinical and clinical operations; BioNTech’s estimates of revenues, research and development expenses, selling, general and administrative expenses and capital expenditures for operating activities; and BioNTech’s expectations of net profit / (loss).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forward-looking statements in this press release are based on BioNTech’s current expectations and beliefs of future events, and are neither promises nor guarantees. You should not place undue reliance on these forward-looking statements because they involve known and unknown risks, uncertainties, and other factors, many of which are beyond BioNTech’s control and which could cause actual results to differ materially and adversely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projected data release timelines, regulatory submission dates, regulatory approval dates and/or launch dates, as well as risks associated with preclinical and clinical data, including the data discussed in this release, and including the possibility of unfavorable new preclinical, clinical or safety data and further analyses of existing preclinical, clinical or safety data; the nature of the clinical data, which is subject to ongoing peer review, regulatory review and market interpretation; BioNTech’s pricing and coverage negotiations regarding its COVID-19 vaccine with governmental authorities, private health insurers and other third-party payors; the future commercial demand and medical need for initial or booster doses of a COVID-19 vaccine; competition from other COVID-19 vaccines or related to BioNTech’s other product candidates, including those with different mechanisms of action and different manufacturing and distribution constraints, on the basis of, among other things, efficacy, cost, convenience of storage and distribution, breadth of approved use, side-effect profile and durability of immune response; the timing of and BioNTech’s ability to obtain and maintain regulatory approval for its product candidates; the ability of BioNTech’s COVID-19 vaccines to prevent COVID-19 caused by emerging virus variants; BioNTech’s and its counterparties’ ability to manage and source necessary energy resources; BioNTech’s ability to identify research opportunities and discover and develop investigational medicines; the ability and willingness of BioNTech’s third-party collaborators to continue research and</w:t>
      </w: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300"/>
          </w:cols>
          <w:pgMar w:left="300" w:top="1396" w:right="299" w:bottom="1440" w:gutter="0" w:footer="0" w:header="0"/>
        </w:sectPr>
      </w:pPr>
    </w:p>
    <w:bookmarkStart w:id="13" w:name="page14"/>
    <w:bookmarkEnd w:id="13"/>
    <w:p>
      <w:pPr>
        <w:jc w:val="both"/>
        <w:spacing w:after="0" w:line="294"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875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28750" cy="154305"/>
                    </a:xfrm>
                    <a:prstGeom prst="rect">
                      <a:avLst/>
                    </a:prstGeom>
                    <a:noFill/>
                  </pic:spPr>
                </pic:pic>
              </a:graphicData>
            </a:graphic>
          </wp:anchor>
        </w:drawing>
        <w:t xml:space="preserve">development activities relating to BioNTech's development candidates and investigational medicines; the impact of COVID-19 on BioNTech’s development programs, supply chain, collaborators and financial performance; unforeseen safety issues and potential claims that are alleged to arise from the use of products and product candidates developed or manufactured by BioNTech; BioNTech’s and its collaborators’ ability to commercialize and market BioNTech’s COVID-19 vaccine and, if approved, its product candidates; BioNTech’s ability to manage its development and related expenses; regulatory developments in the United States and other countries; BioNTech’s ability to effectively scale its production capabilities and manufacture its products and product candidates; risks relating to the global financial system and markets; and other factors not known to BioNTech at this time. You should review the risks and uncertainties described under the heading “Risk Factors” in BioNTech’s Report on Form 6-K for the period ended September 30, 2024 and in subsequent filings made by BioNTech with the SEC, which are available on the SEC’s website at </w:t>
      </w:r>
      <w:r>
        <w:rPr>
          <w:rFonts w:ascii="Arial" w:cs="Arial" w:eastAsia="Arial" w:hAnsi="Arial"/>
          <w:sz w:val="11"/>
          <w:szCs w:val="11"/>
          <w:u w:val="single" w:color="auto"/>
          <w:color w:val="auto"/>
        </w:rPr>
        <w:t>www.sec.gov</w:t>
      </w:r>
      <w:r>
        <w:rPr>
          <w:rFonts w:ascii="Arial" w:cs="Arial" w:eastAsia="Arial" w:hAnsi="Arial"/>
          <w:sz w:val="11"/>
          <w:szCs w:val="11"/>
          <w:color w:val="auto"/>
        </w:rPr>
        <w:t>. These forward-looking statements speak only as of the date hereof. Except as required by law, BioNTech disclaims any intention or responsibility for updating or revising any forward-looking statements contained in this press release in the event of new information, future developments or otherwise.</w:t>
      </w: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CONTACTS</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Michael Horowicz</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Investors@biontech.de</w:t>
      </w:r>
    </w:p>
    <w:p>
      <w:pPr>
        <w:spacing w:after="0" w:line="1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Jasmina Alatovic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Media@biontech.de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300"/>
          </w:cols>
          <w:pgMar w:left="300" w:top="1234" w:right="299" w:bottom="1440" w:gutter="0" w:footer="0" w:header="0"/>
        </w:sectPr>
      </w:pPr>
    </w:p>
    <w:bookmarkStart w:id="14" w:name="page15"/>
    <w:bookmarkEnd w:id="14"/>
    <w:p>
      <w:pPr>
        <w:jc w:val="center"/>
        <w:ind w:right="-7"/>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875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428750" cy="154305"/>
                    </a:xfrm>
                    <a:prstGeom prst="rect">
                      <a:avLst/>
                    </a:prstGeom>
                    <a:noFill/>
                  </pic:spPr>
                </pic:pic>
              </a:graphicData>
            </a:graphic>
          </wp:anchor>
        </w:drawing>
        <w:t>Interim Consolidated Statements of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717804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79"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5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0" w:type="dxa"/>
            <w:vAlign w:val="bottom"/>
            <w:gridSpan w:val="4"/>
          </w:tcPr>
          <w:p>
            <w:pPr>
              <w:jc w:val="center"/>
              <w:ind w:left="706"/>
              <w:spacing w:after="0"/>
              <w:rPr>
                <w:sz w:val="20"/>
                <w:szCs w:val="20"/>
                <w:color w:val="auto"/>
              </w:rPr>
            </w:pPr>
            <w:r>
              <w:rPr>
                <w:rFonts w:ascii="Arial" w:cs="Arial" w:eastAsia="Arial" w:hAnsi="Arial"/>
                <w:sz w:val="11"/>
                <w:szCs w:val="11"/>
                <w:b w:val="1"/>
                <w:bCs w:val="1"/>
                <w:color w:val="005A64"/>
                <w:w w:val="99"/>
              </w:rPr>
              <w:t>Three months ended</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0" w:type="dxa"/>
            <w:vAlign w:val="bottom"/>
            <w:gridSpan w:val="4"/>
          </w:tcPr>
          <w:p>
            <w:pPr>
              <w:jc w:val="center"/>
              <w:ind w:left="746"/>
              <w:spacing w:after="0"/>
              <w:rPr>
                <w:sz w:val="20"/>
                <w:szCs w:val="20"/>
                <w:color w:val="auto"/>
              </w:rPr>
            </w:pPr>
            <w:r>
              <w:rPr>
                <w:rFonts w:ascii="Arial" w:cs="Arial" w:eastAsia="Arial" w:hAnsi="Arial"/>
                <w:sz w:val="11"/>
                <w:szCs w:val="11"/>
                <w:b w:val="1"/>
                <w:bCs w:val="1"/>
                <w:color w:val="005A64"/>
                <w:w w:val="97"/>
              </w:rPr>
              <w:t>Nine months ended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0" w:type="dxa"/>
            <w:vAlign w:val="bottom"/>
            <w:gridSpan w:val="4"/>
          </w:tcPr>
          <w:p>
            <w:pPr>
              <w:jc w:val="center"/>
              <w:ind w:left="686"/>
              <w:spacing w:after="0"/>
              <w:rPr>
                <w:sz w:val="20"/>
                <w:szCs w:val="20"/>
                <w:color w:val="auto"/>
              </w:rPr>
            </w:pPr>
            <w:r>
              <w:rPr>
                <w:rFonts w:ascii="Arial" w:cs="Arial" w:eastAsia="Arial" w:hAnsi="Arial"/>
                <w:sz w:val="11"/>
                <w:szCs w:val="11"/>
                <w:b w:val="1"/>
                <w:bCs w:val="1"/>
                <w:color w:val="005A64"/>
                <w:w w:val="98"/>
              </w:rPr>
              <w:t>September 30,</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0" w:type="dxa"/>
            <w:vAlign w:val="bottom"/>
            <w:gridSpan w:val="4"/>
          </w:tcPr>
          <w:p>
            <w:pPr>
              <w:jc w:val="center"/>
              <w:ind w:left="726"/>
              <w:spacing w:after="0"/>
              <w:rPr>
                <w:sz w:val="20"/>
                <w:szCs w:val="20"/>
                <w:color w:val="auto"/>
              </w:rPr>
            </w:pPr>
            <w:r>
              <w:rPr>
                <w:rFonts w:ascii="Arial" w:cs="Arial" w:eastAsia="Arial" w:hAnsi="Arial"/>
                <w:sz w:val="11"/>
                <w:szCs w:val="11"/>
                <w:b w:val="1"/>
                <w:bCs w:val="1"/>
                <w:color w:val="005A64"/>
                <w:w w:val="98"/>
              </w:rPr>
              <w:t>September 30,</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5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60" w:type="dxa"/>
            <w:vAlign w:val="bottom"/>
            <w:tcBorders>
              <w:bottom w:val="single" w:sz="8" w:color="BECD32"/>
            </w:tcBorders>
            <w:gridSpan w:val="2"/>
          </w:tcPr>
          <w:p>
            <w:pPr>
              <w:spacing w:after="0"/>
              <w:rPr>
                <w:sz w:val="7"/>
                <w:szCs w:val="7"/>
                <w:color w:val="auto"/>
              </w:rPr>
            </w:pPr>
          </w:p>
        </w:tc>
        <w:tc>
          <w:tcPr>
            <w:tcW w:w="100" w:type="dxa"/>
            <w:vAlign w:val="bottom"/>
            <w:tcBorders>
              <w:bottom w:val="single" w:sz="8" w:color="BECD32"/>
            </w:tcBorders>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b w:val="1"/>
                <w:bCs w:val="1"/>
                <w:color w:val="005A64"/>
              </w:rPr>
              <w:t>2023</w:t>
            </w:r>
          </w:p>
        </w:tc>
        <w:tc>
          <w:tcPr>
            <w:tcW w:w="100" w:type="dxa"/>
            <w:vAlign w:val="bottom"/>
          </w:tcPr>
          <w:p>
            <w:pPr>
              <w:spacing w:after="0"/>
              <w:rPr>
                <w:sz w:val="7"/>
                <w:szCs w:val="7"/>
                <w:color w:val="auto"/>
              </w:rPr>
            </w:pPr>
          </w:p>
        </w:tc>
        <w:tc>
          <w:tcPr>
            <w:tcW w:w="1460" w:type="dxa"/>
            <w:vAlign w:val="bottom"/>
            <w:tcBorders>
              <w:bottom w:val="single" w:sz="8" w:color="BECD32"/>
            </w:tcBorders>
            <w:gridSpan w:val="2"/>
          </w:tcPr>
          <w:p>
            <w:pPr>
              <w:spacing w:after="0"/>
              <w:rPr>
                <w:sz w:val="7"/>
                <w:szCs w:val="7"/>
                <w:color w:val="auto"/>
              </w:rPr>
            </w:pPr>
          </w:p>
        </w:tc>
        <w:tc>
          <w:tcPr>
            <w:tcW w:w="120" w:type="dxa"/>
            <w:vAlign w:val="bottom"/>
            <w:tcBorders>
              <w:bottom w:val="single" w:sz="8" w:color="BECD32"/>
            </w:tcBorders>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b w:val="1"/>
                <w:bCs w:val="1"/>
                <w:color w:val="005A64"/>
              </w:rPr>
              <w:t>2023</w:t>
            </w:r>
          </w:p>
        </w:tc>
        <w:tc>
          <w:tcPr>
            <w:tcW w:w="0" w:type="dxa"/>
            <w:vAlign w:val="bottom"/>
          </w:tcPr>
          <w:p>
            <w:pPr>
              <w:spacing w:after="0"/>
              <w:rPr>
                <w:sz w:val="1"/>
                <w:szCs w:val="1"/>
                <w:color w:val="auto"/>
              </w:rPr>
            </w:pPr>
          </w:p>
        </w:tc>
      </w:tr>
      <w:tr>
        <w:trPr>
          <w:trHeight w:val="155"/>
        </w:trPr>
        <w:tc>
          <w:tcPr>
            <w:tcW w:w="5000" w:type="dxa"/>
            <w:vAlign w:val="bottom"/>
          </w:tcPr>
          <w:p>
            <w:pPr>
              <w:spacing w:after="0"/>
              <w:rPr>
                <w:sz w:val="13"/>
                <w:szCs w:val="13"/>
                <w:color w:val="auto"/>
              </w:rPr>
            </w:pPr>
          </w:p>
        </w:tc>
        <w:tc>
          <w:tcPr>
            <w:tcW w:w="140" w:type="dxa"/>
            <w:vAlign w:val="bottom"/>
            <w:tcBorders>
              <w:right w:val="single" w:sz="8" w:color="BECD32"/>
            </w:tcBorders>
          </w:tcPr>
          <w:p>
            <w:pPr>
              <w:spacing w:after="0"/>
              <w:rPr>
                <w:sz w:val="13"/>
                <w:szCs w:val="13"/>
                <w:color w:val="auto"/>
              </w:rPr>
            </w:pPr>
          </w:p>
        </w:tc>
        <w:tc>
          <w:tcPr>
            <w:tcW w:w="1460" w:type="dxa"/>
            <w:vAlign w:val="bottom"/>
            <w:gridSpan w:val="2"/>
          </w:tcPr>
          <w:p>
            <w:pPr>
              <w:jc w:val="right"/>
              <w:spacing w:after="0"/>
              <w:rPr>
                <w:sz w:val="20"/>
                <w:szCs w:val="20"/>
                <w:color w:val="auto"/>
              </w:rPr>
            </w:pPr>
            <w:r>
              <w:rPr>
                <w:rFonts w:ascii="Arial" w:cs="Arial" w:eastAsia="Arial" w:hAnsi="Arial"/>
                <w:sz w:val="11"/>
                <w:szCs w:val="11"/>
                <w:b w:val="1"/>
                <w:bCs w:val="1"/>
                <w:color w:val="005A64"/>
              </w:rPr>
              <w:t>2024</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Borders>
              <w:right w:val="single" w:sz="8" w:color="BECD32"/>
            </w:tcBorders>
          </w:tcPr>
          <w:p>
            <w:pPr>
              <w:spacing w:after="0"/>
              <w:rPr>
                <w:sz w:val="13"/>
                <w:szCs w:val="13"/>
                <w:color w:val="auto"/>
              </w:rPr>
            </w:pPr>
          </w:p>
        </w:tc>
        <w:tc>
          <w:tcPr>
            <w:tcW w:w="1460" w:type="dxa"/>
            <w:vAlign w:val="bottom"/>
            <w:gridSpan w:val="2"/>
          </w:tcPr>
          <w:p>
            <w:pPr>
              <w:jc w:val="right"/>
              <w:spacing w:after="0"/>
              <w:rPr>
                <w:sz w:val="20"/>
                <w:szCs w:val="20"/>
                <w:color w:val="auto"/>
              </w:rPr>
            </w:pPr>
            <w:r>
              <w:rPr>
                <w:rFonts w:ascii="Arial" w:cs="Arial" w:eastAsia="Arial" w:hAnsi="Arial"/>
                <w:sz w:val="11"/>
                <w:szCs w:val="11"/>
                <w:b w:val="1"/>
                <w:bCs w:val="1"/>
                <w:color w:val="005A64"/>
              </w:rPr>
              <w:t>2024</w:t>
            </w:r>
          </w:p>
        </w:tc>
        <w:tc>
          <w:tcPr>
            <w:tcW w:w="12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140" w:type="dxa"/>
            <w:vAlign w:val="bottom"/>
            <w:tcBorders>
              <w:right w:val="single" w:sz="8" w:color="BECD32"/>
            </w:tcBorders>
            <w:gridSpan w:val="2"/>
          </w:tcPr>
          <w:p>
            <w:pPr>
              <w:spacing w:after="0"/>
              <w:rPr>
                <w:sz w:val="20"/>
                <w:szCs w:val="20"/>
                <w:color w:val="auto"/>
              </w:rPr>
            </w:pPr>
            <w:r>
              <w:rPr>
                <w:rFonts w:ascii="Arial" w:cs="Arial" w:eastAsia="Arial" w:hAnsi="Arial"/>
                <w:sz w:val="11"/>
                <w:szCs w:val="11"/>
                <w:i w:val="1"/>
                <w:iCs w:val="1"/>
                <w:color w:val="005A64"/>
              </w:rPr>
              <w:t>(in millions €, except per share data)</w:t>
            </w:r>
          </w:p>
        </w:tc>
        <w:tc>
          <w:tcPr>
            <w:tcW w:w="60" w:type="dxa"/>
            <w:vAlign w:val="bottom"/>
          </w:tcPr>
          <w:p>
            <w:pPr>
              <w:spacing w:after="0"/>
              <w:rPr>
                <w:sz w:val="15"/>
                <w:szCs w:val="15"/>
                <w:color w:val="auto"/>
              </w:rPr>
            </w:pPr>
          </w:p>
        </w:tc>
        <w:tc>
          <w:tcPr>
            <w:tcW w:w="1500" w:type="dxa"/>
            <w:vAlign w:val="bottom"/>
            <w:tcBorders>
              <w:right w:val="single" w:sz="8" w:color="BECD32"/>
            </w:tcBorders>
            <w:gridSpan w:val="2"/>
          </w:tcPr>
          <w:p>
            <w:pPr>
              <w:ind w:left="840"/>
              <w:spacing w:after="0"/>
              <w:rPr>
                <w:sz w:val="20"/>
                <w:szCs w:val="20"/>
                <w:color w:val="auto"/>
              </w:rPr>
            </w:pPr>
            <w:r>
              <w:rPr>
                <w:rFonts w:ascii="Arial" w:cs="Arial" w:eastAsia="Arial" w:hAnsi="Arial"/>
                <w:sz w:val="11"/>
                <w:szCs w:val="11"/>
                <w:i w:val="1"/>
                <w:iCs w:val="1"/>
                <w:color w:val="005A64"/>
              </w:rPr>
              <w:t>(unaudited)</w:t>
            </w:r>
          </w:p>
        </w:tc>
        <w:tc>
          <w:tcPr>
            <w:tcW w:w="700" w:type="dxa"/>
            <w:vAlign w:val="bottom"/>
            <w:gridSpan w:val="2"/>
          </w:tcPr>
          <w:p>
            <w:pPr>
              <w:spacing w:after="0"/>
              <w:rPr>
                <w:sz w:val="15"/>
                <w:szCs w:val="15"/>
                <w:color w:val="auto"/>
              </w:rPr>
            </w:pPr>
          </w:p>
        </w:tc>
        <w:tc>
          <w:tcPr>
            <w:tcW w:w="860" w:type="dxa"/>
            <w:vAlign w:val="bottom"/>
            <w:tcBorders>
              <w:right w:val="single" w:sz="8" w:color="BECD32"/>
            </w:tcBorders>
            <w:gridSpan w:val="2"/>
          </w:tcPr>
          <w:p>
            <w:pPr>
              <w:ind w:left="200"/>
              <w:spacing w:after="0"/>
              <w:rPr>
                <w:sz w:val="20"/>
                <w:szCs w:val="20"/>
                <w:color w:val="auto"/>
              </w:rPr>
            </w:pPr>
            <w:r>
              <w:rPr>
                <w:rFonts w:ascii="Arial" w:cs="Arial" w:eastAsia="Arial" w:hAnsi="Arial"/>
                <w:sz w:val="11"/>
                <w:szCs w:val="11"/>
                <w:i w:val="1"/>
                <w:iCs w:val="1"/>
                <w:color w:val="005A64"/>
              </w:rPr>
              <w:t>(unaudited)</w:t>
            </w:r>
          </w:p>
        </w:tc>
        <w:tc>
          <w:tcPr>
            <w:tcW w:w="60" w:type="dxa"/>
            <w:vAlign w:val="bottom"/>
          </w:tcPr>
          <w:p>
            <w:pPr>
              <w:spacing w:after="0"/>
              <w:rPr>
                <w:sz w:val="15"/>
                <w:szCs w:val="15"/>
                <w:color w:val="auto"/>
              </w:rPr>
            </w:pPr>
          </w:p>
        </w:tc>
        <w:tc>
          <w:tcPr>
            <w:tcW w:w="1520" w:type="dxa"/>
            <w:vAlign w:val="bottom"/>
            <w:tcBorders>
              <w:right w:val="single" w:sz="8" w:color="BECD32"/>
            </w:tcBorders>
            <w:gridSpan w:val="2"/>
          </w:tcPr>
          <w:p>
            <w:pPr>
              <w:ind w:left="860"/>
              <w:spacing w:after="0"/>
              <w:rPr>
                <w:sz w:val="20"/>
                <w:szCs w:val="20"/>
                <w:color w:val="auto"/>
              </w:rPr>
            </w:pPr>
            <w:r>
              <w:rPr>
                <w:rFonts w:ascii="Arial" w:cs="Arial" w:eastAsia="Arial" w:hAnsi="Arial"/>
                <w:sz w:val="11"/>
                <w:szCs w:val="11"/>
                <w:i w:val="1"/>
                <w:iCs w:val="1"/>
                <w:color w:val="005A64"/>
              </w:rPr>
              <w:t>(unaudited)</w:t>
            </w:r>
          </w:p>
        </w:tc>
        <w:tc>
          <w:tcPr>
            <w:tcW w:w="680" w:type="dxa"/>
            <w:vAlign w:val="bottom"/>
            <w:gridSpan w:val="2"/>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1"/>
                <w:szCs w:val="11"/>
                <w:i w:val="1"/>
                <w:iCs w:val="1"/>
                <w:color w:val="005A64"/>
              </w:rPr>
              <w:t>(unaudited)</w:t>
            </w:r>
          </w:p>
        </w:tc>
        <w:tc>
          <w:tcPr>
            <w:tcW w:w="0" w:type="dxa"/>
            <w:vAlign w:val="bottom"/>
          </w:tcPr>
          <w:p>
            <w:pPr>
              <w:spacing w:after="0"/>
              <w:rPr>
                <w:sz w:val="1"/>
                <w:szCs w:val="1"/>
                <w:color w:val="auto"/>
              </w:rPr>
            </w:pPr>
          </w:p>
        </w:tc>
      </w:tr>
      <w:tr>
        <w:trPr>
          <w:trHeight w:val="29"/>
        </w:trPr>
        <w:tc>
          <w:tcPr>
            <w:tcW w:w="500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005A64"/>
            </w:tcBorders>
          </w:tcPr>
          <w:p>
            <w:pPr>
              <w:spacing w:after="0"/>
              <w:rPr>
                <w:sz w:val="2"/>
                <w:szCs w:val="2"/>
                <w:color w:val="auto"/>
              </w:rPr>
            </w:pPr>
          </w:p>
        </w:tc>
        <w:tc>
          <w:tcPr>
            <w:tcW w:w="76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005A64"/>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Borders>
              <w:bottom w:val="single" w:sz="8" w:color="005A64"/>
            </w:tcBorders>
          </w:tcPr>
          <w:p>
            <w:pPr>
              <w:spacing w:after="0"/>
              <w:rPr>
                <w:sz w:val="2"/>
                <w:szCs w:val="2"/>
                <w:color w:val="auto"/>
              </w:rPr>
            </w:pPr>
          </w:p>
        </w:tc>
        <w:tc>
          <w:tcPr>
            <w:tcW w:w="78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514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Revenues</w:t>
            </w:r>
          </w:p>
        </w:tc>
        <w:tc>
          <w:tcPr>
            <w:tcW w:w="1460" w:type="dxa"/>
            <w:vAlign w:val="bottom"/>
            <w:gridSpan w:val="2"/>
          </w:tcPr>
          <w:p>
            <w:pPr>
              <w:jc w:val="right"/>
              <w:spacing w:after="0"/>
              <w:rPr>
                <w:sz w:val="20"/>
                <w:szCs w:val="20"/>
                <w:color w:val="auto"/>
              </w:rPr>
            </w:pPr>
            <w:r>
              <w:rPr>
                <w:rFonts w:ascii="Arial" w:cs="Arial" w:eastAsia="Arial" w:hAnsi="Arial"/>
                <w:sz w:val="11"/>
                <w:szCs w:val="11"/>
                <w:color w:val="005A64"/>
              </w:rPr>
              <w:t>1,244.8</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005A64"/>
              </w:rPr>
              <w:t>895.3</w:t>
            </w:r>
          </w:p>
        </w:tc>
        <w:tc>
          <w:tcPr>
            <w:tcW w:w="100" w:type="dxa"/>
            <w:vAlign w:val="bottom"/>
            <w:tcBorders>
              <w:right w:val="single" w:sz="8" w:color="BECD32"/>
            </w:tcBorders>
          </w:tcPr>
          <w:p>
            <w:pPr>
              <w:spacing w:after="0"/>
              <w:rPr>
                <w:sz w:val="12"/>
                <w:szCs w:val="12"/>
                <w:color w:val="auto"/>
              </w:rPr>
            </w:pPr>
          </w:p>
        </w:tc>
        <w:tc>
          <w:tcPr>
            <w:tcW w:w="1460" w:type="dxa"/>
            <w:vAlign w:val="bottom"/>
            <w:gridSpan w:val="2"/>
          </w:tcPr>
          <w:p>
            <w:pPr>
              <w:jc w:val="right"/>
              <w:spacing w:after="0"/>
              <w:rPr>
                <w:sz w:val="20"/>
                <w:szCs w:val="20"/>
                <w:color w:val="auto"/>
              </w:rPr>
            </w:pPr>
            <w:r>
              <w:rPr>
                <w:rFonts w:ascii="Arial" w:cs="Arial" w:eastAsia="Arial" w:hAnsi="Arial"/>
                <w:sz w:val="11"/>
                <w:szCs w:val="11"/>
                <w:color w:val="005A64"/>
              </w:rPr>
              <w:t>1,561.1</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005A64"/>
              </w:rPr>
              <w:t>2,340.0</w:t>
            </w:r>
          </w:p>
        </w:tc>
        <w:tc>
          <w:tcPr>
            <w:tcW w:w="0" w:type="dxa"/>
            <w:vAlign w:val="bottom"/>
          </w:tcPr>
          <w:p>
            <w:pPr>
              <w:spacing w:after="0"/>
              <w:rPr>
                <w:sz w:val="1"/>
                <w:szCs w:val="1"/>
                <w:color w:val="auto"/>
              </w:rPr>
            </w:pPr>
          </w:p>
        </w:tc>
      </w:tr>
      <w:tr>
        <w:trPr>
          <w:trHeight w:val="29"/>
        </w:trPr>
        <w:tc>
          <w:tcPr>
            <w:tcW w:w="500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76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7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514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Cost of sales</w:t>
            </w:r>
          </w:p>
        </w:tc>
        <w:tc>
          <w:tcPr>
            <w:tcW w:w="1460" w:type="dxa"/>
            <w:vAlign w:val="bottom"/>
            <w:gridSpan w:val="2"/>
          </w:tcPr>
          <w:p>
            <w:pPr>
              <w:jc w:val="right"/>
              <w:spacing w:after="0"/>
              <w:rPr>
                <w:sz w:val="20"/>
                <w:szCs w:val="20"/>
                <w:color w:val="auto"/>
              </w:rPr>
            </w:pPr>
            <w:r>
              <w:rPr>
                <w:rFonts w:ascii="Arial" w:cs="Arial" w:eastAsia="Arial" w:hAnsi="Arial"/>
                <w:sz w:val="11"/>
                <w:szCs w:val="11"/>
                <w:color w:val="005A64"/>
              </w:rPr>
              <w:t>(178.9)</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005A64"/>
              </w:rPr>
              <w:t>(161.8)</w:t>
            </w:r>
          </w:p>
        </w:tc>
        <w:tc>
          <w:tcPr>
            <w:tcW w:w="100" w:type="dxa"/>
            <w:vAlign w:val="bottom"/>
            <w:tcBorders>
              <w:right w:val="single" w:sz="8" w:color="BECD32"/>
            </w:tcBorders>
          </w:tcPr>
          <w:p>
            <w:pPr>
              <w:spacing w:after="0"/>
              <w:rPr>
                <w:sz w:val="12"/>
                <w:szCs w:val="12"/>
                <w:color w:val="auto"/>
              </w:rPr>
            </w:pPr>
          </w:p>
        </w:tc>
        <w:tc>
          <w:tcPr>
            <w:tcW w:w="1460" w:type="dxa"/>
            <w:vAlign w:val="bottom"/>
            <w:gridSpan w:val="2"/>
          </w:tcPr>
          <w:p>
            <w:pPr>
              <w:jc w:val="right"/>
              <w:spacing w:after="0"/>
              <w:rPr>
                <w:sz w:val="20"/>
                <w:szCs w:val="20"/>
                <w:color w:val="auto"/>
              </w:rPr>
            </w:pPr>
            <w:r>
              <w:rPr>
                <w:rFonts w:ascii="Arial" w:cs="Arial" w:eastAsia="Arial" w:hAnsi="Arial"/>
                <w:sz w:val="11"/>
                <w:szCs w:val="11"/>
                <w:color w:val="005A64"/>
              </w:rPr>
              <w:t>(297.8)</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005A64"/>
              </w:rPr>
              <w:t>(420.7)</w:t>
            </w:r>
          </w:p>
        </w:tc>
        <w:tc>
          <w:tcPr>
            <w:tcW w:w="0" w:type="dxa"/>
            <w:vAlign w:val="bottom"/>
          </w:tcPr>
          <w:p>
            <w:pPr>
              <w:spacing w:after="0"/>
              <w:rPr>
                <w:sz w:val="1"/>
                <w:szCs w:val="1"/>
                <w:color w:val="auto"/>
              </w:rPr>
            </w:pPr>
          </w:p>
        </w:tc>
      </w:tr>
      <w:tr>
        <w:trPr>
          <w:trHeight w:val="29"/>
        </w:trPr>
        <w:tc>
          <w:tcPr>
            <w:tcW w:w="500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76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7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514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Research and development expenses</w:t>
            </w:r>
          </w:p>
        </w:tc>
        <w:tc>
          <w:tcPr>
            <w:tcW w:w="1460" w:type="dxa"/>
            <w:vAlign w:val="bottom"/>
            <w:gridSpan w:val="2"/>
          </w:tcPr>
          <w:p>
            <w:pPr>
              <w:jc w:val="right"/>
              <w:spacing w:after="0"/>
              <w:rPr>
                <w:sz w:val="20"/>
                <w:szCs w:val="20"/>
                <w:color w:val="auto"/>
              </w:rPr>
            </w:pPr>
            <w:r>
              <w:rPr>
                <w:rFonts w:ascii="Arial" w:cs="Arial" w:eastAsia="Arial" w:hAnsi="Arial"/>
                <w:sz w:val="11"/>
                <w:szCs w:val="11"/>
                <w:color w:val="005A64"/>
              </w:rPr>
              <w:t>(550.3)</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005A64"/>
              </w:rPr>
              <w:t>(497.9)</w:t>
            </w:r>
          </w:p>
        </w:tc>
        <w:tc>
          <w:tcPr>
            <w:tcW w:w="100" w:type="dxa"/>
            <w:vAlign w:val="bottom"/>
            <w:tcBorders>
              <w:right w:val="single" w:sz="8" w:color="BECD32"/>
            </w:tcBorders>
          </w:tcPr>
          <w:p>
            <w:pPr>
              <w:spacing w:after="0"/>
              <w:rPr>
                <w:sz w:val="12"/>
                <w:szCs w:val="12"/>
                <w:color w:val="auto"/>
              </w:rPr>
            </w:pPr>
          </w:p>
        </w:tc>
        <w:tc>
          <w:tcPr>
            <w:tcW w:w="1460" w:type="dxa"/>
            <w:vAlign w:val="bottom"/>
            <w:gridSpan w:val="2"/>
          </w:tcPr>
          <w:p>
            <w:pPr>
              <w:jc w:val="right"/>
              <w:spacing w:after="0"/>
              <w:rPr>
                <w:sz w:val="20"/>
                <w:szCs w:val="20"/>
                <w:color w:val="auto"/>
              </w:rPr>
            </w:pPr>
            <w:r>
              <w:rPr>
                <w:rFonts w:ascii="Arial" w:cs="Arial" w:eastAsia="Arial" w:hAnsi="Arial"/>
                <w:sz w:val="11"/>
                <w:szCs w:val="11"/>
                <w:color w:val="005A64"/>
              </w:rPr>
              <w:t>(1,642.4)</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005A64"/>
              </w:rPr>
              <w:t>(1,205.3)</w:t>
            </w:r>
          </w:p>
        </w:tc>
        <w:tc>
          <w:tcPr>
            <w:tcW w:w="0" w:type="dxa"/>
            <w:vAlign w:val="bottom"/>
          </w:tcPr>
          <w:p>
            <w:pPr>
              <w:spacing w:after="0"/>
              <w:rPr>
                <w:sz w:val="1"/>
                <w:szCs w:val="1"/>
                <w:color w:val="auto"/>
              </w:rPr>
            </w:pPr>
          </w:p>
        </w:tc>
      </w:tr>
      <w:tr>
        <w:trPr>
          <w:trHeight w:val="29"/>
        </w:trPr>
        <w:tc>
          <w:tcPr>
            <w:tcW w:w="500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76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7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514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Sales and marketing expenses</w:t>
            </w:r>
          </w:p>
        </w:tc>
        <w:tc>
          <w:tcPr>
            <w:tcW w:w="1460" w:type="dxa"/>
            <w:vAlign w:val="bottom"/>
            <w:gridSpan w:val="2"/>
          </w:tcPr>
          <w:p>
            <w:pPr>
              <w:jc w:val="right"/>
              <w:spacing w:after="0"/>
              <w:rPr>
                <w:sz w:val="20"/>
                <w:szCs w:val="20"/>
                <w:color w:val="auto"/>
              </w:rPr>
            </w:pPr>
            <w:r>
              <w:rPr>
                <w:rFonts w:ascii="Arial" w:cs="Arial" w:eastAsia="Arial" w:hAnsi="Arial"/>
                <w:sz w:val="11"/>
                <w:szCs w:val="11"/>
                <w:color w:val="005A64"/>
              </w:rPr>
              <w:t>(18.1)</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005A64"/>
              </w:rPr>
              <w:t>(14.4)</w:t>
            </w:r>
          </w:p>
        </w:tc>
        <w:tc>
          <w:tcPr>
            <w:tcW w:w="100" w:type="dxa"/>
            <w:vAlign w:val="bottom"/>
            <w:tcBorders>
              <w:right w:val="single" w:sz="8" w:color="BECD32"/>
            </w:tcBorders>
          </w:tcPr>
          <w:p>
            <w:pPr>
              <w:spacing w:after="0"/>
              <w:rPr>
                <w:sz w:val="12"/>
                <w:szCs w:val="12"/>
                <w:color w:val="auto"/>
              </w:rPr>
            </w:pPr>
          </w:p>
        </w:tc>
        <w:tc>
          <w:tcPr>
            <w:tcW w:w="1460" w:type="dxa"/>
            <w:vAlign w:val="bottom"/>
            <w:gridSpan w:val="2"/>
          </w:tcPr>
          <w:p>
            <w:pPr>
              <w:jc w:val="right"/>
              <w:spacing w:after="0"/>
              <w:rPr>
                <w:sz w:val="20"/>
                <w:szCs w:val="20"/>
                <w:color w:val="auto"/>
              </w:rPr>
            </w:pPr>
            <w:r>
              <w:rPr>
                <w:rFonts w:ascii="Arial" w:cs="Arial" w:eastAsia="Arial" w:hAnsi="Arial"/>
                <w:sz w:val="11"/>
                <w:szCs w:val="11"/>
                <w:color w:val="005A64"/>
              </w:rPr>
              <w:t>(46.6)</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005A64"/>
              </w:rPr>
              <w:t>(44.7)</w:t>
            </w:r>
          </w:p>
        </w:tc>
        <w:tc>
          <w:tcPr>
            <w:tcW w:w="0" w:type="dxa"/>
            <w:vAlign w:val="bottom"/>
          </w:tcPr>
          <w:p>
            <w:pPr>
              <w:spacing w:after="0"/>
              <w:rPr>
                <w:sz w:val="1"/>
                <w:szCs w:val="1"/>
                <w:color w:val="auto"/>
              </w:rPr>
            </w:pPr>
          </w:p>
        </w:tc>
      </w:tr>
      <w:tr>
        <w:trPr>
          <w:trHeight w:val="29"/>
        </w:trPr>
        <w:tc>
          <w:tcPr>
            <w:tcW w:w="500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76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7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500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 xml:space="preserve">General and administrative expenses </w:t>
            </w:r>
            <w:r>
              <w:rPr>
                <w:rFonts w:ascii="Arial" w:cs="Arial" w:eastAsia="Arial" w:hAnsi="Arial"/>
                <w:sz w:val="14"/>
                <w:szCs w:val="14"/>
                <w:color w:val="005A64"/>
                <w:vertAlign w:val="superscript"/>
              </w:rPr>
              <w:t>(1)</w:t>
            </w:r>
          </w:p>
        </w:tc>
        <w:tc>
          <w:tcPr>
            <w:tcW w:w="140" w:type="dxa"/>
            <w:vAlign w:val="bottom"/>
            <w:tcBorders>
              <w:right w:val="single" w:sz="8" w:color="BECD32"/>
            </w:tcBorders>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(132.4)</w:t>
            </w:r>
          </w:p>
        </w:tc>
        <w:tc>
          <w:tcPr>
            <w:tcW w:w="100" w:type="dxa"/>
            <w:vAlign w:val="bottom"/>
            <w:tcBorders>
              <w:right w:val="single" w:sz="8" w:color="BECD32"/>
            </w:tcBorders>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bottom w:val="single" w:sz="8" w:color="7FACB1"/>
            </w:tcBorders>
          </w:tcPr>
          <w:p>
            <w:pPr>
              <w:spacing w:after="0"/>
              <w:rPr>
                <w:sz w:val="15"/>
                <w:szCs w:val="15"/>
                <w:color w:val="auto"/>
              </w:rPr>
            </w:pPr>
          </w:p>
        </w:tc>
        <w:tc>
          <w:tcPr>
            <w:tcW w:w="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(139.1)</w:t>
            </w:r>
          </w:p>
        </w:tc>
        <w:tc>
          <w:tcPr>
            <w:tcW w:w="100" w:type="dxa"/>
            <w:vAlign w:val="bottom"/>
            <w:tcBorders>
              <w:right w:val="single" w:sz="8" w:color="BECD32"/>
            </w:tcBorders>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(420.3)</w:t>
            </w:r>
          </w:p>
        </w:tc>
        <w:tc>
          <w:tcPr>
            <w:tcW w:w="120" w:type="dxa"/>
            <w:vAlign w:val="bottom"/>
            <w:tcBorders>
              <w:right w:val="single" w:sz="8" w:color="BECD32"/>
            </w:tcBorders>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Borders>
              <w:bottom w:val="single" w:sz="8" w:color="7FACB1"/>
            </w:tcBorders>
          </w:tcPr>
          <w:p>
            <w:pPr>
              <w:spacing w:after="0"/>
              <w:rPr>
                <w:sz w:val="15"/>
                <w:szCs w:val="15"/>
                <w:color w:val="auto"/>
              </w:rPr>
            </w:pPr>
          </w:p>
        </w:tc>
        <w:tc>
          <w:tcPr>
            <w:tcW w:w="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(370.7)</w:t>
            </w:r>
          </w:p>
        </w:tc>
        <w:tc>
          <w:tcPr>
            <w:tcW w:w="0" w:type="dxa"/>
            <w:vAlign w:val="bottom"/>
          </w:tcPr>
          <w:p>
            <w:pPr>
              <w:spacing w:after="0"/>
              <w:rPr>
                <w:sz w:val="1"/>
                <w:szCs w:val="1"/>
                <w:color w:val="auto"/>
              </w:rPr>
            </w:pPr>
          </w:p>
        </w:tc>
      </w:tr>
      <w:tr>
        <w:trPr>
          <w:trHeight w:val="178"/>
        </w:trPr>
        <w:tc>
          <w:tcPr>
            <w:tcW w:w="500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 xml:space="preserve">Other operating expenses </w:t>
            </w:r>
            <w:r>
              <w:rPr>
                <w:rFonts w:ascii="Arial" w:cs="Arial" w:eastAsia="Arial" w:hAnsi="Arial"/>
                <w:sz w:val="14"/>
                <w:szCs w:val="14"/>
                <w:color w:val="005A64"/>
                <w:vertAlign w:val="superscript"/>
              </w:rPr>
              <w:t>(1)</w:t>
            </w:r>
          </w:p>
        </w:tc>
        <w:tc>
          <w:tcPr>
            <w:tcW w:w="140" w:type="dxa"/>
            <w:vAlign w:val="bottom"/>
            <w:tcBorders>
              <w:right w:val="single" w:sz="8" w:color="BECD32"/>
            </w:tcBorders>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(410.9)</w:t>
            </w:r>
          </w:p>
        </w:tc>
        <w:tc>
          <w:tcPr>
            <w:tcW w:w="100" w:type="dxa"/>
            <w:vAlign w:val="bottom"/>
            <w:tcBorders>
              <w:right w:val="single" w:sz="8" w:color="BECD32"/>
            </w:tcBorders>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bottom w:val="single" w:sz="8" w:color="7FACB1"/>
            </w:tcBorders>
          </w:tcPr>
          <w:p>
            <w:pPr>
              <w:spacing w:after="0"/>
              <w:rPr>
                <w:sz w:val="15"/>
                <w:szCs w:val="15"/>
                <w:color w:val="auto"/>
              </w:rPr>
            </w:pPr>
          </w:p>
        </w:tc>
        <w:tc>
          <w:tcPr>
            <w:tcW w:w="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(36.8)</w:t>
            </w:r>
          </w:p>
        </w:tc>
        <w:tc>
          <w:tcPr>
            <w:tcW w:w="100" w:type="dxa"/>
            <w:vAlign w:val="bottom"/>
            <w:tcBorders>
              <w:right w:val="single" w:sz="8" w:color="BECD32"/>
            </w:tcBorders>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(719.9)</w:t>
            </w:r>
          </w:p>
        </w:tc>
        <w:tc>
          <w:tcPr>
            <w:tcW w:w="120" w:type="dxa"/>
            <w:vAlign w:val="bottom"/>
            <w:tcBorders>
              <w:right w:val="single" w:sz="8" w:color="BECD32"/>
            </w:tcBorders>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Borders>
              <w:bottom w:val="single" w:sz="8" w:color="7FACB1"/>
            </w:tcBorders>
          </w:tcPr>
          <w:p>
            <w:pPr>
              <w:spacing w:after="0"/>
              <w:rPr>
                <w:sz w:val="15"/>
                <w:szCs w:val="15"/>
                <w:color w:val="auto"/>
              </w:rPr>
            </w:pPr>
          </w:p>
        </w:tc>
        <w:tc>
          <w:tcPr>
            <w:tcW w:w="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(239.6)</w:t>
            </w:r>
          </w:p>
        </w:tc>
        <w:tc>
          <w:tcPr>
            <w:tcW w:w="0" w:type="dxa"/>
            <w:vAlign w:val="bottom"/>
          </w:tcPr>
          <w:p>
            <w:pPr>
              <w:spacing w:after="0"/>
              <w:rPr>
                <w:sz w:val="1"/>
                <w:szCs w:val="1"/>
                <w:color w:val="auto"/>
              </w:rPr>
            </w:pPr>
          </w:p>
        </w:tc>
      </w:tr>
      <w:tr>
        <w:trPr>
          <w:trHeight w:val="149"/>
        </w:trPr>
        <w:tc>
          <w:tcPr>
            <w:tcW w:w="514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Other operating income</w:t>
            </w:r>
          </w:p>
        </w:tc>
        <w:tc>
          <w:tcPr>
            <w:tcW w:w="1460" w:type="dxa"/>
            <w:vAlign w:val="bottom"/>
            <w:gridSpan w:val="2"/>
          </w:tcPr>
          <w:p>
            <w:pPr>
              <w:jc w:val="right"/>
              <w:spacing w:after="0"/>
              <w:rPr>
                <w:sz w:val="20"/>
                <w:szCs w:val="20"/>
                <w:color w:val="auto"/>
              </w:rPr>
            </w:pPr>
            <w:r>
              <w:rPr>
                <w:rFonts w:ascii="Arial" w:cs="Arial" w:eastAsia="Arial" w:hAnsi="Arial"/>
                <w:sz w:val="11"/>
                <w:szCs w:val="11"/>
                <w:color w:val="005A64"/>
              </w:rPr>
              <w:t>56.3</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005A64"/>
              </w:rPr>
              <w:t>27.8</w:t>
            </w:r>
          </w:p>
        </w:tc>
        <w:tc>
          <w:tcPr>
            <w:tcW w:w="100" w:type="dxa"/>
            <w:vAlign w:val="bottom"/>
            <w:tcBorders>
              <w:right w:val="single" w:sz="8" w:color="BECD32"/>
            </w:tcBorders>
          </w:tcPr>
          <w:p>
            <w:pPr>
              <w:spacing w:after="0"/>
              <w:rPr>
                <w:sz w:val="12"/>
                <w:szCs w:val="12"/>
                <w:color w:val="auto"/>
              </w:rPr>
            </w:pPr>
          </w:p>
        </w:tc>
        <w:tc>
          <w:tcPr>
            <w:tcW w:w="1460" w:type="dxa"/>
            <w:vAlign w:val="bottom"/>
            <w:gridSpan w:val="2"/>
          </w:tcPr>
          <w:p>
            <w:pPr>
              <w:jc w:val="right"/>
              <w:spacing w:after="0"/>
              <w:rPr>
                <w:sz w:val="20"/>
                <w:szCs w:val="20"/>
                <w:color w:val="auto"/>
              </w:rPr>
            </w:pPr>
            <w:r>
              <w:rPr>
                <w:rFonts w:ascii="Arial" w:cs="Arial" w:eastAsia="Arial" w:hAnsi="Arial"/>
                <w:sz w:val="11"/>
                <w:szCs w:val="11"/>
                <w:color w:val="005A64"/>
              </w:rPr>
              <w:t>103.0</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005A64"/>
              </w:rPr>
              <w:t>105.2</w:t>
            </w:r>
          </w:p>
        </w:tc>
        <w:tc>
          <w:tcPr>
            <w:tcW w:w="0" w:type="dxa"/>
            <w:vAlign w:val="bottom"/>
          </w:tcPr>
          <w:p>
            <w:pPr>
              <w:spacing w:after="0"/>
              <w:rPr>
                <w:sz w:val="1"/>
                <w:szCs w:val="1"/>
                <w:color w:val="auto"/>
              </w:rPr>
            </w:pPr>
          </w:p>
        </w:tc>
      </w:tr>
      <w:tr>
        <w:trPr>
          <w:trHeight w:val="29"/>
        </w:trPr>
        <w:tc>
          <w:tcPr>
            <w:tcW w:w="500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76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7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5140" w:type="dxa"/>
            <w:vAlign w:val="bottom"/>
            <w:tcBorders>
              <w:right w:val="single" w:sz="8" w:color="BECD32"/>
            </w:tcBorders>
            <w:gridSpan w:val="2"/>
          </w:tcPr>
          <w:p>
            <w:pPr>
              <w:spacing w:after="0"/>
              <w:rPr>
                <w:sz w:val="20"/>
                <w:szCs w:val="20"/>
                <w:color w:val="auto"/>
              </w:rPr>
            </w:pPr>
            <w:r>
              <w:rPr>
                <w:rFonts w:ascii="Arial" w:cs="Arial" w:eastAsia="Arial" w:hAnsi="Arial"/>
                <w:sz w:val="11"/>
                <w:szCs w:val="11"/>
                <w:b w:val="1"/>
                <w:bCs w:val="1"/>
                <w:color w:val="005A64"/>
              </w:rPr>
              <w:t>Operating profit / (loss)</w:t>
            </w:r>
          </w:p>
        </w:tc>
        <w:tc>
          <w:tcPr>
            <w:tcW w:w="1460" w:type="dxa"/>
            <w:vAlign w:val="bottom"/>
            <w:gridSpan w:val="2"/>
          </w:tcPr>
          <w:p>
            <w:pPr>
              <w:jc w:val="right"/>
              <w:spacing w:after="0"/>
              <w:rPr>
                <w:sz w:val="20"/>
                <w:szCs w:val="20"/>
                <w:color w:val="auto"/>
              </w:rPr>
            </w:pPr>
            <w:r>
              <w:rPr>
                <w:rFonts w:ascii="Arial" w:cs="Arial" w:eastAsia="Arial" w:hAnsi="Arial"/>
                <w:sz w:val="11"/>
                <w:szCs w:val="11"/>
                <w:b w:val="1"/>
                <w:bCs w:val="1"/>
                <w:color w:val="005A64"/>
              </w:rPr>
              <w:t>10.5</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b w:val="1"/>
                <w:bCs w:val="1"/>
                <w:color w:val="005A64"/>
              </w:rPr>
              <w:t>73.1</w:t>
            </w:r>
          </w:p>
        </w:tc>
        <w:tc>
          <w:tcPr>
            <w:tcW w:w="100" w:type="dxa"/>
            <w:vAlign w:val="bottom"/>
            <w:tcBorders>
              <w:right w:val="single" w:sz="8" w:color="BECD32"/>
            </w:tcBorders>
          </w:tcPr>
          <w:p>
            <w:pPr>
              <w:spacing w:after="0"/>
              <w:rPr>
                <w:sz w:val="13"/>
                <w:szCs w:val="13"/>
                <w:color w:val="auto"/>
              </w:rPr>
            </w:pPr>
          </w:p>
        </w:tc>
        <w:tc>
          <w:tcPr>
            <w:tcW w:w="1460" w:type="dxa"/>
            <w:vAlign w:val="bottom"/>
            <w:gridSpan w:val="2"/>
          </w:tcPr>
          <w:p>
            <w:pPr>
              <w:jc w:val="right"/>
              <w:spacing w:after="0"/>
              <w:rPr>
                <w:sz w:val="20"/>
                <w:szCs w:val="20"/>
                <w:color w:val="auto"/>
              </w:rPr>
            </w:pPr>
            <w:r>
              <w:rPr>
                <w:rFonts w:ascii="Arial" w:cs="Arial" w:eastAsia="Arial" w:hAnsi="Arial"/>
                <w:sz w:val="11"/>
                <w:szCs w:val="11"/>
                <w:b w:val="1"/>
                <w:bCs w:val="1"/>
                <w:color w:val="005A64"/>
              </w:rPr>
              <w:t>(1,462.9)</w:t>
            </w:r>
          </w:p>
        </w:tc>
        <w:tc>
          <w:tcPr>
            <w:tcW w:w="12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b w:val="1"/>
                <w:bCs w:val="1"/>
                <w:color w:val="005A64"/>
              </w:rPr>
              <w:t>164.2</w:t>
            </w:r>
          </w:p>
        </w:tc>
        <w:tc>
          <w:tcPr>
            <w:tcW w:w="0" w:type="dxa"/>
            <w:vAlign w:val="bottom"/>
          </w:tcPr>
          <w:p>
            <w:pPr>
              <w:spacing w:after="0"/>
              <w:rPr>
                <w:sz w:val="1"/>
                <w:szCs w:val="1"/>
                <w:color w:val="auto"/>
              </w:rPr>
            </w:pPr>
          </w:p>
        </w:tc>
      </w:tr>
      <w:tr>
        <w:trPr>
          <w:trHeight w:val="23"/>
        </w:trPr>
        <w:tc>
          <w:tcPr>
            <w:tcW w:w="500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005A64"/>
            </w:tcBorders>
          </w:tcPr>
          <w:p>
            <w:pPr>
              <w:spacing w:after="0"/>
              <w:rPr>
                <w:sz w:val="2"/>
                <w:szCs w:val="2"/>
                <w:color w:val="auto"/>
              </w:rPr>
            </w:pPr>
          </w:p>
        </w:tc>
        <w:tc>
          <w:tcPr>
            <w:tcW w:w="76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005A64"/>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Borders>
              <w:bottom w:val="single" w:sz="8" w:color="005A64"/>
            </w:tcBorders>
          </w:tcPr>
          <w:p>
            <w:pPr>
              <w:spacing w:after="0"/>
              <w:rPr>
                <w:sz w:val="2"/>
                <w:szCs w:val="2"/>
                <w:color w:val="auto"/>
              </w:rPr>
            </w:pPr>
          </w:p>
        </w:tc>
        <w:tc>
          <w:tcPr>
            <w:tcW w:w="78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514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Finance income</w:t>
            </w:r>
          </w:p>
        </w:tc>
        <w:tc>
          <w:tcPr>
            <w:tcW w:w="1460" w:type="dxa"/>
            <w:vAlign w:val="bottom"/>
            <w:gridSpan w:val="2"/>
          </w:tcPr>
          <w:p>
            <w:pPr>
              <w:jc w:val="right"/>
              <w:spacing w:after="0"/>
              <w:rPr>
                <w:sz w:val="20"/>
                <w:szCs w:val="20"/>
                <w:color w:val="auto"/>
              </w:rPr>
            </w:pPr>
            <w:r>
              <w:rPr>
                <w:rFonts w:ascii="Arial" w:cs="Arial" w:eastAsia="Arial" w:hAnsi="Arial"/>
                <w:sz w:val="11"/>
                <w:szCs w:val="11"/>
                <w:color w:val="005A64"/>
              </w:rPr>
              <w:t>156.2</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005A64"/>
              </w:rPr>
              <w:t>156.3</w:t>
            </w:r>
          </w:p>
        </w:tc>
        <w:tc>
          <w:tcPr>
            <w:tcW w:w="100" w:type="dxa"/>
            <w:vAlign w:val="bottom"/>
            <w:tcBorders>
              <w:right w:val="single" w:sz="8" w:color="BECD32"/>
            </w:tcBorders>
          </w:tcPr>
          <w:p>
            <w:pPr>
              <w:spacing w:after="0"/>
              <w:rPr>
                <w:sz w:val="12"/>
                <w:szCs w:val="12"/>
                <w:color w:val="auto"/>
              </w:rPr>
            </w:pPr>
          </w:p>
        </w:tc>
        <w:tc>
          <w:tcPr>
            <w:tcW w:w="1460" w:type="dxa"/>
            <w:vAlign w:val="bottom"/>
            <w:gridSpan w:val="2"/>
          </w:tcPr>
          <w:p>
            <w:pPr>
              <w:jc w:val="right"/>
              <w:spacing w:after="0"/>
              <w:rPr>
                <w:sz w:val="20"/>
                <w:szCs w:val="20"/>
                <w:color w:val="auto"/>
              </w:rPr>
            </w:pPr>
            <w:r>
              <w:rPr>
                <w:rFonts w:ascii="Arial" w:cs="Arial" w:eastAsia="Arial" w:hAnsi="Arial"/>
                <w:sz w:val="11"/>
                <w:szCs w:val="11"/>
                <w:color w:val="005A64"/>
              </w:rPr>
              <w:t>498.8</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005A64"/>
              </w:rPr>
              <w:t>363.2</w:t>
            </w:r>
          </w:p>
        </w:tc>
        <w:tc>
          <w:tcPr>
            <w:tcW w:w="0" w:type="dxa"/>
            <w:vAlign w:val="bottom"/>
          </w:tcPr>
          <w:p>
            <w:pPr>
              <w:spacing w:after="0"/>
              <w:rPr>
                <w:sz w:val="1"/>
                <w:szCs w:val="1"/>
                <w:color w:val="auto"/>
              </w:rPr>
            </w:pPr>
          </w:p>
        </w:tc>
      </w:tr>
      <w:tr>
        <w:trPr>
          <w:trHeight w:val="29"/>
        </w:trPr>
        <w:tc>
          <w:tcPr>
            <w:tcW w:w="500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76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7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514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Finance expenses</w:t>
            </w:r>
          </w:p>
        </w:tc>
        <w:tc>
          <w:tcPr>
            <w:tcW w:w="1460" w:type="dxa"/>
            <w:vAlign w:val="bottom"/>
            <w:gridSpan w:val="2"/>
          </w:tcPr>
          <w:p>
            <w:pPr>
              <w:jc w:val="right"/>
              <w:spacing w:after="0"/>
              <w:rPr>
                <w:sz w:val="20"/>
                <w:szCs w:val="20"/>
                <w:color w:val="auto"/>
              </w:rPr>
            </w:pPr>
            <w:r>
              <w:rPr>
                <w:rFonts w:ascii="Arial" w:cs="Arial" w:eastAsia="Arial" w:hAnsi="Arial"/>
                <w:sz w:val="11"/>
                <w:szCs w:val="11"/>
                <w:color w:val="005A64"/>
              </w:rPr>
              <w:t>(8.0)</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005A64"/>
              </w:rPr>
              <w:t>(2.0)</w:t>
            </w:r>
          </w:p>
        </w:tc>
        <w:tc>
          <w:tcPr>
            <w:tcW w:w="100" w:type="dxa"/>
            <w:vAlign w:val="bottom"/>
            <w:tcBorders>
              <w:right w:val="single" w:sz="8" w:color="BECD32"/>
            </w:tcBorders>
          </w:tcPr>
          <w:p>
            <w:pPr>
              <w:spacing w:after="0"/>
              <w:rPr>
                <w:sz w:val="12"/>
                <w:szCs w:val="12"/>
                <w:color w:val="auto"/>
              </w:rPr>
            </w:pPr>
          </w:p>
        </w:tc>
        <w:tc>
          <w:tcPr>
            <w:tcW w:w="1460" w:type="dxa"/>
            <w:vAlign w:val="bottom"/>
            <w:gridSpan w:val="2"/>
          </w:tcPr>
          <w:p>
            <w:pPr>
              <w:jc w:val="right"/>
              <w:spacing w:after="0"/>
              <w:rPr>
                <w:sz w:val="20"/>
                <w:szCs w:val="20"/>
                <w:color w:val="auto"/>
              </w:rPr>
            </w:pPr>
            <w:r>
              <w:rPr>
                <w:rFonts w:ascii="Arial" w:cs="Arial" w:eastAsia="Arial" w:hAnsi="Arial"/>
                <w:sz w:val="11"/>
                <w:szCs w:val="11"/>
                <w:color w:val="005A64"/>
              </w:rPr>
              <w:t>(14.8)</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005A64"/>
              </w:rPr>
              <w:t>(4.5)</w:t>
            </w:r>
          </w:p>
        </w:tc>
        <w:tc>
          <w:tcPr>
            <w:tcW w:w="0" w:type="dxa"/>
            <w:vAlign w:val="bottom"/>
          </w:tcPr>
          <w:p>
            <w:pPr>
              <w:spacing w:after="0"/>
              <w:rPr>
                <w:sz w:val="1"/>
                <w:szCs w:val="1"/>
                <w:color w:val="auto"/>
              </w:rPr>
            </w:pPr>
          </w:p>
        </w:tc>
      </w:tr>
      <w:tr>
        <w:trPr>
          <w:trHeight w:val="29"/>
        </w:trPr>
        <w:tc>
          <w:tcPr>
            <w:tcW w:w="500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76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7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5140" w:type="dxa"/>
            <w:vAlign w:val="bottom"/>
            <w:tcBorders>
              <w:right w:val="single" w:sz="8" w:color="BECD32"/>
            </w:tcBorders>
            <w:gridSpan w:val="2"/>
          </w:tcPr>
          <w:p>
            <w:pPr>
              <w:spacing w:after="0"/>
              <w:rPr>
                <w:sz w:val="20"/>
                <w:szCs w:val="20"/>
                <w:color w:val="auto"/>
              </w:rPr>
            </w:pPr>
            <w:r>
              <w:rPr>
                <w:rFonts w:ascii="Arial" w:cs="Arial" w:eastAsia="Arial" w:hAnsi="Arial"/>
                <w:sz w:val="11"/>
                <w:szCs w:val="11"/>
                <w:b w:val="1"/>
                <w:bCs w:val="1"/>
                <w:color w:val="005A64"/>
              </w:rPr>
              <w:t>Profit / (Loss) before tax</w:t>
            </w:r>
          </w:p>
        </w:tc>
        <w:tc>
          <w:tcPr>
            <w:tcW w:w="1460" w:type="dxa"/>
            <w:vAlign w:val="bottom"/>
            <w:gridSpan w:val="2"/>
          </w:tcPr>
          <w:p>
            <w:pPr>
              <w:jc w:val="right"/>
              <w:spacing w:after="0"/>
              <w:rPr>
                <w:sz w:val="20"/>
                <w:szCs w:val="20"/>
                <w:color w:val="auto"/>
              </w:rPr>
            </w:pPr>
            <w:r>
              <w:rPr>
                <w:rFonts w:ascii="Arial" w:cs="Arial" w:eastAsia="Arial" w:hAnsi="Arial"/>
                <w:sz w:val="11"/>
                <w:szCs w:val="11"/>
                <w:b w:val="1"/>
                <w:bCs w:val="1"/>
                <w:color w:val="005A64"/>
              </w:rPr>
              <w:t>158.7</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b w:val="1"/>
                <w:bCs w:val="1"/>
                <w:color w:val="005A64"/>
              </w:rPr>
              <w:t>227.4</w:t>
            </w:r>
          </w:p>
        </w:tc>
        <w:tc>
          <w:tcPr>
            <w:tcW w:w="100" w:type="dxa"/>
            <w:vAlign w:val="bottom"/>
            <w:tcBorders>
              <w:right w:val="single" w:sz="8" w:color="BECD32"/>
            </w:tcBorders>
          </w:tcPr>
          <w:p>
            <w:pPr>
              <w:spacing w:after="0"/>
              <w:rPr>
                <w:sz w:val="13"/>
                <w:szCs w:val="13"/>
                <w:color w:val="auto"/>
              </w:rPr>
            </w:pPr>
          </w:p>
        </w:tc>
        <w:tc>
          <w:tcPr>
            <w:tcW w:w="1460" w:type="dxa"/>
            <w:vAlign w:val="bottom"/>
            <w:gridSpan w:val="2"/>
          </w:tcPr>
          <w:p>
            <w:pPr>
              <w:jc w:val="right"/>
              <w:spacing w:after="0"/>
              <w:rPr>
                <w:sz w:val="20"/>
                <w:szCs w:val="20"/>
                <w:color w:val="auto"/>
              </w:rPr>
            </w:pPr>
            <w:r>
              <w:rPr>
                <w:rFonts w:ascii="Arial" w:cs="Arial" w:eastAsia="Arial" w:hAnsi="Arial"/>
                <w:sz w:val="11"/>
                <w:szCs w:val="11"/>
                <w:b w:val="1"/>
                <w:bCs w:val="1"/>
                <w:color w:val="005A64"/>
              </w:rPr>
              <w:t>(978.9)</w:t>
            </w:r>
          </w:p>
        </w:tc>
        <w:tc>
          <w:tcPr>
            <w:tcW w:w="12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b w:val="1"/>
                <w:bCs w:val="1"/>
                <w:color w:val="005A64"/>
              </w:rPr>
              <w:t>522.9</w:t>
            </w:r>
          </w:p>
        </w:tc>
        <w:tc>
          <w:tcPr>
            <w:tcW w:w="0" w:type="dxa"/>
            <w:vAlign w:val="bottom"/>
          </w:tcPr>
          <w:p>
            <w:pPr>
              <w:spacing w:after="0"/>
              <w:rPr>
                <w:sz w:val="1"/>
                <w:szCs w:val="1"/>
                <w:color w:val="auto"/>
              </w:rPr>
            </w:pPr>
          </w:p>
        </w:tc>
      </w:tr>
      <w:tr>
        <w:trPr>
          <w:trHeight w:val="23"/>
        </w:trPr>
        <w:tc>
          <w:tcPr>
            <w:tcW w:w="500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005A64"/>
            </w:tcBorders>
          </w:tcPr>
          <w:p>
            <w:pPr>
              <w:spacing w:after="0"/>
              <w:rPr>
                <w:sz w:val="2"/>
                <w:szCs w:val="2"/>
                <w:color w:val="auto"/>
              </w:rPr>
            </w:pPr>
          </w:p>
        </w:tc>
        <w:tc>
          <w:tcPr>
            <w:tcW w:w="76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005A64"/>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Borders>
              <w:bottom w:val="single" w:sz="8" w:color="005A64"/>
            </w:tcBorders>
          </w:tcPr>
          <w:p>
            <w:pPr>
              <w:spacing w:after="0"/>
              <w:rPr>
                <w:sz w:val="2"/>
                <w:szCs w:val="2"/>
                <w:color w:val="auto"/>
              </w:rPr>
            </w:pPr>
          </w:p>
        </w:tc>
        <w:tc>
          <w:tcPr>
            <w:tcW w:w="78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514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Income taxes</w:t>
            </w:r>
          </w:p>
        </w:tc>
        <w:tc>
          <w:tcPr>
            <w:tcW w:w="1460" w:type="dxa"/>
            <w:vAlign w:val="bottom"/>
            <w:gridSpan w:val="2"/>
          </w:tcPr>
          <w:p>
            <w:pPr>
              <w:jc w:val="right"/>
              <w:spacing w:after="0"/>
              <w:rPr>
                <w:sz w:val="20"/>
                <w:szCs w:val="20"/>
                <w:color w:val="auto"/>
              </w:rPr>
            </w:pPr>
            <w:r>
              <w:rPr>
                <w:rFonts w:ascii="Arial" w:cs="Arial" w:eastAsia="Arial" w:hAnsi="Arial"/>
                <w:sz w:val="11"/>
                <w:szCs w:val="11"/>
                <w:color w:val="005A64"/>
              </w:rPr>
              <w:t>39.4</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005A64"/>
              </w:rPr>
              <w:t>(66.8)</w:t>
            </w:r>
          </w:p>
        </w:tc>
        <w:tc>
          <w:tcPr>
            <w:tcW w:w="100" w:type="dxa"/>
            <w:vAlign w:val="bottom"/>
            <w:tcBorders>
              <w:right w:val="single" w:sz="8" w:color="BECD32"/>
            </w:tcBorders>
          </w:tcPr>
          <w:p>
            <w:pPr>
              <w:spacing w:after="0"/>
              <w:rPr>
                <w:sz w:val="12"/>
                <w:szCs w:val="12"/>
                <w:color w:val="auto"/>
              </w:rPr>
            </w:pPr>
          </w:p>
        </w:tc>
        <w:tc>
          <w:tcPr>
            <w:tcW w:w="1460" w:type="dxa"/>
            <w:vAlign w:val="bottom"/>
            <w:gridSpan w:val="2"/>
          </w:tcPr>
          <w:p>
            <w:pPr>
              <w:jc w:val="right"/>
              <w:spacing w:after="0"/>
              <w:rPr>
                <w:sz w:val="20"/>
                <w:szCs w:val="20"/>
                <w:color w:val="auto"/>
              </w:rPr>
            </w:pPr>
            <w:r>
              <w:rPr>
                <w:rFonts w:ascii="Arial" w:cs="Arial" w:eastAsia="Arial" w:hAnsi="Arial"/>
                <w:sz w:val="11"/>
                <w:szCs w:val="11"/>
                <w:color w:val="005A64"/>
              </w:rPr>
              <w:t>54.1</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005A64"/>
              </w:rPr>
              <w:t>(50.5)</w:t>
            </w:r>
          </w:p>
        </w:tc>
        <w:tc>
          <w:tcPr>
            <w:tcW w:w="0" w:type="dxa"/>
            <w:vAlign w:val="bottom"/>
          </w:tcPr>
          <w:p>
            <w:pPr>
              <w:spacing w:after="0"/>
              <w:rPr>
                <w:sz w:val="1"/>
                <w:szCs w:val="1"/>
                <w:color w:val="auto"/>
              </w:rPr>
            </w:pPr>
          </w:p>
        </w:tc>
      </w:tr>
      <w:tr>
        <w:trPr>
          <w:trHeight w:val="29"/>
        </w:trPr>
        <w:tc>
          <w:tcPr>
            <w:tcW w:w="500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76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7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5140" w:type="dxa"/>
            <w:vAlign w:val="bottom"/>
            <w:tcBorders>
              <w:right w:val="single" w:sz="8" w:color="BECD32"/>
            </w:tcBorders>
            <w:gridSpan w:val="2"/>
          </w:tcPr>
          <w:p>
            <w:pPr>
              <w:spacing w:after="0"/>
              <w:rPr>
                <w:sz w:val="20"/>
                <w:szCs w:val="20"/>
                <w:color w:val="auto"/>
              </w:rPr>
            </w:pPr>
            <w:r>
              <w:rPr>
                <w:rFonts w:ascii="Arial" w:cs="Arial" w:eastAsia="Arial" w:hAnsi="Arial"/>
                <w:sz w:val="11"/>
                <w:szCs w:val="11"/>
                <w:b w:val="1"/>
                <w:bCs w:val="1"/>
                <w:color w:val="005A64"/>
              </w:rPr>
              <w:t>Net profit / (loss)</w:t>
            </w:r>
          </w:p>
        </w:tc>
        <w:tc>
          <w:tcPr>
            <w:tcW w:w="1460" w:type="dxa"/>
            <w:vAlign w:val="bottom"/>
            <w:gridSpan w:val="2"/>
          </w:tcPr>
          <w:p>
            <w:pPr>
              <w:jc w:val="right"/>
              <w:spacing w:after="0"/>
              <w:rPr>
                <w:sz w:val="20"/>
                <w:szCs w:val="20"/>
                <w:color w:val="auto"/>
              </w:rPr>
            </w:pPr>
            <w:r>
              <w:rPr>
                <w:rFonts w:ascii="Arial" w:cs="Arial" w:eastAsia="Arial" w:hAnsi="Arial"/>
                <w:sz w:val="11"/>
                <w:szCs w:val="11"/>
                <w:b w:val="1"/>
                <w:bCs w:val="1"/>
                <w:color w:val="005A64"/>
              </w:rPr>
              <w:t>198.1</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b w:val="1"/>
                <w:bCs w:val="1"/>
                <w:color w:val="005A64"/>
              </w:rPr>
              <w:t>160.6</w:t>
            </w:r>
          </w:p>
        </w:tc>
        <w:tc>
          <w:tcPr>
            <w:tcW w:w="100" w:type="dxa"/>
            <w:vAlign w:val="bottom"/>
            <w:tcBorders>
              <w:right w:val="single" w:sz="8" w:color="BECD32"/>
            </w:tcBorders>
          </w:tcPr>
          <w:p>
            <w:pPr>
              <w:spacing w:after="0"/>
              <w:rPr>
                <w:sz w:val="13"/>
                <w:szCs w:val="13"/>
                <w:color w:val="auto"/>
              </w:rPr>
            </w:pPr>
          </w:p>
        </w:tc>
        <w:tc>
          <w:tcPr>
            <w:tcW w:w="1460" w:type="dxa"/>
            <w:vAlign w:val="bottom"/>
            <w:gridSpan w:val="2"/>
          </w:tcPr>
          <w:p>
            <w:pPr>
              <w:jc w:val="right"/>
              <w:spacing w:after="0"/>
              <w:rPr>
                <w:sz w:val="20"/>
                <w:szCs w:val="20"/>
                <w:color w:val="auto"/>
              </w:rPr>
            </w:pPr>
            <w:r>
              <w:rPr>
                <w:rFonts w:ascii="Arial" w:cs="Arial" w:eastAsia="Arial" w:hAnsi="Arial"/>
                <w:sz w:val="11"/>
                <w:szCs w:val="11"/>
                <w:b w:val="1"/>
                <w:bCs w:val="1"/>
                <w:color w:val="005A64"/>
              </w:rPr>
              <w:t>(924.8)</w:t>
            </w:r>
          </w:p>
        </w:tc>
        <w:tc>
          <w:tcPr>
            <w:tcW w:w="12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b w:val="1"/>
                <w:bCs w:val="1"/>
                <w:color w:val="005A64"/>
              </w:rPr>
              <w:t>472.4</w:t>
            </w:r>
          </w:p>
        </w:tc>
        <w:tc>
          <w:tcPr>
            <w:tcW w:w="0" w:type="dxa"/>
            <w:vAlign w:val="bottom"/>
          </w:tcPr>
          <w:p>
            <w:pPr>
              <w:spacing w:after="0"/>
              <w:rPr>
                <w:sz w:val="1"/>
                <w:szCs w:val="1"/>
                <w:color w:val="auto"/>
              </w:rPr>
            </w:pPr>
          </w:p>
        </w:tc>
      </w:tr>
      <w:tr>
        <w:trPr>
          <w:trHeight w:val="23"/>
        </w:trPr>
        <w:tc>
          <w:tcPr>
            <w:tcW w:w="500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005A64"/>
            </w:tcBorders>
          </w:tcPr>
          <w:p>
            <w:pPr>
              <w:spacing w:after="0"/>
              <w:rPr>
                <w:sz w:val="2"/>
                <w:szCs w:val="2"/>
                <w:color w:val="auto"/>
              </w:rPr>
            </w:pPr>
          </w:p>
        </w:tc>
        <w:tc>
          <w:tcPr>
            <w:tcW w:w="76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005A64"/>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Borders>
              <w:bottom w:val="single" w:sz="8" w:color="005A64"/>
            </w:tcBorders>
          </w:tcPr>
          <w:p>
            <w:pPr>
              <w:spacing w:after="0"/>
              <w:rPr>
                <w:sz w:val="2"/>
                <w:szCs w:val="2"/>
                <w:color w:val="auto"/>
              </w:rPr>
            </w:pPr>
          </w:p>
        </w:tc>
        <w:tc>
          <w:tcPr>
            <w:tcW w:w="78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5140" w:type="dxa"/>
            <w:vAlign w:val="bottom"/>
            <w:tcBorders>
              <w:right w:val="single" w:sz="8" w:color="BECD32"/>
            </w:tcBorders>
            <w:gridSpan w:val="2"/>
          </w:tcPr>
          <w:p>
            <w:pPr>
              <w:spacing w:after="0"/>
              <w:rPr>
                <w:sz w:val="20"/>
                <w:szCs w:val="20"/>
                <w:color w:val="auto"/>
              </w:rPr>
            </w:pPr>
            <w:r>
              <w:rPr>
                <w:rFonts w:ascii="Arial" w:cs="Arial" w:eastAsia="Arial" w:hAnsi="Arial"/>
                <w:sz w:val="11"/>
                <w:szCs w:val="11"/>
                <w:b w:val="1"/>
                <w:bCs w:val="1"/>
                <w:color w:val="3C9673"/>
              </w:rPr>
              <w:t>Earnings / (Loss) per share</w:t>
            </w:r>
          </w:p>
        </w:tc>
        <w:tc>
          <w:tcPr>
            <w:tcW w:w="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00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76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7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514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Basic earnings / (loss) per share</w:t>
            </w:r>
          </w:p>
        </w:tc>
        <w:tc>
          <w:tcPr>
            <w:tcW w:w="1460" w:type="dxa"/>
            <w:vAlign w:val="bottom"/>
            <w:gridSpan w:val="2"/>
          </w:tcPr>
          <w:p>
            <w:pPr>
              <w:jc w:val="right"/>
              <w:spacing w:after="0"/>
              <w:rPr>
                <w:sz w:val="20"/>
                <w:szCs w:val="20"/>
                <w:color w:val="auto"/>
              </w:rPr>
            </w:pPr>
            <w:r>
              <w:rPr>
                <w:rFonts w:ascii="Arial" w:cs="Arial" w:eastAsia="Arial" w:hAnsi="Arial"/>
                <w:sz w:val="11"/>
                <w:szCs w:val="11"/>
                <w:color w:val="005A64"/>
              </w:rPr>
              <w:t>0.82</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005A64"/>
              </w:rPr>
              <w:t>0.67</w:t>
            </w:r>
          </w:p>
        </w:tc>
        <w:tc>
          <w:tcPr>
            <w:tcW w:w="100" w:type="dxa"/>
            <w:vAlign w:val="bottom"/>
            <w:tcBorders>
              <w:right w:val="single" w:sz="8" w:color="BECD32"/>
            </w:tcBorders>
          </w:tcPr>
          <w:p>
            <w:pPr>
              <w:spacing w:after="0"/>
              <w:rPr>
                <w:sz w:val="12"/>
                <w:szCs w:val="12"/>
                <w:color w:val="auto"/>
              </w:rPr>
            </w:pPr>
          </w:p>
        </w:tc>
        <w:tc>
          <w:tcPr>
            <w:tcW w:w="1460" w:type="dxa"/>
            <w:vAlign w:val="bottom"/>
            <w:gridSpan w:val="2"/>
          </w:tcPr>
          <w:p>
            <w:pPr>
              <w:jc w:val="right"/>
              <w:spacing w:after="0"/>
              <w:rPr>
                <w:sz w:val="20"/>
                <w:szCs w:val="20"/>
                <w:color w:val="auto"/>
              </w:rPr>
            </w:pPr>
            <w:r>
              <w:rPr>
                <w:rFonts w:ascii="Arial" w:cs="Arial" w:eastAsia="Arial" w:hAnsi="Arial"/>
                <w:sz w:val="11"/>
                <w:szCs w:val="11"/>
                <w:color w:val="005A64"/>
              </w:rPr>
              <w:t>(3.83)</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005A64"/>
              </w:rPr>
              <w:t>1.96</w:t>
            </w:r>
          </w:p>
        </w:tc>
        <w:tc>
          <w:tcPr>
            <w:tcW w:w="0" w:type="dxa"/>
            <w:vAlign w:val="bottom"/>
          </w:tcPr>
          <w:p>
            <w:pPr>
              <w:spacing w:after="0"/>
              <w:rPr>
                <w:sz w:val="1"/>
                <w:szCs w:val="1"/>
                <w:color w:val="auto"/>
              </w:rPr>
            </w:pPr>
          </w:p>
        </w:tc>
      </w:tr>
      <w:tr>
        <w:trPr>
          <w:trHeight w:val="29"/>
        </w:trPr>
        <w:tc>
          <w:tcPr>
            <w:tcW w:w="500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76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7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514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Diluted earnings / (loss) per share</w:t>
            </w:r>
          </w:p>
        </w:tc>
        <w:tc>
          <w:tcPr>
            <w:tcW w:w="1460" w:type="dxa"/>
            <w:vAlign w:val="bottom"/>
            <w:gridSpan w:val="2"/>
          </w:tcPr>
          <w:p>
            <w:pPr>
              <w:jc w:val="right"/>
              <w:spacing w:after="0"/>
              <w:rPr>
                <w:sz w:val="20"/>
                <w:szCs w:val="20"/>
                <w:color w:val="auto"/>
              </w:rPr>
            </w:pPr>
            <w:r>
              <w:rPr>
                <w:rFonts w:ascii="Arial" w:cs="Arial" w:eastAsia="Arial" w:hAnsi="Arial"/>
                <w:sz w:val="11"/>
                <w:szCs w:val="11"/>
                <w:color w:val="005A64"/>
              </w:rPr>
              <w:t>0.81</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005A64"/>
              </w:rPr>
              <w:t>0.66</w:t>
            </w:r>
          </w:p>
        </w:tc>
        <w:tc>
          <w:tcPr>
            <w:tcW w:w="100" w:type="dxa"/>
            <w:vAlign w:val="bottom"/>
            <w:tcBorders>
              <w:right w:val="single" w:sz="8" w:color="BECD32"/>
            </w:tcBorders>
          </w:tcPr>
          <w:p>
            <w:pPr>
              <w:spacing w:after="0"/>
              <w:rPr>
                <w:sz w:val="12"/>
                <w:szCs w:val="12"/>
                <w:color w:val="auto"/>
              </w:rPr>
            </w:pPr>
          </w:p>
        </w:tc>
        <w:tc>
          <w:tcPr>
            <w:tcW w:w="1460" w:type="dxa"/>
            <w:vAlign w:val="bottom"/>
            <w:gridSpan w:val="2"/>
          </w:tcPr>
          <w:p>
            <w:pPr>
              <w:jc w:val="right"/>
              <w:spacing w:after="0"/>
              <w:rPr>
                <w:sz w:val="20"/>
                <w:szCs w:val="20"/>
                <w:color w:val="auto"/>
              </w:rPr>
            </w:pPr>
            <w:r>
              <w:rPr>
                <w:rFonts w:ascii="Arial" w:cs="Arial" w:eastAsia="Arial" w:hAnsi="Arial"/>
                <w:sz w:val="11"/>
                <w:szCs w:val="11"/>
                <w:color w:val="005A64"/>
              </w:rPr>
              <w:t>(3.83)</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005A64"/>
              </w:rPr>
              <w:t>1.94</w:t>
            </w:r>
          </w:p>
        </w:tc>
        <w:tc>
          <w:tcPr>
            <w:tcW w:w="0" w:type="dxa"/>
            <w:vAlign w:val="bottom"/>
          </w:tcPr>
          <w:p>
            <w:pPr>
              <w:spacing w:after="0"/>
              <w:rPr>
                <w:sz w:val="1"/>
                <w:szCs w:val="1"/>
                <w:color w:val="auto"/>
              </w:rPr>
            </w:pPr>
          </w:p>
        </w:tc>
      </w:tr>
      <w:tr>
        <w:trPr>
          <w:trHeight w:val="29"/>
        </w:trPr>
        <w:tc>
          <w:tcPr>
            <w:tcW w:w="500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60" w:type="dxa"/>
            <w:vAlign w:val="bottom"/>
            <w:tcBorders>
              <w:bottom w:val="single" w:sz="8" w:color="BECD32"/>
            </w:tcBorders>
          </w:tcPr>
          <w:p>
            <w:pPr>
              <w:spacing w:after="0"/>
              <w:rPr>
                <w:sz w:val="2"/>
                <w:szCs w:val="2"/>
                <w:color w:val="auto"/>
              </w:rPr>
            </w:pPr>
          </w:p>
        </w:tc>
        <w:tc>
          <w:tcPr>
            <w:tcW w:w="1400" w:type="dxa"/>
            <w:vAlign w:val="bottom"/>
            <w:tcBorders>
              <w:bottom w:val="single" w:sz="8" w:color="BECD32"/>
            </w:tcBorders>
          </w:tcPr>
          <w:p>
            <w:pPr>
              <w:spacing w:after="0"/>
              <w:rPr>
                <w:sz w:val="2"/>
                <w:szCs w:val="2"/>
                <w:color w:val="auto"/>
              </w:rPr>
            </w:pPr>
          </w:p>
        </w:tc>
        <w:tc>
          <w:tcPr>
            <w:tcW w:w="100" w:type="dxa"/>
            <w:vAlign w:val="bottom"/>
            <w:tcBorders>
              <w:bottom w:val="single" w:sz="8" w:color="BECD32"/>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005A64"/>
            </w:tcBorders>
          </w:tcPr>
          <w:p>
            <w:pPr>
              <w:spacing w:after="0"/>
              <w:rPr>
                <w:sz w:val="2"/>
                <w:szCs w:val="2"/>
                <w:color w:val="auto"/>
              </w:rPr>
            </w:pPr>
          </w:p>
        </w:tc>
        <w:tc>
          <w:tcPr>
            <w:tcW w:w="76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Borders>
              <w:bottom w:val="single" w:sz="8" w:color="BECD32"/>
            </w:tcBorders>
          </w:tcPr>
          <w:p>
            <w:pPr>
              <w:spacing w:after="0"/>
              <w:rPr>
                <w:sz w:val="2"/>
                <w:szCs w:val="2"/>
                <w:color w:val="auto"/>
              </w:rPr>
            </w:pPr>
          </w:p>
        </w:tc>
        <w:tc>
          <w:tcPr>
            <w:tcW w:w="1400" w:type="dxa"/>
            <w:vAlign w:val="bottom"/>
            <w:tcBorders>
              <w:bottom w:val="single" w:sz="8" w:color="BECD32"/>
            </w:tcBorders>
          </w:tcPr>
          <w:p>
            <w:pPr>
              <w:spacing w:after="0"/>
              <w:rPr>
                <w:sz w:val="2"/>
                <w:szCs w:val="2"/>
                <w:color w:val="auto"/>
              </w:rPr>
            </w:pPr>
          </w:p>
        </w:tc>
        <w:tc>
          <w:tcPr>
            <w:tcW w:w="120" w:type="dxa"/>
            <w:vAlign w:val="bottom"/>
            <w:tcBorders>
              <w:bottom w:val="single" w:sz="8" w:color="BECD32"/>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Borders>
              <w:bottom w:val="single" w:sz="8" w:color="005A64"/>
            </w:tcBorders>
          </w:tcPr>
          <w:p>
            <w:pPr>
              <w:spacing w:after="0"/>
              <w:rPr>
                <w:sz w:val="2"/>
                <w:szCs w:val="2"/>
                <w:color w:val="auto"/>
              </w:rPr>
            </w:pPr>
          </w:p>
        </w:tc>
        <w:tc>
          <w:tcPr>
            <w:tcW w:w="78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68" w:hanging="168"/>
        <w:spacing w:after="0"/>
        <w:tabs>
          <w:tab w:leader="none" w:pos="168" w:val="left"/>
        </w:tabs>
        <w:numPr>
          <w:ilvl w:val="0"/>
          <w:numId w:val="20"/>
        </w:numPr>
        <w:rPr>
          <w:rFonts w:ascii="Arial" w:cs="Arial" w:eastAsia="Arial" w:hAnsi="Arial"/>
          <w:sz w:val="14"/>
          <w:szCs w:val="14"/>
          <w:color w:val="005A64"/>
          <w:vertAlign w:val="superscript"/>
        </w:rPr>
      </w:pPr>
      <w:r>
        <w:rPr>
          <w:rFonts w:ascii="Arial" w:cs="Arial" w:eastAsia="Arial" w:hAnsi="Arial"/>
          <w:sz w:val="11"/>
          <w:szCs w:val="11"/>
          <w:color w:val="005A64"/>
        </w:rPr>
        <w:t>Adjustments to prior-year figures due to change in functional allocation of general and administrative expenses and other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308"/>
          </w:cols>
          <w:pgMar w:left="292" w:top="1246" w:right="299" w:bottom="1440" w:gutter="0" w:footer="0" w:header="0"/>
        </w:sectPr>
      </w:pPr>
    </w:p>
    <w:bookmarkStart w:id="15" w:name="page16"/>
    <w:bookmarkEnd w:id="15"/>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875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428750" cy="15430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4"/>
          <w:szCs w:val="14"/>
          <w:b w:val="1"/>
          <w:bCs w:val="1"/>
          <w:color w:val="auto"/>
        </w:rPr>
        <w:t>Interim Consolidated Statements of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178040"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80" w:type="dxa"/>
            <w:vAlign w:val="bottom"/>
          </w:tcPr>
          <w:p>
            <w:pPr>
              <w:spacing w:after="0"/>
              <w:rPr>
                <w:sz w:val="15"/>
                <w:szCs w:val="15"/>
                <w:color w:val="auto"/>
              </w:rPr>
            </w:pPr>
          </w:p>
        </w:tc>
        <w:tc>
          <w:tcPr>
            <w:tcW w:w="100" w:type="dxa"/>
            <w:vAlign w:val="bottom"/>
            <w:tcBorders>
              <w:right w:val="single" w:sz="8" w:color="BECD32"/>
            </w:tcBorders>
          </w:tcPr>
          <w:p>
            <w:pPr>
              <w:spacing w:after="0"/>
              <w:rPr>
                <w:sz w:val="15"/>
                <w:szCs w:val="15"/>
                <w:color w:val="auto"/>
              </w:rPr>
            </w:pPr>
          </w:p>
        </w:tc>
        <w:tc>
          <w:tcPr>
            <w:tcW w:w="80" w:type="dxa"/>
            <w:vAlign w:val="bottom"/>
            <w:tcBorders>
              <w:top w:val="single" w:sz="8" w:color="BECD32"/>
            </w:tcBorders>
          </w:tcPr>
          <w:p>
            <w:pPr>
              <w:spacing w:after="0"/>
              <w:rPr>
                <w:sz w:val="15"/>
                <w:szCs w:val="15"/>
                <w:color w:val="auto"/>
              </w:rPr>
            </w:pPr>
          </w:p>
        </w:tc>
        <w:tc>
          <w:tcPr>
            <w:tcW w:w="1900" w:type="dxa"/>
            <w:vAlign w:val="bottom"/>
            <w:tcBorders>
              <w:top w:val="single" w:sz="8" w:color="BECD32"/>
              <w:right w:val="single" w:sz="8" w:color="BECD32"/>
            </w:tcBorders>
            <w:gridSpan w:val="2"/>
          </w:tcPr>
          <w:p>
            <w:pPr>
              <w:jc w:val="right"/>
              <w:ind w:right="120"/>
              <w:spacing w:after="0"/>
              <w:rPr>
                <w:sz w:val="20"/>
                <w:szCs w:val="20"/>
                <w:color w:val="auto"/>
              </w:rPr>
            </w:pPr>
            <w:r>
              <w:rPr>
                <w:rFonts w:ascii="Arial" w:cs="Arial" w:eastAsia="Arial" w:hAnsi="Arial"/>
                <w:sz w:val="11"/>
                <w:szCs w:val="11"/>
                <w:b w:val="1"/>
                <w:bCs w:val="1"/>
                <w:color w:val="005A64"/>
              </w:rPr>
              <w:t>September 30,</w:t>
            </w:r>
          </w:p>
        </w:tc>
        <w:tc>
          <w:tcPr>
            <w:tcW w:w="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1"/>
                <w:szCs w:val="11"/>
                <w:b w:val="1"/>
                <w:bCs w:val="1"/>
                <w:color w:val="005A64"/>
              </w:rPr>
              <w:t>December 31,</w:t>
            </w:r>
          </w:p>
        </w:tc>
      </w:tr>
      <w:tr>
        <w:trPr>
          <w:trHeight w:val="189"/>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i w:val="1"/>
                <w:iCs w:val="1"/>
                <w:color w:val="005A64"/>
              </w:rPr>
              <w:t>(in millions €)</w:t>
            </w:r>
          </w:p>
        </w:tc>
        <w:tc>
          <w:tcPr>
            <w:tcW w:w="1880" w:type="dxa"/>
            <w:vAlign w:val="bottom"/>
            <w:gridSpan w:val="2"/>
          </w:tcPr>
          <w:p>
            <w:pPr>
              <w:jc w:val="right"/>
              <w:spacing w:after="0"/>
              <w:rPr>
                <w:sz w:val="20"/>
                <w:szCs w:val="20"/>
                <w:color w:val="auto"/>
              </w:rPr>
            </w:pPr>
            <w:r>
              <w:rPr>
                <w:rFonts w:ascii="Arial" w:cs="Arial" w:eastAsia="Arial" w:hAnsi="Arial"/>
                <w:sz w:val="11"/>
                <w:szCs w:val="11"/>
                <w:b w:val="1"/>
                <w:bCs w:val="1"/>
                <w:color w:val="005A64"/>
              </w:rPr>
              <w:t>2024</w:t>
            </w:r>
          </w:p>
        </w:tc>
        <w:tc>
          <w:tcPr>
            <w:tcW w:w="100" w:type="dxa"/>
            <w:vAlign w:val="bottom"/>
            <w:tcBorders>
              <w:right w:val="single" w:sz="8" w:color="BECD32"/>
            </w:tcBorders>
          </w:tcPr>
          <w:p>
            <w:pPr>
              <w:spacing w:after="0"/>
              <w:rPr>
                <w:sz w:val="16"/>
                <w:szCs w:val="16"/>
                <w:color w:val="auto"/>
              </w:rPr>
            </w:pPr>
          </w:p>
        </w:tc>
        <w:tc>
          <w:tcPr>
            <w:tcW w:w="6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1"/>
                <w:szCs w:val="11"/>
                <w:b w:val="1"/>
                <w:bCs w:val="1"/>
                <w:color w:val="005A64"/>
              </w:rPr>
              <w:t>2023</w:t>
            </w:r>
          </w:p>
        </w:tc>
      </w:tr>
      <w:tr>
        <w:trPr>
          <w:trHeight w:val="189"/>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b w:val="1"/>
                <w:bCs w:val="1"/>
                <w:color w:val="005A64"/>
              </w:rPr>
              <w:t>Assets</w:t>
            </w:r>
          </w:p>
        </w:tc>
        <w:tc>
          <w:tcPr>
            <w:tcW w:w="80" w:type="dxa"/>
            <w:vAlign w:val="bottom"/>
          </w:tcPr>
          <w:p>
            <w:pPr>
              <w:spacing w:after="0"/>
              <w:rPr>
                <w:sz w:val="16"/>
                <w:szCs w:val="16"/>
                <w:color w:val="auto"/>
              </w:rPr>
            </w:pPr>
          </w:p>
        </w:tc>
        <w:tc>
          <w:tcPr>
            <w:tcW w:w="1900" w:type="dxa"/>
            <w:vAlign w:val="bottom"/>
            <w:tcBorders>
              <w:right w:val="single" w:sz="8" w:color="BECD32"/>
            </w:tcBorders>
            <w:gridSpan w:val="2"/>
          </w:tcPr>
          <w:p>
            <w:pPr>
              <w:jc w:val="right"/>
              <w:ind w:right="120"/>
              <w:spacing w:after="0"/>
              <w:rPr>
                <w:sz w:val="20"/>
                <w:szCs w:val="20"/>
                <w:color w:val="auto"/>
              </w:rPr>
            </w:pPr>
            <w:r>
              <w:rPr>
                <w:rFonts w:ascii="Arial" w:cs="Arial" w:eastAsia="Arial" w:hAnsi="Arial"/>
                <w:sz w:val="11"/>
                <w:szCs w:val="11"/>
                <w:i w:val="1"/>
                <w:iCs w:val="1"/>
                <w:color w:val="005A64"/>
              </w:rPr>
              <w:t>(unaudited)</w:t>
            </w:r>
          </w:p>
        </w:tc>
        <w:tc>
          <w:tcPr>
            <w:tcW w:w="6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3"/>
        </w:trPr>
        <w:tc>
          <w:tcPr>
            <w:tcW w:w="738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Borders>
              <w:bottom w:val="single" w:sz="8" w:color="005A64"/>
            </w:tcBorders>
          </w:tcPr>
          <w:p>
            <w:pPr>
              <w:spacing w:after="0"/>
              <w:rPr>
                <w:sz w:val="2"/>
                <w:szCs w:val="2"/>
                <w:color w:val="auto"/>
              </w:rPr>
            </w:pPr>
          </w:p>
        </w:tc>
      </w:tr>
      <w:tr>
        <w:trPr>
          <w:trHeight w:val="155"/>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b w:val="1"/>
                <w:bCs w:val="1"/>
                <w:color w:val="3C9673"/>
              </w:rPr>
              <w:t>Non-current assets</w:t>
            </w: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3"/>
        </w:trPr>
        <w:tc>
          <w:tcPr>
            <w:tcW w:w="738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Goodwill</w:t>
            </w:r>
          </w:p>
        </w:tc>
        <w:tc>
          <w:tcPr>
            <w:tcW w:w="1880" w:type="dxa"/>
            <w:vAlign w:val="bottom"/>
            <w:gridSpan w:val="2"/>
          </w:tcPr>
          <w:p>
            <w:pPr>
              <w:jc w:val="right"/>
              <w:spacing w:after="0"/>
              <w:rPr>
                <w:sz w:val="20"/>
                <w:szCs w:val="20"/>
                <w:color w:val="auto"/>
              </w:rPr>
            </w:pPr>
            <w:r>
              <w:rPr>
                <w:rFonts w:ascii="Arial" w:cs="Arial" w:eastAsia="Arial" w:hAnsi="Arial"/>
                <w:sz w:val="11"/>
                <w:szCs w:val="11"/>
                <w:color w:val="005A64"/>
              </w:rPr>
              <w:t>374.0</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362.5</w:t>
            </w:r>
          </w:p>
        </w:tc>
      </w:tr>
      <w:tr>
        <w:trPr>
          <w:trHeight w:val="29"/>
        </w:trPr>
        <w:tc>
          <w:tcPr>
            <w:tcW w:w="738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Other intangible assets</w:t>
            </w:r>
          </w:p>
        </w:tc>
        <w:tc>
          <w:tcPr>
            <w:tcW w:w="1880" w:type="dxa"/>
            <w:vAlign w:val="bottom"/>
            <w:gridSpan w:val="2"/>
          </w:tcPr>
          <w:p>
            <w:pPr>
              <w:jc w:val="right"/>
              <w:spacing w:after="0"/>
              <w:rPr>
                <w:sz w:val="20"/>
                <w:szCs w:val="20"/>
                <w:color w:val="auto"/>
              </w:rPr>
            </w:pPr>
            <w:r>
              <w:rPr>
                <w:rFonts w:ascii="Arial" w:cs="Arial" w:eastAsia="Arial" w:hAnsi="Arial"/>
                <w:sz w:val="11"/>
                <w:szCs w:val="11"/>
                <w:color w:val="005A64"/>
              </w:rPr>
              <w:t>873.9</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804.1</w:t>
            </w:r>
          </w:p>
        </w:tc>
      </w:tr>
      <w:tr>
        <w:trPr>
          <w:trHeight w:val="29"/>
        </w:trPr>
        <w:tc>
          <w:tcPr>
            <w:tcW w:w="738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Property, plant and equipment</w:t>
            </w:r>
          </w:p>
        </w:tc>
        <w:tc>
          <w:tcPr>
            <w:tcW w:w="1880" w:type="dxa"/>
            <w:vAlign w:val="bottom"/>
            <w:gridSpan w:val="2"/>
          </w:tcPr>
          <w:p>
            <w:pPr>
              <w:jc w:val="right"/>
              <w:spacing w:after="0"/>
              <w:rPr>
                <w:sz w:val="20"/>
                <w:szCs w:val="20"/>
                <w:color w:val="auto"/>
              </w:rPr>
            </w:pPr>
            <w:r>
              <w:rPr>
                <w:rFonts w:ascii="Arial" w:cs="Arial" w:eastAsia="Arial" w:hAnsi="Arial"/>
                <w:sz w:val="11"/>
                <w:szCs w:val="11"/>
                <w:color w:val="005A64"/>
              </w:rPr>
              <w:t>917.4</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757.2</w:t>
            </w:r>
          </w:p>
        </w:tc>
      </w:tr>
      <w:tr>
        <w:trPr>
          <w:trHeight w:val="29"/>
        </w:trPr>
        <w:tc>
          <w:tcPr>
            <w:tcW w:w="738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Right-of-use assets</w:t>
            </w:r>
          </w:p>
        </w:tc>
        <w:tc>
          <w:tcPr>
            <w:tcW w:w="1880" w:type="dxa"/>
            <w:vAlign w:val="bottom"/>
            <w:gridSpan w:val="2"/>
          </w:tcPr>
          <w:p>
            <w:pPr>
              <w:jc w:val="right"/>
              <w:spacing w:after="0"/>
              <w:rPr>
                <w:sz w:val="20"/>
                <w:szCs w:val="20"/>
                <w:color w:val="auto"/>
              </w:rPr>
            </w:pPr>
            <w:r>
              <w:rPr>
                <w:rFonts w:ascii="Arial" w:cs="Arial" w:eastAsia="Arial" w:hAnsi="Arial"/>
                <w:sz w:val="11"/>
                <w:szCs w:val="11"/>
                <w:color w:val="005A64"/>
              </w:rPr>
              <w:t>242.0</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214.4</w:t>
            </w:r>
          </w:p>
        </w:tc>
      </w:tr>
      <w:tr>
        <w:trPr>
          <w:trHeight w:val="29"/>
        </w:trPr>
        <w:tc>
          <w:tcPr>
            <w:tcW w:w="738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Other financial assets</w:t>
            </w:r>
          </w:p>
        </w:tc>
        <w:tc>
          <w:tcPr>
            <w:tcW w:w="1880" w:type="dxa"/>
            <w:vAlign w:val="bottom"/>
            <w:gridSpan w:val="2"/>
          </w:tcPr>
          <w:p>
            <w:pPr>
              <w:jc w:val="right"/>
              <w:spacing w:after="0"/>
              <w:rPr>
                <w:sz w:val="20"/>
                <w:szCs w:val="20"/>
                <w:color w:val="auto"/>
              </w:rPr>
            </w:pPr>
            <w:r>
              <w:rPr>
                <w:rFonts w:ascii="Arial" w:cs="Arial" w:eastAsia="Arial" w:hAnsi="Arial"/>
                <w:sz w:val="11"/>
                <w:szCs w:val="11"/>
                <w:color w:val="005A64"/>
              </w:rPr>
              <w:t>1,332.2</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1,176.1</w:t>
            </w:r>
          </w:p>
        </w:tc>
      </w:tr>
      <w:tr>
        <w:trPr>
          <w:trHeight w:val="29"/>
        </w:trPr>
        <w:tc>
          <w:tcPr>
            <w:tcW w:w="738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Other non-financial assets</w:t>
            </w:r>
          </w:p>
        </w:tc>
        <w:tc>
          <w:tcPr>
            <w:tcW w:w="1880" w:type="dxa"/>
            <w:vAlign w:val="bottom"/>
            <w:gridSpan w:val="2"/>
          </w:tcPr>
          <w:p>
            <w:pPr>
              <w:jc w:val="right"/>
              <w:spacing w:after="0"/>
              <w:rPr>
                <w:sz w:val="20"/>
                <w:szCs w:val="20"/>
                <w:color w:val="auto"/>
              </w:rPr>
            </w:pPr>
            <w:r>
              <w:rPr>
                <w:rFonts w:ascii="Arial" w:cs="Arial" w:eastAsia="Arial" w:hAnsi="Arial"/>
                <w:sz w:val="11"/>
                <w:szCs w:val="11"/>
                <w:color w:val="005A64"/>
              </w:rPr>
              <w:t>84.8</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83.4</w:t>
            </w:r>
          </w:p>
        </w:tc>
      </w:tr>
      <w:tr>
        <w:trPr>
          <w:trHeight w:val="29"/>
        </w:trPr>
        <w:tc>
          <w:tcPr>
            <w:tcW w:w="738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Deferred tax assets</w:t>
            </w:r>
          </w:p>
        </w:tc>
        <w:tc>
          <w:tcPr>
            <w:tcW w:w="1880" w:type="dxa"/>
            <w:vAlign w:val="bottom"/>
            <w:gridSpan w:val="2"/>
          </w:tcPr>
          <w:p>
            <w:pPr>
              <w:jc w:val="right"/>
              <w:spacing w:after="0"/>
              <w:rPr>
                <w:sz w:val="20"/>
                <w:szCs w:val="20"/>
                <w:color w:val="auto"/>
              </w:rPr>
            </w:pPr>
            <w:r>
              <w:rPr>
                <w:rFonts w:ascii="Arial" w:cs="Arial" w:eastAsia="Arial" w:hAnsi="Arial"/>
                <w:sz w:val="11"/>
                <w:szCs w:val="11"/>
                <w:color w:val="005A64"/>
              </w:rPr>
              <w:t>90.7</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81.3</w:t>
            </w:r>
          </w:p>
        </w:tc>
      </w:tr>
      <w:tr>
        <w:trPr>
          <w:trHeight w:val="29"/>
        </w:trPr>
        <w:tc>
          <w:tcPr>
            <w:tcW w:w="738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55"/>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b w:val="1"/>
                <w:bCs w:val="1"/>
                <w:color w:val="005A64"/>
              </w:rPr>
              <w:t>Total non-current assets</w:t>
            </w:r>
          </w:p>
        </w:tc>
        <w:tc>
          <w:tcPr>
            <w:tcW w:w="1880" w:type="dxa"/>
            <w:vAlign w:val="bottom"/>
            <w:gridSpan w:val="2"/>
          </w:tcPr>
          <w:p>
            <w:pPr>
              <w:jc w:val="right"/>
              <w:spacing w:after="0"/>
              <w:rPr>
                <w:sz w:val="20"/>
                <w:szCs w:val="20"/>
                <w:color w:val="auto"/>
              </w:rPr>
            </w:pPr>
            <w:r>
              <w:rPr>
                <w:rFonts w:ascii="Arial" w:cs="Arial" w:eastAsia="Arial" w:hAnsi="Arial"/>
                <w:sz w:val="11"/>
                <w:szCs w:val="11"/>
                <w:b w:val="1"/>
                <w:bCs w:val="1"/>
                <w:color w:val="005A64"/>
              </w:rPr>
              <w:t>3,915.0</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Pr>
          <w:p>
            <w:pPr>
              <w:jc w:val="right"/>
              <w:spacing w:after="0"/>
              <w:rPr>
                <w:sz w:val="20"/>
                <w:szCs w:val="20"/>
                <w:color w:val="auto"/>
              </w:rPr>
            </w:pPr>
            <w:r>
              <w:rPr>
                <w:rFonts w:ascii="Arial" w:cs="Arial" w:eastAsia="Arial" w:hAnsi="Arial"/>
                <w:sz w:val="11"/>
                <w:szCs w:val="11"/>
                <w:b w:val="1"/>
                <w:bCs w:val="1"/>
                <w:color w:val="005A64"/>
              </w:rPr>
              <w:t>3,479.0</w:t>
            </w:r>
          </w:p>
        </w:tc>
      </w:tr>
      <w:tr>
        <w:trPr>
          <w:trHeight w:val="23"/>
        </w:trPr>
        <w:tc>
          <w:tcPr>
            <w:tcW w:w="738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Borders>
              <w:bottom w:val="single" w:sz="8" w:color="005A64"/>
            </w:tcBorders>
          </w:tcPr>
          <w:p>
            <w:pPr>
              <w:spacing w:after="0"/>
              <w:rPr>
                <w:sz w:val="2"/>
                <w:szCs w:val="2"/>
                <w:color w:val="auto"/>
              </w:rPr>
            </w:pPr>
          </w:p>
        </w:tc>
      </w:tr>
      <w:tr>
        <w:trPr>
          <w:trHeight w:val="155"/>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b w:val="1"/>
                <w:bCs w:val="1"/>
                <w:color w:val="3C9673"/>
              </w:rPr>
              <w:t>Current assets</w:t>
            </w: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3"/>
        </w:trPr>
        <w:tc>
          <w:tcPr>
            <w:tcW w:w="738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Inventories</w:t>
            </w:r>
          </w:p>
        </w:tc>
        <w:tc>
          <w:tcPr>
            <w:tcW w:w="1880" w:type="dxa"/>
            <w:vAlign w:val="bottom"/>
            <w:gridSpan w:val="2"/>
          </w:tcPr>
          <w:p>
            <w:pPr>
              <w:jc w:val="right"/>
              <w:spacing w:after="0"/>
              <w:rPr>
                <w:sz w:val="20"/>
                <w:szCs w:val="20"/>
                <w:color w:val="auto"/>
              </w:rPr>
            </w:pPr>
            <w:r>
              <w:rPr>
                <w:rFonts w:ascii="Arial" w:cs="Arial" w:eastAsia="Arial" w:hAnsi="Arial"/>
                <w:sz w:val="11"/>
                <w:szCs w:val="11"/>
                <w:color w:val="005A64"/>
              </w:rPr>
              <w:t>303.1</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357.7</w:t>
            </w:r>
          </w:p>
        </w:tc>
      </w:tr>
      <w:tr>
        <w:trPr>
          <w:trHeight w:val="29"/>
        </w:trPr>
        <w:tc>
          <w:tcPr>
            <w:tcW w:w="738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Trade and other receivables</w:t>
            </w:r>
          </w:p>
        </w:tc>
        <w:tc>
          <w:tcPr>
            <w:tcW w:w="1880" w:type="dxa"/>
            <w:vAlign w:val="bottom"/>
            <w:gridSpan w:val="2"/>
          </w:tcPr>
          <w:p>
            <w:pPr>
              <w:jc w:val="right"/>
              <w:spacing w:after="0"/>
              <w:rPr>
                <w:sz w:val="20"/>
                <w:szCs w:val="20"/>
                <w:color w:val="auto"/>
              </w:rPr>
            </w:pPr>
            <w:r>
              <w:rPr>
                <w:rFonts w:ascii="Arial" w:cs="Arial" w:eastAsia="Arial" w:hAnsi="Arial"/>
                <w:sz w:val="11"/>
                <w:szCs w:val="11"/>
                <w:color w:val="005A64"/>
              </w:rPr>
              <w:t>988.0</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2,155.7</w:t>
            </w:r>
          </w:p>
        </w:tc>
      </w:tr>
      <w:tr>
        <w:trPr>
          <w:trHeight w:val="29"/>
        </w:trPr>
        <w:tc>
          <w:tcPr>
            <w:tcW w:w="738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Other financial assets</w:t>
            </w:r>
          </w:p>
        </w:tc>
        <w:tc>
          <w:tcPr>
            <w:tcW w:w="1880" w:type="dxa"/>
            <w:vAlign w:val="bottom"/>
            <w:gridSpan w:val="2"/>
          </w:tcPr>
          <w:p>
            <w:pPr>
              <w:jc w:val="right"/>
              <w:spacing w:after="0"/>
              <w:rPr>
                <w:sz w:val="20"/>
                <w:szCs w:val="20"/>
                <w:color w:val="auto"/>
              </w:rPr>
            </w:pPr>
            <w:r>
              <w:rPr>
                <w:rFonts w:ascii="Arial" w:cs="Arial" w:eastAsia="Arial" w:hAnsi="Arial"/>
                <w:sz w:val="11"/>
                <w:szCs w:val="11"/>
                <w:color w:val="005A64"/>
              </w:rPr>
              <w:t>7,084.7</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4,885.3</w:t>
            </w:r>
          </w:p>
        </w:tc>
      </w:tr>
      <w:tr>
        <w:trPr>
          <w:trHeight w:val="29"/>
        </w:trPr>
        <w:tc>
          <w:tcPr>
            <w:tcW w:w="738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Other non-financial assets</w:t>
            </w:r>
          </w:p>
        </w:tc>
        <w:tc>
          <w:tcPr>
            <w:tcW w:w="1880" w:type="dxa"/>
            <w:vAlign w:val="bottom"/>
            <w:gridSpan w:val="2"/>
          </w:tcPr>
          <w:p>
            <w:pPr>
              <w:jc w:val="right"/>
              <w:spacing w:after="0"/>
              <w:rPr>
                <w:sz w:val="20"/>
                <w:szCs w:val="20"/>
                <w:color w:val="auto"/>
              </w:rPr>
            </w:pPr>
            <w:r>
              <w:rPr>
                <w:rFonts w:ascii="Arial" w:cs="Arial" w:eastAsia="Arial" w:hAnsi="Arial"/>
                <w:sz w:val="11"/>
                <w:szCs w:val="11"/>
                <w:color w:val="005A64"/>
              </w:rPr>
              <w:t>275.8</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285.8</w:t>
            </w:r>
          </w:p>
        </w:tc>
      </w:tr>
      <w:tr>
        <w:trPr>
          <w:trHeight w:val="29"/>
        </w:trPr>
        <w:tc>
          <w:tcPr>
            <w:tcW w:w="738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Income tax assets</w:t>
            </w:r>
          </w:p>
        </w:tc>
        <w:tc>
          <w:tcPr>
            <w:tcW w:w="1880" w:type="dxa"/>
            <w:vAlign w:val="bottom"/>
            <w:gridSpan w:val="2"/>
          </w:tcPr>
          <w:p>
            <w:pPr>
              <w:jc w:val="right"/>
              <w:spacing w:after="0"/>
              <w:rPr>
                <w:sz w:val="20"/>
                <w:szCs w:val="20"/>
                <w:color w:val="auto"/>
              </w:rPr>
            </w:pPr>
            <w:r>
              <w:rPr>
                <w:rFonts w:ascii="Arial" w:cs="Arial" w:eastAsia="Arial" w:hAnsi="Arial"/>
                <w:sz w:val="11"/>
                <w:szCs w:val="11"/>
                <w:color w:val="005A64"/>
              </w:rPr>
              <w:t>210.0</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179.1</w:t>
            </w:r>
          </w:p>
        </w:tc>
      </w:tr>
      <w:tr>
        <w:trPr>
          <w:trHeight w:val="29"/>
        </w:trPr>
        <w:tc>
          <w:tcPr>
            <w:tcW w:w="738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Cash and cash equivalents</w:t>
            </w:r>
          </w:p>
        </w:tc>
        <w:tc>
          <w:tcPr>
            <w:tcW w:w="1880" w:type="dxa"/>
            <w:vAlign w:val="bottom"/>
            <w:gridSpan w:val="2"/>
          </w:tcPr>
          <w:p>
            <w:pPr>
              <w:jc w:val="right"/>
              <w:spacing w:after="0"/>
              <w:rPr>
                <w:sz w:val="20"/>
                <w:szCs w:val="20"/>
                <w:color w:val="auto"/>
              </w:rPr>
            </w:pPr>
            <w:r>
              <w:rPr>
                <w:rFonts w:ascii="Arial" w:cs="Arial" w:eastAsia="Arial" w:hAnsi="Arial"/>
                <w:sz w:val="11"/>
                <w:szCs w:val="11"/>
                <w:color w:val="005A64"/>
              </w:rPr>
              <w:t>9,624.6</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11,663.7</w:t>
            </w:r>
          </w:p>
        </w:tc>
      </w:tr>
      <w:tr>
        <w:trPr>
          <w:trHeight w:val="29"/>
        </w:trPr>
        <w:tc>
          <w:tcPr>
            <w:tcW w:w="738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55"/>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b w:val="1"/>
                <w:bCs w:val="1"/>
                <w:color w:val="005A64"/>
              </w:rPr>
              <w:t>Total current assets</w:t>
            </w:r>
          </w:p>
        </w:tc>
        <w:tc>
          <w:tcPr>
            <w:tcW w:w="1880" w:type="dxa"/>
            <w:vAlign w:val="bottom"/>
            <w:gridSpan w:val="2"/>
          </w:tcPr>
          <w:p>
            <w:pPr>
              <w:jc w:val="right"/>
              <w:spacing w:after="0"/>
              <w:rPr>
                <w:sz w:val="20"/>
                <w:szCs w:val="20"/>
                <w:color w:val="auto"/>
              </w:rPr>
            </w:pPr>
            <w:r>
              <w:rPr>
                <w:rFonts w:ascii="Arial" w:cs="Arial" w:eastAsia="Arial" w:hAnsi="Arial"/>
                <w:sz w:val="11"/>
                <w:szCs w:val="11"/>
                <w:b w:val="1"/>
                <w:bCs w:val="1"/>
                <w:color w:val="005A64"/>
              </w:rPr>
              <w:t>18,486.2</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Pr>
          <w:p>
            <w:pPr>
              <w:jc w:val="right"/>
              <w:spacing w:after="0"/>
              <w:rPr>
                <w:sz w:val="20"/>
                <w:szCs w:val="20"/>
                <w:color w:val="auto"/>
              </w:rPr>
            </w:pPr>
            <w:r>
              <w:rPr>
                <w:rFonts w:ascii="Arial" w:cs="Arial" w:eastAsia="Arial" w:hAnsi="Arial"/>
                <w:sz w:val="11"/>
                <w:szCs w:val="11"/>
                <w:b w:val="1"/>
                <w:bCs w:val="1"/>
                <w:color w:val="005A64"/>
              </w:rPr>
              <w:t>19,527.3</w:t>
            </w:r>
          </w:p>
        </w:tc>
      </w:tr>
      <w:tr>
        <w:trPr>
          <w:trHeight w:val="23"/>
        </w:trPr>
        <w:tc>
          <w:tcPr>
            <w:tcW w:w="738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Borders>
              <w:bottom w:val="single" w:sz="8" w:color="005A64"/>
            </w:tcBorders>
          </w:tcPr>
          <w:p>
            <w:pPr>
              <w:spacing w:after="0"/>
              <w:rPr>
                <w:sz w:val="2"/>
                <w:szCs w:val="2"/>
                <w:color w:val="auto"/>
              </w:rPr>
            </w:pPr>
          </w:p>
        </w:tc>
      </w:tr>
      <w:tr>
        <w:trPr>
          <w:trHeight w:val="155"/>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b w:val="1"/>
                <w:bCs w:val="1"/>
                <w:color w:val="005A64"/>
              </w:rPr>
              <w:t>Total assets</w:t>
            </w:r>
          </w:p>
        </w:tc>
        <w:tc>
          <w:tcPr>
            <w:tcW w:w="1880" w:type="dxa"/>
            <w:vAlign w:val="bottom"/>
            <w:gridSpan w:val="2"/>
          </w:tcPr>
          <w:p>
            <w:pPr>
              <w:jc w:val="right"/>
              <w:spacing w:after="0"/>
              <w:rPr>
                <w:sz w:val="20"/>
                <w:szCs w:val="20"/>
                <w:color w:val="auto"/>
              </w:rPr>
            </w:pPr>
            <w:r>
              <w:rPr>
                <w:rFonts w:ascii="Arial" w:cs="Arial" w:eastAsia="Arial" w:hAnsi="Arial"/>
                <w:sz w:val="11"/>
                <w:szCs w:val="11"/>
                <w:b w:val="1"/>
                <w:bCs w:val="1"/>
                <w:color w:val="005A64"/>
              </w:rPr>
              <w:t>22,401.2</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Pr>
          <w:p>
            <w:pPr>
              <w:jc w:val="right"/>
              <w:spacing w:after="0"/>
              <w:rPr>
                <w:sz w:val="20"/>
                <w:szCs w:val="20"/>
                <w:color w:val="auto"/>
              </w:rPr>
            </w:pPr>
            <w:r>
              <w:rPr>
                <w:rFonts w:ascii="Arial" w:cs="Arial" w:eastAsia="Arial" w:hAnsi="Arial"/>
                <w:sz w:val="11"/>
                <w:szCs w:val="11"/>
                <w:b w:val="1"/>
                <w:bCs w:val="1"/>
                <w:color w:val="005A64"/>
              </w:rPr>
              <w:t>23,006.3</w:t>
            </w:r>
          </w:p>
        </w:tc>
      </w:tr>
      <w:tr>
        <w:trPr>
          <w:trHeight w:val="23"/>
        </w:trPr>
        <w:tc>
          <w:tcPr>
            <w:tcW w:w="738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Borders>
              <w:bottom w:val="single" w:sz="8" w:color="005A64"/>
            </w:tcBorders>
          </w:tcPr>
          <w:p>
            <w:pPr>
              <w:spacing w:after="0"/>
              <w:rPr>
                <w:sz w:val="2"/>
                <w:szCs w:val="2"/>
                <w:color w:val="auto"/>
              </w:rPr>
            </w:pPr>
          </w:p>
        </w:tc>
      </w:tr>
      <w:tr>
        <w:trPr>
          <w:trHeight w:val="290"/>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b w:val="1"/>
                <w:bCs w:val="1"/>
                <w:color w:val="005A64"/>
              </w:rPr>
              <w:t>Equity and liabilities</w:t>
            </w: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Borders>
              <w:right w:val="single" w:sz="8" w:color="BECD32"/>
            </w:tcBorders>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3"/>
        </w:trPr>
        <w:tc>
          <w:tcPr>
            <w:tcW w:w="738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Borders>
              <w:bottom w:val="single" w:sz="8" w:color="005A64"/>
            </w:tcBorders>
          </w:tcPr>
          <w:p>
            <w:pPr>
              <w:spacing w:after="0"/>
              <w:rPr>
                <w:sz w:val="2"/>
                <w:szCs w:val="2"/>
                <w:color w:val="auto"/>
              </w:rPr>
            </w:pPr>
          </w:p>
        </w:tc>
      </w:tr>
      <w:tr>
        <w:trPr>
          <w:trHeight w:val="155"/>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b w:val="1"/>
                <w:bCs w:val="1"/>
                <w:color w:val="3C9673"/>
              </w:rPr>
              <w:t>Equity</w:t>
            </w: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3"/>
        </w:trPr>
        <w:tc>
          <w:tcPr>
            <w:tcW w:w="738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Share capital</w:t>
            </w:r>
          </w:p>
        </w:tc>
        <w:tc>
          <w:tcPr>
            <w:tcW w:w="1880" w:type="dxa"/>
            <w:vAlign w:val="bottom"/>
            <w:gridSpan w:val="2"/>
          </w:tcPr>
          <w:p>
            <w:pPr>
              <w:jc w:val="right"/>
              <w:spacing w:after="0"/>
              <w:rPr>
                <w:sz w:val="20"/>
                <w:szCs w:val="20"/>
                <w:color w:val="auto"/>
              </w:rPr>
            </w:pPr>
            <w:r>
              <w:rPr>
                <w:rFonts w:ascii="Arial" w:cs="Arial" w:eastAsia="Arial" w:hAnsi="Arial"/>
                <w:sz w:val="11"/>
                <w:szCs w:val="11"/>
                <w:color w:val="005A64"/>
              </w:rPr>
              <w:t>248.6</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248.6</w:t>
            </w:r>
          </w:p>
        </w:tc>
      </w:tr>
      <w:tr>
        <w:trPr>
          <w:trHeight w:val="29"/>
        </w:trPr>
        <w:tc>
          <w:tcPr>
            <w:tcW w:w="738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Capital reserve</w:t>
            </w:r>
          </w:p>
        </w:tc>
        <w:tc>
          <w:tcPr>
            <w:tcW w:w="1880" w:type="dxa"/>
            <w:vAlign w:val="bottom"/>
            <w:gridSpan w:val="2"/>
          </w:tcPr>
          <w:p>
            <w:pPr>
              <w:jc w:val="right"/>
              <w:spacing w:after="0"/>
              <w:rPr>
                <w:sz w:val="20"/>
                <w:szCs w:val="20"/>
                <w:color w:val="auto"/>
              </w:rPr>
            </w:pPr>
            <w:r>
              <w:rPr>
                <w:rFonts w:ascii="Arial" w:cs="Arial" w:eastAsia="Arial" w:hAnsi="Arial"/>
                <w:sz w:val="11"/>
                <w:szCs w:val="11"/>
                <w:color w:val="005A64"/>
              </w:rPr>
              <w:t>1,373.0</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1,229.4</w:t>
            </w:r>
          </w:p>
        </w:tc>
      </w:tr>
      <w:tr>
        <w:trPr>
          <w:trHeight w:val="29"/>
        </w:trPr>
        <w:tc>
          <w:tcPr>
            <w:tcW w:w="738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Treasury shares</w:t>
            </w:r>
          </w:p>
        </w:tc>
        <w:tc>
          <w:tcPr>
            <w:tcW w:w="1880" w:type="dxa"/>
            <w:vAlign w:val="bottom"/>
            <w:gridSpan w:val="2"/>
          </w:tcPr>
          <w:p>
            <w:pPr>
              <w:jc w:val="right"/>
              <w:spacing w:after="0"/>
              <w:rPr>
                <w:sz w:val="20"/>
                <w:szCs w:val="20"/>
                <w:color w:val="auto"/>
              </w:rPr>
            </w:pPr>
            <w:r>
              <w:rPr>
                <w:rFonts w:ascii="Arial" w:cs="Arial" w:eastAsia="Arial" w:hAnsi="Arial"/>
                <w:sz w:val="11"/>
                <w:szCs w:val="11"/>
                <w:color w:val="005A64"/>
              </w:rPr>
              <w:t>(8.8)</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(10.8)</w:t>
            </w:r>
          </w:p>
        </w:tc>
      </w:tr>
      <w:tr>
        <w:trPr>
          <w:trHeight w:val="29"/>
        </w:trPr>
        <w:tc>
          <w:tcPr>
            <w:tcW w:w="738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Retained earnings</w:t>
            </w:r>
          </w:p>
        </w:tc>
        <w:tc>
          <w:tcPr>
            <w:tcW w:w="1880" w:type="dxa"/>
            <w:vAlign w:val="bottom"/>
            <w:gridSpan w:val="2"/>
          </w:tcPr>
          <w:p>
            <w:pPr>
              <w:jc w:val="right"/>
              <w:spacing w:after="0"/>
              <w:rPr>
                <w:sz w:val="20"/>
                <w:szCs w:val="20"/>
                <w:color w:val="auto"/>
              </w:rPr>
            </w:pPr>
            <w:r>
              <w:rPr>
                <w:rFonts w:ascii="Arial" w:cs="Arial" w:eastAsia="Arial" w:hAnsi="Arial"/>
                <w:sz w:val="11"/>
                <w:szCs w:val="11"/>
                <w:color w:val="005A64"/>
              </w:rPr>
              <w:t>18,838.5</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19,763.3</w:t>
            </w:r>
          </w:p>
        </w:tc>
      </w:tr>
      <w:tr>
        <w:trPr>
          <w:trHeight w:val="29"/>
        </w:trPr>
        <w:tc>
          <w:tcPr>
            <w:tcW w:w="738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Other reserves</w:t>
            </w:r>
          </w:p>
        </w:tc>
        <w:tc>
          <w:tcPr>
            <w:tcW w:w="1880" w:type="dxa"/>
            <w:vAlign w:val="bottom"/>
            <w:gridSpan w:val="2"/>
          </w:tcPr>
          <w:p>
            <w:pPr>
              <w:jc w:val="right"/>
              <w:spacing w:after="0"/>
              <w:rPr>
                <w:sz w:val="20"/>
                <w:szCs w:val="20"/>
                <w:color w:val="auto"/>
              </w:rPr>
            </w:pPr>
            <w:r>
              <w:rPr>
                <w:rFonts w:ascii="Arial" w:cs="Arial" w:eastAsia="Arial" w:hAnsi="Arial"/>
                <w:sz w:val="11"/>
                <w:szCs w:val="11"/>
                <w:color w:val="005A64"/>
              </w:rPr>
              <w:t>(1,336.8)</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(984.6)</w:t>
            </w:r>
          </w:p>
        </w:tc>
      </w:tr>
      <w:tr>
        <w:trPr>
          <w:trHeight w:val="29"/>
        </w:trPr>
        <w:tc>
          <w:tcPr>
            <w:tcW w:w="738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55"/>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b w:val="1"/>
                <w:bCs w:val="1"/>
                <w:color w:val="005A64"/>
              </w:rPr>
              <w:t>Total equity</w:t>
            </w:r>
          </w:p>
        </w:tc>
        <w:tc>
          <w:tcPr>
            <w:tcW w:w="1880" w:type="dxa"/>
            <w:vAlign w:val="bottom"/>
            <w:gridSpan w:val="2"/>
          </w:tcPr>
          <w:p>
            <w:pPr>
              <w:jc w:val="right"/>
              <w:spacing w:after="0"/>
              <w:rPr>
                <w:sz w:val="20"/>
                <w:szCs w:val="20"/>
                <w:color w:val="auto"/>
              </w:rPr>
            </w:pPr>
            <w:r>
              <w:rPr>
                <w:rFonts w:ascii="Arial" w:cs="Arial" w:eastAsia="Arial" w:hAnsi="Arial"/>
                <w:sz w:val="11"/>
                <w:szCs w:val="11"/>
                <w:b w:val="1"/>
                <w:bCs w:val="1"/>
                <w:color w:val="005A64"/>
              </w:rPr>
              <w:t>19,114.5</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Pr>
          <w:p>
            <w:pPr>
              <w:jc w:val="right"/>
              <w:spacing w:after="0"/>
              <w:rPr>
                <w:sz w:val="20"/>
                <w:szCs w:val="20"/>
                <w:color w:val="auto"/>
              </w:rPr>
            </w:pPr>
            <w:r>
              <w:rPr>
                <w:rFonts w:ascii="Arial" w:cs="Arial" w:eastAsia="Arial" w:hAnsi="Arial"/>
                <w:sz w:val="11"/>
                <w:szCs w:val="11"/>
                <w:b w:val="1"/>
                <w:bCs w:val="1"/>
                <w:color w:val="005A64"/>
              </w:rPr>
              <w:t>20,245.9</w:t>
            </w:r>
          </w:p>
        </w:tc>
      </w:tr>
      <w:tr>
        <w:trPr>
          <w:trHeight w:val="23"/>
        </w:trPr>
        <w:tc>
          <w:tcPr>
            <w:tcW w:w="738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Borders>
              <w:bottom w:val="single" w:sz="8" w:color="005A64"/>
            </w:tcBorders>
          </w:tcPr>
          <w:p>
            <w:pPr>
              <w:spacing w:after="0"/>
              <w:rPr>
                <w:sz w:val="2"/>
                <w:szCs w:val="2"/>
                <w:color w:val="auto"/>
              </w:rPr>
            </w:pPr>
          </w:p>
        </w:tc>
      </w:tr>
      <w:tr>
        <w:trPr>
          <w:trHeight w:val="155"/>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b w:val="1"/>
                <w:bCs w:val="1"/>
                <w:color w:val="3C9673"/>
              </w:rPr>
              <w:t>Non-current liabilities</w:t>
            </w: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3"/>
        </w:trPr>
        <w:tc>
          <w:tcPr>
            <w:tcW w:w="738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Lease liabilities, loans and borrowings</w:t>
            </w:r>
          </w:p>
        </w:tc>
        <w:tc>
          <w:tcPr>
            <w:tcW w:w="1880" w:type="dxa"/>
            <w:vAlign w:val="bottom"/>
            <w:gridSpan w:val="2"/>
          </w:tcPr>
          <w:p>
            <w:pPr>
              <w:jc w:val="right"/>
              <w:spacing w:after="0"/>
              <w:rPr>
                <w:sz w:val="20"/>
                <w:szCs w:val="20"/>
                <w:color w:val="auto"/>
              </w:rPr>
            </w:pPr>
            <w:r>
              <w:rPr>
                <w:rFonts w:ascii="Arial" w:cs="Arial" w:eastAsia="Arial" w:hAnsi="Arial"/>
                <w:sz w:val="11"/>
                <w:szCs w:val="11"/>
                <w:color w:val="005A64"/>
              </w:rPr>
              <w:t>206.3</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191.0</w:t>
            </w:r>
          </w:p>
        </w:tc>
      </w:tr>
      <w:tr>
        <w:trPr>
          <w:trHeight w:val="29"/>
        </w:trPr>
        <w:tc>
          <w:tcPr>
            <w:tcW w:w="738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Other financial liabilities</w:t>
            </w:r>
          </w:p>
        </w:tc>
        <w:tc>
          <w:tcPr>
            <w:tcW w:w="1880" w:type="dxa"/>
            <w:vAlign w:val="bottom"/>
            <w:gridSpan w:val="2"/>
          </w:tcPr>
          <w:p>
            <w:pPr>
              <w:jc w:val="right"/>
              <w:spacing w:after="0"/>
              <w:rPr>
                <w:sz w:val="20"/>
                <w:szCs w:val="20"/>
                <w:color w:val="auto"/>
              </w:rPr>
            </w:pPr>
            <w:r>
              <w:rPr>
                <w:rFonts w:ascii="Arial" w:cs="Arial" w:eastAsia="Arial" w:hAnsi="Arial"/>
                <w:sz w:val="11"/>
                <w:szCs w:val="11"/>
                <w:color w:val="005A64"/>
              </w:rPr>
              <w:t>44.3</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38.8</w:t>
            </w:r>
          </w:p>
        </w:tc>
      </w:tr>
      <w:tr>
        <w:trPr>
          <w:trHeight w:val="29"/>
        </w:trPr>
        <w:tc>
          <w:tcPr>
            <w:tcW w:w="738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Provisions</w:t>
            </w:r>
          </w:p>
        </w:tc>
        <w:tc>
          <w:tcPr>
            <w:tcW w:w="1880" w:type="dxa"/>
            <w:vAlign w:val="bottom"/>
            <w:gridSpan w:val="2"/>
          </w:tcPr>
          <w:p>
            <w:pPr>
              <w:jc w:val="right"/>
              <w:spacing w:after="0"/>
              <w:rPr>
                <w:sz w:val="20"/>
                <w:szCs w:val="20"/>
                <w:color w:val="auto"/>
              </w:rPr>
            </w:pPr>
            <w:r>
              <w:rPr>
                <w:rFonts w:ascii="Arial" w:cs="Arial" w:eastAsia="Arial" w:hAnsi="Arial"/>
                <w:sz w:val="11"/>
                <w:szCs w:val="11"/>
                <w:color w:val="005A64"/>
              </w:rPr>
              <w:t>8.5</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8.8</w:t>
            </w:r>
          </w:p>
        </w:tc>
      </w:tr>
      <w:tr>
        <w:trPr>
          <w:trHeight w:val="29"/>
        </w:trPr>
        <w:tc>
          <w:tcPr>
            <w:tcW w:w="738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Contract liabilities</w:t>
            </w:r>
          </w:p>
        </w:tc>
        <w:tc>
          <w:tcPr>
            <w:tcW w:w="1880" w:type="dxa"/>
            <w:vAlign w:val="bottom"/>
            <w:gridSpan w:val="2"/>
          </w:tcPr>
          <w:p>
            <w:pPr>
              <w:jc w:val="right"/>
              <w:spacing w:after="0"/>
              <w:rPr>
                <w:sz w:val="20"/>
                <w:szCs w:val="20"/>
                <w:color w:val="auto"/>
              </w:rPr>
            </w:pPr>
            <w:r>
              <w:rPr>
                <w:rFonts w:ascii="Arial" w:cs="Arial" w:eastAsia="Arial" w:hAnsi="Arial"/>
                <w:sz w:val="11"/>
                <w:szCs w:val="11"/>
                <w:color w:val="005A64"/>
              </w:rPr>
              <w:t>376.9</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398.5</w:t>
            </w:r>
          </w:p>
        </w:tc>
      </w:tr>
      <w:tr>
        <w:trPr>
          <w:trHeight w:val="29"/>
        </w:trPr>
        <w:tc>
          <w:tcPr>
            <w:tcW w:w="738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Other non-financial liabilities</w:t>
            </w:r>
          </w:p>
        </w:tc>
        <w:tc>
          <w:tcPr>
            <w:tcW w:w="1880" w:type="dxa"/>
            <w:vAlign w:val="bottom"/>
            <w:gridSpan w:val="2"/>
          </w:tcPr>
          <w:p>
            <w:pPr>
              <w:jc w:val="right"/>
              <w:spacing w:after="0"/>
              <w:rPr>
                <w:sz w:val="20"/>
                <w:szCs w:val="20"/>
                <w:color w:val="auto"/>
              </w:rPr>
            </w:pPr>
            <w:r>
              <w:rPr>
                <w:rFonts w:ascii="Arial" w:cs="Arial" w:eastAsia="Arial" w:hAnsi="Arial"/>
                <w:sz w:val="11"/>
                <w:szCs w:val="11"/>
                <w:color w:val="005A64"/>
              </w:rPr>
              <w:t>90.4</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13.1</w:t>
            </w:r>
          </w:p>
        </w:tc>
      </w:tr>
      <w:tr>
        <w:trPr>
          <w:trHeight w:val="29"/>
        </w:trPr>
        <w:tc>
          <w:tcPr>
            <w:tcW w:w="738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Deferred tax liabilities</w:t>
            </w:r>
          </w:p>
        </w:tc>
        <w:tc>
          <w:tcPr>
            <w:tcW w:w="1880" w:type="dxa"/>
            <w:vAlign w:val="bottom"/>
            <w:gridSpan w:val="2"/>
          </w:tcPr>
          <w:p>
            <w:pPr>
              <w:jc w:val="right"/>
              <w:spacing w:after="0"/>
              <w:rPr>
                <w:sz w:val="20"/>
                <w:szCs w:val="20"/>
                <w:color w:val="auto"/>
              </w:rPr>
            </w:pPr>
            <w:r>
              <w:rPr>
                <w:rFonts w:ascii="Arial" w:cs="Arial" w:eastAsia="Arial" w:hAnsi="Arial"/>
                <w:sz w:val="11"/>
                <w:szCs w:val="11"/>
                <w:color w:val="005A64"/>
              </w:rPr>
              <w:t>37.8</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39.7</w:t>
            </w:r>
          </w:p>
        </w:tc>
      </w:tr>
      <w:tr>
        <w:trPr>
          <w:trHeight w:val="29"/>
        </w:trPr>
        <w:tc>
          <w:tcPr>
            <w:tcW w:w="738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55"/>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b w:val="1"/>
                <w:bCs w:val="1"/>
                <w:color w:val="005A64"/>
              </w:rPr>
              <w:t>Total non-current liabilities</w:t>
            </w:r>
          </w:p>
        </w:tc>
        <w:tc>
          <w:tcPr>
            <w:tcW w:w="1880" w:type="dxa"/>
            <w:vAlign w:val="bottom"/>
            <w:gridSpan w:val="2"/>
          </w:tcPr>
          <w:p>
            <w:pPr>
              <w:jc w:val="right"/>
              <w:spacing w:after="0"/>
              <w:rPr>
                <w:sz w:val="20"/>
                <w:szCs w:val="20"/>
                <w:color w:val="auto"/>
              </w:rPr>
            </w:pPr>
            <w:r>
              <w:rPr>
                <w:rFonts w:ascii="Arial" w:cs="Arial" w:eastAsia="Arial" w:hAnsi="Arial"/>
                <w:sz w:val="11"/>
                <w:szCs w:val="11"/>
                <w:b w:val="1"/>
                <w:bCs w:val="1"/>
                <w:color w:val="005A64"/>
              </w:rPr>
              <w:t>764.2</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Pr>
          <w:p>
            <w:pPr>
              <w:jc w:val="right"/>
              <w:spacing w:after="0"/>
              <w:rPr>
                <w:sz w:val="20"/>
                <w:szCs w:val="20"/>
                <w:color w:val="auto"/>
              </w:rPr>
            </w:pPr>
            <w:r>
              <w:rPr>
                <w:rFonts w:ascii="Arial" w:cs="Arial" w:eastAsia="Arial" w:hAnsi="Arial"/>
                <w:sz w:val="11"/>
                <w:szCs w:val="11"/>
                <w:b w:val="1"/>
                <w:bCs w:val="1"/>
                <w:color w:val="005A64"/>
              </w:rPr>
              <w:t>689.9</w:t>
            </w:r>
          </w:p>
        </w:tc>
      </w:tr>
      <w:tr>
        <w:trPr>
          <w:trHeight w:val="23"/>
        </w:trPr>
        <w:tc>
          <w:tcPr>
            <w:tcW w:w="738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Borders>
              <w:bottom w:val="single" w:sz="8" w:color="005A64"/>
            </w:tcBorders>
          </w:tcPr>
          <w:p>
            <w:pPr>
              <w:spacing w:after="0"/>
              <w:rPr>
                <w:sz w:val="2"/>
                <w:szCs w:val="2"/>
                <w:color w:val="auto"/>
              </w:rPr>
            </w:pPr>
          </w:p>
        </w:tc>
      </w:tr>
      <w:tr>
        <w:trPr>
          <w:trHeight w:val="155"/>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b w:val="1"/>
                <w:bCs w:val="1"/>
                <w:color w:val="3C9673"/>
              </w:rPr>
              <w:t>Current liabilities</w:t>
            </w: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3"/>
        </w:trPr>
        <w:tc>
          <w:tcPr>
            <w:tcW w:w="738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Lease liabilities, loans and borrowings</w:t>
            </w:r>
          </w:p>
        </w:tc>
        <w:tc>
          <w:tcPr>
            <w:tcW w:w="1880" w:type="dxa"/>
            <w:vAlign w:val="bottom"/>
            <w:gridSpan w:val="2"/>
          </w:tcPr>
          <w:p>
            <w:pPr>
              <w:jc w:val="right"/>
              <w:spacing w:after="0"/>
              <w:rPr>
                <w:sz w:val="20"/>
                <w:szCs w:val="20"/>
                <w:color w:val="auto"/>
              </w:rPr>
            </w:pPr>
            <w:r>
              <w:rPr>
                <w:rFonts w:ascii="Arial" w:cs="Arial" w:eastAsia="Arial" w:hAnsi="Arial"/>
                <w:sz w:val="11"/>
                <w:szCs w:val="11"/>
                <w:color w:val="005A64"/>
              </w:rPr>
              <w:t>37.4</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28.1</w:t>
            </w:r>
          </w:p>
        </w:tc>
      </w:tr>
      <w:tr>
        <w:trPr>
          <w:trHeight w:val="29"/>
        </w:trPr>
        <w:tc>
          <w:tcPr>
            <w:tcW w:w="738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Trade payables and other payables</w:t>
            </w:r>
          </w:p>
        </w:tc>
        <w:tc>
          <w:tcPr>
            <w:tcW w:w="1880" w:type="dxa"/>
            <w:vAlign w:val="bottom"/>
            <w:gridSpan w:val="2"/>
          </w:tcPr>
          <w:p>
            <w:pPr>
              <w:jc w:val="right"/>
              <w:spacing w:after="0"/>
              <w:rPr>
                <w:sz w:val="20"/>
                <w:szCs w:val="20"/>
                <w:color w:val="auto"/>
              </w:rPr>
            </w:pPr>
            <w:r>
              <w:rPr>
                <w:rFonts w:ascii="Arial" w:cs="Arial" w:eastAsia="Arial" w:hAnsi="Arial"/>
                <w:sz w:val="11"/>
                <w:szCs w:val="11"/>
                <w:color w:val="005A64"/>
              </w:rPr>
              <w:t>762.6</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354.0</w:t>
            </w:r>
          </w:p>
        </w:tc>
      </w:tr>
      <w:tr>
        <w:trPr>
          <w:trHeight w:val="29"/>
        </w:trPr>
        <w:tc>
          <w:tcPr>
            <w:tcW w:w="738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Other financial liabilities</w:t>
            </w:r>
          </w:p>
        </w:tc>
        <w:tc>
          <w:tcPr>
            <w:tcW w:w="1880" w:type="dxa"/>
            <w:vAlign w:val="bottom"/>
            <w:gridSpan w:val="2"/>
          </w:tcPr>
          <w:p>
            <w:pPr>
              <w:jc w:val="right"/>
              <w:spacing w:after="0"/>
              <w:rPr>
                <w:sz w:val="20"/>
                <w:szCs w:val="20"/>
                <w:color w:val="auto"/>
              </w:rPr>
            </w:pPr>
            <w:r>
              <w:rPr>
                <w:rFonts w:ascii="Arial" w:cs="Arial" w:eastAsia="Arial" w:hAnsi="Arial"/>
                <w:sz w:val="11"/>
                <w:szCs w:val="11"/>
                <w:color w:val="005A64"/>
              </w:rPr>
              <w:t>241.6</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415.2</w:t>
            </w:r>
          </w:p>
        </w:tc>
      </w:tr>
      <w:tr>
        <w:trPr>
          <w:trHeight w:val="29"/>
        </w:trPr>
        <w:tc>
          <w:tcPr>
            <w:tcW w:w="738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Income tax liabilities</w:t>
            </w:r>
          </w:p>
        </w:tc>
        <w:tc>
          <w:tcPr>
            <w:tcW w:w="1880" w:type="dxa"/>
            <w:vAlign w:val="bottom"/>
            <w:gridSpan w:val="2"/>
          </w:tcPr>
          <w:p>
            <w:pPr>
              <w:jc w:val="right"/>
              <w:spacing w:after="0"/>
              <w:rPr>
                <w:sz w:val="20"/>
                <w:szCs w:val="20"/>
                <w:color w:val="auto"/>
              </w:rPr>
            </w:pPr>
            <w:r>
              <w:rPr>
                <w:rFonts w:ascii="Arial" w:cs="Arial" w:eastAsia="Arial" w:hAnsi="Arial"/>
                <w:sz w:val="11"/>
                <w:szCs w:val="11"/>
                <w:color w:val="005A64"/>
              </w:rPr>
              <w:t>363.6</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525.5</w:t>
            </w:r>
          </w:p>
        </w:tc>
      </w:tr>
      <w:tr>
        <w:trPr>
          <w:trHeight w:val="29"/>
        </w:trPr>
        <w:tc>
          <w:tcPr>
            <w:tcW w:w="738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Provisions</w:t>
            </w:r>
          </w:p>
        </w:tc>
        <w:tc>
          <w:tcPr>
            <w:tcW w:w="1880" w:type="dxa"/>
            <w:vAlign w:val="bottom"/>
            <w:gridSpan w:val="2"/>
          </w:tcPr>
          <w:p>
            <w:pPr>
              <w:jc w:val="right"/>
              <w:spacing w:after="0"/>
              <w:rPr>
                <w:sz w:val="20"/>
                <w:szCs w:val="20"/>
                <w:color w:val="auto"/>
              </w:rPr>
            </w:pPr>
            <w:r>
              <w:rPr>
                <w:rFonts w:ascii="Arial" w:cs="Arial" w:eastAsia="Arial" w:hAnsi="Arial"/>
                <w:sz w:val="11"/>
                <w:szCs w:val="11"/>
                <w:color w:val="005A64"/>
              </w:rPr>
              <w:t>731.5</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269.3</w:t>
            </w:r>
          </w:p>
        </w:tc>
      </w:tr>
      <w:tr>
        <w:trPr>
          <w:trHeight w:val="29"/>
        </w:trPr>
        <w:tc>
          <w:tcPr>
            <w:tcW w:w="738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Contract liabilities</w:t>
            </w:r>
          </w:p>
        </w:tc>
        <w:tc>
          <w:tcPr>
            <w:tcW w:w="1880" w:type="dxa"/>
            <w:vAlign w:val="bottom"/>
            <w:gridSpan w:val="2"/>
          </w:tcPr>
          <w:p>
            <w:pPr>
              <w:jc w:val="right"/>
              <w:spacing w:after="0"/>
              <w:rPr>
                <w:sz w:val="20"/>
                <w:szCs w:val="20"/>
                <w:color w:val="auto"/>
              </w:rPr>
            </w:pPr>
            <w:r>
              <w:rPr>
                <w:rFonts w:ascii="Arial" w:cs="Arial" w:eastAsia="Arial" w:hAnsi="Arial"/>
                <w:sz w:val="11"/>
                <w:szCs w:val="11"/>
                <w:color w:val="005A64"/>
              </w:rPr>
              <w:t>236.0</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353.3</w:t>
            </w:r>
          </w:p>
        </w:tc>
      </w:tr>
      <w:tr>
        <w:trPr>
          <w:trHeight w:val="29"/>
        </w:trPr>
        <w:tc>
          <w:tcPr>
            <w:tcW w:w="738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Other non-financial liabilities</w:t>
            </w:r>
          </w:p>
        </w:tc>
        <w:tc>
          <w:tcPr>
            <w:tcW w:w="1880" w:type="dxa"/>
            <w:vAlign w:val="bottom"/>
            <w:gridSpan w:val="2"/>
          </w:tcPr>
          <w:p>
            <w:pPr>
              <w:jc w:val="right"/>
              <w:spacing w:after="0"/>
              <w:rPr>
                <w:sz w:val="20"/>
                <w:szCs w:val="20"/>
                <w:color w:val="auto"/>
              </w:rPr>
            </w:pPr>
            <w:r>
              <w:rPr>
                <w:rFonts w:ascii="Arial" w:cs="Arial" w:eastAsia="Arial" w:hAnsi="Arial"/>
                <w:sz w:val="11"/>
                <w:szCs w:val="11"/>
                <w:color w:val="005A64"/>
              </w:rPr>
              <w:t>149.8</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125.1</w:t>
            </w:r>
          </w:p>
        </w:tc>
      </w:tr>
      <w:tr>
        <w:trPr>
          <w:trHeight w:val="29"/>
        </w:trPr>
        <w:tc>
          <w:tcPr>
            <w:tcW w:w="738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55"/>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b w:val="1"/>
                <w:bCs w:val="1"/>
                <w:color w:val="005A64"/>
              </w:rPr>
              <w:t>Total current liabilities</w:t>
            </w:r>
          </w:p>
        </w:tc>
        <w:tc>
          <w:tcPr>
            <w:tcW w:w="1880" w:type="dxa"/>
            <w:vAlign w:val="bottom"/>
            <w:gridSpan w:val="2"/>
          </w:tcPr>
          <w:p>
            <w:pPr>
              <w:jc w:val="right"/>
              <w:spacing w:after="0"/>
              <w:rPr>
                <w:sz w:val="20"/>
                <w:szCs w:val="20"/>
                <w:color w:val="auto"/>
              </w:rPr>
            </w:pPr>
            <w:r>
              <w:rPr>
                <w:rFonts w:ascii="Arial" w:cs="Arial" w:eastAsia="Arial" w:hAnsi="Arial"/>
                <w:sz w:val="11"/>
                <w:szCs w:val="11"/>
                <w:b w:val="1"/>
                <w:bCs w:val="1"/>
                <w:color w:val="005A64"/>
              </w:rPr>
              <w:t>2,522.5</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Pr>
          <w:p>
            <w:pPr>
              <w:jc w:val="right"/>
              <w:spacing w:after="0"/>
              <w:rPr>
                <w:sz w:val="20"/>
                <w:szCs w:val="20"/>
                <w:color w:val="auto"/>
              </w:rPr>
            </w:pPr>
            <w:r>
              <w:rPr>
                <w:rFonts w:ascii="Arial" w:cs="Arial" w:eastAsia="Arial" w:hAnsi="Arial"/>
                <w:sz w:val="11"/>
                <w:szCs w:val="11"/>
                <w:b w:val="1"/>
                <w:bCs w:val="1"/>
                <w:color w:val="005A64"/>
              </w:rPr>
              <w:t>2,070.5</w:t>
            </w:r>
          </w:p>
        </w:tc>
      </w:tr>
      <w:tr>
        <w:trPr>
          <w:trHeight w:val="23"/>
        </w:trPr>
        <w:tc>
          <w:tcPr>
            <w:tcW w:w="738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Borders>
              <w:bottom w:val="single" w:sz="8" w:color="005A64"/>
            </w:tcBorders>
          </w:tcPr>
          <w:p>
            <w:pPr>
              <w:spacing w:after="0"/>
              <w:rPr>
                <w:sz w:val="2"/>
                <w:szCs w:val="2"/>
                <w:color w:val="auto"/>
              </w:rPr>
            </w:pPr>
          </w:p>
        </w:tc>
      </w:tr>
      <w:tr>
        <w:trPr>
          <w:trHeight w:val="155"/>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b w:val="1"/>
                <w:bCs w:val="1"/>
                <w:color w:val="005A64"/>
              </w:rPr>
              <w:t>Total liabilities</w:t>
            </w:r>
          </w:p>
        </w:tc>
        <w:tc>
          <w:tcPr>
            <w:tcW w:w="1880" w:type="dxa"/>
            <w:vAlign w:val="bottom"/>
            <w:gridSpan w:val="2"/>
          </w:tcPr>
          <w:p>
            <w:pPr>
              <w:jc w:val="right"/>
              <w:spacing w:after="0"/>
              <w:rPr>
                <w:sz w:val="20"/>
                <w:szCs w:val="20"/>
                <w:color w:val="auto"/>
              </w:rPr>
            </w:pPr>
            <w:r>
              <w:rPr>
                <w:rFonts w:ascii="Arial" w:cs="Arial" w:eastAsia="Arial" w:hAnsi="Arial"/>
                <w:sz w:val="11"/>
                <w:szCs w:val="11"/>
                <w:b w:val="1"/>
                <w:bCs w:val="1"/>
                <w:color w:val="005A64"/>
              </w:rPr>
              <w:t>3,286.7</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Pr>
          <w:p>
            <w:pPr>
              <w:jc w:val="right"/>
              <w:spacing w:after="0"/>
              <w:rPr>
                <w:sz w:val="20"/>
                <w:szCs w:val="20"/>
                <w:color w:val="auto"/>
              </w:rPr>
            </w:pPr>
            <w:r>
              <w:rPr>
                <w:rFonts w:ascii="Arial" w:cs="Arial" w:eastAsia="Arial" w:hAnsi="Arial"/>
                <w:sz w:val="11"/>
                <w:szCs w:val="11"/>
                <w:b w:val="1"/>
                <w:bCs w:val="1"/>
                <w:color w:val="005A64"/>
              </w:rPr>
              <w:t>2,760.4</w:t>
            </w:r>
          </w:p>
        </w:tc>
      </w:tr>
      <w:tr>
        <w:trPr>
          <w:trHeight w:val="23"/>
        </w:trPr>
        <w:tc>
          <w:tcPr>
            <w:tcW w:w="738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Borders>
              <w:bottom w:val="single" w:sz="8" w:color="005A64"/>
            </w:tcBorders>
          </w:tcPr>
          <w:p>
            <w:pPr>
              <w:spacing w:after="0"/>
              <w:rPr>
                <w:sz w:val="2"/>
                <w:szCs w:val="2"/>
                <w:color w:val="auto"/>
              </w:rPr>
            </w:pPr>
          </w:p>
        </w:tc>
      </w:tr>
      <w:tr>
        <w:trPr>
          <w:trHeight w:val="155"/>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b w:val="1"/>
                <w:bCs w:val="1"/>
                <w:color w:val="005A64"/>
              </w:rPr>
              <w:t>Total equity and liabilities</w:t>
            </w:r>
          </w:p>
        </w:tc>
        <w:tc>
          <w:tcPr>
            <w:tcW w:w="1880" w:type="dxa"/>
            <w:vAlign w:val="bottom"/>
            <w:gridSpan w:val="2"/>
          </w:tcPr>
          <w:p>
            <w:pPr>
              <w:jc w:val="right"/>
              <w:spacing w:after="0"/>
              <w:rPr>
                <w:sz w:val="20"/>
                <w:szCs w:val="20"/>
                <w:color w:val="auto"/>
              </w:rPr>
            </w:pPr>
            <w:r>
              <w:rPr>
                <w:rFonts w:ascii="Arial" w:cs="Arial" w:eastAsia="Arial" w:hAnsi="Arial"/>
                <w:sz w:val="11"/>
                <w:szCs w:val="11"/>
                <w:b w:val="1"/>
                <w:bCs w:val="1"/>
                <w:color w:val="005A64"/>
              </w:rPr>
              <w:t>22,401.2</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Pr>
          <w:p>
            <w:pPr>
              <w:jc w:val="right"/>
              <w:spacing w:after="0"/>
              <w:rPr>
                <w:sz w:val="20"/>
                <w:szCs w:val="20"/>
                <w:color w:val="auto"/>
              </w:rPr>
            </w:pPr>
            <w:r>
              <w:rPr>
                <w:rFonts w:ascii="Arial" w:cs="Arial" w:eastAsia="Arial" w:hAnsi="Arial"/>
                <w:sz w:val="11"/>
                <w:szCs w:val="11"/>
                <w:b w:val="1"/>
                <w:bCs w:val="1"/>
                <w:color w:val="005A64"/>
              </w:rPr>
              <w:t>23,006.3</w:t>
            </w:r>
          </w:p>
        </w:tc>
      </w:tr>
      <w:tr>
        <w:trPr>
          <w:trHeight w:val="23"/>
        </w:trPr>
        <w:tc>
          <w:tcPr>
            <w:tcW w:w="738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Borders>
              <w:bottom w:val="single" w:sz="8" w:color="BECD32"/>
            </w:tcBorders>
          </w:tcPr>
          <w:p>
            <w:pPr>
              <w:spacing w:after="0"/>
              <w:rPr>
                <w:sz w:val="2"/>
                <w:szCs w:val="2"/>
                <w:color w:val="auto"/>
              </w:rPr>
            </w:pPr>
          </w:p>
        </w:tc>
        <w:tc>
          <w:tcPr>
            <w:tcW w:w="1800" w:type="dxa"/>
            <w:vAlign w:val="bottom"/>
            <w:tcBorders>
              <w:bottom w:val="single" w:sz="8" w:color="BECD32"/>
            </w:tcBorders>
          </w:tcPr>
          <w:p>
            <w:pPr>
              <w:spacing w:after="0"/>
              <w:rPr>
                <w:sz w:val="2"/>
                <w:szCs w:val="2"/>
                <w:color w:val="auto"/>
              </w:rPr>
            </w:pPr>
          </w:p>
        </w:tc>
        <w:tc>
          <w:tcPr>
            <w:tcW w:w="100" w:type="dxa"/>
            <w:vAlign w:val="bottom"/>
            <w:tcBorders>
              <w:bottom w:val="single" w:sz="8" w:color="BECD32"/>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Borders>
              <w:bottom w:val="single" w:sz="8" w:color="005A64"/>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300"/>
          </w:cols>
          <w:pgMar w:left="300" w:top="1440" w:right="299" w:bottom="1440" w:gutter="0" w:footer="0" w:header="0"/>
        </w:sectPr>
      </w:pPr>
    </w:p>
    <w:bookmarkStart w:id="16" w:name="page17"/>
    <w:bookmarkEnd w:id="16"/>
    <w:p>
      <w:pPr>
        <w:jc w:val="center"/>
        <w:ind w:right="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875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428750" cy="154305"/>
                    </a:xfrm>
                    <a:prstGeom prst="rect">
                      <a:avLst/>
                    </a:prstGeom>
                    <a:noFill/>
                  </pic:spPr>
                </pic:pic>
              </a:graphicData>
            </a:graphic>
          </wp:anchor>
        </w:drawing>
        <w:t>Interim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080885"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0885" cy="11430"/>
                    </a:xfrm>
                    <a:prstGeom prst="rect">
                      <a:avLst/>
                    </a:prstGeom>
                    <a:noFill/>
                  </pic:spPr>
                </pic:pic>
              </a:graphicData>
            </a:graphic>
          </wp:anchor>
        </w:drawing>
      </w:r>
    </w:p>
    <w:p>
      <w:pPr>
        <w:sectPr>
          <w:pgSz w:w="11900" w:h="16838" w:orient="portrait"/>
          <w:cols w:equalWidth="0" w:num="1">
            <w:col w:w="11260"/>
          </w:cols>
          <w:pgMar w:left="340" w:top="1399"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0"/>
          <w:szCs w:val="10"/>
          <w:i w:val="1"/>
          <w:iCs w:val="1"/>
          <w:color w:val="005A64"/>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0"/>
          <w:szCs w:val="10"/>
          <w:b w:val="1"/>
          <w:bCs w:val="1"/>
          <w:color w:val="3C9673"/>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374332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10"/>
          <w:szCs w:val="10"/>
          <w:color w:val="005A64"/>
        </w:rPr>
        <w:t>Net profit /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0"/>
          <w:szCs w:val="10"/>
          <w:color w:val="005A64"/>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0"/>
          <w:szCs w:val="10"/>
          <w:b w:val="1"/>
          <w:bCs w:val="1"/>
          <w:color w:val="005A64"/>
        </w:rPr>
        <w:t>Profit / (Loss)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374332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0"/>
          <w:szCs w:val="10"/>
          <w:b w:val="1"/>
          <w:bCs w:val="1"/>
          <w:color w:val="3C9673"/>
        </w:rPr>
        <w:t>Adjustments to reconcile profit before tax to net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374332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7" w:lineRule="exact"/>
        <w:rPr>
          <w:sz w:val="20"/>
          <w:szCs w:val="20"/>
          <w:color w:val="auto"/>
        </w:rPr>
      </w:pPr>
    </w:p>
    <w:p>
      <w:pPr>
        <w:ind w:left="80"/>
        <w:spacing w:after="0"/>
        <w:rPr>
          <w:sz w:val="20"/>
          <w:szCs w:val="20"/>
          <w:color w:val="auto"/>
        </w:rPr>
      </w:pPr>
      <w:r>
        <w:rPr>
          <w:rFonts w:ascii="Arial" w:cs="Arial" w:eastAsia="Arial" w:hAnsi="Arial"/>
          <w:sz w:val="10"/>
          <w:szCs w:val="10"/>
          <w:color w:val="005A64"/>
        </w:rPr>
        <w:t>Depreciation and amortization of property, plant, equipment, intangible assets and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ind w:left="80"/>
        <w:spacing w:after="0"/>
        <w:rPr>
          <w:sz w:val="20"/>
          <w:szCs w:val="20"/>
          <w:color w:val="auto"/>
        </w:rPr>
      </w:pPr>
      <w:r>
        <w:rPr>
          <w:rFonts w:ascii="Arial" w:cs="Arial" w:eastAsia="Arial" w:hAnsi="Arial"/>
          <w:sz w:val="10"/>
          <w:szCs w:val="10"/>
          <w:color w:val="005A64"/>
        </w:rPr>
        <w:t>Share-based payment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ind w:left="80"/>
        <w:spacing w:after="0"/>
        <w:rPr>
          <w:sz w:val="20"/>
          <w:szCs w:val="20"/>
          <w:color w:val="auto"/>
        </w:rPr>
      </w:pPr>
      <w:r>
        <w:rPr>
          <w:rFonts w:ascii="Arial" w:cs="Arial" w:eastAsia="Arial" w:hAnsi="Arial"/>
          <w:sz w:val="10"/>
          <w:szCs w:val="10"/>
          <w:color w:val="005A64"/>
        </w:rPr>
        <w:t>Net foreign exchange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ind w:left="80"/>
        <w:spacing w:after="0"/>
        <w:rPr>
          <w:sz w:val="20"/>
          <w:szCs w:val="20"/>
          <w:color w:val="auto"/>
        </w:rPr>
      </w:pPr>
      <w:r>
        <w:rPr>
          <w:rFonts w:ascii="Arial" w:cs="Arial" w:eastAsia="Arial" w:hAnsi="Arial"/>
          <w:sz w:val="10"/>
          <w:szCs w:val="10"/>
          <w:color w:val="005A64"/>
        </w:rPr>
        <w:t>(Gain) / Loss on disposal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ind w:left="80"/>
        <w:spacing w:after="0"/>
        <w:rPr>
          <w:sz w:val="20"/>
          <w:szCs w:val="20"/>
          <w:color w:val="auto"/>
        </w:rPr>
      </w:pPr>
      <w:r>
        <w:rPr>
          <w:rFonts w:ascii="Arial" w:cs="Arial" w:eastAsia="Arial" w:hAnsi="Arial"/>
          <w:sz w:val="10"/>
          <w:szCs w:val="10"/>
          <w:color w:val="005A64"/>
        </w:rPr>
        <w:t>Finance income excluding foreign exchange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ind w:left="80"/>
        <w:spacing w:after="0"/>
        <w:rPr>
          <w:sz w:val="20"/>
          <w:szCs w:val="20"/>
          <w:color w:val="auto"/>
        </w:rPr>
      </w:pPr>
      <w:r>
        <w:rPr>
          <w:rFonts w:ascii="Arial" w:cs="Arial" w:eastAsia="Arial" w:hAnsi="Arial"/>
          <w:sz w:val="10"/>
          <w:szCs w:val="10"/>
          <w:color w:val="005A64"/>
        </w:rPr>
        <w:t>Finance expense excluding foreign exchange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ind w:left="80"/>
        <w:spacing w:after="0"/>
        <w:rPr>
          <w:sz w:val="20"/>
          <w:szCs w:val="20"/>
          <w:color w:val="auto"/>
        </w:rPr>
      </w:pPr>
      <w:r>
        <w:rPr>
          <w:rFonts w:ascii="Arial" w:cs="Arial" w:eastAsia="Arial" w:hAnsi="Arial"/>
          <w:sz w:val="10"/>
          <w:szCs w:val="10"/>
          <w:color w:val="005A64"/>
        </w:rPr>
        <w:t>Government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1" w:lineRule="exact"/>
        <w:rPr>
          <w:sz w:val="20"/>
          <w:szCs w:val="20"/>
          <w:color w:val="auto"/>
        </w:rPr>
      </w:pPr>
    </w:p>
    <w:p>
      <w:pPr>
        <w:ind w:left="80"/>
        <w:spacing w:after="0"/>
        <w:rPr>
          <w:sz w:val="20"/>
          <w:szCs w:val="20"/>
          <w:color w:val="auto"/>
        </w:rPr>
      </w:pPr>
      <w:r>
        <w:rPr>
          <w:rFonts w:ascii="Arial" w:cs="Arial" w:eastAsia="Arial" w:hAnsi="Arial"/>
          <w:sz w:val="10"/>
          <w:szCs w:val="10"/>
          <w:color w:val="005A64"/>
        </w:rPr>
        <w:t>Unrealized (gain) / loss on derivative instruments at fair value through profit or loss</w:t>
      </w:r>
      <w:r>
        <w:rPr>
          <w:rFonts w:ascii="Arial" w:cs="Arial" w:eastAsia="Arial" w:hAnsi="Arial"/>
          <w:sz w:val="12"/>
          <w:szCs w:val="12"/>
          <w:color w:val="005A64"/>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wp:posOffset>
            </wp:positionV>
            <wp:extent cx="374332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0"/>
          <w:szCs w:val="10"/>
          <w:b w:val="1"/>
          <w:bCs w:val="1"/>
          <w:color w:val="3C9673"/>
        </w:rPr>
        <w:t>Working capital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374332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3" w:lineRule="exact"/>
        <w:rPr>
          <w:sz w:val="20"/>
          <w:szCs w:val="20"/>
          <w:color w:val="auto"/>
        </w:rPr>
      </w:pPr>
    </w:p>
    <w:p>
      <w:pPr>
        <w:ind w:left="80"/>
        <w:spacing w:after="0"/>
        <w:rPr>
          <w:sz w:val="20"/>
          <w:szCs w:val="20"/>
          <w:color w:val="auto"/>
        </w:rPr>
      </w:pPr>
      <w:r>
        <w:rPr>
          <w:rFonts w:ascii="Arial" w:cs="Arial" w:eastAsia="Arial" w:hAnsi="Arial"/>
          <w:sz w:val="10"/>
          <w:szCs w:val="10"/>
          <w:color w:val="005A64"/>
        </w:rPr>
        <w:t>Decrease / (Increase) in trade and other receivables, contract assets and other assets</w:t>
      </w:r>
      <w:r>
        <w:rPr>
          <w:rFonts w:ascii="Arial" w:cs="Arial" w:eastAsia="Arial" w:hAnsi="Arial"/>
          <w:sz w:val="12"/>
          <w:szCs w:val="12"/>
          <w:color w:val="005A64"/>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wp:posOffset>
            </wp:positionV>
            <wp:extent cx="3743325"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26" w:lineRule="exact"/>
        <w:rPr>
          <w:sz w:val="20"/>
          <w:szCs w:val="20"/>
          <w:color w:val="auto"/>
        </w:rPr>
      </w:pPr>
    </w:p>
    <w:p>
      <w:pPr>
        <w:ind w:left="80"/>
        <w:spacing w:after="0"/>
        <w:rPr>
          <w:sz w:val="20"/>
          <w:szCs w:val="20"/>
          <w:color w:val="auto"/>
        </w:rPr>
      </w:pPr>
      <w:r>
        <w:rPr>
          <w:rFonts w:ascii="Arial" w:cs="Arial" w:eastAsia="Arial" w:hAnsi="Arial"/>
          <w:sz w:val="10"/>
          <w:szCs w:val="10"/>
          <w:color w:val="005A64"/>
        </w:rPr>
        <w:t>Decrease in 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ind w:left="80"/>
        <w:spacing w:after="0"/>
        <w:rPr>
          <w:sz w:val="20"/>
          <w:szCs w:val="20"/>
          <w:color w:val="auto"/>
        </w:rPr>
      </w:pPr>
      <w:r>
        <w:rPr>
          <w:rFonts w:ascii="Arial" w:cs="Arial" w:eastAsia="Arial" w:hAnsi="Arial"/>
          <w:sz w:val="8"/>
          <w:szCs w:val="8"/>
          <w:color w:val="005A64"/>
        </w:rPr>
        <w:t>(Decrease) / Increase in trade payables, other financial liabilities, other liabilities, contract liabilities, refund liabilities and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374332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Arial" w:cs="Arial" w:eastAsia="Arial" w:hAnsi="Arial"/>
          <w:sz w:val="10"/>
          <w:szCs w:val="10"/>
          <w:color w:val="005A64"/>
        </w:rPr>
        <w:t>Interest received and realized gains from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0"/>
          <w:szCs w:val="10"/>
          <w:color w:val="005A64"/>
        </w:rPr>
        <w:t>Interest paid and realized losses from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Arial" w:cs="Arial" w:eastAsia="Arial" w:hAnsi="Arial"/>
          <w:sz w:val="10"/>
          <w:szCs w:val="10"/>
          <w:color w:val="005A64"/>
        </w:rPr>
        <w:t>Income tax received / (paid), net</w:t>
      </w:r>
      <w:r>
        <w:rPr>
          <w:rFonts w:ascii="Arial" w:cs="Arial" w:eastAsia="Arial" w:hAnsi="Arial"/>
          <w:sz w:val="12"/>
          <w:szCs w:val="12"/>
          <w:color w:val="005A64"/>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wp:posOffset>
            </wp:positionV>
            <wp:extent cx="374332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0"/>
          <w:szCs w:val="10"/>
          <w:color w:val="005A64"/>
        </w:rPr>
        <w:t>Share-based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0"/>
          <w:szCs w:val="10"/>
          <w:color w:val="005A64"/>
        </w:rPr>
        <w:t>Government grants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0"/>
          <w:szCs w:val="10"/>
          <w:b w:val="1"/>
          <w:bCs w:val="1"/>
          <w:color w:val="005A64"/>
        </w:rPr>
        <w:t>Net cash flows from /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374332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0"/>
          <w:szCs w:val="10"/>
          <w:b w:val="1"/>
          <w:bCs w:val="1"/>
          <w:color w:val="3C9673"/>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374332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10"/>
          <w:szCs w:val="10"/>
          <w:color w:val="005A64"/>
        </w:rPr>
        <w:t>Purchase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0"/>
          <w:szCs w:val="10"/>
          <w:color w:val="005A64"/>
        </w:rPr>
        <w:t>Proceeds from sale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0"/>
          <w:szCs w:val="10"/>
          <w:color w:val="005A64"/>
        </w:rPr>
        <w:t>Purchase of intangible assets and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0"/>
          <w:szCs w:val="10"/>
          <w:color w:val="005A64"/>
        </w:rPr>
        <w:t>Acquisition of subsidiaries and businesses,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Arial" w:cs="Arial" w:eastAsia="Arial" w:hAnsi="Arial"/>
          <w:sz w:val="10"/>
          <w:szCs w:val="10"/>
          <w:color w:val="005A64"/>
        </w:rPr>
        <w:t>Investment in other financial assets</w:t>
      </w:r>
      <w:r>
        <w:rPr>
          <w:rFonts w:ascii="Arial" w:cs="Arial" w:eastAsia="Arial" w:hAnsi="Arial"/>
          <w:sz w:val="12"/>
          <w:szCs w:val="12"/>
          <w:color w:val="005A64"/>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wp:posOffset>
            </wp:positionV>
            <wp:extent cx="374332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0"/>
          <w:szCs w:val="10"/>
          <w:color w:val="005A64"/>
        </w:rPr>
        <w:t>Proceeds from maturity of other financial assets</w:t>
      </w:r>
      <w:r>
        <w:rPr>
          <w:rFonts w:ascii="Arial" w:cs="Arial" w:eastAsia="Arial" w:hAnsi="Arial"/>
          <w:sz w:val="12"/>
          <w:szCs w:val="12"/>
          <w:color w:val="005A64"/>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wp:posOffset>
            </wp:positionV>
            <wp:extent cx="374332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0"/>
          <w:szCs w:val="10"/>
          <w:b w:val="1"/>
          <w:bCs w:val="1"/>
          <w:color w:val="005A64"/>
        </w:rPr>
        <w:t>Net cash flows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374332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0"/>
          <w:szCs w:val="10"/>
          <w:b w:val="1"/>
          <w:bCs w:val="1"/>
          <w:color w:val="3C9673"/>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374332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10"/>
          <w:szCs w:val="10"/>
          <w:color w:val="005A64"/>
        </w:rPr>
        <w:t>Proceeds from loans and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0"/>
          <w:szCs w:val="10"/>
          <w:color w:val="005A64"/>
        </w:rPr>
        <w:t>Repayment of loans and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0"/>
          <w:szCs w:val="10"/>
          <w:color w:val="005A64"/>
        </w:rPr>
        <w:t>Payments related to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0"/>
          <w:szCs w:val="10"/>
          <w:color w:val="005A64"/>
        </w:rPr>
        <w:t>Share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0"/>
          <w:szCs w:val="10"/>
          <w:b w:val="1"/>
          <w:bCs w:val="1"/>
          <w:color w:val="005A64"/>
        </w:rPr>
        <w:t>Net cash flows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374332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10"/>
          <w:szCs w:val="10"/>
          <w:color w:val="005A64"/>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0"/>
          <w:szCs w:val="10"/>
          <w:color w:val="005A64"/>
        </w:rPr>
        <w:t>Change in cash and cash equivalents resulting from exchange rate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0"/>
          <w:szCs w:val="10"/>
          <w:color w:val="005A64"/>
        </w:rPr>
        <w:t>Change in cash and cash equivalents resulting from other valuation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0"/>
          <w:szCs w:val="10"/>
          <w:color w:val="005A64"/>
        </w:rPr>
        <w:t>Cash and cash equivalents at the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0"/>
          <w:szCs w:val="10"/>
          <w:b w:val="1"/>
          <w:bCs w:val="1"/>
          <w:color w:val="005A64"/>
        </w:rPr>
        <w:t>Cash and cash equivalents 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374332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31"/>
        </w:trPr>
        <w:tc>
          <w:tcPr>
            <w:tcW w:w="80" w:type="dxa"/>
            <w:vAlign w:val="bottom"/>
          </w:tcPr>
          <w:p>
            <w:pPr>
              <w:spacing w:after="0"/>
              <w:rPr>
                <w:sz w:val="11"/>
                <w:szCs w:val="11"/>
                <w:color w:val="auto"/>
              </w:rPr>
            </w:pPr>
          </w:p>
        </w:tc>
        <w:tc>
          <w:tcPr>
            <w:tcW w:w="1820" w:type="dxa"/>
            <w:vAlign w:val="bottom"/>
            <w:gridSpan w:val="4"/>
          </w:tcPr>
          <w:p>
            <w:pPr>
              <w:jc w:val="center"/>
              <w:ind w:left="592"/>
              <w:spacing w:after="0"/>
              <w:rPr>
                <w:sz w:val="20"/>
                <w:szCs w:val="20"/>
                <w:color w:val="auto"/>
              </w:rPr>
            </w:pPr>
            <w:r>
              <w:rPr>
                <w:rFonts w:ascii="Arial" w:cs="Arial" w:eastAsia="Arial" w:hAnsi="Arial"/>
                <w:sz w:val="10"/>
                <w:szCs w:val="10"/>
                <w:b w:val="1"/>
                <w:bCs w:val="1"/>
                <w:color w:val="005A64"/>
                <w:w w:val="95"/>
              </w:rPr>
              <w:t>Three months ended</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gridSpan w:val="4"/>
          </w:tcPr>
          <w:p>
            <w:pPr>
              <w:jc w:val="center"/>
              <w:ind w:left="572"/>
              <w:spacing w:after="0"/>
              <w:rPr>
                <w:sz w:val="20"/>
                <w:szCs w:val="20"/>
                <w:color w:val="auto"/>
              </w:rPr>
            </w:pPr>
            <w:r>
              <w:rPr>
                <w:rFonts w:ascii="Arial" w:cs="Arial" w:eastAsia="Arial" w:hAnsi="Arial"/>
                <w:sz w:val="10"/>
                <w:szCs w:val="10"/>
                <w:b w:val="1"/>
                <w:bCs w:val="1"/>
                <w:color w:val="005A64"/>
                <w:w w:val="96"/>
              </w:rPr>
              <w:t>Nine months ended</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820" w:type="dxa"/>
            <w:vAlign w:val="bottom"/>
            <w:gridSpan w:val="4"/>
          </w:tcPr>
          <w:p>
            <w:pPr>
              <w:jc w:val="center"/>
              <w:ind w:left="592"/>
              <w:spacing w:after="0"/>
              <w:rPr>
                <w:sz w:val="20"/>
                <w:szCs w:val="20"/>
                <w:color w:val="auto"/>
              </w:rPr>
            </w:pPr>
            <w:r>
              <w:rPr>
                <w:rFonts w:ascii="Arial" w:cs="Arial" w:eastAsia="Arial" w:hAnsi="Arial"/>
                <w:sz w:val="10"/>
                <w:szCs w:val="10"/>
                <w:b w:val="1"/>
                <w:bCs w:val="1"/>
                <w:color w:val="005A64"/>
                <w:w w:val="96"/>
              </w:rPr>
              <w:t>September 30,</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gridSpan w:val="4"/>
          </w:tcPr>
          <w:p>
            <w:pPr>
              <w:jc w:val="center"/>
              <w:ind w:left="572"/>
              <w:spacing w:after="0"/>
              <w:rPr>
                <w:sz w:val="20"/>
                <w:szCs w:val="20"/>
                <w:color w:val="auto"/>
              </w:rPr>
            </w:pPr>
            <w:r>
              <w:rPr>
                <w:rFonts w:ascii="Arial" w:cs="Arial" w:eastAsia="Arial" w:hAnsi="Arial"/>
                <w:sz w:val="10"/>
                <w:szCs w:val="10"/>
                <w:b w:val="1"/>
                <w:bCs w:val="1"/>
                <w:color w:val="005A64"/>
                <w:w w:val="96"/>
              </w:rPr>
              <w:t>September 30,</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1220" w:type="dxa"/>
            <w:vAlign w:val="bottom"/>
            <w:tcBorders>
              <w:bottom w:val="single" w:sz="8" w:color="BECD32"/>
            </w:tcBorders>
            <w:gridSpan w:val="2"/>
          </w:tcPr>
          <w:p>
            <w:pPr>
              <w:spacing w:after="0"/>
              <w:rPr>
                <w:sz w:val="8"/>
                <w:szCs w:val="8"/>
                <w:color w:val="auto"/>
              </w:rPr>
            </w:pPr>
          </w:p>
        </w:tc>
        <w:tc>
          <w:tcPr>
            <w:tcW w:w="100" w:type="dxa"/>
            <w:vAlign w:val="bottom"/>
            <w:tcBorders>
              <w:bottom w:val="single" w:sz="8" w:color="BECD32"/>
            </w:tcBorders>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10"/>
                <w:szCs w:val="10"/>
                <w:b w:val="1"/>
                <w:bCs w:val="1"/>
                <w:color w:val="005A64"/>
              </w:rPr>
              <w:t>2023</w:t>
            </w:r>
          </w:p>
        </w:tc>
        <w:tc>
          <w:tcPr>
            <w:tcW w:w="100" w:type="dxa"/>
            <w:vAlign w:val="bottom"/>
          </w:tcPr>
          <w:p>
            <w:pPr>
              <w:spacing w:after="0"/>
              <w:rPr>
                <w:sz w:val="8"/>
                <w:szCs w:val="8"/>
                <w:color w:val="auto"/>
              </w:rPr>
            </w:pPr>
          </w:p>
        </w:tc>
        <w:tc>
          <w:tcPr>
            <w:tcW w:w="1220" w:type="dxa"/>
            <w:vAlign w:val="bottom"/>
            <w:tcBorders>
              <w:bottom w:val="single" w:sz="8" w:color="BECD32"/>
            </w:tcBorders>
            <w:gridSpan w:val="2"/>
          </w:tcPr>
          <w:p>
            <w:pPr>
              <w:spacing w:after="0"/>
              <w:rPr>
                <w:sz w:val="8"/>
                <w:szCs w:val="8"/>
                <w:color w:val="auto"/>
              </w:rPr>
            </w:pPr>
          </w:p>
        </w:tc>
        <w:tc>
          <w:tcPr>
            <w:tcW w:w="100" w:type="dxa"/>
            <w:vAlign w:val="bottom"/>
            <w:tcBorders>
              <w:bottom w:val="single" w:sz="8" w:color="BECD32"/>
            </w:tcBorders>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10"/>
                <w:szCs w:val="10"/>
                <w:b w:val="1"/>
                <w:bCs w:val="1"/>
                <w:color w:val="005A64"/>
              </w:rPr>
              <w:t>2023</w:t>
            </w:r>
          </w:p>
        </w:tc>
        <w:tc>
          <w:tcPr>
            <w:tcW w:w="0" w:type="dxa"/>
            <w:vAlign w:val="bottom"/>
          </w:tcPr>
          <w:p>
            <w:pPr>
              <w:spacing w:after="0"/>
              <w:rPr>
                <w:sz w:val="1"/>
                <w:szCs w:val="1"/>
                <w:color w:val="auto"/>
              </w:rPr>
            </w:pPr>
          </w:p>
        </w:tc>
      </w:tr>
      <w:tr>
        <w:trPr>
          <w:trHeight w:val="140"/>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b w:val="1"/>
                <w:bCs w:val="1"/>
                <w:color w:val="005A64"/>
              </w:rPr>
              <w:t>2024</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00" w:type="dxa"/>
            <w:vAlign w:val="bottom"/>
            <w:tcBorders>
              <w:right w:val="single" w:sz="8" w:color="BECD32"/>
            </w:tcBorders>
          </w:tcPr>
          <w:p>
            <w:pPr>
              <w:spacing w:after="0"/>
              <w:rPr>
                <w:sz w:val="12"/>
                <w:szCs w:val="12"/>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b w:val="1"/>
                <w:bCs w:val="1"/>
                <w:color w:val="005A64"/>
              </w:rPr>
              <w:t>2024</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0" w:type="dxa"/>
            <w:vAlign w:val="bottom"/>
            <w:tcBorders>
              <w:left w:val="single" w:sz="8" w:color="BECD32"/>
            </w:tcBorders>
          </w:tcPr>
          <w:p>
            <w:pPr>
              <w:spacing w:after="0"/>
              <w:rPr>
                <w:sz w:val="14"/>
                <w:szCs w:val="14"/>
                <w:color w:val="auto"/>
              </w:rPr>
            </w:pPr>
          </w:p>
        </w:tc>
        <w:tc>
          <w:tcPr>
            <w:tcW w:w="1240" w:type="dxa"/>
            <w:vAlign w:val="bottom"/>
            <w:tcBorders>
              <w:right w:val="single" w:sz="8" w:color="BECD32"/>
            </w:tcBorders>
            <w:gridSpan w:val="2"/>
          </w:tcPr>
          <w:p>
            <w:pPr>
              <w:ind w:left="640"/>
              <w:spacing w:after="0"/>
              <w:rPr>
                <w:sz w:val="20"/>
                <w:szCs w:val="20"/>
                <w:color w:val="auto"/>
              </w:rPr>
            </w:pPr>
            <w:r>
              <w:rPr>
                <w:rFonts w:ascii="Arial" w:cs="Arial" w:eastAsia="Arial" w:hAnsi="Arial"/>
                <w:sz w:val="10"/>
                <w:szCs w:val="10"/>
                <w:i w:val="1"/>
                <w:iCs w:val="1"/>
                <w:color w:val="005A64"/>
              </w:rPr>
              <w:t>(unaudited)</w:t>
            </w:r>
          </w:p>
        </w:tc>
        <w:tc>
          <w:tcPr>
            <w:tcW w:w="580" w:type="dxa"/>
            <w:vAlign w:val="bottom"/>
            <w:gridSpan w:val="2"/>
          </w:tcPr>
          <w:p>
            <w:pPr>
              <w:spacing w:after="0"/>
              <w:rPr>
                <w:sz w:val="14"/>
                <w:szCs w:val="14"/>
                <w:color w:val="auto"/>
              </w:rPr>
            </w:pPr>
          </w:p>
        </w:tc>
        <w:tc>
          <w:tcPr>
            <w:tcW w:w="720" w:type="dxa"/>
            <w:vAlign w:val="bottom"/>
            <w:tcBorders>
              <w:right w:val="single" w:sz="8" w:color="BECD32"/>
            </w:tcBorders>
            <w:gridSpan w:val="2"/>
          </w:tcPr>
          <w:p>
            <w:pPr>
              <w:ind w:left="140"/>
              <w:spacing w:after="0"/>
              <w:rPr>
                <w:sz w:val="20"/>
                <w:szCs w:val="20"/>
                <w:color w:val="auto"/>
              </w:rPr>
            </w:pPr>
            <w:r>
              <w:rPr>
                <w:rFonts w:ascii="Arial" w:cs="Arial" w:eastAsia="Arial" w:hAnsi="Arial"/>
                <w:sz w:val="10"/>
                <w:szCs w:val="10"/>
                <w:i w:val="1"/>
                <w:iCs w:val="1"/>
                <w:color w:val="005A64"/>
              </w:rPr>
              <w:t>(unaudited)</w:t>
            </w:r>
          </w:p>
        </w:tc>
        <w:tc>
          <w:tcPr>
            <w:tcW w:w="80" w:type="dxa"/>
            <w:vAlign w:val="bottom"/>
          </w:tcPr>
          <w:p>
            <w:pPr>
              <w:spacing w:after="0"/>
              <w:rPr>
                <w:sz w:val="14"/>
                <w:szCs w:val="14"/>
                <w:color w:val="auto"/>
              </w:rPr>
            </w:pPr>
          </w:p>
        </w:tc>
        <w:tc>
          <w:tcPr>
            <w:tcW w:w="1240" w:type="dxa"/>
            <w:vAlign w:val="bottom"/>
            <w:tcBorders>
              <w:right w:val="single" w:sz="8" w:color="BECD32"/>
            </w:tcBorders>
            <w:gridSpan w:val="2"/>
          </w:tcPr>
          <w:p>
            <w:pPr>
              <w:ind w:left="640"/>
              <w:spacing w:after="0"/>
              <w:rPr>
                <w:sz w:val="20"/>
                <w:szCs w:val="20"/>
                <w:color w:val="auto"/>
              </w:rPr>
            </w:pPr>
            <w:r>
              <w:rPr>
                <w:rFonts w:ascii="Arial" w:cs="Arial" w:eastAsia="Arial" w:hAnsi="Arial"/>
                <w:sz w:val="10"/>
                <w:szCs w:val="10"/>
                <w:i w:val="1"/>
                <w:iCs w:val="1"/>
                <w:color w:val="005A64"/>
              </w:rPr>
              <w:t>(unaudited)</w:t>
            </w:r>
          </w:p>
        </w:tc>
        <w:tc>
          <w:tcPr>
            <w:tcW w:w="560" w:type="dxa"/>
            <w:vAlign w:val="bottom"/>
            <w:gridSpan w:val="2"/>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0"/>
                <w:szCs w:val="10"/>
                <w:i w:val="1"/>
                <w:iCs w:val="1"/>
                <w:color w:val="005A64"/>
              </w:rPr>
              <w:t>(unaudited)</w:t>
            </w:r>
          </w:p>
        </w:tc>
        <w:tc>
          <w:tcPr>
            <w:tcW w:w="0" w:type="dxa"/>
            <w:vAlign w:val="bottom"/>
          </w:tcPr>
          <w:p>
            <w:pPr>
              <w:spacing w:after="0"/>
              <w:rPr>
                <w:sz w:val="1"/>
                <w:szCs w:val="1"/>
                <w:color w:val="auto"/>
              </w:rPr>
            </w:pPr>
          </w:p>
        </w:tc>
      </w:tr>
      <w:tr>
        <w:trPr>
          <w:trHeight w:val="24"/>
        </w:trPr>
        <w:tc>
          <w:tcPr>
            <w:tcW w:w="1220" w:type="dxa"/>
            <w:vAlign w:val="bottom"/>
            <w:tcBorders>
              <w:left w:val="single" w:sz="8" w:color="BECD32"/>
            </w:tcBorders>
            <w:gridSpan w:val="2"/>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1220" w:type="dxa"/>
            <w:vAlign w:val="bottom"/>
            <w:gridSpan w:val="2"/>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80" w:type="dxa"/>
            <w:vAlign w:val="bottom"/>
            <w:tcBorders>
              <w:left w:val="single" w:sz="8" w:color="BECD32"/>
            </w:tcBorders>
          </w:tcPr>
          <w:p>
            <w:pPr>
              <w:spacing w:after="0"/>
              <w:rPr>
                <w:sz w:val="13"/>
                <w:szCs w:val="13"/>
                <w:color w:val="auto"/>
              </w:rPr>
            </w:pPr>
          </w:p>
        </w:tc>
        <w:tc>
          <w:tcPr>
            <w:tcW w:w="1140" w:type="dxa"/>
            <w:vAlign w:val="bottom"/>
            <w:tcBorders>
              <w:top w:val="single" w:sz="8" w:color="005A64"/>
              <w:bottom w:val="single" w:sz="8" w:color="7FACB1"/>
            </w:tcBorders>
          </w:tcPr>
          <w:p>
            <w:pPr>
              <w:spacing w:after="0"/>
              <w:rPr>
                <w:sz w:val="13"/>
                <w:szCs w:val="13"/>
                <w:color w:val="auto"/>
              </w:rPr>
            </w:pP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top w:val="single" w:sz="8" w:color="005A64"/>
              <w:bottom w:val="single" w:sz="8" w:color="7FACB1"/>
            </w:tcBorders>
          </w:tcPr>
          <w:p>
            <w:pPr>
              <w:spacing w:after="0"/>
              <w:rPr>
                <w:sz w:val="13"/>
                <w:szCs w:val="13"/>
                <w:color w:val="auto"/>
              </w:rPr>
            </w:pPr>
          </w:p>
        </w:tc>
        <w:tc>
          <w:tcPr>
            <w:tcW w:w="620" w:type="dxa"/>
            <w:vAlign w:val="bottom"/>
            <w:tcBorders>
              <w:top w:val="single" w:sz="8" w:color="005A64"/>
              <w:bottom w:val="single" w:sz="8" w:color="7FACB1"/>
            </w:tcBorders>
          </w:tcPr>
          <w:p>
            <w:pPr>
              <w:spacing w:after="0"/>
              <w:rPr>
                <w:sz w:val="13"/>
                <w:szCs w:val="13"/>
                <w:color w:val="auto"/>
              </w:rPr>
            </w:pPr>
          </w:p>
        </w:tc>
        <w:tc>
          <w:tcPr>
            <w:tcW w:w="100" w:type="dxa"/>
            <w:vAlign w:val="bottom"/>
            <w:tcBorders>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Borders>
              <w:top w:val="single" w:sz="8" w:color="005A64"/>
              <w:bottom w:val="single" w:sz="8" w:color="7FACB1"/>
            </w:tcBorders>
          </w:tcPr>
          <w:p>
            <w:pPr>
              <w:spacing w:after="0"/>
              <w:rPr>
                <w:sz w:val="13"/>
                <w:szCs w:val="13"/>
                <w:color w:val="auto"/>
              </w:rPr>
            </w:pP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Borders>
              <w:top w:val="single" w:sz="8" w:color="005A64"/>
              <w:bottom w:val="single" w:sz="8" w:color="7FACB1"/>
            </w:tcBorders>
          </w:tcPr>
          <w:p>
            <w:pPr>
              <w:spacing w:after="0"/>
              <w:rPr>
                <w:sz w:val="13"/>
                <w:szCs w:val="13"/>
                <w:color w:val="auto"/>
              </w:rPr>
            </w:pPr>
          </w:p>
        </w:tc>
        <w:tc>
          <w:tcPr>
            <w:tcW w:w="640" w:type="dxa"/>
            <w:vAlign w:val="bottom"/>
            <w:tcBorders>
              <w:top w:val="single" w:sz="8" w:color="005A64"/>
              <w:bottom w:val="single" w:sz="8" w:color="7FACB1"/>
            </w:tcBorders>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198.1</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160.6</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(924.8)</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005A64"/>
              </w:rPr>
              <w:t>472.4</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7FACB1"/>
            </w:tcBorders>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(39.4)</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66.8</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(54.1)</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005A64"/>
              </w:rPr>
              <w:t>50.5</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7FACB1"/>
            </w:tcBorders>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220" w:type="dxa"/>
            <w:vAlign w:val="bottom"/>
            <w:tcBorders>
              <w:left w:val="single" w:sz="8" w:color="BECD32"/>
              <w:bottom w:val="single" w:sz="8" w:color="005A64"/>
            </w:tcBorders>
            <w:gridSpan w:val="2"/>
          </w:tcPr>
          <w:p>
            <w:pPr>
              <w:jc w:val="right"/>
              <w:spacing w:after="0"/>
              <w:rPr>
                <w:sz w:val="20"/>
                <w:szCs w:val="20"/>
                <w:color w:val="auto"/>
              </w:rPr>
            </w:pPr>
            <w:r>
              <w:rPr>
                <w:rFonts w:ascii="Arial" w:cs="Arial" w:eastAsia="Arial" w:hAnsi="Arial"/>
                <w:sz w:val="10"/>
                <w:szCs w:val="10"/>
                <w:b w:val="1"/>
                <w:bCs w:val="1"/>
                <w:color w:val="005A64"/>
              </w:rPr>
              <w:t>158.7</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005A64"/>
            </w:tcBorders>
          </w:tcPr>
          <w:p>
            <w:pPr>
              <w:spacing w:after="0"/>
              <w:rPr>
                <w:sz w:val="12"/>
                <w:szCs w:val="12"/>
                <w:color w:val="auto"/>
              </w:rPr>
            </w:pPr>
          </w:p>
        </w:tc>
        <w:tc>
          <w:tcPr>
            <w:tcW w:w="62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227.4</w:t>
            </w:r>
          </w:p>
        </w:tc>
        <w:tc>
          <w:tcPr>
            <w:tcW w:w="100" w:type="dxa"/>
            <w:vAlign w:val="bottom"/>
            <w:tcBorders>
              <w:right w:val="single" w:sz="8" w:color="BECD32"/>
            </w:tcBorders>
          </w:tcPr>
          <w:p>
            <w:pPr>
              <w:spacing w:after="0"/>
              <w:rPr>
                <w:sz w:val="12"/>
                <w:szCs w:val="12"/>
                <w:color w:val="auto"/>
              </w:rPr>
            </w:pPr>
          </w:p>
        </w:tc>
        <w:tc>
          <w:tcPr>
            <w:tcW w:w="1220" w:type="dxa"/>
            <w:vAlign w:val="bottom"/>
            <w:tcBorders>
              <w:bottom w:val="single" w:sz="8" w:color="005A64"/>
            </w:tcBorders>
            <w:gridSpan w:val="2"/>
          </w:tcPr>
          <w:p>
            <w:pPr>
              <w:jc w:val="right"/>
              <w:spacing w:after="0"/>
              <w:rPr>
                <w:sz w:val="20"/>
                <w:szCs w:val="20"/>
                <w:color w:val="auto"/>
              </w:rPr>
            </w:pPr>
            <w:r>
              <w:rPr>
                <w:rFonts w:ascii="Arial" w:cs="Arial" w:eastAsia="Arial" w:hAnsi="Arial"/>
                <w:sz w:val="10"/>
                <w:szCs w:val="10"/>
                <w:b w:val="1"/>
                <w:bCs w:val="1"/>
                <w:color w:val="005A64"/>
              </w:rPr>
              <w:t>(978.9)</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005A64"/>
            </w:tcBorders>
          </w:tcPr>
          <w:p>
            <w:pPr>
              <w:spacing w:after="0"/>
              <w:rPr>
                <w:sz w:val="12"/>
                <w:szCs w:val="12"/>
                <w:color w:val="auto"/>
              </w:rPr>
            </w:pPr>
          </w:p>
        </w:tc>
        <w:tc>
          <w:tcPr>
            <w:tcW w:w="64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522.9</w:t>
            </w:r>
          </w:p>
        </w:tc>
        <w:tc>
          <w:tcPr>
            <w:tcW w:w="0" w:type="dxa"/>
            <w:vAlign w:val="bottom"/>
          </w:tcPr>
          <w:p>
            <w:pPr>
              <w:spacing w:after="0"/>
              <w:rPr>
                <w:sz w:val="1"/>
                <w:szCs w:val="1"/>
                <w:color w:val="auto"/>
              </w:rPr>
            </w:pPr>
          </w:p>
        </w:tc>
      </w:tr>
      <w:tr>
        <w:trPr>
          <w:trHeight w:val="171"/>
        </w:trPr>
        <w:tc>
          <w:tcPr>
            <w:tcW w:w="80" w:type="dxa"/>
            <w:vAlign w:val="bottom"/>
            <w:tcBorders>
              <w:left w:val="single" w:sz="8" w:color="BECD32"/>
            </w:tcBorders>
          </w:tcPr>
          <w:p>
            <w:pPr>
              <w:spacing w:after="0"/>
              <w:rPr>
                <w:sz w:val="14"/>
                <w:szCs w:val="14"/>
                <w:color w:val="auto"/>
              </w:rPr>
            </w:pPr>
          </w:p>
        </w:tc>
        <w:tc>
          <w:tcPr>
            <w:tcW w:w="1140" w:type="dxa"/>
            <w:vAlign w:val="bottom"/>
            <w:tcBorders>
              <w:bottom w:val="single" w:sz="8" w:color="7FACB1"/>
            </w:tcBorders>
          </w:tcPr>
          <w:p>
            <w:pPr>
              <w:spacing w:after="0"/>
              <w:rPr>
                <w:sz w:val="14"/>
                <w:szCs w:val="14"/>
                <w:color w:val="auto"/>
              </w:rPr>
            </w:pP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Borders>
              <w:bottom w:val="single" w:sz="8" w:color="7FACB1"/>
            </w:tcBorders>
          </w:tcPr>
          <w:p>
            <w:pPr>
              <w:spacing w:after="0"/>
              <w:rPr>
                <w:sz w:val="14"/>
                <w:szCs w:val="14"/>
                <w:color w:val="auto"/>
              </w:rPr>
            </w:pPr>
          </w:p>
        </w:tc>
        <w:tc>
          <w:tcPr>
            <w:tcW w:w="620" w:type="dxa"/>
            <w:vAlign w:val="bottom"/>
            <w:tcBorders>
              <w:bottom w:val="single" w:sz="8" w:color="7FACB1"/>
            </w:tcBorders>
          </w:tcPr>
          <w:p>
            <w:pPr>
              <w:spacing w:after="0"/>
              <w:rPr>
                <w:sz w:val="14"/>
                <w:szCs w:val="14"/>
                <w:color w:val="auto"/>
              </w:rPr>
            </w:pPr>
          </w:p>
        </w:tc>
        <w:tc>
          <w:tcPr>
            <w:tcW w:w="100" w:type="dxa"/>
            <w:vAlign w:val="bottom"/>
            <w:tcBorders>
              <w:right w:val="single" w:sz="8" w:color="BECD32"/>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Borders>
              <w:bottom w:val="single" w:sz="8" w:color="7FACB1"/>
            </w:tcBorders>
          </w:tcPr>
          <w:p>
            <w:pPr>
              <w:spacing w:after="0"/>
              <w:rPr>
                <w:sz w:val="14"/>
                <w:szCs w:val="14"/>
                <w:color w:val="auto"/>
              </w:rPr>
            </w:pP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Borders>
              <w:bottom w:val="single" w:sz="8" w:color="7FACB1"/>
            </w:tcBorders>
          </w:tcPr>
          <w:p>
            <w:pPr>
              <w:spacing w:after="0"/>
              <w:rPr>
                <w:sz w:val="14"/>
                <w:szCs w:val="14"/>
                <w:color w:val="auto"/>
              </w:rPr>
            </w:pPr>
          </w:p>
        </w:tc>
        <w:tc>
          <w:tcPr>
            <w:tcW w:w="640" w:type="dxa"/>
            <w:vAlign w:val="bottom"/>
            <w:tcBorders>
              <w:bottom w:val="single" w:sz="8" w:color="7FACB1"/>
            </w:tcBorders>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44.4</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41.3</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132.6</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005A64"/>
              </w:rPr>
              <w:t>104.6</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7FACB1"/>
            </w:tcBorders>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40.9</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15.5</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77.4</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005A64"/>
              </w:rPr>
              <w:t>37.2</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7FACB1"/>
            </w:tcBorders>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(35.5)</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(20.4)</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(77.4)</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005A64"/>
              </w:rPr>
              <w:t>(364.3)</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7FACB1"/>
            </w:tcBorders>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80" w:type="dxa"/>
            <w:vAlign w:val="bottom"/>
            <w:tcBorders>
              <w:left w:val="single" w:sz="8" w:color="BECD32"/>
            </w:tcBorders>
          </w:tcPr>
          <w:p>
            <w:pPr>
              <w:spacing w:after="0"/>
              <w:rPr>
                <w:sz w:val="11"/>
                <w:szCs w:val="11"/>
                <w:color w:val="auto"/>
              </w:rPr>
            </w:pPr>
          </w:p>
        </w:tc>
        <w:tc>
          <w:tcPr>
            <w:tcW w:w="1240" w:type="dxa"/>
            <w:vAlign w:val="bottom"/>
            <w:tcBorders>
              <w:right w:val="single" w:sz="8" w:color="BECD32"/>
            </w:tcBorders>
            <w:gridSpan w:val="2"/>
          </w:tcPr>
          <w:p>
            <w:pPr>
              <w:jc w:val="right"/>
              <w:ind w:right="100"/>
              <w:spacing w:after="0"/>
              <w:rPr>
                <w:sz w:val="20"/>
                <w:szCs w:val="20"/>
                <w:color w:val="auto"/>
              </w:rPr>
            </w:pPr>
            <w:r>
              <w:rPr>
                <w:rFonts w:ascii="Arial" w:cs="Arial" w:eastAsia="Arial" w:hAnsi="Arial"/>
                <w:sz w:val="10"/>
                <w:szCs w:val="10"/>
                <w:color w:val="005A64"/>
              </w:rPr>
              <w:t>—</w:t>
            </w:r>
          </w:p>
        </w:tc>
        <w:tc>
          <w:tcPr>
            <w:tcW w:w="580" w:type="dxa"/>
            <w:vAlign w:val="bottom"/>
            <w:gridSpan w:val="2"/>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3.3</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(0.2)</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005A64"/>
              </w:rPr>
              <w:t>3.6</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7FACB1"/>
            </w:tcBorders>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(156.2)</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(148.5)</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(498.8)</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005A64"/>
              </w:rPr>
              <w:t>(357.4)</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7FACB1"/>
            </w:tcBorders>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5.3</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2.0</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14.8</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005A64"/>
              </w:rPr>
              <w:t>4.5</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7FACB1"/>
            </w:tcBorders>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(14.6)</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Borders>
              <w:right w:val="single" w:sz="8" w:color="BECD32"/>
            </w:tcBorders>
            <w:gridSpan w:val="2"/>
          </w:tcPr>
          <w:p>
            <w:pPr>
              <w:jc w:val="right"/>
              <w:ind w:right="100"/>
              <w:spacing w:after="0"/>
              <w:rPr>
                <w:sz w:val="20"/>
                <w:szCs w:val="20"/>
                <w:color w:val="auto"/>
              </w:rPr>
            </w:pPr>
            <w:r>
              <w:rPr>
                <w:rFonts w:ascii="Arial" w:cs="Arial" w:eastAsia="Arial" w:hAnsi="Arial"/>
                <w:sz w:val="10"/>
                <w:szCs w:val="10"/>
                <w:color w:val="005A64"/>
              </w:rPr>
              <w:t>—</w:t>
            </w: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(26.8)</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005A64"/>
              </w:rPr>
              <w:t>(3.0)</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7FACB1"/>
            </w:tcBorders>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(6.0)</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(3.5)</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0.7</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005A64"/>
              </w:rPr>
              <w:t>196.7</w:t>
            </w:r>
          </w:p>
        </w:tc>
        <w:tc>
          <w:tcPr>
            <w:tcW w:w="0" w:type="dxa"/>
            <w:vAlign w:val="bottom"/>
          </w:tcPr>
          <w:p>
            <w:pPr>
              <w:spacing w:after="0"/>
              <w:rPr>
                <w:sz w:val="1"/>
                <w:szCs w:val="1"/>
                <w:color w:val="auto"/>
              </w:rPr>
            </w:pPr>
          </w:p>
        </w:tc>
      </w:tr>
      <w:tr>
        <w:trPr>
          <w:trHeight w:val="24"/>
        </w:trPr>
        <w:tc>
          <w:tcPr>
            <w:tcW w:w="1220" w:type="dxa"/>
            <w:vAlign w:val="bottom"/>
            <w:tcBorders>
              <w:left w:val="single" w:sz="8" w:color="BECD32"/>
            </w:tcBorders>
            <w:gridSpan w:val="2"/>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1220" w:type="dxa"/>
            <w:vAlign w:val="bottom"/>
            <w:gridSpan w:val="2"/>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80" w:type="dxa"/>
            <w:vAlign w:val="bottom"/>
            <w:tcBorders>
              <w:left w:val="single" w:sz="8" w:color="BECD32"/>
            </w:tcBorders>
          </w:tcPr>
          <w:p>
            <w:pPr>
              <w:spacing w:after="0"/>
              <w:rPr>
                <w:sz w:val="13"/>
                <w:szCs w:val="13"/>
                <w:color w:val="auto"/>
              </w:rPr>
            </w:pPr>
          </w:p>
        </w:tc>
        <w:tc>
          <w:tcPr>
            <w:tcW w:w="1140" w:type="dxa"/>
            <w:vAlign w:val="bottom"/>
            <w:tcBorders>
              <w:top w:val="single" w:sz="8" w:color="7FACB1"/>
              <w:bottom w:val="single" w:sz="8" w:color="7FACB1"/>
            </w:tcBorders>
          </w:tcPr>
          <w:p>
            <w:pPr>
              <w:spacing w:after="0"/>
              <w:rPr>
                <w:sz w:val="13"/>
                <w:szCs w:val="13"/>
                <w:color w:val="auto"/>
              </w:rPr>
            </w:pP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top w:val="single" w:sz="8" w:color="7FACB1"/>
              <w:bottom w:val="single" w:sz="8" w:color="7FACB1"/>
            </w:tcBorders>
          </w:tcPr>
          <w:p>
            <w:pPr>
              <w:spacing w:after="0"/>
              <w:rPr>
                <w:sz w:val="13"/>
                <w:szCs w:val="13"/>
                <w:color w:val="auto"/>
              </w:rPr>
            </w:pPr>
          </w:p>
        </w:tc>
        <w:tc>
          <w:tcPr>
            <w:tcW w:w="620" w:type="dxa"/>
            <w:vAlign w:val="bottom"/>
            <w:tcBorders>
              <w:top w:val="single" w:sz="8" w:color="7FACB1"/>
              <w:bottom w:val="single" w:sz="8" w:color="7FACB1"/>
            </w:tcBorders>
          </w:tcPr>
          <w:p>
            <w:pPr>
              <w:spacing w:after="0"/>
              <w:rPr>
                <w:sz w:val="13"/>
                <w:szCs w:val="13"/>
                <w:color w:val="auto"/>
              </w:rPr>
            </w:pPr>
          </w:p>
        </w:tc>
        <w:tc>
          <w:tcPr>
            <w:tcW w:w="100" w:type="dxa"/>
            <w:vAlign w:val="bottom"/>
            <w:tcBorders>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Borders>
              <w:top w:val="single" w:sz="8" w:color="7FACB1"/>
              <w:bottom w:val="single" w:sz="8" w:color="7FACB1"/>
            </w:tcBorders>
          </w:tcPr>
          <w:p>
            <w:pPr>
              <w:spacing w:after="0"/>
              <w:rPr>
                <w:sz w:val="13"/>
                <w:szCs w:val="13"/>
                <w:color w:val="auto"/>
              </w:rPr>
            </w:pP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Borders>
              <w:top w:val="single" w:sz="8" w:color="7FACB1"/>
              <w:bottom w:val="single" w:sz="8" w:color="7FACB1"/>
            </w:tcBorders>
          </w:tcPr>
          <w:p>
            <w:pPr>
              <w:spacing w:after="0"/>
              <w:rPr>
                <w:sz w:val="13"/>
                <w:szCs w:val="13"/>
                <w:color w:val="auto"/>
              </w:rPr>
            </w:pPr>
          </w:p>
        </w:tc>
        <w:tc>
          <w:tcPr>
            <w:tcW w:w="640" w:type="dxa"/>
            <w:vAlign w:val="bottom"/>
            <w:tcBorders>
              <w:top w:val="single" w:sz="8" w:color="7FACB1"/>
              <w:bottom w:val="single" w:sz="8" w:color="7FACB1"/>
            </w:tcBorders>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(830.2)</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631.2</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1,267.6</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005A64"/>
              </w:rPr>
              <w:t>5,662.0</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7FACB1"/>
            </w:tcBorders>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37.0</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33.2</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54.6</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005A64"/>
              </w:rPr>
              <w:t>23.9</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7FACB1"/>
            </w:tcBorders>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117.9</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(25.0)</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590.7</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005A64"/>
              </w:rPr>
              <w:t>(293.9)</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7FACB1"/>
            </w:tcBorders>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73.1</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70.3</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353.3</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005A64"/>
              </w:rPr>
              <w:t>166.4</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7FACB1"/>
            </w:tcBorders>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(1.6)</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(1.2)</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(6.9)</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005A64"/>
              </w:rPr>
              <w:t>(3.7)</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7FACB1"/>
            </w:tcBorders>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1.6</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(10.2)</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(190.8)</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005A64"/>
              </w:rPr>
              <w:t>(417.8)</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7FACB1"/>
            </w:tcBorders>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(134.4)</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(4.2)</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(143.6)</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005A64"/>
              </w:rPr>
              <w:t>(761.2)</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7FACB1"/>
            </w:tcBorders>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60.7</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Borders>
              <w:right w:val="single" w:sz="8" w:color="BECD32"/>
            </w:tcBorders>
            <w:gridSpan w:val="2"/>
          </w:tcPr>
          <w:p>
            <w:pPr>
              <w:jc w:val="right"/>
              <w:ind w:right="100"/>
              <w:spacing w:after="0"/>
              <w:rPr>
                <w:sz w:val="20"/>
                <w:szCs w:val="20"/>
                <w:color w:val="auto"/>
              </w:rPr>
            </w:pPr>
            <w:r>
              <w:rPr>
                <w:rFonts w:ascii="Arial" w:cs="Arial" w:eastAsia="Arial" w:hAnsi="Arial"/>
                <w:sz w:val="10"/>
                <w:szCs w:val="10"/>
                <w:color w:val="005A64"/>
              </w:rPr>
              <w:t>—</w:t>
            </w: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102.7</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005A64"/>
              </w:rPr>
              <w:t>—</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7FACB1"/>
            </w:tcBorders>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b w:val="1"/>
                <w:bCs w:val="1"/>
                <w:color w:val="005A64"/>
              </w:rPr>
              <w:t>(638.9)</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005A64"/>
              </w:rPr>
              <w:t>811.2</w:t>
            </w:r>
          </w:p>
        </w:tc>
        <w:tc>
          <w:tcPr>
            <w:tcW w:w="100" w:type="dxa"/>
            <w:vAlign w:val="bottom"/>
            <w:tcBorders>
              <w:right w:val="single" w:sz="8" w:color="BECD32"/>
            </w:tcBorders>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b w:val="1"/>
                <w:bCs w:val="1"/>
                <w:color w:val="005A64"/>
              </w:rPr>
              <w:t>671.0</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005A64"/>
              </w:rPr>
              <w:t>4,520.5</w:t>
            </w:r>
          </w:p>
        </w:tc>
        <w:tc>
          <w:tcPr>
            <w:tcW w:w="0" w:type="dxa"/>
            <w:vAlign w:val="bottom"/>
          </w:tcPr>
          <w:p>
            <w:pPr>
              <w:spacing w:after="0"/>
              <w:rPr>
                <w:sz w:val="1"/>
                <w:szCs w:val="1"/>
                <w:color w:val="auto"/>
              </w:rPr>
            </w:pPr>
          </w:p>
        </w:tc>
      </w:tr>
      <w:tr>
        <w:trPr>
          <w:trHeight w:val="170"/>
        </w:trPr>
        <w:tc>
          <w:tcPr>
            <w:tcW w:w="80" w:type="dxa"/>
            <w:vAlign w:val="bottom"/>
            <w:tcBorders>
              <w:left w:val="single" w:sz="8" w:color="BECD32"/>
            </w:tcBorders>
          </w:tcPr>
          <w:p>
            <w:pPr>
              <w:spacing w:after="0"/>
              <w:rPr>
                <w:sz w:val="14"/>
                <w:szCs w:val="14"/>
                <w:color w:val="auto"/>
              </w:rPr>
            </w:pPr>
          </w:p>
        </w:tc>
        <w:tc>
          <w:tcPr>
            <w:tcW w:w="1140" w:type="dxa"/>
            <w:vAlign w:val="bottom"/>
            <w:tcBorders>
              <w:top w:val="single" w:sz="8" w:color="005A64"/>
              <w:bottom w:val="single" w:sz="8" w:color="7FACB1"/>
            </w:tcBorders>
          </w:tcPr>
          <w:p>
            <w:pPr>
              <w:spacing w:after="0"/>
              <w:rPr>
                <w:sz w:val="14"/>
                <w:szCs w:val="14"/>
                <w:color w:val="auto"/>
              </w:rPr>
            </w:pP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Borders>
              <w:top w:val="single" w:sz="8" w:color="005A64"/>
              <w:bottom w:val="single" w:sz="8" w:color="7FACB1"/>
            </w:tcBorders>
          </w:tcPr>
          <w:p>
            <w:pPr>
              <w:spacing w:after="0"/>
              <w:rPr>
                <w:sz w:val="14"/>
                <w:szCs w:val="14"/>
                <w:color w:val="auto"/>
              </w:rPr>
            </w:pPr>
          </w:p>
        </w:tc>
        <w:tc>
          <w:tcPr>
            <w:tcW w:w="620" w:type="dxa"/>
            <w:vAlign w:val="bottom"/>
            <w:tcBorders>
              <w:top w:val="single" w:sz="8" w:color="005A64"/>
              <w:bottom w:val="single" w:sz="8" w:color="7FACB1"/>
            </w:tcBorders>
          </w:tcPr>
          <w:p>
            <w:pPr>
              <w:spacing w:after="0"/>
              <w:rPr>
                <w:sz w:val="14"/>
                <w:szCs w:val="14"/>
                <w:color w:val="auto"/>
              </w:rPr>
            </w:pPr>
          </w:p>
        </w:tc>
        <w:tc>
          <w:tcPr>
            <w:tcW w:w="100" w:type="dxa"/>
            <w:vAlign w:val="bottom"/>
            <w:tcBorders>
              <w:right w:val="single" w:sz="8" w:color="BECD32"/>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Borders>
              <w:top w:val="single" w:sz="8" w:color="005A64"/>
              <w:bottom w:val="single" w:sz="8" w:color="7FACB1"/>
            </w:tcBorders>
          </w:tcPr>
          <w:p>
            <w:pPr>
              <w:spacing w:after="0"/>
              <w:rPr>
                <w:sz w:val="14"/>
                <w:szCs w:val="14"/>
                <w:color w:val="auto"/>
              </w:rPr>
            </w:pP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Borders>
              <w:top w:val="single" w:sz="8" w:color="005A64"/>
              <w:bottom w:val="single" w:sz="8" w:color="7FACB1"/>
            </w:tcBorders>
          </w:tcPr>
          <w:p>
            <w:pPr>
              <w:spacing w:after="0"/>
              <w:rPr>
                <w:sz w:val="14"/>
                <w:szCs w:val="14"/>
                <w:color w:val="auto"/>
              </w:rPr>
            </w:pPr>
          </w:p>
        </w:tc>
        <w:tc>
          <w:tcPr>
            <w:tcW w:w="640" w:type="dxa"/>
            <w:vAlign w:val="bottom"/>
            <w:tcBorders>
              <w:top w:val="single" w:sz="8" w:color="005A64"/>
              <w:bottom w:val="single" w:sz="8" w:color="7FACB1"/>
            </w:tcBorders>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(72.8)</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(53.2)</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(219.9)</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005A64"/>
              </w:rPr>
              <w:t>(165.6)</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7FACB1"/>
            </w:tcBorders>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0.3</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(0.8)</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0.5</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005A64"/>
              </w:rPr>
              <w:t>(0.8)</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7FACB1"/>
            </w:tcBorders>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(10.2)</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(97.2)</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(141.3)</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005A64"/>
              </w:rPr>
              <w:t>(348.9)</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7FACB1"/>
            </w:tcBorders>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80" w:type="dxa"/>
            <w:vAlign w:val="bottom"/>
            <w:tcBorders>
              <w:left w:val="single" w:sz="8" w:color="BECD32"/>
            </w:tcBorders>
          </w:tcPr>
          <w:p>
            <w:pPr>
              <w:spacing w:after="0"/>
              <w:rPr>
                <w:sz w:val="11"/>
                <w:szCs w:val="11"/>
                <w:color w:val="auto"/>
              </w:rPr>
            </w:pPr>
          </w:p>
        </w:tc>
        <w:tc>
          <w:tcPr>
            <w:tcW w:w="1240" w:type="dxa"/>
            <w:vAlign w:val="bottom"/>
            <w:tcBorders>
              <w:right w:val="single" w:sz="8" w:color="BECD32"/>
            </w:tcBorders>
            <w:gridSpan w:val="2"/>
          </w:tcPr>
          <w:p>
            <w:pPr>
              <w:jc w:val="right"/>
              <w:ind w:right="100"/>
              <w:spacing w:after="0"/>
              <w:rPr>
                <w:sz w:val="20"/>
                <w:szCs w:val="20"/>
                <w:color w:val="auto"/>
              </w:rPr>
            </w:pPr>
            <w:r>
              <w:rPr>
                <w:rFonts w:ascii="Arial" w:cs="Arial" w:eastAsia="Arial" w:hAnsi="Arial"/>
                <w:sz w:val="10"/>
                <w:szCs w:val="10"/>
                <w:color w:val="005A64"/>
              </w:rPr>
              <w:t>—</w:t>
            </w:r>
          </w:p>
        </w:tc>
        <w:tc>
          <w:tcPr>
            <w:tcW w:w="580" w:type="dxa"/>
            <w:vAlign w:val="bottom"/>
            <w:gridSpan w:val="2"/>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(336.9)</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Borders>
              <w:right w:val="single" w:sz="8" w:color="BECD32"/>
            </w:tcBorders>
            <w:gridSpan w:val="2"/>
          </w:tcPr>
          <w:p>
            <w:pPr>
              <w:jc w:val="right"/>
              <w:ind w:right="120"/>
              <w:spacing w:after="0"/>
              <w:rPr>
                <w:sz w:val="20"/>
                <w:szCs w:val="20"/>
                <w:color w:val="auto"/>
              </w:rPr>
            </w:pPr>
            <w:r>
              <w:rPr>
                <w:rFonts w:ascii="Arial" w:cs="Arial" w:eastAsia="Arial" w:hAnsi="Arial"/>
                <w:sz w:val="10"/>
                <w:szCs w:val="10"/>
                <w:color w:val="005A64"/>
              </w:rPr>
              <w:t>—</w:t>
            </w:r>
          </w:p>
        </w:tc>
        <w:tc>
          <w:tcPr>
            <w:tcW w:w="560" w:type="dxa"/>
            <w:vAlign w:val="bottom"/>
            <w:gridSpan w:val="2"/>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005A64"/>
              </w:rPr>
              <w:t>(336.9)</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7FACB1"/>
            </w:tcBorders>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(2,958.2)</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(1,047.1)</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(10,301.5)</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005A64"/>
              </w:rPr>
              <w:t>(3,710.2)</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7FACB1"/>
            </w:tcBorders>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2,898.8</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303.0</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7,974.3</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005A64"/>
              </w:rPr>
              <w:t>303.0</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7FACB1"/>
            </w:tcBorders>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b w:val="1"/>
                <w:bCs w:val="1"/>
                <w:color w:val="005A64"/>
              </w:rPr>
              <w:t>(142.1)</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005A64"/>
              </w:rPr>
              <w:t>(1,232.2)</w:t>
            </w:r>
          </w:p>
        </w:tc>
        <w:tc>
          <w:tcPr>
            <w:tcW w:w="100" w:type="dxa"/>
            <w:vAlign w:val="bottom"/>
            <w:tcBorders>
              <w:right w:val="single" w:sz="8" w:color="BECD32"/>
            </w:tcBorders>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b w:val="1"/>
                <w:bCs w:val="1"/>
                <w:color w:val="005A64"/>
              </w:rPr>
              <w:t>(2,687.9)</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005A64"/>
              </w:rPr>
              <w:t>(4,259.4)</w:t>
            </w:r>
          </w:p>
        </w:tc>
        <w:tc>
          <w:tcPr>
            <w:tcW w:w="0" w:type="dxa"/>
            <w:vAlign w:val="bottom"/>
          </w:tcPr>
          <w:p>
            <w:pPr>
              <w:spacing w:after="0"/>
              <w:rPr>
                <w:sz w:val="1"/>
                <w:szCs w:val="1"/>
                <w:color w:val="auto"/>
              </w:rPr>
            </w:pPr>
          </w:p>
        </w:tc>
      </w:tr>
      <w:tr>
        <w:trPr>
          <w:trHeight w:val="170"/>
        </w:trPr>
        <w:tc>
          <w:tcPr>
            <w:tcW w:w="80" w:type="dxa"/>
            <w:vAlign w:val="bottom"/>
            <w:tcBorders>
              <w:left w:val="single" w:sz="8" w:color="BECD32"/>
            </w:tcBorders>
          </w:tcPr>
          <w:p>
            <w:pPr>
              <w:spacing w:after="0"/>
              <w:rPr>
                <w:sz w:val="14"/>
                <w:szCs w:val="14"/>
                <w:color w:val="auto"/>
              </w:rPr>
            </w:pPr>
          </w:p>
        </w:tc>
        <w:tc>
          <w:tcPr>
            <w:tcW w:w="1140" w:type="dxa"/>
            <w:vAlign w:val="bottom"/>
            <w:tcBorders>
              <w:top w:val="single" w:sz="8" w:color="005A64"/>
              <w:bottom w:val="single" w:sz="8" w:color="7FACB1"/>
            </w:tcBorders>
          </w:tcPr>
          <w:p>
            <w:pPr>
              <w:spacing w:after="0"/>
              <w:rPr>
                <w:sz w:val="14"/>
                <w:szCs w:val="14"/>
                <w:color w:val="auto"/>
              </w:rPr>
            </w:pP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Borders>
              <w:top w:val="single" w:sz="8" w:color="005A64"/>
              <w:bottom w:val="single" w:sz="8" w:color="7FACB1"/>
            </w:tcBorders>
          </w:tcPr>
          <w:p>
            <w:pPr>
              <w:spacing w:after="0"/>
              <w:rPr>
                <w:sz w:val="14"/>
                <w:szCs w:val="14"/>
                <w:color w:val="auto"/>
              </w:rPr>
            </w:pPr>
          </w:p>
        </w:tc>
        <w:tc>
          <w:tcPr>
            <w:tcW w:w="620" w:type="dxa"/>
            <w:vAlign w:val="bottom"/>
            <w:tcBorders>
              <w:top w:val="single" w:sz="8" w:color="005A64"/>
              <w:bottom w:val="single" w:sz="8" w:color="7FACB1"/>
            </w:tcBorders>
          </w:tcPr>
          <w:p>
            <w:pPr>
              <w:spacing w:after="0"/>
              <w:rPr>
                <w:sz w:val="14"/>
                <w:szCs w:val="14"/>
                <w:color w:val="auto"/>
              </w:rPr>
            </w:pPr>
          </w:p>
        </w:tc>
        <w:tc>
          <w:tcPr>
            <w:tcW w:w="100" w:type="dxa"/>
            <w:vAlign w:val="bottom"/>
            <w:tcBorders>
              <w:right w:val="single" w:sz="8" w:color="BECD32"/>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Borders>
              <w:top w:val="single" w:sz="8" w:color="005A64"/>
              <w:bottom w:val="single" w:sz="8" w:color="7FACB1"/>
            </w:tcBorders>
          </w:tcPr>
          <w:p>
            <w:pPr>
              <w:spacing w:after="0"/>
              <w:rPr>
                <w:sz w:val="14"/>
                <w:szCs w:val="14"/>
                <w:color w:val="auto"/>
              </w:rPr>
            </w:pP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Borders>
              <w:top w:val="single" w:sz="8" w:color="005A64"/>
              <w:bottom w:val="single" w:sz="8" w:color="7FACB1"/>
            </w:tcBorders>
          </w:tcPr>
          <w:p>
            <w:pPr>
              <w:spacing w:after="0"/>
              <w:rPr>
                <w:sz w:val="14"/>
                <w:szCs w:val="14"/>
                <w:color w:val="auto"/>
              </w:rPr>
            </w:pPr>
          </w:p>
        </w:tc>
        <w:tc>
          <w:tcPr>
            <w:tcW w:w="640" w:type="dxa"/>
            <w:vAlign w:val="bottom"/>
            <w:tcBorders>
              <w:top w:val="single" w:sz="8" w:color="005A64"/>
              <w:bottom w:val="single" w:sz="8" w:color="7FACB1"/>
            </w:tcBorders>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80" w:type="dxa"/>
            <w:vAlign w:val="bottom"/>
            <w:tcBorders>
              <w:left w:val="single" w:sz="8" w:color="BECD32"/>
            </w:tcBorders>
          </w:tcPr>
          <w:p>
            <w:pPr>
              <w:spacing w:after="0"/>
              <w:rPr>
                <w:sz w:val="11"/>
                <w:szCs w:val="11"/>
                <w:color w:val="auto"/>
              </w:rPr>
            </w:pPr>
          </w:p>
        </w:tc>
        <w:tc>
          <w:tcPr>
            <w:tcW w:w="1240" w:type="dxa"/>
            <w:vAlign w:val="bottom"/>
            <w:tcBorders>
              <w:right w:val="single" w:sz="8" w:color="BECD32"/>
            </w:tcBorders>
            <w:gridSpan w:val="2"/>
          </w:tcPr>
          <w:p>
            <w:pPr>
              <w:jc w:val="right"/>
              <w:ind w:right="100"/>
              <w:spacing w:after="0"/>
              <w:rPr>
                <w:sz w:val="20"/>
                <w:szCs w:val="20"/>
                <w:color w:val="auto"/>
              </w:rPr>
            </w:pPr>
            <w:r>
              <w:rPr>
                <w:rFonts w:ascii="Arial" w:cs="Arial" w:eastAsia="Arial" w:hAnsi="Arial"/>
                <w:sz w:val="10"/>
                <w:szCs w:val="10"/>
                <w:color w:val="005A64"/>
              </w:rPr>
              <w:t>—</w:t>
            </w:r>
          </w:p>
        </w:tc>
        <w:tc>
          <w:tcPr>
            <w:tcW w:w="580" w:type="dxa"/>
            <w:vAlign w:val="bottom"/>
            <w:gridSpan w:val="2"/>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0.1</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Borders>
              <w:right w:val="single" w:sz="8" w:color="BECD32"/>
            </w:tcBorders>
            <w:gridSpan w:val="2"/>
          </w:tcPr>
          <w:p>
            <w:pPr>
              <w:jc w:val="right"/>
              <w:ind w:right="120"/>
              <w:spacing w:after="0"/>
              <w:rPr>
                <w:sz w:val="20"/>
                <w:szCs w:val="20"/>
                <w:color w:val="auto"/>
              </w:rPr>
            </w:pPr>
            <w:r>
              <w:rPr>
                <w:rFonts w:ascii="Arial" w:cs="Arial" w:eastAsia="Arial" w:hAnsi="Arial"/>
                <w:sz w:val="10"/>
                <w:szCs w:val="10"/>
                <w:color w:val="005A64"/>
              </w:rPr>
              <w:t>—</w:t>
            </w:r>
          </w:p>
        </w:tc>
        <w:tc>
          <w:tcPr>
            <w:tcW w:w="560" w:type="dxa"/>
            <w:vAlign w:val="bottom"/>
            <w:gridSpan w:val="2"/>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005A64"/>
              </w:rPr>
              <w:t>0.1</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7FACB1"/>
            </w:tcBorders>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80" w:type="dxa"/>
            <w:vAlign w:val="bottom"/>
            <w:tcBorders>
              <w:left w:val="single" w:sz="8" w:color="BECD32"/>
            </w:tcBorders>
          </w:tcPr>
          <w:p>
            <w:pPr>
              <w:spacing w:after="0"/>
              <w:rPr>
                <w:sz w:val="11"/>
                <w:szCs w:val="11"/>
                <w:color w:val="auto"/>
              </w:rPr>
            </w:pPr>
          </w:p>
        </w:tc>
        <w:tc>
          <w:tcPr>
            <w:tcW w:w="1240" w:type="dxa"/>
            <w:vAlign w:val="bottom"/>
            <w:tcBorders>
              <w:right w:val="single" w:sz="8" w:color="BECD32"/>
            </w:tcBorders>
            <w:gridSpan w:val="2"/>
          </w:tcPr>
          <w:p>
            <w:pPr>
              <w:jc w:val="right"/>
              <w:ind w:right="100"/>
              <w:spacing w:after="0"/>
              <w:rPr>
                <w:sz w:val="20"/>
                <w:szCs w:val="20"/>
                <w:color w:val="auto"/>
              </w:rPr>
            </w:pPr>
            <w:r>
              <w:rPr>
                <w:rFonts w:ascii="Arial" w:cs="Arial" w:eastAsia="Arial" w:hAnsi="Arial"/>
                <w:sz w:val="10"/>
                <w:szCs w:val="10"/>
                <w:color w:val="005A64"/>
              </w:rPr>
              <w:t>—</w:t>
            </w:r>
          </w:p>
        </w:tc>
        <w:tc>
          <w:tcPr>
            <w:tcW w:w="580" w:type="dxa"/>
            <w:vAlign w:val="bottom"/>
            <w:gridSpan w:val="2"/>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(0.1)</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(2.3)</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005A64"/>
              </w:rPr>
              <w:t>(0.1)</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7FACB1"/>
            </w:tcBorders>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(7.9)</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(9.3)</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(36.3)</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005A64"/>
              </w:rPr>
              <w:t>(28.0)</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7FACB1"/>
            </w:tcBorders>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80" w:type="dxa"/>
            <w:vAlign w:val="bottom"/>
            <w:tcBorders>
              <w:left w:val="single" w:sz="8" w:color="BECD32"/>
            </w:tcBorders>
          </w:tcPr>
          <w:p>
            <w:pPr>
              <w:spacing w:after="0"/>
              <w:rPr>
                <w:sz w:val="11"/>
                <w:szCs w:val="11"/>
                <w:color w:val="auto"/>
              </w:rPr>
            </w:pPr>
          </w:p>
        </w:tc>
        <w:tc>
          <w:tcPr>
            <w:tcW w:w="1240" w:type="dxa"/>
            <w:vAlign w:val="bottom"/>
            <w:tcBorders>
              <w:right w:val="single" w:sz="8" w:color="BECD32"/>
            </w:tcBorders>
            <w:gridSpan w:val="2"/>
          </w:tcPr>
          <w:p>
            <w:pPr>
              <w:jc w:val="right"/>
              <w:ind w:right="100"/>
              <w:spacing w:after="0"/>
              <w:rPr>
                <w:sz w:val="20"/>
                <w:szCs w:val="20"/>
                <w:color w:val="auto"/>
              </w:rPr>
            </w:pPr>
            <w:r>
              <w:rPr>
                <w:rFonts w:ascii="Arial" w:cs="Arial" w:eastAsia="Arial" w:hAnsi="Arial"/>
                <w:sz w:val="10"/>
                <w:szCs w:val="10"/>
                <w:color w:val="005A64"/>
              </w:rPr>
              <w:t>—</w:t>
            </w:r>
          </w:p>
        </w:tc>
        <w:tc>
          <w:tcPr>
            <w:tcW w:w="580" w:type="dxa"/>
            <w:vAlign w:val="bottom"/>
            <w:gridSpan w:val="2"/>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(301.7)</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Borders>
              <w:right w:val="single" w:sz="8" w:color="BECD32"/>
            </w:tcBorders>
            <w:gridSpan w:val="2"/>
          </w:tcPr>
          <w:p>
            <w:pPr>
              <w:jc w:val="right"/>
              <w:ind w:right="120"/>
              <w:spacing w:after="0"/>
              <w:rPr>
                <w:sz w:val="20"/>
                <w:szCs w:val="20"/>
                <w:color w:val="auto"/>
              </w:rPr>
            </w:pPr>
            <w:r>
              <w:rPr>
                <w:rFonts w:ascii="Arial" w:cs="Arial" w:eastAsia="Arial" w:hAnsi="Arial"/>
                <w:sz w:val="10"/>
                <w:szCs w:val="10"/>
                <w:color w:val="005A64"/>
              </w:rPr>
              <w:t>—</w:t>
            </w:r>
          </w:p>
        </w:tc>
        <w:tc>
          <w:tcPr>
            <w:tcW w:w="560" w:type="dxa"/>
            <w:vAlign w:val="bottom"/>
            <w:gridSpan w:val="2"/>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005A64"/>
              </w:rPr>
              <w:t>(737.7)</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7FACB1"/>
            </w:tcBorders>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220" w:type="dxa"/>
            <w:vAlign w:val="bottom"/>
            <w:tcBorders>
              <w:left w:val="single" w:sz="8" w:color="BECD32"/>
              <w:bottom w:val="single" w:sz="8" w:color="005A64"/>
            </w:tcBorders>
            <w:gridSpan w:val="2"/>
          </w:tcPr>
          <w:p>
            <w:pPr>
              <w:jc w:val="right"/>
              <w:spacing w:after="0"/>
              <w:rPr>
                <w:sz w:val="20"/>
                <w:szCs w:val="20"/>
                <w:color w:val="auto"/>
              </w:rPr>
            </w:pPr>
            <w:r>
              <w:rPr>
                <w:rFonts w:ascii="Arial" w:cs="Arial" w:eastAsia="Arial" w:hAnsi="Arial"/>
                <w:sz w:val="10"/>
                <w:szCs w:val="10"/>
                <w:b w:val="1"/>
                <w:bCs w:val="1"/>
                <w:color w:val="005A64"/>
              </w:rPr>
              <w:t>(7.9)</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005A64"/>
            </w:tcBorders>
          </w:tcPr>
          <w:p>
            <w:pPr>
              <w:spacing w:after="0"/>
              <w:rPr>
                <w:sz w:val="12"/>
                <w:szCs w:val="12"/>
                <w:color w:val="auto"/>
              </w:rPr>
            </w:pPr>
          </w:p>
        </w:tc>
        <w:tc>
          <w:tcPr>
            <w:tcW w:w="62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(311.0)</w:t>
            </w:r>
          </w:p>
        </w:tc>
        <w:tc>
          <w:tcPr>
            <w:tcW w:w="100" w:type="dxa"/>
            <w:vAlign w:val="bottom"/>
            <w:tcBorders>
              <w:right w:val="single" w:sz="8" w:color="BECD32"/>
            </w:tcBorders>
          </w:tcPr>
          <w:p>
            <w:pPr>
              <w:spacing w:after="0"/>
              <w:rPr>
                <w:sz w:val="12"/>
                <w:szCs w:val="12"/>
                <w:color w:val="auto"/>
              </w:rPr>
            </w:pPr>
          </w:p>
        </w:tc>
        <w:tc>
          <w:tcPr>
            <w:tcW w:w="1220" w:type="dxa"/>
            <w:vAlign w:val="bottom"/>
            <w:tcBorders>
              <w:bottom w:val="single" w:sz="8" w:color="005A64"/>
            </w:tcBorders>
            <w:gridSpan w:val="2"/>
          </w:tcPr>
          <w:p>
            <w:pPr>
              <w:jc w:val="right"/>
              <w:spacing w:after="0"/>
              <w:rPr>
                <w:sz w:val="20"/>
                <w:szCs w:val="20"/>
                <w:color w:val="auto"/>
              </w:rPr>
            </w:pPr>
            <w:r>
              <w:rPr>
                <w:rFonts w:ascii="Arial" w:cs="Arial" w:eastAsia="Arial" w:hAnsi="Arial"/>
                <w:sz w:val="10"/>
                <w:szCs w:val="10"/>
                <w:b w:val="1"/>
                <w:bCs w:val="1"/>
                <w:color w:val="005A64"/>
              </w:rPr>
              <w:t>(38.6)</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005A64"/>
            </w:tcBorders>
          </w:tcPr>
          <w:p>
            <w:pPr>
              <w:spacing w:after="0"/>
              <w:rPr>
                <w:sz w:val="12"/>
                <w:szCs w:val="12"/>
                <w:color w:val="auto"/>
              </w:rPr>
            </w:pPr>
          </w:p>
        </w:tc>
        <w:tc>
          <w:tcPr>
            <w:tcW w:w="64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(765.7)</w:t>
            </w:r>
          </w:p>
        </w:tc>
        <w:tc>
          <w:tcPr>
            <w:tcW w:w="0" w:type="dxa"/>
            <w:vAlign w:val="bottom"/>
          </w:tcPr>
          <w:p>
            <w:pPr>
              <w:spacing w:after="0"/>
              <w:rPr>
                <w:sz w:val="1"/>
                <w:szCs w:val="1"/>
                <w:color w:val="auto"/>
              </w:rPr>
            </w:pPr>
          </w:p>
        </w:tc>
      </w:tr>
      <w:tr>
        <w:trPr>
          <w:trHeight w:val="147"/>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(788.9)</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(732.0)</w:t>
            </w:r>
          </w:p>
        </w:tc>
        <w:tc>
          <w:tcPr>
            <w:tcW w:w="100" w:type="dxa"/>
            <w:vAlign w:val="bottom"/>
            <w:tcBorders>
              <w:right w:val="single" w:sz="8" w:color="BECD32"/>
            </w:tcBorders>
          </w:tcPr>
          <w:p>
            <w:pPr>
              <w:spacing w:after="0"/>
              <w:rPr>
                <w:sz w:val="12"/>
                <w:szCs w:val="12"/>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(2,055.5)</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005A64"/>
              </w:rPr>
              <w:t>(504.6)</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7FACB1"/>
            </w:tcBorders>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(2.3)</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61.2</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1.2</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005A64"/>
              </w:rPr>
              <w:t>125.3</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7FACB1"/>
            </w:tcBorders>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39.1</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Borders>
              <w:right w:val="single" w:sz="8" w:color="BECD32"/>
            </w:tcBorders>
            <w:gridSpan w:val="2"/>
          </w:tcPr>
          <w:p>
            <w:pPr>
              <w:jc w:val="right"/>
              <w:ind w:right="100"/>
              <w:spacing w:after="0"/>
              <w:rPr>
                <w:sz w:val="20"/>
                <w:szCs w:val="20"/>
                <w:color w:val="auto"/>
              </w:rPr>
            </w:pPr>
            <w:r>
              <w:rPr>
                <w:rFonts w:ascii="Arial" w:cs="Arial" w:eastAsia="Arial" w:hAnsi="Arial"/>
                <w:sz w:val="10"/>
                <w:szCs w:val="10"/>
                <w:color w:val="005A64"/>
              </w:rPr>
              <w:t>—</w:t>
            </w: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15.2</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005A64"/>
              </w:rPr>
              <w:t>—</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7FACB1"/>
            </w:tcBorders>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10,376.7</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14,166.6</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11,663.7</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005A64"/>
              </w:rPr>
              <w:t>13,875.1</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7FACB1"/>
            </w:tcBorders>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220" w:type="dxa"/>
            <w:vAlign w:val="bottom"/>
            <w:tcBorders>
              <w:left w:val="single" w:sz="8" w:color="BECD32"/>
              <w:bottom w:val="single" w:sz="8" w:color="BECD32"/>
            </w:tcBorders>
            <w:gridSpan w:val="2"/>
          </w:tcPr>
          <w:p>
            <w:pPr>
              <w:jc w:val="right"/>
              <w:spacing w:after="0"/>
              <w:rPr>
                <w:sz w:val="20"/>
                <w:szCs w:val="20"/>
                <w:color w:val="auto"/>
              </w:rPr>
            </w:pPr>
            <w:r>
              <w:rPr>
                <w:rFonts w:ascii="Arial" w:cs="Arial" w:eastAsia="Arial" w:hAnsi="Arial"/>
                <w:sz w:val="10"/>
                <w:szCs w:val="10"/>
                <w:b w:val="1"/>
                <w:bCs w:val="1"/>
                <w:color w:val="005A64"/>
              </w:rPr>
              <w:t>9,624.6</w:t>
            </w:r>
          </w:p>
        </w:tc>
        <w:tc>
          <w:tcPr>
            <w:tcW w:w="100" w:type="dxa"/>
            <w:vAlign w:val="bottom"/>
            <w:tcBorders>
              <w:bottom w:val="single" w:sz="8" w:color="BECD32"/>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005A64"/>
            </w:tcBorders>
          </w:tcPr>
          <w:p>
            <w:pPr>
              <w:spacing w:after="0"/>
              <w:rPr>
                <w:sz w:val="12"/>
                <w:szCs w:val="12"/>
                <w:color w:val="auto"/>
              </w:rPr>
            </w:pPr>
          </w:p>
        </w:tc>
        <w:tc>
          <w:tcPr>
            <w:tcW w:w="62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13,495.8</w:t>
            </w:r>
          </w:p>
        </w:tc>
        <w:tc>
          <w:tcPr>
            <w:tcW w:w="100" w:type="dxa"/>
            <w:vAlign w:val="bottom"/>
            <w:tcBorders>
              <w:right w:val="single" w:sz="8" w:color="BECD32"/>
            </w:tcBorders>
          </w:tcPr>
          <w:p>
            <w:pPr>
              <w:spacing w:after="0"/>
              <w:rPr>
                <w:sz w:val="12"/>
                <w:szCs w:val="12"/>
                <w:color w:val="auto"/>
              </w:rPr>
            </w:pPr>
          </w:p>
        </w:tc>
        <w:tc>
          <w:tcPr>
            <w:tcW w:w="1220" w:type="dxa"/>
            <w:vAlign w:val="bottom"/>
            <w:tcBorders>
              <w:bottom w:val="single" w:sz="8" w:color="BECD32"/>
            </w:tcBorders>
            <w:gridSpan w:val="2"/>
          </w:tcPr>
          <w:p>
            <w:pPr>
              <w:jc w:val="right"/>
              <w:spacing w:after="0"/>
              <w:rPr>
                <w:sz w:val="20"/>
                <w:szCs w:val="20"/>
                <w:color w:val="auto"/>
              </w:rPr>
            </w:pPr>
            <w:r>
              <w:rPr>
                <w:rFonts w:ascii="Arial" w:cs="Arial" w:eastAsia="Arial" w:hAnsi="Arial"/>
                <w:sz w:val="10"/>
                <w:szCs w:val="10"/>
                <w:b w:val="1"/>
                <w:bCs w:val="1"/>
                <w:color w:val="005A64"/>
              </w:rPr>
              <w:t>9,624.6</w:t>
            </w:r>
          </w:p>
        </w:tc>
        <w:tc>
          <w:tcPr>
            <w:tcW w:w="100" w:type="dxa"/>
            <w:vAlign w:val="bottom"/>
            <w:tcBorders>
              <w:bottom w:val="single" w:sz="8" w:color="BECD32"/>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005A64"/>
            </w:tcBorders>
          </w:tcPr>
          <w:p>
            <w:pPr>
              <w:spacing w:after="0"/>
              <w:rPr>
                <w:sz w:val="12"/>
                <w:szCs w:val="12"/>
                <w:color w:val="auto"/>
              </w:rPr>
            </w:pPr>
          </w:p>
        </w:tc>
        <w:tc>
          <w:tcPr>
            <w:tcW w:w="64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13,495.8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13</w:t>
      </w:r>
    </w:p>
    <w:p>
      <w:pPr>
        <w:sectPr>
          <w:pgSz w:w="11900" w:h="16838" w:orient="portrait"/>
          <w:cols w:equalWidth="0" w:num="2">
            <w:col w:w="5600" w:space="400"/>
            <w:col w:w="5260"/>
          </w:cols>
          <w:pgMar w:left="340" w:top="1399" w:right="299" w:bottom="1440" w:gutter="0" w:footer="0" w:header="0"/>
          <w:type w:val="continuous"/>
        </w:sectPr>
      </w:pPr>
    </w:p>
    <w:bookmarkStart w:id="17" w:name="page18"/>
    <w:bookmarkEnd w:id="17"/>
    <w:p>
      <w:pPr>
        <w:ind w:left="228" w:hanging="228"/>
        <w:spacing w:after="0"/>
        <w:tabs>
          <w:tab w:leader="none" w:pos="228" w:val="left"/>
        </w:tabs>
        <w:numPr>
          <w:ilvl w:val="0"/>
          <w:numId w:val="21"/>
        </w:numPr>
        <w:rPr>
          <w:rFonts w:ascii="Arial" w:cs="Arial" w:eastAsia="Arial" w:hAnsi="Arial"/>
          <w:sz w:val="14"/>
          <w:szCs w:val="14"/>
          <w:color w:val="005A64"/>
          <w:vertAlign w:val="superscript"/>
        </w:rPr>
      </w:pPr>
      <w:r>
        <w:rPr>
          <w:rFonts w:ascii="Arial" w:cs="Arial" w:eastAsia="Arial" w:hAnsi="Arial"/>
          <w:sz w:val="11"/>
          <w:szCs w:val="11"/>
          <w:color w:val="005A64"/>
        </w:rPr>
        <w:drawing>
          <wp:anchor simplePos="0" relativeHeight="251657728" behindDoc="1" locked="0" layoutInCell="0" allowOverlap="1">
            <wp:simplePos x="0" y="0"/>
            <wp:positionH relativeFrom="page">
              <wp:posOffset>185420</wp:posOffset>
            </wp:positionH>
            <wp:positionV relativeFrom="page">
              <wp:posOffset>88900</wp:posOffset>
            </wp:positionV>
            <wp:extent cx="142875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1428750" cy="154305"/>
                    </a:xfrm>
                    <a:prstGeom prst="rect">
                      <a:avLst/>
                    </a:prstGeom>
                    <a:noFill/>
                  </pic:spPr>
                </pic:pic>
              </a:graphicData>
            </a:graphic>
          </wp:anchor>
        </w:drawing>
        <w:t>Adjustments to prior-year figures relate to reclassifications within the cash flows from operating and investing activities, respectively.</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308"/>
          </w:cols>
          <w:pgMar w:left="292" w:top="1255" w:right="299" w:bottom="1440"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2"/>
      <w:numFmt w:val="bullet"/>
      <w:start w:val="1"/>
    </w:lvl>
  </w:abstractNum>
  <w:abstractNum w:abstractNumId="2">
    <w:nsid w:val="66EF438D"/>
    <w:multiLevelType w:val="hybridMultilevel"/>
    <w:lvl w:ilvl="0">
      <w:lvlJc w:val="left"/>
      <w:lvlText w:val="4"/>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lvl w:ilvl="1">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2024-11-04T05:56:45Z</dcterms:created>
  <dcterms:modified xsi:type="dcterms:W3CDTF">2024-11-04T05:56:45Z</dcterms:modified>
</cp:coreProperties>
</file>