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8438dsctot.htm"/>
      <w:bookmarkStart w:id="1" w:name="ksd38438dsctot"/>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(Rule 14d-100)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CureVac N.V.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BioNTech SE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Filing Person (Offeror))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Shares, 0.12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N2451R105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Prof. Ugur Sahin, M.D. </w:t>
      </w:r>
    </w:p>
    <w:p>
      <w:pPr>
        <w:pStyle w:val="TextBody"/>
        <w:bidi w:val="0"/>
        <w:spacing w:before="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+49 6131-9084-0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Paul Claydon</w:t>
            </w:r>
          </w:p>
          <w:p>
            <w:pPr>
              <w:pStyle w:val="TableContents"/>
              <w:bidi w:val="0"/>
              <w:spacing w:before="0" w:after="0"/>
              <w:jc w:val="center"/>
              <w:rPr>
                <w:rFonts w:ascii="Times New Roman" w:hAnsi="Times New Roman"/>
                <w:b/>
                <w:sz w:val="20"/>
              </w:rPr>
            </w:pPr>
            <w:r>
              <w:rPr>
                <w:rFonts w:ascii="Times New Roman" w:hAnsi="Times New Roman"/>
                <w:b/>
                <w:sz w:val="20"/>
              </w:rPr>
              <w:t>Jack S. Bodner</w:t>
            </w:r>
          </w:p>
          <w:p>
            <w:pPr>
              <w:pStyle w:val="TableContents"/>
              <w:bidi w:val="0"/>
              <w:spacing w:before="0" w:after="0"/>
              <w:jc w:val="center"/>
              <w:rPr>
                <w:rFonts w:ascii="Times New Roman" w:hAnsi="Times New Roman"/>
                <w:b/>
                <w:sz w:val="20"/>
              </w:rPr>
            </w:pPr>
            <w:r>
              <w:rPr>
                <w:rFonts w:ascii="Times New Roman" w:hAnsi="Times New Roman"/>
                <w:b/>
                <w:sz w:val="20"/>
              </w:rPr>
              <w:t>Matthew T. Gehl</w:t>
            </w:r>
          </w:p>
          <w:p>
            <w:pPr>
              <w:pStyle w:val="TableContents"/>
              <w:bidi w:val="0"/>
              <w:spacing w:before="0" w:after="0"/>
              <w:jc w:val="center"/>
              <w:rPr>
                <w:rFonts w:ascii="Times New Roman" w:hAnsi="Times New Roman"/>
                <w:b/>
                <w:sz w:val="20"/>
              </w:rPr>
            </w:pPr>
            <w:r>
              <w:rPr>
                <w:rFonts w:ascii="Times New Roman" w:hAnsi="Times New Roman"/>
                <w:b/>
                <w:sz w:val="20"/>
              </w:rPr>
              <w:t>Charles A. Dobb</w:t>
            </w:r>
          </w:p>
          <w:p>
            <w:pPr>
              <w:pStyle w:val="TableContents"/>
              <w:bidi w:val="0"/>
              <w:spacing w:before="0" w:after="0"/>
              <w:jc w:val="center"/>
              <w:rPr>
                <w:rFonts w:ascii="Times New Roman" w:hAnsi="Times New Roman"/>
                <w:b/>
                <w:sz w:val="20"/>
              </w:rPr>
            </w:pPr>
            <w:r>
              <w:rPr>
                <w:rFonts w:ascii="Times New Roman" w:hAnsi="Times New Roman"/>
                <w:b/>
                <w:sz w:val="20"/>
              </w:rPr>
              <w:t>Brian K. Rosenzweig</w:t>
            </w:r>
          </w:p>
          <w:p>
            <w:pPr>
              <w:pStyle w:val="TableContents"/>
              <w:bidi w:val="0"/>
              <w:spacing w:before="0" w:after="0"/>
              <w:jc w:val="center"/>
              <w:rPr>
                <w:rFonts w:ascii="Times New Roman" w:hAnsi="Times New Roman"/>
                <w:b/>
                <w:sz w:val="20"/>
              </w:rPr>
            </w:pPr>
            <w:r>
              <w:rPr>
                <w:rFonts w:ascii="Times New Roman" w:hAnsi="Times New Roman"/>
                <w:b/>
                <w:sz w:val="20"/>
              </w:rPr>
              <w:t>Covington &amp; Burling LLP</w:t>
            </w:r>
          </w:p>
          <w:p>
            <w:pPr>
              <w:pStyle w:val="TableContents"/>
              <w:bidi w:val="0"/>
              <w:spacing w:before="0" w:after="0"/>
              <w:jc w:val="center"/>
              <w:rPr>
                <w:rFonts w:ascii="Times New Roman" w:hAnsi="Times New Roman"/>
                <w:b/>
                <w:sz w:val="20"/>
              </w:rPr>
            </w:pPr>
            <w:r>
              <w:rPr>
                <w:rFonts w:ascii="Times New Roman" w:hAnsi="Times New Roman"/>
                <w:b/>
                <w:sz w:val="20"/>
              </w:rPr>
              <w:t>30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10001-2170</w:t>
            </w:r>
          </w:p>
          <w:p>
            <w:pPr>
              <w:pStyle w:val="TableContents"/>
              <w:bidi w:val="0"/>
              <w:spacing w:before="0" w:after="20"/>
              <w:jc w:val="center"/>
              <w:rPr>
                <w:rFonts w:ascii="Times New Roman" w:hAnsi="Times New Roman"/>
                <w:b/>
                <w:sz w:val="20"/>
              </w:rPr>
            </w:pPr>
            <w:r>
              <w:rPr>
                <w:rFonts w:ascii="Times New Roman" w:hAnsi="Times New Roman"/>
                <w:b/>
                <w:sz w:val="20"/>
              </w:rPr>
              <w:t>Telephone: (212) 841-1000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Howard L. Ellin</w:t>
            </w:r>
          </w:p>
          <w:p>
            <w:pPr>
              <w:pStyle w:val="TableContents"/>
              <w:bidi w:val="0"/>
              <w:spacing w:before="0" w:after="0"/>
              <w:jc w:val="center"/>
              <w:rPr>
                <w:rFonts w:ascii="Times New Roman" w:hAnsi="Times New Roman"/>
                <w:b/>
                <w:sz w:val="20"/>
              </w:rPr>
            </w:pPr>
            <w:r>
              <w:rPr>
                <w:rFonts w:ascii="Times New Roman" w:hAnsi="Times New Roman"/>
                <w:b/>
                <w:sz w:val="20"/>
              </w:rPr>
              <w:t>June S. Dipchand</w:t>
            </w:r>
          </w:p>
          <w:p>
            <w:pPr>
              <w:pStyle w:val="TableContents"/>
              <w:bidi w:val="0"/>
              <w:spacing w:before="0" w:after="0"/>
              <w:jc w:val="center"/>
              <w:rPr>
                <w:rFonts w:ascii="Times New Roman" w:hAnsi="Times New Roman"/>
                <w:b/>
                <w:sz w:val="20"/>
              </w:rPr>
            </w:pPr>
            <w:r>
              <w:rPr>
                <w:rFonts w:ascii="Times New Roman" w:hAnsi="Times New Roman"/>
                <w:b/>
                <w:sz w:val="20"/>
              </w:rPr>
              <w:t>Stephan Hutter</w:t>
            </w:r>
          </w:p>
          <w:p>
            <w:pPr>
              <w:pStyle w:val="TableContents"/>
              <w:bidi w:val="0"/>
              <w:spacing w:before="0" w:after="0"/>
              <w:jc w:val="center"/>
              <w:rPr>
                <w:rFonts w:ascii="Times New Roman" w:hAnsi="Times New Roman"/>
                <w:b/>
                <w:sz w:val="20"/>
              </w:rPr>
            </w:pPr>
            <w:r>
              <w:rPr>
                <w:rFonts w:ascii="Times New Roman" w:hAnsi="Times New Roman"/>
                <w:b/>
                <w:sz w:val="20"/>
              </w:rPr>
              <w:t>Holger Hofmeister</w:t>
            </w:r>
          </w:p>
          <w:p>
            <w:pPr>
              <w:pStyle w:val="TableContents"/>
              <w:bidi w:val="0"/>
              <w:spacing w:before="0" w:after="0"/>
              <w:jc w:val="center"/>
              <w:rPr>
                <w:rFonts w:ascii="Times New Roman" w:hAnsi="Times New Roman"/>
                <w:b/>
                <w:sz w:val="20"/>
              </w:rPr>
            </w:pPr>
            <w:r>
              <w:rPr>
                <w:rFonts w:ascii="Times New Roman" w:hAnsi="Times New Roman"/>
                <w:b/>
                <w:sz w:val="20"/>
              </w:rPr>
              <w:t>Skadden, Arps, Slate, Meagher &amp; Flom LLP</w:t>
            </w:r>
          </w:p>
          <w:p>
            <w:pPr>
              <w:pStyle w:val="TableContents"/>
              <w:bidi w:val="0"/>
              <w:spacing w:before="0" w:after="0"/>
              <w:jc w:val="center"/>
              <w:rPr>
                <w:rFonts w:ascii="Times New Roman" w:hAnsi="Times New Roman"/>
                <w:b/>
                <w:sz w:val="20"/>
              </w:rPr>
            </w:pPr>
            <w:r>
              <w:rPr>
                <w:rFonts w:ascii="Times New Roman" w:hAnsi="Times New Roman"/>
                <w:b/>
                <w:sz w:val="20"/>
              </w:rPr>
              <w:t>One Manhattan West</w:t>
            </w:r>
          </w:p>
          <w:p>
            <w:pPr>
              <w:pStyle w:val="TableContents"/>
              <w:bidi w:val="0"/>
              <w:spacing w:before="0" w:after="0"/>
              <w:jc w:val="center"/>
              <w:rPr>
                <w:rFonts w:ascii="Times New Roman" w:hAnsi="Times New Roman"/>
                <w:b/>
                <w:sz w:val="20"/>
              </w:rPr>
            </w:pPr>
            <w:r>
              <w:rPr>
                <w:rFonts w:ascii="Times New Roman" w:hAnsi="Times New Roman"/>
                <w:b/>
                <w:sz w:val="20"/>
              </w:rPr>
              <w:t>395 Ninth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w:t>
            </w:r>
          </w:p>
          <w:p>
            <w:pPr>
              <w:pStyle w:val="TableContents"/>
              <w:bidi w:val="0"/>
              <w:spacing w:before="0" w:after="20"/>
              <w:jc w:val="center"/>
              <w:rPr>
                <w:rFonts w:ascii="Times New Roman" w:hAnsi="Times New Roman"/>
                <w:b/>
                <w:sz w:val="20"/>
              </w:rPr>
            </w:pPr>
            <w:r>
              <w:rPr>
                <w:rFonts w:ascii="Times New Roman" w:hAnsi="Times New Roman"/>
                <w:b/>
                <w:sz w:val="20"/>
              </w:rPr>
              <w:t>Telephone: (212) 735-3000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tender offer subject to Rule 14d-1.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tender offer subject to Rule 13e-4.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going-private transaction subject to Rule 13e-3.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Schedule 13D under Rule 13d-2. </w:t>
            </w:r>
          </w:p>
        </w:tc>
      </w:tr>
    </w:tbl>
    <w:p>
      <w:pPr>
        <w:pStyle w:val="TextBody"/>
        <w:bidi w:val="0"/>
        <w:spacing w:before="12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Tender Offer Statement on Schedule TO (this “</w:t>
      </w:r>
      <w:r>
        <w:rPr>
          <w:rFonts w:ascii="Times New Roman" w:hAnsi="Times New Roman"/>
          <w:i/>
          <w:sz w:val="20"/>
        </w:rPr>
        <w:t>Schedule TO</w:t>
      </w:r>
      <w:r>
        <w:rPr>
          <w:rFonts w:ascii="Times New Roman" w:hAnsi="Times New Roman"/>
          <w:sz w:val="20"/>
        </w:rPr>
        <w:t>”) is filed by BioNTech SE, a European stock corporation (</w:t>
      </w:r>
      <w:r>
        <w:rPr>
          <w:rFonts w:ascii="Times New Roman" w:hAnsi="Times New Roman"/>
          <w:i/>
          <w:sz w:val="20"/>
        </w:rPr>
        <w:t>Societas Europaea</w:t>
      </w:r>
      <w:r>
        <w:rPr>
          <w:rFonts w:ascii="Times New Roman" w:hAnsi="Times New Roman"/>
          <w:sz w:val="20"/>
        </w:rPr>
        <w:t>, or SE) organized under the laws of Germany and the European Union (“</w:t>
      </w:r>
      <w:r>
        <w:rPr>
          <w:rFonts w:ascii="Times New Roman" w:hAnsi="Times New Roman"/>
          <w:i/>
          <w:sz w:val="20"/>
        </w:rPr>
        <w:t>BioNTech</w:t>
      </w:r>
      <w:r>
        <w:rPr>
          <w:rFonts w:ascii="Times New Roman" w:hAnsi="Times New Roman"/>
          <w:sz w:val="20"/>
        </w:rPr>
        <w:t>”). This Schedule TO relates to the offer by BioNTech to exchange (the “</w:t>
      </w:r>
      <w:r>
        <w:rPr>
          <w:rFonts w:ascii="Times New Roman" w:hAnsi="Times New Roman"/>
          <w:i/>
          <w:sz w:val="20"/>
        </w:rPr>
        <w:t>Exchange Offer</w:t>
      </w:r>
      <w:r>
        <w:rPr>
          <w:rFonts w:ascii="Times New Roman" w:hAnsi="Times New Roman"/>
          <w:sz w:val="20"/>
        </w:rPr>
        <w:t>”) American Depositary Shares, each representing one ordinary share, no par value, with a notional amount attributable to each ordinary share of 1, of BioNTech, (“</w:t>
      </w:r>
      <w:r>
        <w:rPr>
          <w:rFonts w:ascii="Times New Roman" w:hAnsi="Times New Roman"/>
          <w:i/>
          <w:sz w:val="20"/>
        </w:rPr>
        <w:t>BioNTech ADSs</w:t>
      </w:r>
      <w:r>
        <w:rPr>
          <w:rFonts w:ascii="Times New Roman" w:hAnsi="Times New Roman"/>
          <w:sz w:val="20"/>
        </w:rPr>
        <w:t>”), for all of the outstanding ordinary shares (“</w:t>
      </w:r>
      <w:r>
        <w:rPr>
          <w:rFonts w:ascii="Times New Roman" w:hAnsi="Times New Roman"/>
          <w:i/>
          <w:sz w:val="20"/>
        </w:rPr>
        <w:t>CureVac Shares</w:t>
      </w:r>
      <w:r>
        <w:rPr>
          <w:rFonts w:ascii="Times New Roman" w:hAnsi="Times New Roman"/>
          <w:sz w:val="20"/>
        </w:rPr>
        <w:t>”), par value 0.12 per share, of CureVac N.V., a public limited liability company (</w:t>
      </w:r>
      <w:r>
        <w:rPr>
          <w:rFonts w:ascii="Times New Roman" w:hAnsi="Times New Roman"/>
          <w:i/>
          <w:sz w:val="20"/>
        </w:rPr>
        <w:t>naamloze vennootschap</w:t>
      </w:r>
      <w:r>
        <w:rPr>
          <w:rFonts w:ascii="Times New Roman" w:hAnsi="Times New Roman"/>
          <w:sz w:val="20"/>
        </w:rPr>
        <w:t>) incorporated under the laws of the Netherlands (“</w:t>
      </w:r>
      <w:r>
        <w:rPr>
          <w:rFonts w:ascii="Times New Roman" w:hAnsi="Times New Roman"/>
          <w:i/>
          <w:sz w:val="20"/>
        </w:rPr>
        <w:t>CureVac</w:t>
      </w:r>
      <w:r>
        <w:rPr>
          <w:rFonts w:ascii="Times New Roman" w:hAnsi="Times New Roman"/>
          <w:sz w:val="20"/>
        </w:rPr>
        <w:t xml:space="preserve">”), upon the terms and subject to the conditions set forth in the Exchange Offer Prospectus (as defined below) and the related Letter of Transmittal (as defined below). </w:t>
      </w:r>
    </w:p>
    <w:p>
      <w:pPr>
        <w:pStyle w:val="TextBody"/>
        <w:bidi w:val="0"/>
        <w:spacing w:before="240" w:after="0"/>
        <w:jc w:val="left"/>
        <w:rPr>
          <w:rFonts w:ascii="Times New Roman" w:hAnsi="Times New Roman"/>
          <w:sz w:val="20"/>
        </w:rPr>
      </w:pPr>
      <w:r>
        <w:rPr>
          <w:rFonts w:ascii="Times New Roman" w:hAnsi="Times New Roman"/>
          <w:sz w:val="20"/>
        </w:rPr>
        <w:t>BioNTech is offering to exchange each CureVac Share for a number of BioNTech ADSs, taken to five decimal places,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(the “</w:t>
      </w:r>
      <w:r>
        <w:rPr>
          <w:rFonts w:ascii="Times New Roman" w:hAnsi="Times New Roman"/>
          <w:i/>
          <w:sz w:val="20"/>
        </w:rPr>
        <w:t>BioNTech ADS VWAP</w:t>
      </w:r>
      <w:r>
        <w:rPr>
          <w:rFonts w:ascii="Times New Roman" w:hAnsi="Times New Roman"/>
          <w:sz w:val="20"/>
        </w:rPr>
        <w:t xml:space="preserve">”), subject to the terms and conditions described in the Exchange Offer Prospectus (as defined below). In the event the BioNTech ADS VWAP is greater than or equal to $126.55, the exchange ratio will be 0.04318, and in the event the BioNTech ADS VWAP is less than or equal to $84.37, the exchange ratio will be 0.06476. </w:t>
      </w:r>
    </w:p>
    <w:p>
      <w:pPr>
        <w:pStyle w:val="TextBody"/>
        <w:bidi w:val="0"/>
        <w:spacing w:before="240" w:after="0"/>
        <w:jc w:val="left"/>
        <w:rPr>
          <w:rFonts w:ascii="Times New Roman" w:hAnsi="Times New Roman"/>
          <w:sz w:val="20"/>
        </w:rPr>
      </w:pPr>
      <w:r>
        <w:rPr>
          <w:rFonts w:ascii="Times New Roman" w:hAnsi="Times New Roman"/>
          <w:sz w:val="20"/>
        </w:rPr>
        <w:t>The Exchange Offer will initially remain open until 9:00 a.m. (New York City time) on December 3, 2025 (the “</w:t>
      </w:r>
      <w:r>
        <w:rPr>
          <w:rFonts w:ascii="Times New Roman" w:hAnsi="Times New Roman"/>
          <w:i/>
          <w:sz w:val="20"/>
        </w:rPr>
        <w:t>Expiration Time</w:t>
      </w:r>
      <w:r>
        <w:rPr>
          <w:rFonts w:ascii="Times New Roman" w:hAnsi="Times New Roman"/>
          <w:sz w:val="20"/>
        </w:rPr>
        <w:t xml:space="preserve">”), unless the Exchange Offer is extended or terminated in accordance with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In connection with the Exchange Offer, BioNTech initially filed with the U.S. Securities and Exchange Commission (the “</w:t>
      </w:r>
      <w:r>
        <w:rPr>
          <w:rFonts w:ascii="Times New Roman" w:hAnsi="Times New Roman"/>
          <w:i/>
          <w:sz w:val="20"/>
        </w:rPr>
        <w:t>SEC</w:t>
      </w:r>
      <w:r>
        <w:rPr>
          <w:rFonts w:ascii="Times New Roman" w:hAnsi="Times New Roman"/>
          <w:sz w:val="20"/>
        </w:rPr>
        <w:t>”) a Registration Statement on Form F-4 on August 11, 2025 (as it has been and may be amended or supplemented from time to time, the “</w:t>
      </w:r>
      <w:r>
        <w:rPr>
          <w:rFonts w:ascii="Times New Roman" w:hAnsi="Times New Roman"/>
          <w:i/>
          <w:sz w:val="20"/>
        </w:rPr>
        <w:t>Registration Statement</w:t>
      </w:r>
      <w:r>
        <w:rPr>
          <w:rFonts w:ascii="Times New Roman" w:hAnsi="Times New Roman"/>
          <w:sz w:val="20"/>
        </w:rPr>
        <w:t>”) to, among other things, register the BioNTech ADSs offered in exchange for CureVac Shares validly tendered and not properly withdrawn and accepted by BioNTech in the Exchange Offer. The terms and conditions of the Exchange Offer are set forth in the offer to exchange/prospectus, which is a part of the Registration Statement and filed as Exhibit (a)(4) hereto (as it may be amended or supplemented from time to time, the “</w:t>
      </w:r>
      <w:r>
        <w:rPr>
          <w:rFonts w:ascii="Times New Roman" w:hAnsi="Times New Roman"/>
          <w:i/>
          <w:sz w:val="20"/>
        </w:rPr>
        <w:t>Exchange Offer Prospectus</w:t>
      </w:r>
      <w:r>
        <w:rPr>
          <w:rFonts w:ascii="Times New Roman" w:hAnsi="Times New Roman"/>
          <w:sz w:val="20"/>
        </w:rPr>
        <w:t>”) and the related letter of transmittal filed as Exhibit (a)(1)(A) hereto (as it may be amended or supplemented from time to time, the “</w:t>
      </w:r>
      <w:r>
        <w:rPr>
          <w:rFonts w:ascii="Times New Roman" w:hAnsi="Times New Roman"/>
          <w:i/>
          <w:sz w:val="20"/>
        </w:rPr>
        <w:t>Letter of Transmittal</w:t>
      </w:r>
      <w:r>
        <w:rPr>
          <w:rFonts w:ascii="Times New Roman" w:hAnsi="Times New Roman"/>
          <w:sz w:val="20"/>
        </w:rPr>
        <w:t>”). Pursuant to General Instruction F to Schedule TO, the information set forth in the Exchange Offer Prospectus and the Letter of Transmittal and the instructions to the Letter of Transmittal therein, including any prospectus supplement or other supplement thereto related to the Exchange Offer hereafter filed with the SEC by BioNTech, is hereby expressly incorporated into this Schedule TO by reference in response to Items 1 through 11 of this Schedule TO and is supplemented by the information specifically provided for in this Schedule TO. The Exchange Offer is being made pursuant to the purchase agreement, dated as of June 12, 2025, by and between BioNTech and CureVac (the “</w:t>
      </w:r>
      <w:r>
        <w:rPr>
          <w:rFonts w:ascii="Times New Roman" w:hAnsi="Times New Roman"/>
          <w:i/>
          <w:sz w:val="20"/>
        </w:rPr>
        <w:t>Purchase Agreement</w:t>
      </w:r>
      <w:r>
        <w:rPr>
          <w:rFonts w:ascii="Times New Roman" w:hAnsi="Times New Roman"/>
          <w:sz w:val="20"/>
        </w:rPr>
        <w:t xml:space="preserve">”), a copy of which is filed as Exhibit (d)(A) to this Schedule TO and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Term Sheet.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sections of the Exchange Offer Prospectus entitled “Questions and Answers” and “Summary”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Subject Company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Name and Address.</w:t>
      </w:r>
      <w:r>
        <w:rPr>
          <w:rFonts w:ascii="Times New Roman" w:hAnsi="Times New Roman"/>
          <w:sz w:val="20"/>
        </w:rPr>
        <w:t xml:space="preserve"> The name, address, and telephone number of the subject company’s principal executive offices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CureVac N.V. </w:t>
      </w:r>
    </w:p>
    <w:p>
      <w:pPr>
        <w:pStyle w:val="TextBody"/>
        <w:bidi w:val="0"/>
        <w:spacing w:before="0" w:after="0"/>
        <w:jc w:val="left"/>
        <w:rPr>
          <w:rFonts w:ascii="Times New Roman" w:hAnsi="Times New Roman"/>
          <w:sz w:val="20"/>
        </w:rPr>
      </w:pPr>
      <w:r>
        <w:rPr>
          <w:rFonts w:ascii="Times New Roman" w:hAnsi="Times New Roman"/>
          <w:sz w:val="20"/>
        </w:rPr>
        <w:t xml:space="preserve">Friedrich-Miescher-Strasse 15, </w:t>
      </w:r>
    </w:p>
    <w:p>
      <w:pPr>
        <w:pStyle w:val="TextBody"/>
        <w:bidi w:val="0"/>
        <w:spacing w:before="0" w:after="0"/>
        <w:jc w:val="left"/>
        <w:rPr>
          <w:rFonts w:ascii="Times New Roman" w:hAnsi="Times New Roman"/>
          <w:sz w:val="20"/>
        </w:rPr>
      </w:pPr>
      <w:r>
        <w:rPr>
          <w:rFonts w:ascii="Times New Roman" w:hAnsi="Times New Roman"/>
          <w:sz w:val="20"/>
        </w:rPr>
        <w:t xml:space="preserve">72076 Tübingen, </w:t>
      </w:r>
    </w:p>
    <w:p>
      <w:pPr>
        <w:pStyle w:val="TextBody"/>
        <w:bidi w:val="0"/>
        <w:spacing w:before="0" w:after="0"/>
        <w:jc w:val="left"/>
        <w:rPr>
          <w:rFonts w:ascii="Times New Roman" w:hAnsi="Times New Roman"/>
          <w:sz w:val="20"/>
        </w:rPr>
      </w:pPr>
      <w:r>
        <w:rPr>
          <w:rFonts w:ascii="Times New Roman" w:hAnsi="Times New Roman"/>
          <w:sz w:val="20"/>
        </w:rPr>
        <w:t xml:space="preserve">Germany </w:t>
      </w:r>
    </w:p>
    <w:p>
      <w:pPr>
        <w:pStyle w:val="TextBody"/>
        <w:bidi w:val="0"/>
        <w:spacing w:before="0" w:after="0"/>
        <w:jc w:val="left"/>
        <w:rPr>
          <w:rFonts w:ascii="Times New Roman" w:hAnsi="Times New Roman"/>
          <w:sz w:val="20"/>
        </w:rPr>
      </w:pPr>
      <w:r>
        <w:rPr>
          <w:rFonts w:ascii="Times New Roman" w:hAnsi="Times New Roman"/>
          <w:sz w:val="20"/>
        </w:rPr>
        <w:t xml:space="preserve">+49 7071 9883-0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Securities.</w:t>
      </w:r>
      <w:r>
        <w:rPr>
          <w:rFonts w:ascii="Times New Roman" w:hAnsi="Times New Roman"/>
          <w:sz w:val="20"/>
        </w:rPr>
        <w:t xml:space="preserve"> CureVac Shares are the subject securities in the Exchange Offer. Reference is made to the information relating to CureVac Shares set forth in Exhibit 2.5 to CureVac’s Annual Report on Form 20-F for the year ended December 31, 2022, filed with the SEC on April 25, 2023, which is incorporated into this Schedule TO by reference. As of October 17, 2025, there were 225,181,647 CureVac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Trading Market and Price.</w:t>
      </w:r>
      <w:r>
        <w:rPr>
          <w:rFonts w:ascii="Times New Roman" w:hAnsi="Times New Roman"/>
          <w:sz w:val="20"/>
        </w:rPr>
        <w:t xml:space="preserve"> The information set forth in the sections of the Exchange Offer Prospectus entitled “Summary — Comparative Per Share Market Price Information” and “Summary — Comparative Share Prices and Dividends”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of Filing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 </w:t>
      </w:r>
      <w:r>
        <w:rPr>
          <w:rFonts w:ascii="Times New Roman" w:hAnsi="Times New Roman"/>
          <w:i/>
          <w:sz w:val="20"/>
        </w:rPr>
        <w:t>Name and Address; Business and Background of Entities;</w:t>
      </w:r>
      <w:r>
        <w:rPr>
          <w:rFonts w:ascii="Times New Roman" w:hAnsi="Times New Roman"/>
          <w:sz w:val="20"/>
        </w:rPr>
        <w:t xml:space="preserve"> and </w:t>
      </w:r>
      <w:r>
        <w:rPr>
          <w:rFonts w:ascii="Times New Roman" w:hAnsi="Times New Roman"/>
          <w:i/>
          <w:sz w:val="20"/>
        </w:rPr>
        <w:t>Business and Background of Natural Persons</w:t>
      </w:r>
      <w:r>
        <w:rPr>
          <w:rFonts w:ascii="Times New Roman" w:hAnsi="Times New Roman"/>
          <w:sz w:val="20"/>
        </w:rPr>
        <w:t xml:space="preserve">. The information set forth in (i) the sections of the Exchange Offer Prospectus entitled “Summary — The Companies,” “The Companies,” “Background of the Transactions — Directors and Management of BioNTech and CureVac or New Topco, as applicable, following the Closing of the Offer,” and “Where You Can Find More Information and Incorporation by Reference” and (ii) Item 6 of BioNTech’s Annual Report on Form 20-F for the year ended December 31, 2024, filed with the SEC on March 10, 2025,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Terms of the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Material Terms.</w:t>
      </w:r>
      <w:r>
        <w:rPr>
          <w:rFonts w:ascii="Times New Roman" w:hAnsi="Times New Roman"/>
          <w:sz w:val="20"/>
        </w:rPr>
        <w:t xml:space="preserve"> The information set forth in the following sections of the Exchange Offer Prospectus is incorporated into this Schedule TO by reference: “Questions and Answers,” “Summary,” “Background of the Transactions,” “The Offer,” “Material United States Federal Income Tax Considerations,” “Material German Tax Considerations,” “Material Dutch Tax Considerations,” “The Purchase Agreement,” “Description of BioNTech Capital Stock,” and “Comparison of Rights of BioNTech Shareholders and CureVac Shareholders,” as well as the cover page. In addition, the information set forth in the Letter of Transmittal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Past Contacts, Transactions, Negotiations and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(a)-(b) </w:t>
      </w:r>
      <w:r>
        <w:rPr>
          <w:rFonts w:ascii="Times New Roman" w:hAnsi="Times New Roman"/>
          <w:i/>
          <w:sz w:val="20"/>
        </w:rPr>
        <w:t>Transactions; Significant Corporate Events</w:t>
      </w:r>
      <w:r>
        <w:rPr>
          <w:rFonts w:ascii="Times New Roman" w:hAnsi="Times New Roman"/>
          <w:sz w:val="20"/>
        </w:rPr>
        <w:t xml:space="preserve">. The information set forth in the following sections of the Exchange Offer Prospectus is incorporated into this Schedule TO by reference: “Summary,” “Background of the Transactions,” “The Offer,” “The Purchase Agreement,” and “The Tender and Support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Purposes of the Transaction and Plans or Proposals.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Purposes.</w:t>
      </w:r>
      <w:r>
        <w:rPr>
          <w:rFonts w:ascii="Times New Roman" w:hAnsi="Times New Roman"/>
          <w:sz w:val="20"/>
        </w:rPr>
        <w:t xml:space="preserve"> The information set forth in the sections of the Exchange Offer Prospectus entitled “Background of the Transactions,” “The Offer,” and “The Purchase Agreement” is incorporated into this Schedule TO by reference. </w:t>
      </w:r>
    </w:p>
    <w:p>
      <w:pPr>
        <w:pStyle w:val="TextBody"/>
        <w:bidi w:val="0"/>
        <w:spacing w:before="240" w:after="0"/>
        <w:jc w:val="left"/>
        <w:rPr>
          <w:rFonts w:ascii="Times New Roman" w:hAnsi="Times New Roman"/>
          <w:sz w:val="20"/>
        </w:rPr>
      </w:pPr>
      <w:r>
        <w:rPr>
          <w:rFonts w:ascii="Times New Roman" w:hAnsi="Times New Roman"/>
          <w:sz w:val="20"/>
        </w:rPr>
        <w:t xml:space="preserve">(c)(1)-(7) </w:t>
      </w:r>
      <w:r>
        <w:rPr>
          <w:rFonts w:ascii="Times New Roman" w:hAnsi="Times New Roman"/>
          <w:i/>
          <w:sz w:val="20"/>
        </w:rPr>
        <w:t>Plans</w:t>
      </w:r>
      <w:r>
        <w:rPr>
          <w:rFonts w:ascii="Times New Roman" w:hAnsi="Times New Roman"/>
          <w:sz w:val="20"/>
        </w:rPr>
        <w:t xml:space="preserve">. The information set forth in the sections of the Exchange Offer Prospectus entitled “Summary,” “Background of the Transactions,” “The Offer — The Post-Offer Reorganization and the New Topco U.S. Tax Election,” “The Purchase Agreement,” and “Description of BioNTech Capital Stock”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b/>
              </w:rPr>
            </w:pPr>
            <w:r>
              <w:rPr>
                <w:b/>
              </w:rPr>
              <w:t>Item 7.</w:t>
            </w:r>
          </w:p>
        </w:tc>
        <w:tc>
          <w:tcPr>
            <w:tcW w:w="91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Source of Funds.</w:t>
      </w:r>
      <w:r>
        <w:rPr>
          <w:rFonts w:ascii="Times New Roman" w:hAnsi="Times New Roman"/>
          <w:sz w:val="20"/>
        </w:rPr>
        <w:t xml:space="preserve"> The information set forth in the sections of the Exchange Offer Prospectus entitled “Summary,” “The Offer,” and “The Purchase Agreement” is incorporated into this Schedule TO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Conditions.</w:t>
      </w:r>
      <w:r>
        <w:rPr>
          <w:rFonts w:ascii="Times New Roman" w:hAnsi="Times New Roman"/>
          <w:sz w:val="20"/>
        </w:rPr>
        <w:t xml:space="preserve"> The information set forth in the sections of the Exchange Offer Prospectus entitled “Summary — Conditions to Closing of the Offer,” “Summary — Antitrust Approvals,” “Summary — Other Regulatory Approvals,” “Risk Factors,” “The Offer,” and “The Purchase Agreement — Conditions to Closing of the Offer” is incorporated into this Schedule TO by reference.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Borrowed Funds.</w:t>
      </w:r>
      <w:r>
        <w:rPr>
          <w:rFonts w:ascii="Times New Roman" w:hAnsi="Times New Roman"/>
          <w:sz w:val="20"/>
        </w:rPr>
        <w:t xml:space="preserve"> Not applicable.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8.</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Subject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Securities Ownership.</w:t>
      </w:r>
      <w:r>
        <w:rPr>
          <w:rFonts w:ascii="Times New Roman" w:hAnsi="Times New Roman"/>
          <w:sz w:val="20"/>
        </w:rPr>
        <w:t xml:space="preserve"> Neither BioNTech nor any of its majority-owned subsidiaries beneficially own any CureVac Shares. The information set forth in the sections of the Exchange Offer Prospectus entitled “Background of the Transactions — Interests of CureVac’s Supervisory and Management Directors in the Offer — CureVac Share Ownership” is incorporated into this Schedule TO by reference.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Securities Transactions.</w:t>
      </w:r>
      <w:r>
        <w:rPr>
          <w:rFonts w:ascii="Times New Roman" w:hAnsi="Times New Roman"/>
          <w:sz w:val="20"/>
        </w:rPr>
        <w:t xml:space="preserve"> 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Persons/Assets Retained, Employed, Compensated, or Used.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Solicitations or Recommendations.</w:t>
      </w:r>
      <w:r>
        <w:rPr>
          <w:rFonts w:ascii="Times New Roman" w:hAnsi="Times New Roman"/>
          <w:sz w:val="20"/>
        </w:rPr>
        <w:t xml:space="preserve"> The information set forth in the sections of the Exchange Offer Prospectus entitled “The Offer — Fees and Expenses”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10.</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Financial Information</w:t>
      </w:r>
      <w:r>
        <w:rPr>
          <w:rFonts w:ascii="Times New Roman" w:hAnsi="Times New Roman"/>
          <w:sz w:val="20"/>
        </w:rPr>
        <w:t xml:space="preserve">. The information set forth in the following sections of the Exchange Offer Prospectus is incorporated into this Schedule TO by reference: “Summary — Comparative Per Share Market Price Information,” “Summary — Comparative Share Prices and Dividends,” and “Where You Can Find More Information and Incorporation by Reference.” In addition, the following is incorporated into this Schedule TO by reference: (i) the audited consolidated financial statements of BioNTech as of December 31, 2024 and 2023 and for each of the years in the three-year period ended December 31, 2024 included in BioNTech’s Annual Report on Form 20-F for the year ended December 31, 2024, filed with the SEC on May 5, 2025; (ii) the unaudited interim condensed consolidated financial statements of BioNTech as of and for the three-months ended March 31, 2025 set forth on Exhibit 99.1 to BioNTech’s Form 6-K, filed with the SEC on May 5, 2025; and (iii) the unaudited interim condensed consolidated financial statements of BioNTech as of and for the three- and six-months ended June 30, 2025 set forth on Exhibit 99.1 to BioNTech’s Form 6-K, filed with the SEC on August 8, 2025.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 Forma Information</w:t>
      </w:r>
      <w:r>
        <w:rPr>
          <w:rFonts w:ascii="Times New Roman" w:hAnsi="Times New Roman"/>
          <w:sz w:val="20"/>
        </w:rPr>
        <w:t xml:space="preserve">.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Agreements, Regulatory Requirements and Legal Proceedings.</w:t>
      </w:r>
      <w:r>
        <w:rPr>
          <w:rFonts w:ascii="Times New Roman" w:hAnsi="Times New Roman"/>
          <w:sz w:val="20"/>
        </w:rPr>
        <w:t xml:space="preserve"> The information set forth in the following sections of the Exchange Offer Prospectus is incorporated into this Schedule TO by reference: “Summary,” “The Companies,” “Background of the Transactions,” “The Offer,” “The Purchase Agreement,” and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Other Material Information.</w:t>
      </w:r>
      <w:r>
        <w:rPr>
          <w:rFonts w:ascii="Times New Roman" w:hAnsi="Times New Roman"/>
          <w:sz w:val="20"/>
        </w:rPr>
        <w:t xml:space="preserve"> The information contained in the Exchange Offer Prospectus, the Letter of Transmittal, and the documents incorporated by reference in the Exchange Offer Prospectus, to the extent not already incorporated into this Schedule TO by reference, is incorporated into this Schedule TO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3"/>
        <w:gridCol w:w="839"/>
        <w:gridCol w:w="8173"/>
      </w:tblGrid>
      <w:tr>
        <w:trPr/>
        <w:tc>
          <w:tcPr>
            <w:tcW w:w="1193" w:type="dxa"/>
            <w:tcBorders/>
            <w:vAlign w:val="center"/>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1193"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839" w:type="dxa"/>
            <w:tcBorders/>
            <w:vAlign w:val="bottom"/>
          </w:tcPr>
          <w:p>
            <w:pPr>
              <w:pStyle w:val="TableContents"/>
              <w:bidi w:val="0"/>
              <w:spacing w:before="0" w:after="283"/>
              <w:jc w:val="left"/>
              <w:rPr/>
            </w:pPr>
            <w:r>
              <w:rPr/>
              <w:t> </w:t>
            </w:r>
          </w:p>
        </w:tc>
        <w:tc>
          <w:tcPr>
            <w:tcW w:w="817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9012" w:type="dxa"/>
            <w:gridSpan w:val="2"/>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283"/>
              <w:jc w:val="left"/>
              <w:rPr/>
            </w:pPr>
            <w:r>
              <w:rPr/>
              <w:t>(a)(1)(A)</w:t>
            </w:r>
          </w:p>
        </w:tc>
        <w:tc>
          <w:tcPr>
            <w:tcW w:w="839" w:type="dxa"/>
            <w:tcBorders/>
            <w:vAlign w:val="bottom"/>
          </w:tcPr>
          <w:p>
            <w:pPr>
              <w:pStyle w:val="TableContents"/>
              <w:bidi w:val="0"/>
              <w:spacing w:before="0" w:after="283"/>
              <w:jc w:val="left"/>
              <w:rPr/>
            </w:pPr>
            <w:r>
              <w:rPr/>
              <w:t> </w:t>
            </w:r>
          </w:p>
        </w:tc>
        <w:tc>
          <w:tcPr>
            <w:tcW w:w="8173" w:type="dxa"/>
            <w:tcBorders/>
          </w:tcPr>
          <w:p>
            <w:pPr>
              <w:pStyle w:val="TableContents"/>
              <w:bidi w:val="0"/>
              <w:spacing w:before="0" w:after="283"/>
              <w:jc w:val="left"/>
              <w:rPr/>
            </w:pPr>
            <w:hyperlink r:id="rId2">
              <w:r>
                <w:rPr>
                  <w:rStyle w:val="InternetLink"/>
                </w:rPr>
                <w:t xml:space="preserve">Form of Letter of Transmittal (incorporated by reference to Exhibit 99.1 to Amendment No. 2 to the Registration Statement on Form F-4 filed with the SEC on October 21, 2025). </w:t>
              </w:r>
            </w:hyperlink>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9012" w:type="dxa"/>
            <w:gridSpan w:val="2"/>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283"/>
              <w:jc w:val="left"/>
              <w:rPr/>
            </w:pPr>
            <w:r>
              <w:rPr/>
              <w:t>(a)(1)(B)</w:t>
            </w:r>
          </w:p>
        </w:tc>
        <w:tc>
          <w:tcPr>
            <w:tcW w:w="839" w:type="dxa"/>
            <w:tcBorders/>
            <w:vAlign w:val="bottom"/>
          </w:tcPr>
          <w:p>
            <w:pPr>
              <w:pStyle w:val="TableContents"/>
              <w:bidi w:val="0"/>
              <w:spacing w:before="0" w:after="283"/>
              <w:jc w:val="left"/>
              <w:rPr/>
            </w:pPr>
            <w:r>
              <w:rPr/>
              <w:t> </w:t>
            </w:r>
          </w:p>
        </w:tc>
        <w:tc>
          <w:tcPr>
            <w:tcW w:w="8173" w:type="dxa"/>
            <w:tcBorders/>
          </w:tcPr>
          <w:p>
            <w:pPr>
              <w:pStyle w:val="TableContents"/>
              <w:bidi w:val="0"/>
              <w:spacing w:before="0" w:after="283"/>
              <w:jc w:val="left"/>
              <w:rPr/>
            </w:pPr>
            <w:hyperlink r:id="rId3">
              <w:r>
                <w:rPr>
                  <w:rStyle w:val="InternetLink"/>
                </w:rPr>
                <w:t xml:space="preserve">Form of Letter to Brokers, Dealers, Commercial Banks, Trust Companies, and Other Nominees (incorporated by reference to Exhibit 99.2 to Amendment No. 2 to the Registration Statement on Form F-4 filed with the SEC on October 21, 2025). </w:t>
              </w:r>
            </w:hyperlink>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9012" w:type="dxa"/>
            <w:gridSpan w:val="2"/>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283"/>
              <w:jc w:val="left"/>
              <w:rPr/>
            </w:pPr>
            <w:r>
              <w:rPr/>
              <w:t>(a)(1)(C)</w:t>
            </w:r>
          </w:p>
        </w:tc>
        <w:tc>
          <w:tcPr>
            <w:tcW w:w="839" w:type="dxa"/>
            <w:tcBorders/>
            <w:vAlign w:val="bottom"/>
          </w:tcPr>
          <w:p>
            <w:pPr>
              <w:pStyle w:val="TableContents"/>
              <w:bidi w:val="0"/>
              <w:spacing w:before="0" w:after="283"/>
              <w:jc w:val="left"/>
              <w:rPr/>
            </w:pPr>
            <w:r>
              <w:rPr/>
              <w:t> </w:t>
            </w:r>
          </w:p>
        </w:tc>
        <w:tc>
          <w:tcPr>
            <w:tcW w:w="8173" w:type="dxa"/>
            <w:tcBorders/>
          </w:tcPr>
          <w:p>
            <w:pPr>
              <w:pStyle w:val="TableContents"/>
              <w:bidi w:val="0"/>
              <w:spacing w:before="0" w:after="283"/>
              <w:jc w:val="left"/>
              <w:rPr/>
            </w:pPr>
            <w:hyperlink r:id="rId4">
              <w:r>
                <w:rPr>
                  <w:rStyle w:val="InternetLink"/>
                </w:rPr>
                <w:t xml:space="preserve">Form of Letter to Clients for Use by Brokers, Dealers, Commercial Banks, Trust Companies, and Other Nominees (incorporated by reference to Exhibit 99.3 to Amendment No. 2 to the Registration Statement on Form F-4 filed with the SEC on October 21, 2025). </w:t>
              </w:r>
            </w:hyperlink>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08"/>
        <w:gridCol w:w="762"/>
        <w:gridCol w:w="8235"/>
      </w:tblGrid>
      <w:tr>
        <w:trPr/>
        <w:tc>
          <w:tcPr>
            <w:tcW w:w="1208" w:type="dxa"/>
            <w:tcBorders/>
            <w:vAlign w:val="center"/>
          </w:tcPr>
          <w:p>
            <w:pPr>
              <w:pStyle w:val="TableContents"/>
              <w:bidi w:val="0"/>
              <w:spacing w:before="0" w:after="283"/>
              <w:jc w:val="left"/>
              <w:rPr>
                <w:sz w:val="4"/>
                <w:szCs w:val="4"/>
              </w:rPr>
            </w:pPr>
            <w:r>
              <w:rPr>
                <w:sz w:val="4"/>
                <w:szCs w:val="4"/>
              </w:rPr>
            </w:r>
          </w:p>
        </w:tc>
        <w:tc>
          <w:tcPr>
            <w:tcW w:w="76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1208"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762" w:type="dxa"/>
            <w:tcBorders/>
            <w:vAlign w:val="bottom"/>
          </w:tcPr>
          <w:p>
            <w:pPr>
              <w:pStyle w:val="TableContents"/>
              <w:bidi w:val="0"/>
              <w:spacing w:before="0" w:after="283"/>
              <w:jc w:val="left"/>
              <w:rPr/>
            </w:pPr>
            <w:r>
              <w:rPr/>
              <w:t> </w:t>
            </w:r>
          </w:p>
        </w:tc>
        <w:tc>
          <w:tcPr>
            <w:tcW w:w="82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(a)(1)(D)</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5">
              <w:r>
                <w:rPr>
                  <w:rStyle w:val="InternetLink"/>
                </w:rPr>
                <w:t xml:space="preserve">Form of Notice of Withdrawal of CureVac Shares (incorporated by reference to Exhibit 99.4 to Amendment No.  2 to the Registration Statement on Form F-4 filed with the SEC on October 21,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(a)(4)</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6">
              <w:r>
                <w:rPr>
                  <w:rStyle w:val="InternetLink"/>
                </w:rPr>
                <w:t xml:space="preserve">Exchange Offer Prospectus, dated October 21, 2025 (included in Amendment No. 2 to the Registration Statement on Form F-4 filed with the SEC on October 21, 2025 and incorporated herein by reference).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(a)(5)(A)</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7">
              <w:r>
                <w:rPr>
                  <w:rStyle w:val="InternetLink"/>
                </w:rPr>
                <w:t xml:space="preserve">Joint Press Release issued by BioNTech SE and CureVac N.V., dated June 12, 2025 (incorporated by reference to Exhibit  99.1 to the Current Report on Form 6-K filed by BioNTech SE with the SEC on June 12,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(a)(5)(B)</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8">
              <w:r>
                <w:rPr>
                  <w:rStyle w:val="InternetLink"/>
                </w:rPr>
                <w:t>BioNTech SE Social Media Post (LinkedIn), dated June  12, 2025 (incorporated by reference to BioNTech SE’s filing with the SEC pursuant to Rule 425 on June 12, 2025).</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(a)(5)(C)</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9">
              <w:r>
                <w:rPr>
                  <w:rStyle w:val="InternetLink"/>
                </w:rPr>
                <w:t xml:space="preserve">Email to BioNTech SE Employees from Prof. Ugur Sahin, M.D., Chief Executive Officer of BioNTech SE, dated June  12, 2025 (incorporated by reference to BioNTech SE’s filing with the SEC pursuant to Rule 425 on June 12,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(a)(5)(D)</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0">
              <w:r>
                <w:rPr>
                  <w:rStyle w:val="InternetLink"/>
                </w:rPr>
                <w:t>BioNTech SE Intranet Post, dated June 12, 2025 (incorporated by reference to BioNTech’s filing with the SEC pursuant to Rule  425 on June 12, 2025).</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(a)(5)(E)</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1">
              <w:r>
                <w:rPr>
                  <w:rStyle w:val="InternetLink"/>
                </w:rPr>
                <w:t xml:space="preserve">BioNTech SE Investor Questions and Answers, dated June  12, 2025 (incorporated by reference to BioNTech SE’s filing pursuant to Rule 425 on June 12,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(a)(5)(F)</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2">
              <w:r>
                <w:rPr>
                  <w:rStyle w:val="InternetLink"/>
                </w:rPr>
                <w:t xml:space="preserve">Report on Form 6-K of BioNTech SE, dated June  17, 2025 (incorporated by reference to BioNTech SE’s filing pursuant to Rule 425 on June 17,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(a)(5)(G)</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3">
              <w:r>
                <w:rPr>
                  <w:rStyle w:val="InternetLink"/>
                </w:rPr>
                <w:t xml:space="preserve">Press Release issued by BioNTech SE, dated August  8, 2025 (incorporated by reference to BioNTech SE’s filing pursuant to Rule 425 on August 8,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(a)(5)(H)</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4">
              <w:r>
                <w:rPr>
                  <w:rStyle w:val="InternetLink"/>
                </w:rPr>
                <w:t xml:space="preserve">Report on Form 6-K of BioNTech SE, dated August  11, 2025 (incorporated by reference to BioNTech SE’s filing pursuant to Rule 425 on August 11,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(a)(5)(I)</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5">
              <w:r>
                <w:rPr>
                  <w:rStyle w:val="InternetLink"/>
                </w:rPr>
                <w:t>European Union Prospectus, dated October 20, 2025 (incorporated by reference to BioNTech SE’s filing pursuant to Rule  425 on October 20, 2025).</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(a)(5)(J)</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6">
              <w:r>
                <w:rPr>
                  <w:rStyle w:val="InternetLink"/>
                </w:rPr>
                <w:t>United Kingdom Exemption Document, dated October  20, 2025 (incorporated by reference to BioNTech SE’s filing pursuant to Rule 425 on October 20, 2025).</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(d)(A)</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7">
              <w:r>
                <w:rPr>
                  <w:rStyle w:val="InternetLink"/>
                </w:rPr>
                <w:t xml:space="preserve">Purchase Agreement, dated as of June 12, 2025, by and between BioNTech SE and CureVac N.V. (incorporated by reference to Exhibit  99.1 to the Current Report on Form 6-K filed by BioNTech with the SEC on June 17,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(d)(B)</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8">
              <w:r>
                <w:rPr>
                  <w:rStyle w:val="InternetLink"/>
                </w:rPr>
                <w:t xml:space="preserve">Form of Tender and Support Agreement by and between BioNTech SE and certain stockholders of CureVac N.V. (incorporated by reference to Annex B to Amendment No. 2 to the Registration Statement on Form F-4 filed with the SEC on October 21,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(h)(1)</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r:id="rId19">
              <w:r>
                <w:rPr>
                  <w:rStyle w:val="InternetLink"/>
                </w:rPr>
                <w:t xml:space="preserve">Legal opinion of Covington &amp; Burling LLP, dated August  11, 2025, regarding the U.S. tax consequences of the transaction (incorporated by reference to Exhibit 8.1 to Amendment No. 2 to the Registration Statement on Form F-4 filed with the SEC on October  21, 2025). </w:t>
              </w:r>
            </w:hyperlink>
          </w:p>
        </w:tc>
      </w:tr>
      <w:tr>
        <w:trPr>
          <w:trHeight w:val="120" w:hRule="atLeast"/>
        </w:trPr>
        <w:tc>
          <w:tcPr>
            <w:tcW w:w="1208" w:type="dxa"/>
            <w:tcBorders/>
            <w:vAlign w:val="center"/>
          </w:tcPr>
          <w:p>
            <w:pPr>
              <w:pStyle w:val="TableContents"/>
              <w:bidi w:val="0"/>
              <w:spacing w:before="0" w:after="283"/>
              <w:jc w:val="left"/>
              <w:rPr>
                <w:sz w:val="4"/>
                <w:szCs w:val="4"/>
              </w:rPr>
            </w:pPr>
            <w:r>
              <w:rPr>
                <w:sz w:val="4"/>
                <w:szCs w:val="4"/>
              </w:rPr>
            </w:r>
          </w:p>
        </w:tc>
        <w:tc>
          <w:tcPr>
            <w:tcW w:w="8997" w:type="dxa"/>
            <w:gridSpan w:val="2"/>
            <w:tcBorders/>
            <w:vAlign w:val="center"/>
          </w:tcPr>
          <w:p>
            <w:pPr>
              <w:pStyle w:val="TableContents"/>
              <w:bidi w:val="0"/>
              <w:spacing w:before="0" w:after="283"/>
              <w:jc w:val="left"/>
              <w:rPr>
                <w:sz w:val="4"/>
                <w:szCs w:val="4"/>
              </w:rPr>
            </w:pPr>
            <w:r>
              <w:rPr>
                <w:sz w:val="4"/>
                <w:szCs w:val="4"/>
              </w:rPr>
            </w:r>
          </w:p>
        </w:tc>
      </w:tr>
      <w:tr>
        <w:trPr/>
        <w:tc>
          <w:tcPr>
            <w:tcW w:w="1208" w:type="dxa"/>
            <w:tcBorders/>
          </w:tcPr>
          <w:p>
            <w:pPr>
              <w:pStyle w:val="TableContents"/>
              <w:bidi w:val="0"/>
              <w:spacing w:before="0" w:after="283"/>
              <w:jc w:val="left"/>
              <w:rPr/>
            </w:pPr>
            <w:r>
              <w:rPr/>
              <w:t>107</w:t>
            </w:r>
          </w:p>
        </w:tc>
        <w:tc>
          <w:tcPr>
            <w:tcW w:w="762" w:type="dxa"/>
            <w:tcBorders/>
            <w:vAlign w:val="bottom"/>
          </w:tcPr>
          <w:p>
            <w:pPr>
              <w:pStyle w:val="TableContents"/>
              <w:bidi w:val="0"/>
              <w:spacing w:before="0" w:after="283"/>
              <w:jc w:val="left"/>
              <w:rPr/>
            </w:pPr>
            <w:r>
              <w:rPr/>
              <w:t> </w:t>
            </w:r>
          </w:p>
        </w:tc>
        <w:tc>
          <w:tcPr>
            <w:tcW w:w="8235" w:type="dxa"/>
            <w:tcBorders/>
          </w:tcPr>
          <w:p>
            <w:pPr>
              <w:pStyle w:val="TableContents"/>
              <w:bidi w:val="0"/>
              <w:spacing w:before="0" w:after="283"/>
              <w:jc w:val="left"/>
              <w:rPr/>
            </w:pPr>
            <w:hyperlink w:anchor="d38438dexfilingfees.htm">
              <w:r>
                <w:rPr>
                  <w:rStyle w:val="InternetLink"/>
                </w:rPr>
                <w:t>Calculation of Filing Fee Table.*</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Required by Schedule 13E-3.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360" w:after="0"/>
        <w:jc w:val="left"/>
        <w:rPr>
          <w:rFonts w:ascii="Times New Roman" w:hAnsi="Times New Roman"/>
          <w:sz w:val="20"/>
        </w:rPr>
      </w:pPr>
      <w:r>
        <w:rPr>
          <w:rFonts w:ascii="Times New Roman" w:hAnsi="Times New Roman"/>
          <w:sz w:val="20"/>
        </w:rPr>
        <w:t xml:space="preserve">Dated: October 21, 2025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BioNTech SE</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Prof. Ugur Sahin, M.D.</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Prof. Ugur Sahin, M.D.</w:t>
            </w:r>
          </w:p>
          <w:p>
            <w:pPr>
              <w:pStyle w:val="TableContents"/>
              <w:bidi w:val="0"/>
              <w:spacing w:before="0" w:after="20"/>
              <w:jc w:val="left"/>
              <w:rPr>
                <w:rFonts w:ascii="Times New Roman" w:hAnsi="Times New Roman"/>
                <w:sz w:val="20"/>
              </w:rPr>
            </w:pPr>
            <w:r>
              <w:rPr>
                <w:rFonts w:ascii="Times New Roman" w:hAnsi="Times New Roman"/>
                <w:sz w:val="20"/>
              </w:rPr>
              <w:t>Title:  Chief Executive Offer</w:t>
            </w:r>
          </w:p>
        </w:tc>
      </w:tr>
    </w:tbl>
    <w:p>
      <w:pPr>
        <w:pStyle w:val="Normal"/>
        <w:bidi w:val="0"/>
        <w:spacing w:before="0" w:after="0"/>
        <w:jc w:val="left"/>
        <w:rPr>
          <w:sz w:val="4"/>
          <w:szCs w:val="4"/>
        </w:rPr>
      </w:pPr>
      <w:r>
        <w:rPr>
          <w:sz w:val="4"/>
          <w:szCs w:val="4"/>
        </w:rPr>
      </w:r>
      <w:bookmarkStart w:id="2" w:name="d38438dexfilingfees.htm"/>
      <w:bookmarkStart w:id="3" w:name="ksd38438dexfilingfees"/>
      <w:bookmarkStart w:id="4" w:name="d38438dexfilingfees.htm"/>
      <w:bookmarkStart w:id="5" w:name="ksd38438dexfilingfees"/>
      <w:bookmarkEnd w:id="4"/>
      <w:bookmarkEnd w:id="5"/>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962"/>
        <w:gridCol w:w="2513"/>
        <w:gridCol w:w="2366"/>
        <w:gridCol w:w="1174"/>
        <w:gridCol w:w="2190"/>
      </w:tblGrid>
      <w:tr>
        <w:trPr/>
        <w:tc>
          <w:tcPr>
            <w:tcW w:w="1962" w:type="dxa"/>
            <w:tcBorders/>
            <w:shd w:fill="9ADAF6" w:val="clear"/>
            <w:vAlign w:val="center"/>
          </w:tcPr>
          <w:p>
            <w:pPr>
              <w:pStyle w:val="TableHeading"/>
              <w:bidi w:val="0"/>
              <w:spacing w:before="0" w:after="283"/>
              <w:rPr>
                <w:sz w:val="4"/>
                <w:szCs w:val="4"/>
              </w:rPr>
            </w:pPr>
            <w:r>
              <w:rPr>
                <w:sz w:val="4"/>
                <w:szCs w:val="4"/>
              </w:rPr>
            </w:r>
          </w:p>
        </w:tc>
        <w:tc>
          <w:tcPr>
            <w:tcW w:w="2513" w:type="dxa"/>
            <w:tcBorders/>
            <w:shd w:fill="9ADAF6" w:val="clear"/>
            <w:vAlign w:val="center"/>
          </w:tcPr>
          <w:p>
            <w:pPr>
              <w:pStyle w:val="TableHeading"/>
              <w:bidi w:val="0"/>
              <w:spacing w:before="0" w:after="283"/>
              <w:rPr>
                <w:sz w:val="4"/>
                <w:szCs w:val="4"/>
              </w:rPr>
            </w:pPr>
            <w:r>
              <w:rPr>
                <w:sz w:val="4"/>
                <w:szCs w:val="4"/>
              </w:rPr>
            </w:r>
          </w:p>
        </w:tc>
        <w:tc>
          <w:tcPr>
            <w:tcW w:w="2366" w:type="dxa"/>
            <w:tcBorders/>
            <w:shd w:fill="9ADAF6" w:val="clear"/>
            <w:vAlign w:val="center"/>
          </w:tcPr>
          <w:p>
            <w:pPr>
              <w:pStyle w:val="TableHeading"/>
              <w:bidi w:val="0"/>
              <w:spacing w:before="0" w:after="0"/>
              <w:ind w:left="0" w:right="0" w:hanging="0"/>
              <w:jc w:val="center"/>
              <w:rPr/>
            </w:pPr>
            <w:r>
              <w:rPr>
                <w:b/>
              </w:rPr>
              <w:t>Transaction Valuation</w:t>
            </w:r>
            <w:r>
              <w:rPr/>
              <w:t xml:space="preserve"> </w:t>
            </w:r>
          </w:p>
        </w:tc>
        <w:tc>
          <w:tcPr>
            <w:tcW w:w="1174"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2190"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962" w:type="dxa"/>
            <w:tcBorders/>
            <w:shd w:fill="E7E7E2" w:val="clear"/>
            <w:vAlign w:val="center"/>
          </w:tcPr>
          <w:p>
            <w:pPr>
              <w:pStyle w:val="TableContents"/>
              <w:bidi w:val="0"/>
              <w:spacing w:before="0" w:after="283"/>
              <w:jc w:val="left"/>
              <w:rPr/>
            </w:pPr>
            <w:r>
              <w:rPr/>
              <w:t xml:space="preserve">Fees to be Paid </w:t>
            </w:r>
          </w:p>
        </w:tc>
        <w:tc>
          <w:tcPr>
            <w:tcW w:w="2513" w:type="dxa"/>
            <w:tcBorders/>
            <w:shd w:fill="E7E7E2" w:val="clear"/>
            <w:vAlign w:val="center"/>
          </w:tcPr>
          <w:p>
            <w:pPr>
              <w:pStyle w:val="TableContents"/>
              <w:bidi w:val="0"/>
              <w:spacing w:before="0" w:after="283"/>
              <w:jc w:val="center"/>
              <w:rPr/>
            </w:pPr>
            <w:r>
              <w:rPr/>
              <w:t xml:space="preserve">1 </w:t>
            </w:r>
          </w:p>
        </w:tc>
        <w:tc>
          <w:tcPr>
            <w:tcW w:w="2366" w:type="dxa"/>
            <w:tcBorders/>
            <w:shd w:fill="E7E7E2" w:val="clear"/>
            <w:vAlign w:val="center"/>
          </w:tcPr>
          <w:p>
            <w:pPr>
              <w:pStyle w:val="TableContents"/>
              <w:bidi w:val="0"/>
              <w:spacing w:before="0" w:after="283"/>
              <w:jc w:val="right"/>
              <w:rPr/>
            </w:pPr>
            <w:r>
              <w:rPr/>
              <w:t xml:space="preserve">$ 1,253,580,823.88 </w:t>
            </w:r>
          </w:p>
        </w:tc>
        <w:tc>
          <w:tcPr>
            <w:tcW w:w="1174" w:type="dxa"/>
            <w:tcBorders/>
            <w:shd w:fill="E7E7E2" w:val="clear"/>
            <w:vAlign w:val="center"/>
          </w:tcPr>
          <w:p>
            <w:pPr>
              <w:pStyle w:val="TableContents"/>
              <w:bidi w:val="0"/>
              <w:spacing w:before="0" w:after="283"/>
              <w:jc w:val="right"/>
              <w:rPr/>
            </w:pPr>
            <w:r>
              <w:rPr/>
              <w:t xml:space="preserve">0.0001381 </w:t>
            </w:r>
          </w:p>
        </w:tc>
        <w:tc>
          <w:tcPr>
            <w:tcW w:w="2190" w:type="dxa"/>
            <w:tcBorders/>
            <w:shd w:fill="E7E7E2" w:val="clear"/>
            <w:vAlign w:val="center"/>
          </w:tcPr>
          <w:p>
            <w:pPr>
              <w:pStyle w:val="TableContents"/>
              <w:bidi w:val="0"/>
              <w:spacing w:before="0" w:after="283"/>
              <w:jc w:val="right"/>
              <w:rPr/>
            </w:pPr>
            <w:r>
              <w:rPr/>
              <w:t xml:space="preserve">$ 173,119.51 </w:t>
            </w:r>
          </w:p>
        </w:tc>
      </w:tr>
      <w:tr>
        <w:trPr/>
        <w:tc>
          <w:tcPr>
            <w:tcW w:w="1962" w:type="dxa"/>
            <w:tcBorders/>
            <w:shd w:fill="E7E7E2" w:val="clear"/>
            <w:vAlign w:val="center"/>
          </w:tcPr>
          <w:p>
            <w:pPr>
              <w:pStyle w:val="TableContents"/>
              <w:bidi w:val="0"/>
              <w:spacing w:before="0" w:after="283"/>
              <w:jc w:val="left"/>
              <w:rPr/>
            </w:pPr>
            <w:r>
              <w:rPr/>
              <w:t xml:space="preserve">Fees Previously Paid </w:t>
            </w:r>
          </w:p>
        </w:tc>
        <w:tc>
          <w:tcPr>
            <w:tcW w:w="2513" w:type="dxa"/>
            <w:tcBorders/>
            <w:shd w:fill="E7E7E2" w:val="clear"/>
            <w:vAlign w:val="center"/>
          </w:tcPr>
          <w:p>
            <w:pPr>
              <w:pStyle w:val="TableContents"/>
              <w:bidi w:val="0"/>
              <w:spacing w:before="0" w:after="283"/>
              <w:jc w:val="left"/>
              <w:rPr>
                <w:sz w:val="4"/>
                <w:szCs w:val="4"/>
              </w:rPr>
            </w:pPr>
            <w:r>
              <w:rPr>
                <w:sz w:val="4"/>
                <w:szCs w:val="4"/>
              </w:rPr>
            </w:r>
          </w:p>
        </w:tc>
        <w:tc>
          <w:tcPr>
            <w:tcW w:w="2366"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2190" w:type="dxa"/>
            <w:tcBorders/>
            <w:shd w:fill="E7E7E2" w:val="clear"/>
            <w:vAlign w:val="center"/>
          </w:tcPr>
          <w:p>
            <w:pPr>
              <w:pStyle w:val="TableContents"/>
              <w:bidi w:val="0"/>
              <w:spacing w:before="0" w:after="283"/>
              <w:jc w:val="left"/>
              <w:rPr>
                <w:sz w:val="4"/>
                <w:szCs w:val="4"/>
              </w:rPr>
            </w:pPr>
            <w:r>
              <w:rPr>
                <w:sz w:val="4"/>
                <w:szCs w:val="4"/>
              </w:rPr>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Total Transaction Valuation:</w:t>
            </w:r>
          </w:p>
        </w:tc>
        <w:tc>
          <w:tcPr>
            <w:tcW w:w="2366" w:type="dxa"/>
            <w:tcBorders/>
            <w:vAlign w:val="center"/>
          </w:tcPr>
          <w:p>
            <w:pPr>
              <w:pStyle w:val="TableContents"/>
              <w:bidi w:val="0"/>
              <w:spacing w:before="0" w:after="0"/>
              <w:ind w:left="0" w:right="0" w:hanging="0"/>
              <w:jc w:val="right"/>
              <w:rPr/>
            </w:pPr>
            <w:r>
              <w:rPr/>
              <w:t xml:space="preserve">$ 1,253,580,823.88 </w:t>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Total Fees Due for Filing:</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 w:name="TotalFeeAmt"/>
            <w:bookmarkEnd w:id="6"/>
            <w:r>
              <w:rPr/>
              <w:t xml:space="preserve">$ 173,119.51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Total Fees Previously Paid: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7" w:name="TotalPreviouslyPaidAmt"/>
            <w:bookmarkEnd w:id="7"/>
            <w:r>
              <w:rPr/>
              <w:t xml:space="preserve">$ 0.00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Total Fee Offsets: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8" w:name="TotalOffsetAmt"/>
            <w:bookmarkEnd w:id="8"/>
            <w:r>
              <w:rPr/>
              <w:t xml:space="preserve">$ 173,119.51 </w:t>
            </w:r>
          </w:p>
        </w:tc>
      </w:tr>
      <w:tr>
        <w:trPr/>
        <w:tc>
          <w:tcPr>
            <w:tcW w:w="1962"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0"/>
              <w:ind w:left="0" w:right="0" w:hanging="0"/>
              <w:jc w:val="left"/>
              <w:rPr/>
            </w:pPr>
            <w:r>
              <w:rPr/>
              <w:t xml:space="preserve">Net Fee Due: </w:t>
            </w:r>
          </w:p>
        </w:tc>
        <w:tc>
          <w:tcPr>
            <w:tcW w:w="23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0"/>
              <w:ind w:left="0" w:right="0" w:hanging="0"/>
              <w:jc w:val="right"/>
              <w:rPr/>
            </w:pPr>
            <w:bookmarkStart w:id="9" w:name="NetFeeAmt"/>
            <w:bookmarkEnd w:id="9"/>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3"/>
        <w:gridCol w:w="8710"/>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Transaction valuation estimated solely for purposes of calculating the filing fee. The transaction valuation was calculated by multiplying the product of (i) $5.39, which is the average of the high and low prices of ordinary shares of CureVac N.V. ("CureVac"), par value EUR0.12 per share ("CureVac shares") on October 15, 2025, as reported on the Nasdaq Global Market by (ii) 232,575,292, the number of CureVac shares outstanding on a fully diluted basis as of October 17, 2025. The calculation of the filing fee is based on information provided by CureVac. The filing fee was calculated in accordance with Rule 0-11 under the Securities Exchange Act of 1934, as amended, and Fee Rate Advisory for Fiscal Year 2026, effective October 1, 2025, issued August 25, 2025, by multiplying the transaction value by 0.00013810.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120"/>
        <w:gridCol w:w="239"/>
        <w:gridCol w:w="1518"/>
        <w:gridCol w:w="1041"/>
        <w:gridCol w:w="1072"/>
        <w:gridCol w:w="985"/>
        <w:gridCol w:w="825"/>
        <w:gridCol w:w="1531"/>
        <w:gridCol w:w="1874"/>
      </w:tblGrid>
      <w:tr>
        <w:trPr/>
        <w:tc>
          <w:tcPr>
            <w:tcW w:w="1120" w:type="dxa"/>
            <w:tcBorders/>
            <w:shd w:fill="9ADAF6" w:val="clear"/>
            <w:vAlign w:val="center"/>
          </w:tcPr>
          <w:p>
            <w:pPr>
              <w:pStyle w:val="TableHeading"/>
              <w:bidi w:val="0"/>
              <w:spacing w:before="0" w:after="283"/>
              <w:rPr>
                <w:sz w:val="4"/>
                <w:szCs w:val="4"/>
              </w:rPr>
            </w:pPr>
            <w:r>
              <w:rPr>
                <w:sz w:val="4"/>
                <w:szCs w:val="4"/>
              </w:rPr>
            </w:r>
          </w:p>
        </w:tc>
        <w:tc>
          <w:tcPr>
            <w:tcW w:w="239" w:type="dxa"/>
            <w:tcBorders/>
            <w:shd w:fill="9ADAF6" w:val="clear"/>
            <w:vAlign w:val="center"/>
          </w:tcPr>
          <w:p>
            <w:pPr>
              <w:pStyle w:val="TableHeading"/>
              <w:bidi w:val="0"/>
              <w:spacing w:before="0" w:after="283"/>
              <w:rPr>
                <w:sz w:val="4"/>
                <w:szCs w:val="4"/>
              </w:rPr>
            </w:pPr>
            <w:r>
              <w:rPr>
                <w:sz w:val="4"/>
                <w:szCs w:val="4"/>
              </w:rPr>
            </w:r>
          </w:p>
        </w:tc>
        <w:tc>
          <w:tcPr>
            <w:tcW w:w="1518" w:type="dxa"/>
            <w:tcBorders/>
            <w:shd w:fill="9ADAF6" w:val="clear"/>
            <w:vAlign w:val="center"/>
          </w:tcPr>
          <w:p>
            <w:pPr>
              <w:pStyle w:val="TableHeading"/>
              <w:suppressLineNumbers/>
              <w:bidi w:val="0"/>
              <w:spacing w:before="0" w:after="283"/>
              <w:jc w:val="center"/>
              <w:rPr/>
            </w:pPr>
            <w:r>
              <w:rPr/>
              <w:t xml:space="preserve">Registrant or Filer Name </w:t>
            </w:r>
          </w:p>
        </w:tc>
        <w:tc>
          <w:tcPr>
            <w:tcW w:w="1041" w:type="dxa"/>
            <w:tcBorders/>
            <w:shd w:fill="9ADAF6" w:val="clear"/>
            <w:vAlign w:val="center"/>
          </w:tcPr>
          <w:p>
            <w:pPr>
              <w:pStyle w:val="TableHeading"/>
              <w:suppressLineNumbers/>
              <w:bidi w:val="0"/>
              <w:spacing w:before="0" w:after="283"/>
              <w:jc w:val="center"/>
              <w:rPr/>
            </w:pPr>
            <w:r>
              <w:rPr/>
              <w:t xml:space="preserve">Form or Filing Type </w:t>
            </w:r>
          </w:p>
        </w:tc>
        <w:tc>
          <w:tcPr>
            <w:tcW w:w="1072" w:type="dxa"/>
            <w:tcBorders/>
            <w:shd w:fill="9ADAF6" w:val="clear"/>
            <w:vAlign w:val="center"/>
          </w:tcPr>
          <w:p>
            <w:pPr>
              <w:pStyle w:val="TableHeading"/>
              <w:suppressLineNumbers/>
              <w:bidi w:val="0"/>
              <w:spacing w:before="0" w:after="283"/>
              <w:jc w:val="center"/>
              <w:rPr/>
            </w:pPr>
            <w:r>
              <w:rPr/>
              <w:t xml:space="preserve">File Number </w:t>
            </w:r>
          </w:p>
        </w:tc>
        <w:tc>
          <w:tcPr>
            <w:tcW w:w="985" w:type="dxa"/>
            <w:tcBorders/>
            <w:shd w:fill="9ADAF6" w:val="clear"/>
            <w:vAlign w:val="center"/>
          </w:tcPr>
          <w:p>
            <w:pPr>
              <w:pStyle w:val="TableHeading"/>
              <w:suppressLineNumbers/>
              <w:bidi w:val="0"/>
              <w:spacing w:before="0" w:after="283"/>
              <w:jc w:val="center"/>
              <w:rPr/>
            </w:pPr>
            <w:r>
              <w:rPr/>
              <w:t xml:space="preserve">Initial Filing Date </w:t>
            </w:r>
          </w:p>
        </w:tc>
        <w:tc>
          <w:tcPr>
            <w:tcW w:w="825" w:type="dxa"/>
            <w:tcBorders/>
            <w:shd w:fill="9ADAF6" w:val="clear"/>
            <w:vAlign w:val="center"/>
          </w:tcPr>
          <w:p>
            <w:pPr>
              <w:pStyle w:val="TableHeading"/>
              <w:suppressLineNumbers/>
              <w:bidi w:val="0"/>
              <w:spacing w:before="0" w:after="283"/>
              <w:jc w:val="center"/>
              <w:rPr/>
            </w:pPr>
            <w:r>
              <w:rPr/>
              <w:t xml:space="preserve">Filing Date </w:t>
            </w:r>
          </w:p>
        </w:tc>
        <w:tc>
          <w:tcPr>
            <w:tcW w:w="1531" w:type="dxa"/>
            <w:tcBorders/>
            <w:shd w:fill="9ADAF6" w:val="clear"/>
            <w:vAlign w:val="center"/>
          </w:tcPr>
          <w:p>
            <w:pPr>
              <w:pStyle w:val="TableHeading"/>
              <w:suppressLineNumbers/>
              <w:bidi w:val="0"/>
              <w:spacing w:before="0" w:after="283"/>
              <w:jc w:val="center"/>
              <w:rPr/>
            </w:pPr>
            <w:r>
              <w:rPr/>
              <w:t xml:space="preserve">Fee Offset Claimed </w:t>
            </w:r>
          </w:p>
        </w:tc>
        <w:tc>
          <w:tcPr>
            <w:tcW w:w="187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120" w:type="dxa"/>
            <w:tcBorders/>
            <w:shd w:fill="E7E7E2" w:val="clear"/>
            <w:vAlign w:val="center"/>
          </w:tcPr>
          <w:p>
            <w:pPr>
              <w:pStyle w:val="TableContents"/>
              <w:bidi w:val="0"/>
              <w:spacing w:before="0" w:after="283"/>
              <w:jc w:val="left"/>
              <w:rPr/>
            </w:pPr>
            <w:r>
              <w:rPr/>
              <w:t xml:space="preserve">Fee Offset Claims </w:t>
            </w:r>
          </w:p>
        </w:tc>
        <w:tc>
          <w:tcPr>
            <w:tcW w:w="239" w:type="dxa"/>
            <w:tcBorders/>
            <w:shd w:fill="E7E7E2" w:val="clear"/>
            <w:vAlign w:val="center"/>
          </w:tcPr>
          <w:p>
            <w:pPr>
              <w:pStyle w:val="TableContents"/>
              <w:bidi w:val="0"/>
              <w:spacing w:before="0" w:after="283"/>
              <w:jc w:val="left"/>
              <w:rPr/>
            </w:pPr>
            <w:r>
              <w:rPr/>
              <w:t xml:space="preserve">1 </w:t>
            </w:r>
          </w:p>
        </w:tc>
        <w:tc>
          <w:tcPr>
            <w:tcW w:w="1518" w:type="dxa"/>
            <w:tcBorders/>
            <w:shd w:fill="E7E7E2" w:val="clear"/>
            <w:vAlign w:val="center"/>
          </w:tcPr>
          <w:p>
            <w:pPr>
              <w:pStyle w:val="TableContents"/>
              <w:bidi w:val="0"/>
              <w:spacing w:before="0" w:after="283"/>
              <w:jc w:val="left"/>
              <w:rPr>
                <w:sz w:val="4"/>
                <w:szCs w:val="4"/>
              </w:rPr>
            </w:pPr>
            <w:r>
              <w:rPr>
                <w:sz w:val="4"/>
                <w:szCs w:val="4"/>
              </w:rPr>
            </w:r>
          </w:p>
        </w:tc>
        <w:tc>
          <w:tcPr>
            <w:tcW w:w="1041" w:type="dxa"/>
            <w:tcBorders/>
            <w:shd w:fill="E7E7E2" w:val="clear"/>
            <w:vAlign w:val="center"/>
          </w:tcPr>
          <w:p>
            <w:pPr>
              <w:pStyle w:val="TableContents"/>
              <w:bidi w:val="0"/>
              <w:spacing w:before="0" w:after="283"/>
              <w:jc w:val="left"/>
              <w:rPr/>
            </w:pPr>
            <w:r>
              <w:rPr/>
              <w:t xml:space="preserve">F-4 </w:t>
            </w:r>
          </w:p>
        </w:tc>
        <w:tc>
          <w:tcPr>
            <w:tcW w:w="1072" w:type="dxa"/>
            <w:tcBorders/>
            <w:shd w:fill="E7E7E2" w:val="clear"/>
            <w:vAlign w:val="center"/>
          </w:tcPr>
          <w:p>
            <w:pPr>
              <w:pStyle w:val="TableContents"/>
              <w:bidi w:val="0"/>
              <w:spacing w:before="0" w:after="283"/>
              <w:jc w:val="left"/>
              <w:rPr/>
            </w:pPr>
            <w:r>
              <w:rPr/>
              <w:t xml:space="preserve">333-289468 </w:t>
            </w:r>
          </w:p>
        </w:tc>
        <w:tc>
          <w:tcPr>
            <w:tcW w:w="985" w:type="dxa"/>
            <w:tcBorders/>
            <w:shd w:fill="E7E7E2" w:val="clear"/>
            <w:vAlign w:val="center"/>
          </w:tcPr>
          <w:p>
            <w:pPr>
              <w:pStyle w:val="TableContents"/>
              <w:bidi w:val="0"/>
              <w:spacing w:before="0" w:after="283"/>
              <w:jc w:val="left"/>
              <w:rPr/>
            </w:pPr>
            <w:r>
              <w:rPr/>
              <w:t xml:space="preserve">08/11/2025 </w:t>
            </w:r>
          </w:p>
        </w:tc>
        <w:tc>
          <w:tcPr>
            <w:tcW w:w="825" w:type="dxa"/>
            <w:tcBorders/>
            <w:shd w:fill="E7E7E2" w:val="clear"/>
            <w:vAlign w:val="center"/>
          </w:tcPr>
          <w:p>
            <w:pPr>
              <w:pStyle w:val="TableContents"/>
              <w:bidi w:val="0"/>
              <w:spacing w:before="0" w:after="283"/>
              <w:jc w:val="left"/>
              <w:rPr>
                <w:sz w:val="4"/>
                <w:szCs w:val="4"/>
              </w:rPr>
            </w:pPr>
            <w:r>
              <w:rPr>
                <w:sz w:val="4"/>
                <w:szCs w:val="4"/>
              </w:rPr>
            </w:r>
          </w:p>
        </w:tc>
        <w:tc>
          <w:tcPr>
            <w:tcW w:w="1531" w:type="dxa"/>
            <w:tcBorders/>
            <w:shd w:fill="E7E7E2" w:val="clear"/>
            <w:vAlign w:val="center"/>
          </w:tcPr>
          <w:p>
            <w:pPr>
              <w:pStyle w:val="TableContents"/>
              <w:bidi w:val="0"/>
              <w:spacing w:before="0" w:after="283"/>
              <w:jc w:val="right"/>
              <w:rPr/>
            </w:pPr>
            <w:r>
              <w:rPr/>
              <w:t xml:space="preserve">$ 173,119.51 </w:t>
            </w:r>
          </w:p>
        </w:tc>
        <w:tc>
          <w:tcPr>
            <w:tcW w:w="1874" w:type="dxa"/>
            <w:tcBorders/>
            <w:shd w:fill="E7E7E2" w:val="clear"/>
            <w:vAlign w:val="center"/>
          </w:tcPr>
          <w:p>
            <w:pPr>
              <w:pStyle w:val="TableContents"/>
              <w:bidi w:val="0"/>
              <w:spacing w:before="0" w:after="283"/>
              <w:jc w:val="left"/>
              <w:rPr>
                <w:sz w:val="4"/>
                <w:szCs w:val="4"/>
              </w:rPr>
            </w:pPr>
            <w:r>
              <w:rPr>
                <w:sz w:val="4"/>
                <w:szCs w:val="4"/>
              </w:rPr>
            </w:r>
          </w:p>
        </w:tc>
      </w:tr>
      <w:tr>
        <w:trPr/>
        <w:tc>
          <w:tcPr>
            <w:tcW w:w="1120" w:type="dxa"/>
            <w:tcBorders/>
            <w:shd w:fill="E7E7E2" w:val="clear"/>
            <w:vAlign w:val="center"/>
          </w:tcPr>
          <w:p>
            <w:pPr>
              <w:pStyle w:val="TableContents"/>
              <w:bidi w:val="0"/>
              <w:spacing w:before="0" w:after="283"/>
              <w:jc w:val="left"/>
              <w:rPr/>
            </w:pPr>
            <w:r>
              <w:rPr/>
              <w:t xml:space="preserve">Fee Offset Sources </w:t>
            </w:r>
          </w:p>
        </w:tc>
        <w:tc>
          <w:tcPr>
            <w:tcW w:w="239" w:type="dxa"/>
            <w:tcBorders/>
            <w:shd w:fill="E7E7E2" w:val="clear"/>
            <w:vAlign w:val="center"/>
          </w:tcPr>
          <w:p>
            <w:pPr>
              <w:pStyle w:val="TableContents"/>
              <w:bidi w:val="0"/>
              <w:spacing w:before="0" w:after="283"/>
              <w:jc w:val="left"/>
              <w:rPr/>
            </w:pPr>
            <w:r>
              <w:rPr/>
              <w:t xml:space="preserve">2 </w:t>
            </w:r>
          </w:p>
        </w:tc>
        <w:tc>
          <w:tcPr>
            <w:tcW w:w="1518" w:type="dxa"/>
            <w:tcBorders/>
            <w:shd w:fill="E7E7E2" w:val="clear"/>
            <w:vAlign w:val="center"/>
          </w:tcPr>
          <w:p>
            <w:pPr>
              <w:pStyle w:val="TableContents"/>
              <w:bidi w:val="0"/>
              <w:spacing w:before="0" w:after="283"/>
              <w:jc w:val="left"/>
              <w:rPr/>
            </w:pPr>
            <w:r>
              <w:rPr/>
              <w:t xml:space="preserve">BioNTech SE </w:t>
            </w:r>
          </w:p>
        </w:tc>
        <w:tc>
          <w:tcPr>
            <w:tcW w:w="1041" w:type="dxa"/>
            <w:tcBorders/>
            <w:shd w:fill="E7E7E2" w:val="clear"/>
            <w:vAlign w:val="center"/>
          </w:tcPr>
          <w:p>
            <w:pPr>
              <w:pStyle w:val="TableContents"/>
              <w:bidi w:val="0"/>
              <w:spacing w:before="0" w:after="283"/>
              <w:jc w:val="left"/>
              <w:rPr/>
            </w:pPr>
            <w:r>
              <w:rPr/>
              <w:t xml:space="preserve">F-4 </w:t>
            </w:r>
          </w:p>
        </w:tc>
        <w:tc>
          <w:tcPr>
            <w:tcW w:w="1072" w:type="dxa"/>
            <w:tcBorders/>
            <w:shd w:fill="E7E7E2" w:val="clear"/>
            <w:vAlign w:val="center"/>
          </w:tcPr>
          <w:p>
            <w:pPr>
              <w:pStyle w:val="TableContents"/>
              <w:bidi w:val="0"/>
              <w:spacing w:before="0" w:after="283"/>
              <w:jc w:val="left"/>
              <w:rPr/>
            </w:pPr>
            <w:r>
              <w:rPr/>
              <w:t xml:space="preserve">333-289468 </w:t>
            </w:r>
          </w:p>
        </w:tc>
        <w:tc>
          <w:tcPr>
            <w:tcW w:w="985" w:type="dxa"/>
            <w:tcBorders/>
            <w:shd w:fill="E7E7E2" w:val="clear"/>
            <w:vAlign w:val="center"/>
          </w:tcPr>
          <w:p>
            <w:pPr>
              <w:pStyle w:val="TableContents"/>
              <w:bidi w:val="0"/>
              <w:spacing w:before="0" w:after="283"/>
              <w:jc w:val="left"/>
              <w:rPr>
                <w:sz w:val="4"/>
                <w:szCs w:val="4"/>
              </w:rPr>
            </w:pPr>
            <w:r>
              <w:rPr>
                <w:sz w:val="4"/>
                <w:szCs w:val="4"/>
              </w:rPr>
            </w:r>
          </w:p>
        </w:tc>
        <w:tc>
          <w:tcPr>
            <w:tcW w:w="825" w:type="dxa"/>
            <w:tcBorders/>
            <w:shd w:fill="E7E7E2" w:val="clear"/>
            <w:vAlign w:val="center"/>
          </w:tcPr>
          <w:p>
            <w:pPr>
              <w:pStyle w:val="TableContents"/>
              <w:bidi w:val="0"/>
              <w:spacing w:before="0" w:after="283"/>
              <w:jc w:val="left"/>
              <w:rPr/>
            </w:pPr>
            <w:r>
              <w:rPr/>
              <w:t xml:space="preserve">08/11/2025 </w:t>
            </w:r>
          </w:p>
        </w:tc>
        <w:tc>
          <w:tcPr>
            <w:tcW w:w="1531" w:type="dxa"/>
            <w:tcBorders/>
            <w:shd w:fill="E7E7E2" w:val="clear"/>
            <w:vAlign w:val="center"/>
          </w:tcPr>
          <w:p>
            <w:pPr>
              <w:pStyle w:val="TableContents"/>
              <w:bidi w:val="0"/>
              <w:spacing w:before="0" w:after="283"/>
              <w:jc w:val="left"/>
              <w:rPr>
                <w:sz w:val="4"/>
                <w:szCs w:val="4"/>
              </w:rPr>
            </w:pPr>
            <w:r>
              <w:rPr>
                <w:sz w:val="4"/>
                <w:szCs w:val="4"/>
              </w:rPr>
            </w:r>
          </w:p>
        </w:tc>
        <w:tc>
          <w:tcPr>
            <w:tcW w:w="1874" w:type="dxa"/>
            <w:tcBorders/>
            <w:shd w:fill="E7E7E2" w:val="clear"/>
            <w:vAlign w:val="center"/>
          </w:tcPr>
          <w:p>
            <w:pPr>
              <w:pStyle w:val="TableContents"/>
              <w:bidi w:val="0"/>
              <w:spacing w:before="0" w:after="283"/>
              <w:jc w:val="right"/>
              <w:rPr/>
            </w:pPr>
            <w:r>
              <w:rPr/>
              <w:t xml:space="preserve">$ 187,883.02 </w:t>
            </w:r>
          </w:p>
        </w:tc>
      </w:tr>
    </w:tbl>
    <w:tbl>
      <w:tblPr>
        <w:tblW w:w="4640" w:type="dxa"/>
        <w:jc w:val="left"/>
        <w:tblInd w:w="0" w:type="dxa"/>
        <w:tblLayout w:type="fixed"/>
        <w:tblCellMar>
          <w:top w:w="28" w:type="dxa"/>
          <w:left w:w="28" w:type="dxa"/>
          <w:bottom w:w="28" w:type="dxa"/>
          <w:right w:w="28" w:type="dxa"/>
        </w:tblCellMar>
      </w:tblPr>
      <w:tblGrid>
        <w:gridCol w:w="4486"/>
        <w:gridCol w:w="154"/>
      </w:tblGrid>
      <w:tr>
        <w:trPr/>
        <w:tc>
          <w:tcPr>
            <w:tcW w:w="4486" w:type="dxa"/>
            <w:tcBorders/>
            <w:vAlign w:val="center"/>
          </w:tcPr>
          <w:p>
            <w:pPr>
              <w:pStyle w:val="TableContents"/>
              <w:bidi w:val="0"/>
              <w:spacing w:before="0" w:after="75"/>
              <w:ind w:left="0" w:right="0" w:hanging="0"/>
              <w:jc w:val="left"/>
              <w:rPr/>
            </w:pPr>
            <w:r>
              <w:rPr>
                <w:b/>
              </w:rPr>
              <w:t>Explanation of the basis for claimed offset:</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3"/>
        <w:gridCol w:w="1292"/>
        <w:gridCol w:w="8690"/>
      </w:tblGrid>
      <w:tr>
        <w:trPr/>
        <w:tc>
          <w:tcPr>
            <w:tcW w:w="22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2" w:type="dxa"/>
            <w:gridSpan w:val="2"/>
            <w:tcBorders/>
            <w:vAlign w:val="center"/>
          </w:tcPr>
          <w:p>
            <w:pPr>
              <w:pStyle w:val="TableContents"/>
              <w:bidi w:val="0"/>
              <w:spacing w:before="0" w:after="283"/>
              <w:jc w:val="left"/>
              <w:rPr/>
            </w:pPr>
            <w:r>
              <w:rPr/>
              <w:t xml:space="preserve">In connection with the Registration Statement on Form F-4 filed with the Securities and Exchange Commission on August 11, 2025 (File No. 333-289468), the registrant paid $187,883.02 with that submission. </w:t>
            </w:r>
          </w:p>
        </w:tc>
      </w:tr>
      <w:tr>
        <w:trPr/>
        <w:tc>
          <w:tcPr>
            <w:tcW w:w="1515" w:type="dxa"/>
            <w:gridSpan w:val="2"/>
            <w:tcBorders/>
            <w:vAlign w:val="center"/>
          </w:tcPr>
          <w:p>
            <w:pPr>
              <w:pStyle w:val="HorizontalLine"/>
              <w:pBdr>
                <w:bottom w:val="double" w:sz="2" w:space="0" w:color="808080"/>
              </w:pBdr>
              <w:bidi w:val="0"/>
              <w:spacing w:before="0" w:after="283"/>
              <w:jc w:val="left"/>
              <w:rPr/>
            </w:pPr>
            <w:r>
              <w:rPr/>
            </w:r>
          </w:p>
        </w:tc>
        <w:tc>
          <w:tcPr>
            <w:tcW w:w="8690"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3"/>
        <w:gridCol w:w="1292"/>
        <w:gridCol w:w="8690"/>
      </w:tblGrid>
      <w:tr>
        <w:trPr/>
        <w:tc>
          <w:tcPr>
            <w:tcW w:w="22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2" w:type="dxa"/>
            <w:gridSpan w:val="2"/>
            <w:tcBorders/>
            <w:vAlign w:val="center"/>
          </w:tcPr>
          <w:p>
            <w:pPr>
              <w:pStyle w:val="TableContents"/>
              <w:bidi w:val="0"/>
              <w:spacing w:before="0" w:after="283"/>
              <w:jc w:val="left"/>
              <w:rPr/>
            </w:pPr>
            <w:r>
              <w:rPr/>
              <w:t xml:space="preserve">In connection with the Registration Statement on Form F-4 filed with the Securities and Exchange Commission on August 11, 2025 (File No. 333-289468), the registrant paid $187,883.02 with that submission. </w:t>
            </w:r>
          </w:p>
        </w:tc>
      </w:tr>
      <w:tr>
        <w:trPr/>
        <w:tc>
          <w:tcPr>
            <w:tcW w:w="1515" w:type="dxa"/>
            <w:gridSpan w:val="2"/>
            <w:tcBorders/>
            <w:vAlign w:val="center"/>
          </w:tcPr>
          <w:p>
            <w:pPr>
              <w:pStyle w:val="HorizontalLine"/>
              <w:pBdr>
                <w:bottom w:val="double" w:sz="2" w:space="0" w:color="808080"/>
              </w:pBdr>
              <w:bidi w:val="0"/>
              <w:spacing w:before="0" w:after="283"/>
              <w:jc w:val="left"/>
              <w:rPr/>
            </w:pPr>
            <w:r>
              <w:rPr/>
            </w:r>
          </w:p>
        </w:tc>
        <w:tc>
          <w:tcPr>
            <w:tcW w:w="8690"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76985/000119312525245092/d847647dex991.htm" TargetMode="External"/><Relationship Id="rId3" Type="http://schemas.openxmlformats.org/officeDocument/2006/relationships/hyperlink" Target="http://www.sec.gov/Archives/edgar/data/1776985/000119312525245092/d847647dex992.htm" TargetMode="External"/><Relationship Id="rId4" Type="http://schemas.openxmlformats.org/officeDocument/2006/relationships/hyperlink" Target="http://www.sec.gov/Archives/edgar/data/1776985/000119312525245092/d847647dex993.htm" TargetMode="External"/><Relationship Id="rId5" Type="http://schemas.openxmlformats.org/officeDocument/2006/relationships/hyperlink" Target="http://www.sec.gov/Archives/edgar/data/1776985/000119312525245092/d847647dex994.htm" TargetMode="External"/><Relationship Id="rId6" Type="http://schemas.openxmlformats.org/officeDocument/2006/relationships/hyperlink" Target="http://www.sec.gov/Archives/edgar/data/1776985/000119312525245092/d847647df4a.htm" TargetMode="External"/><Relationship Id="rId7" Type="http://schemas.openxmlformats.org/officeDocument/2006/relationships/hyperlink" Target="http://www.sec.gov/Archives/edgar/data/1776985/000119312525139910/d40967dex991.htm" TargetMode="External"/><Relationship Id="rId8" Type="http://schemas.openxmlformats.org/officeDocument/2006/relationships/hyperlink" Target="http://www.sec.gov/Archives/edgar/data/1776985/000119312525139913/d38002d425.htm" TargetMode="External"/><Relationship Id="rId9" Type="http://schemas.openxmlformats.org/officeDocument/2006/relationships/hyperlink" Target="http://www.sec.gov/Archives/edgar/data/1776985/000119312525139928/d92381d425.htm" TargetMode="External"/><Relationship Id="rId10" Type="http://schemas.openxmlformats.org/officeDocument/2006/relationships/hyperlink" Target="http://www.sec.gov/Archives/edgar/data/1776985/000119312525139915/d36305d425.htm" TargetMode="External"/><Relationship Id="rId11" Type="http://schemas.openxmlformats.org/officeDocument/2006/relationships/hyperlink" Target="http://www.sec.gov/Archives/edgar/data/1776985/000119312525139925/d949899d425.htm" TargetMode="External"/><Relationship Id="rId12" Type="http://schemas.openxmlformats.org/officeDocument/2006/relationships/hyperlink" Target="http://www.sec.gov/Archives/edgar/data/1776985/000119312525142077/d43024d6k.htm" TargetMode="External"/><Relationship Id="rId13" Type="http://schemas.openxmlformats.org/officeDocument/2006/relationships/hyperlink" Target="http://www.sec.gov/Archives/edgar/data/1776985/000119312525176985/d864452d425.htm" TargetMode="External"/><Relationship Id="rId14" Type="http://schemas.openxmlformats.org/officeDocument/2006/relationships/hyperlink" Target="http://www.sec.gov/Archives/edgar/data/1776985/000119312525177415/d74857d6k.htm" TargetMode="External"/><Relationship Id="rId15" Type="http://schemas.openxmlformats.org/officeDocument/2006/relationships/hyperlink" Target="http://www.sec.gov/Archives/edgar/data/1776985/000119312525243620/d896276d425.htm" TargetMode="External"/><Relationship Id="rId16" Type="http://schemas.openxmlformats.org/officeDocument/2006/relationships/hyperlink" Target="http://www.sec.gov/Archives/edgar/data/1776985/000119312525243618/d941432d425.htm" TargetMode="External"/><Relationship Id="rId17" Type="http://schemas.openxmlformats.org/officeDocument/2006/relationships/hyperlink" Target="http://www.sec.gov/Archives/edgar/data/1776985/000119312525142077/d43024dex991.htm" TargetMode="External"/><Relationship Id="rId18" Type="http://schemas.openxmlformats.org/officeDocument/2006/relationships/hyperlink" Target="http://www.sec.gov/Archives/edgar/data/1776985/000119312525245092/d847647df4a.htm" TargetMode="External"/><Relationship Id="rId19" Type="http://schemas.openxmlformats.org/officeDocument/2006/relationships/hyperlink" Target="http://www.sec.gov/Archives/edgar/data/1776985/000119312525177520/d847647dex8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2857</Words>
  <Characters>15478</Characters>
  <CharactersWithSpaces>18354</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TO-T</dc:title>
</cp:coreProperties>
</file>